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 xml:space="preserve">WEEK 11: </w:t>
      </w:r>
      <w:proofErr w:type="spellStart"/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>Postcolonialism</w:t>
      </w:r>
      <w:proofErr w:type="spellEnd"/>
      <w:r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 xml:space="preserve"> not finished </w:t>
      </w:r>
    </w:p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lang w:eastAsia="zh-CN"/>
        </w:rPr>
        <w:t>Critical</w:t>
      </w:r>
    </w:p>
    <w:p w:rsidR="00D66B0A" w:rsidRPr="00D66B0A" w:rsidRDefault="00C7439D" w:rsidP="00C7439D">
      <w:pPr>
        <w:shd w:val="clear" w:color="auto" w:fill="FFFFFF"/>
        <w:tabs>
          <w:tab w:val="left" w:pos="6465"/>
        </w:tabs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  <w:r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  <w:tab/>
      </w:r>
    </w:p>
    <w:p w:rsidR="00C40813" w:rsidRPr="0031281D" w:rsidRDefault="00D66B0A" w:rsidP="0031281D">
      <w:pPr>
        <w:pStyle w:val="ListParagraph"/>
        <w:numPr>
          <w:ilvl w:val="0"/>
          <w:numId w:val="2"/>
        </w:numPr>
        <w:shd w:val="clear" w:color="auto" w:fill="FFFFFF"/>
        <w:rPr>
          <w:rFonts w:ascii="Calibri" w:eastAsiaTheme="minorEastAsia" w:hAnsi="Calibri"/>
          <w:color w:val="000000"/>
          <w:lang w:eastAsia="zh-CN"/>
        </w:rPr>
      </w:pPr>
      <w:r w:rsidRPr="0031281D">
        <w:rPr>
          <w:rFonts w:ascii="Calibri" w:eastAsiaTheme="minorEastAsia" w:hAnsi="Calibri"/>
          <w:color w:val="000000"/>
          <w:lang w:eastAsia="zh-CN"/>
        </w:rPr>
        <w:t xml:space="preserve">What is postcolonial writing? Answer this question with reference to postcolonial narrative techniques used in </w:t>
      </w:r>
      <w:r w:rsidRPr="0031281D">
        <w:rPr>
          <w:rFonts w:ascii="Calibri" w:eastAsiaTheme="minorEastAsia" w:hAnsi="Calibri"/>
          <w:i/>
          <w:color w:val="000000"/>
          <w:lang w:eastAsia="zh-CN"/>
        </w:rPr>
        <w:t>Disgrace</w:t>
      </w:r>
      <w:r w:rsidRPr="0031281D">
        <w:rPr>
          <w:rFonts w:ascii="Calibri" w:eastAsiaTheme="minorEastAsia" w:hAnsi="Calibri"/>
          <w:color w:val="000000"/>
          <w:lang w:eastAsia="zh-CN"/>
        </w:rPr>
        <w:t>. Your answer must be supported with textual evidence from the reading, and it must include at least one academic reference.</w:t>
      </w:r>
    </w:p>
    <w:p w:rsidR="0031281D" w:rsidRPr="0031281D" w:rsidRDefault="0031281D" w:rsidP="0031281D">
      <w:pPr>
        <w:pStyle w:val="ListParagraph"/>
        <w:shd w:val="clear" w:color="auto" w:fill="FFFFFF"/>
        <w:ind w:left="1080"/>
        <w:rPr>
          <w:rFonts w:ascii="Calibri" w:eastAsiaTheme="minorEastAsia" w:hAnsi="Calibri"/>
          <w:color w:val="000000"/>
          <w:lang w:eastAsia="zh-CN"/>
        </w:rPr>
      </w:pPr>
    </w:p>
    <w:p w:rsidR="00C40813" w:rsidRPr="00825DCF" w:rsidRDefault="00C40813" w:rsidP="00C40813">
      <w:r w:rsidRPr="00825DCF">
        <w:rPr>
          <w:lang w:val="en-US"/>
        </w:rPr>
        <w:t xml:space="preserve">...a body of writing that attempts to shift the dominant ways in which the relations between western and non-western people and their worlds are viewed. </w:t>
      </w:r>
    </w:p>
    <w:p w:rsidR="00825DCF" w:rsidRDefault="00825DCF" w:rsidP="0031281D">
      <w:pPr>
        <w:ind w:left="720"/>
      </w:pPr>
      <w:r>
        <w:t>1.</w:t>
      </w:r>
      <w:r w:rsidRPr="00825DCF">
        <w:rPr>
          <w:rFonts w:eastAsiaTheme="minorEastAsia" w:hAnsi="Calibri"/>
          <w:color w:val="675E47"/>
          <w:kern w:val="24"/>
          <w:sz w:val="36"/>
          <w:szCs w:val="36"/>
          <w:lang w:eastAsia="en-AU"/>
        </w:rPr>
        <w:t xml:space="preserve"> </w:t>
      </w:r>
      <w:r w:rsidRPr="00825DCF">
        <w:t xml:space="preserve">Considering </w:t>
      </w:r>
      <w:r w:rsidRPr="00825DCF">
        <w:rPr>
          <w:i/>
          <w:iCs/>
        </w:rPr>
        <w:t>Disgrace</w:t>
      </w:r>
      <w:r w:rsidRPr="00825DCF">
        <w:t xml:space="preserve"> is written from a privileged point of view, that is, the POV of a white, educated, middle-aged male living in post-apartheid South Africa, how—when considering the quote above—does the text function as a postcolonial novel? What narrative devices does Coetzee use to ‘shift the dominant ways in which the relations between western and non-western people and their worlds are viewed’? Make sure to include textual evidence from the reading, and at least one academic reference.</w:t>
      </w:r>
    </w:p>
    <w:p w:rsidR="00AB4A06" w:rsidRDefault="00272A96" w:rsidP="009775CB">
      <w:pPr>
        <w:pStyle w:val="NoSpacing"/>
        <w:ind w:firstLine="142"/>
      </w:pPr>
      <w:bookmarkStart w:id="0" w:name="_GoBack"/>
      <w:r>
        <w:rPr>
          <w:lang w:eastAsia="zh-CN"/>
        </w:rPr>
        <w:t>P</w:t>
      </w:r>
      <w:r w:rsidR="00F24EA7" w:rsidRPr="00D66B0A">
        <w:rPr>
          <w:lang w:eastAsia="zh-CN"/>
        </w:rPr>
        <w:t>ostcolonial writing</w:t>
      </w:r>
      <w:r w:rsidR="003A2F22">
        <w:rPr>
          <w:lang w:eastAsia="zh-CN"/>
        </w:rPr>
        <w:t xml:space="preserve"> </w:t>
      </w:r>
      <w:r w:rsidR="00F90E62">
        <w:rPr>
          <w:lang w:eastAsia="zh-CN"/>
        </w:rPr>
        <w:t>details the events following the decolonization of a count</w:t>
      </w:r>
      <w:r w:rsidR="00293310">
        <w:rPr>
          <w:lang w:eastAsia="zh-CN"/>
        </w:rPr>
        <w:t>r</w:t>
      </w:r>
      <w:r w:rsidR="00F90E62">
        <w:rPr>
          <w:lang w:eastAsia="zh-CN"/>
        </w:rPr>
        <w:t>y.</w:t>
      </w:r>
      <w:r w:rsidR="00F24EA7">
        <w:rPr>
          <w:lang w:eastAsia="zh-CN"/>
        </w:rPr>
        <w:t xml:space="preserve"> </w:t>
      </w:r>
      <w:r w:rsidR="00387F00">
        <w:rPr>
          <w:lang w:eastAsia="zh-CN"/>
        </w:rPr>
        <w:t>Often, this is u</w:t>
      </w:r>
      <w:r w:rsidR="00293310">
        <w:rPr>
          <w:lang w:eastAsia="zh-CN"/>
        </w:rPr>
        <w:t xml:space="preserve">sed to view how </w:t>
      </w:r>
      <w:r w:rsidR="00F24EA7">
        <w:rPr>
          <w:lang w:eastAsia="zh-CN"/>
        </w:rPr>
        <w:t>changes are made to a country or nation through the eyes of a story teller</w:t>
      </w:r>
      <w:r w:rsidR="00387F00">
        <w:rPr>
          <w:lang w:eastAsia="zh-CN"/>
        </w:rPr>
        <w:t>.</w:t>
      </w:r>
      <w:r w:rsidR="00887F77">
        <w:rPr>
          <w:lang w:eastAsia="zh-CN"/>
        </w:rPr>
        <w:t xml:space="preserve"> This </w:t>
      </w:r>
      <w:r w:rsidR="008D7F1D">
        <w:rPr>
          <w:lang w:eastAsia="zh-CN"/>
        </w:rPr>
        <w:t>usually</w:t>
      </w:r>
      <w:r w:rsidR="00293310">
        <w:rPr>
          <w:lang w:eastAsia="zh-CN"/>
        </w:rPr>
        <w:t xml:space="preserve"> focuses on relations</w:t>
      </w:r>
      <w:r w:rsidR="008D7F1D">
        <w:rPr>
          <w:lang w:eastAsia="zh-CN"/>
        </w:rPr>
        <w:t xml:space="preserve"> between the original and migrating/colonising populations, with emphasis on racism, politics and religious clashes.</w:t>
      </w:r>
      <w:r w:rsidR="00887F77">
        <w:rPr>
          <w:lang w:eastAsia="zh-CN"/>
        </w:rPr>
        <w:t xml:space="preserve"> </w:t>
      </w:r>
      <w:r w:rsidR="00F24EA7">
        <w:rPr>
          <w:lang w:eastAsia="zh-CN"/>
        </w:rPr>
        <w:t>J.M Coetzee’s book “</w:t>
      </w:r>
      <w:r w:rsidR="008D7F1D">
        <w:rPr>
          <w:i/>
          <w:lang w:eastAsia="zh-CN"/>
        </w:rPr>
        <w:t>D</w:t>
      </w:r>
      <w:r w:rsidR="00F24EA7" w:rsidRPr="00F24EA7">
        <w:rPr>
          <w:i/>
          <w:lang w:eastAsia="zh-CN"/>
        </w:rPr>
        <w:t>isgrace</w:t>
      </w:r>
      <w:r w:rsidR="00F24EA7">
        <w:rPr>
          <w:lang w:eastAsia="zh-CN"/>
        </w:rPr>
        <w:t>”</w:t>
      </w:r>
      <w:r w:rsidR="008D7F1D">
        <w:rPr>
          <w:lang w:eastAsia="zh-CN"/>
        </w:rPr>
        <w:t xml:space="preserve"> </w:t>
      </w:r>
      <w:r w:rsidR="00853C0D">
        <w:t>is written in the point-of-view of the educated</w:t>
      </w:r>
      <w:r w:rsidR="00F24EA7">
        <w:t xml:space="preserve"> white 52 year old professor</w:t>
      </w:r>
      <w:r w:rsidR="00853C0D">
        <w:t>, David Lurie, living</w:t>
      </w:r>
      <w:r w:rsidR="00F24EA7">
        <w:t xml:space="preserve"> </w:t>
      </w:r>
      <w:r w:rsidR="00853C0D">
        <w:t xml:space="preserve">in </w:t>
      </w:r>
      <w:r w:rsidR="002A6752">
        <w:t xml:space="preserve">post-apartheid </w:t>
      </w:r>
      <w:r w:rsidR="00853C0D">
        <w:t>South Africa</w:t>
      </w:r>
      <w:r w:rsidR="00293310">
        <w:t xml:space="preserve">. </w:t>
      </w:r>
      <w:r w:rsidR="002A6752">
        <w:t xml:space="preserve">While this isn’t actually </w:t>
      </w:r>
      <w:r w:rsidR="00302923">
        <w:t xml:space="preserve">a story </w:t>
      </w:r>
      <w:r w:rsidR="00441F86">
        <w:t>occurring</w:t>
      </w:r>
      <w:r w:rsidR="00302923">
        <w:t xml:space="preserve"> after colonisation, the story does detail many of the issues that would have been encountered</w:t>
      </w:r>
      <w:r w:rsidR="00F160B6">
        <w:t xml:space="preserve"> in post-colonialism literature</w:t>
      </w:r>
      <w:r w:rsidR="00441F86">
        <w:t>, particularly issues of race and power struggles.</w:t>
      </w:r>
      <w:r w:rsidR="00302923">
        <w:t xml:space="preserve"> </w:t>
      </w:r>
      <w:r w:rsidR="005664FD">
        <w:t xml:space="preserve">Following the </w:t>
      </w:r>
      <w:r w:rsidR="005664FD" w:rsidRPr="007A5F6D">
        <w:t>apartheid, the position of power was shifting</w:t>
      </w:r>
      <w:r w:rsidR="009E544E" w:rsidRPr="007A5F6D">
        <w:t xml:space="preserve">, causing friction between the black and non-black populations. </w:t>
      </w:r>
    </w:p>
    <w:p w:rsidR="00C33470" w:rsidRPr="00C33470" w:rsidRDefault="009E544E" w:rsidP="009775CB">
      <w:pPr>
        <w:pStyle w:val="NoSpacing"/>
        <w:ind w:firstLine="142"/>
      </w:pPr>
      <w:r w:rsidRPr="007A5F6D">
        <w:t xml:space="preserve">This is represented in </w:t>
      </w:r>
      <w:r w:rsidRPr="007A5F6D">
        <w:rPr>
          <w:i/>
        </w:rPr>
        <w:t>Disgrace</w:t>
      </w:r>
      <w:r w:rsidRPr="007A5F6D">
        <w:t xml:space="preserve"> in sev</w:t>
      </w:r>
      <w:r w:rsidR="006203E3">
        <w:t xml:space="preserve">eral ways: allegory, symbolism </w:t>
      </w:r>
      <w:r w:rsidR="007A5F6D" w:rsidRPr="007A5F6D">
        <w:t>and intertextuality</w:t>
      </w:r>
      <w:r w:rsidRPr="007A5F6D">
        <w:t>.</w:t>
      </w:r>
      <w:r>
        <w:t xml:space="preserve"> </w:t>
      </w:r>
      <w:r w:rsidR="00F160B6">
        <w:t>For example</w:t>
      </w:r>
      <w:r w:rsidR="007A5F6D">
        <w:t xml:space="preserve">, dogs are </w:t>
      </w:r>
      <w:r w:rsidR="00C33470">
        <w:t>used as symbols</w:t>
      </w:r>
      <w:r w:rsidR="007A5F6D">
        <w:t xml:space="preserve"> </w:t>
      </w:r>
      <w:r w:rsidR="00C33470">
        <w:t xml:space="preserve">to </w:t>
      </w:r>
      <w:r w:rsidR="00615B66">
        <w:t>represent status.</w:t>
      </w:r>
      <w:r w:rsidR="00F22A50">
        <w:t xml:space="preserve"> </w:t>
      </w:r>
      <w:r w:rsidR="00615B66">
        <w:t>T</w:t>
      </w:r>
      <w:r w:rsidR="00F22A50">
        <w:t>hroughout the book David aligns himself more and more with a lowly dog</w:t>
      </w:r>
      <w:r w:rsidR="00615B66">
        <w:t>, thus lowering his status. This is partially due his growing personal disgrace</w:t>
      </w:r>
      <w:r w:rsidR="00F22A50">
        <w:t xml:space="preserve">. </w:t>
      </w:r>
      <w:r w:rsidR="00DD7FA8">
        <w:t>In contrast, Lucy’s black assistant</w:t>
      </w:r>
      <w:r w:rsidR="00615B66">
        <w:t xml:space="preserve"> and neighbour</w:t>
      </w:r>
      <w:r w:rsidR="00DD7FA8">
        <w:t>, Petrus, begins at the lowly position being called “dog-man” (p.63) but ultimately rises in power to a position where he can joke that he is no longer this dog-man (</w:t>
      </w:r>
      <w:r w:rsidR="00650F0F">
        <w:t>p.129</w:t>
      </w:r>
      <w:r w:rsidR="00DD7FA8">
        <w:t xml:space="preserve">). </w:t>
      </w:r>
      <w:r w:rsidR="00650F0F">
        <w:t>This is just one sub</w:t>
      </w:r>
      <w:r w:rsidR="00A75874">
        <w:t xml:space="preserve">tle use of literacy devices used to highlight a </w:t>
      </w:r>
      <w:r w:rsidR="00650F0F">
        <w:t xml:space="preserve">shift in racial power. </w:t>
      </w:r>
    </w:p>
    <w:p w:rsidR="0030725A" w:rsidRDefault="00281B20" w:rsidP="009775CB">
      <w:pPr>
        <w:pStyle w:val="NoSpacing"/>
        <w:ind w:firstLine="142"/>
      </w:pPr>
      <w:r>
        <w:t xml:space="preserve">Another example is conveyed through allegory. </w:t>
      </w:r>
      <w:r w:rsidR="0030725A">
        <w:t>Ash (2012) describes allegory as an effective strategy to convey truths by establishing a fictional situation</w:t>
      </w:r>
      <w:r w:rsidR="003A2F22">
        <w:t xml:space="preserve"> that draws parallels between the reader and the message</w:t>
      </w:r>
      <w:r w:rsidR="0030725A">
        <w:t>.</w:t>
      </w:r>
      <w:r>
        <w:t xml:space="preserve"> </w:t>
      </w:r>
      <w:r w:rsidR="002E0302">
        <w:t xml:space="preserve">While the entire novel is an allegory in itself, subtle allegories occur throughout to highlight the main thesis of the story. </w:t>
      </w:r>
      <w:r>
        <w:t>Here, t</w:t>
      </w:r>
      <w:r w:rsidR="008D482F">
        <w:t xml:space="preserve">he relationship between Melanie and David </w:t>
      </w:r>
      <w:r w:rsidR="00825563">
        <w:t>is one example of a subplot with a</w:t>
      </w:r>
      <w:r w:rsidR="008D482F">
        <w:t xml:space="preserve"> hidden message</w:t>
      </w:r>
      <w:r w:rsidR="00825563">
        <w:t xml:space="preserve">. </w:t>
      </w:r>
      <w:r>
        <w:t>T</w:t>
      </w:r>
      <w:r w:rsidR="00825563">
        <w:t>he university student</w:t>
      </w:r>
      <w:r w:rsidR="00D42806">
        <w:t xml:space="preserve">, Melanie, submits to her superior, David, which is reflective of the </w:t>
      </w:r>
      <w:r w:rsidR="008D3F7C">
        <w:t>relationship between the black and non-black population during the post-apartheid.</w:t>
      </w:r>
      <w:r w:rsidR="0030725A">
        <w:t xml:space="preserve"> </w:t>
      </w:r>
      <w:r w:rsidR="003A2F22">
        <w:t xml:space="preserve">Hereby, portraying racial issues in a less direct manner.  </w:t>
      </w:r>
    </w:p>
    <w:p w:rsidR="00F160B6" w:rsidRDefault="0030725A" w:rsidP="006203E3">
      <w:pPr>
        <w:pStyle w:val="NoSpacing"/>
        <w:ind w:firstLine="142"/>
        <w:rPr>
          <w:color w:val="FFFFFF" w:themeColor="background1"/>
        </w:rPr>
      </w:pPr>
      <w:r>
        <w:t>Together, these assis</w:t>
      </w:r>
      <w:r w:rsidR="009775CB">
        <w:t xml:space="preserve">t to highlight the power struggles </w:t>
      </w:r>
      <w:r w:rsidR="003A2F22">
        <w:t xml:space="preserve">and racial issues associated with the post-apartheid. These touch on many of the issues associated with post-colonialism and shift how the relationship between whites and blacks are observed in the western world. </w:t>
      </w:r>
      <w:r w:rsidR="00F160B6" w:rsidRPr="003A2F22">
        <w:rPr>
          <w:color w:val="FFFFFF" w:themeColor="background1"/>
        </w:rPr>
        <w:fldChar w:fldCharType="begin"/>
      </w:r>
      <w:r w:rsidR="00F160B6" w:rsidRPr="003A2F22">
        <w:rPr>
          <w:color w:val="FFFFFF" w:themeColor="background1"/>
        </w:rPr>
        <w:instrText xml:space="preserve"> ADDIN EN.CITE &lt;EndNote&gt;&lt;Cite&gt;&lt;Author&gt;Ash&lt;/Author&gt;&lt;Year&gt;2012&lt;/Year&gt;&lt;RecNum&gt;292&lt;/RecNum&gt;&lt;DisplayText&gt;(Ash 2012)&lt;/DisplayText&gt;&lt;record&gt;&lt;rec-number&gt;292&lt;/rec-number&gt;&lt;foreign-keys&gt;&lt;key app="EN" db-id="fvaw9vd5rrfez2epavc5exebz02xt0vvvwrs" timestamp="1477115018"&gt;292&lt;/key&gt;&lt;/foreign-keys&gt;&lt;ref-type name="Journal Article"&gt;17&lt;/ref-type&gt;&lt;contributors&gt;&lt;authors&gt;&lt;author&gt;Ash, Gwynne Allen&lt;/author&gt;&lt;/authors&gt;&lt;secondary-authors&gt;&lt;author&gt;Ash, Gwynne&lt;/author&gt;&lt;/secondary-authors&gt;&lt;/contributors&gt;&lt;titles&gt;&lt;title&gt;Talking about Terrible Things The Craft of Allegory in Children&amp;apos;s Literature&lt;/title&gt;&lt;secondary-title&gt;Journal of Children&amp;apos;s Literature&lt;/secondary-title&gt;&lt;/titles&gt;&lt;periodical&gt;&lt;full-title&gt;Journal of Children&amp;apos;s Literature&lt;/full-title&gt;&lt;/periodical&gt;&lt;pages&gt;90-91&lt;/pages&gt;&lt;volume&gt;38&lt;/volume&gt;&lt;number&gt;2&lt;/number&gt;&lt;keywords&gt;&lt;keyword&gt;Children &amp;amp; Youth&lt;/keyword&gt;&lt;keyword&gt;Natural Resources&lt;/keyword&gt;&lt;/keywords&gt;&lt;dates&gt;&lt;year&gt;2012&lt;/year&gt;&lt;/dates&gt;&lt;pub-location&gt;Las Vegas&lt;/pub-location&gt;&lt;isbn&gt;15217779&lt;/isbn&gt;&lt;urls&gt;&lt;/urls&gt;&lt;/record&gt;&lt;/Cite&gt;&lt;/EndNote&gt;</w:instrText>
      </w:r>
      <w:r w:rsidR="00F160B6" w:rsidRPr="003A2F22">
        <w:rPr>
          <w:color w:val="FFFFFF" w:themeColor="background1"/>
        </w:rPr>
        <w:fldChar w:fldCharType="separate"/>
      </w:r>
      <w:r w:rsidR="00F160B6" w:rsidRPr="003A2F22">
        <w:rPr>
          <w:noProof/>
          <w:color w:val="FFFFFF" w:themeColor="background1"/>
        </w:rPr>
        <w:t>(</w:t>
      </w:r>
      <w:hyperlink w:anchor="_ENREF_1" w:tooltip="Ash, 2012 #292" w:history="1">
        <w:r w:rsidR="00F160B6" w:rsidRPr="003A2F22">
          <w:rPr>
            <w:noProof/>
            <w:color w:val="FFFFFF" w:themeColor="background1"/>
          </w:rPr>
          <w:t>Ash 2012</w:t>
        </w:r>
      </w:hyperlink>
      <w:r w:rsidR="00F160B6" w:rsidRPr="003A2F22">
        <w:rPr>
          <w:noProof/>
          <w:color w:val="FFFFFF" w:themeColor="background1"/>
        </w:rPr>
        <w:t>)</w:t>
      </w:r>
      <w:r w:rsidR="00F160B6" w:rsidRPr="003A2F22">
        <w:rPr>
          <w:color w:val="FFFFFF" w:themeColor="background1"/>
        </w:rPr>
        <w:fldChar w:fldCharType="end"/>
      </w:r>
    </w:p>
    <w:p w:rsidR="006203E3" w:rsidRPr="006203E3" w:rsidRDefault="006203E3" w:rsidP="006203E3">
      <w:pPr>
        <w:pStyle w:val="NoSpacing"/>
        <w:ind w:firstLine="142"/>
      </w:pPr>
    </w:p>
    <w:p w:rsidR="00F160B6" w:rsidRPr="00F160B6" w:rsidRDefault="00F160B6" w:rsidP="00F160B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F160B6">
        <w:t xml:space="preserve">Ash, G. A. (2012). "Talking about Terrible Things The Craft of Allegory in Children's Literature." </w:t>
      </w:r>
      <w:r w:rsidRPr="00F160B6">
        <w:rPr>
          <w:u w:val="single"/>
        </w:rPr>
        <w:t>Journal of Children's Literature</w:t>
      </w:r>
      <w:r w:rsidRPr="00F160B6">
        <w:t xml:space="preserve"> </w:t>
      </w:r>
      <w:r w:rsidRPr="00F160B6">
        <w:rPr>
          <w:b/>
        </w:rPr>
        <w:t>38</w:t>
      </w:r>
      <w:r w:rsidRPr="00F160B6">
        <w:t>(2): 90-91.</w:t>
      </w:r>
    </w:p>
    <w:bookmarkEnd w:id="1"/>
    <w:p w:rsidR="00F160B6" w:rsidRPr="00F160B6" w:rsidRDefault="00F160B6" w:rsidP="00F160B6">
      <w:pPr>
        <w:pStyle w:val="EndNoteBibliography"/>
      </w:pPr>
    </w:p>
    <w:p w:rsidR="00825DCF" w:rsidRDefault="00F160B6">
      <w:r>
        <w:lastRenderedPageBreak/>
        <w:fldChar w:fldCharType="end"/>
      </w:r>
      <w:bookmarkEnd w:id="0"/>
    </w:p>
    <w:sectPr w:rsidR="00825DCF" w:rsidSect="00DB4E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5313"/>
    <w:multiLevelType w:val="hybridMultilevel"/>
    <w:tmpl w:val="2ECCD688"/>
    <w:lvl w:ilvl="0" w:tplc="D7DEF9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7193"/>
    <w:multiLevelType w:val="hybridMultilevel"/>
    <w:tmpl w:val="CB226416"/>
    <w:lvl w:ilvl="0" w:tplc="1F10F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907C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C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6C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FE2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0AF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20C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14C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E4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292&lt;/item&gt;&lt;/record-ids&gt;&lt;/item&gt;&lt;/Libraries&gt;"/>
  </w:docVars>
  <w:rsids>
    <w:rsidRoot w:val="00D66B0A"/>
    <w:rsid w:val="0006142D"/>
    <w:rsid w:val="000C1268"/>
    <w:rsid w:val="00272A96"/>
    <w:rsid w:val="00281B20"/>
    <w:rsid w:val="00293310"/>
    <w:rsid w:val="002A6752"/>
    <w:rsid w:val="002E0302"/>
    <w:rsid w:val="00302923"/>
    <w:rsid w:val="0030725A"/>
    <w:rsid w:val="00311150"/>
    <w:rsid w:val="0031281D"/>
    <w:rsid w:val="003169A8"/>
    <w:rsid w:val="00387F00"/>
    <w:rsid w:val="003A2F22"/>
    <w:rsid w:val="003B2B12"/>
    <w:rsid w:val="00441F86"/>
    <w:rsid w:val="004A1E5A"/>
    <w:rsid w:val="00543D1E"/>
    <w:rsid w:val="005664FD"/>
    <w:rsid w:val="005E3CC9"/>
    <w:rsid w:val="00615B66"/>
    <w:rsid w:val="006203E3"/>
    <w:rsid w:val="0064495C"/>
    <w:rsid w:val="00650F0F"/>
    <w:rsid w:val="00763C85"/>
    <w:rsid w:val="007A5F6D"/>
    <w:rsid w:val="00825563"/>
    <w:rsid w:val="00825DCF"/>
    <w:rsid w:val="00846C64"/>
    <w:rsid w:val="00853C0D"/>
    <w:rsid w:val="00887F77"/>
    <w:rsid w:val="008D3F7C"/>
    <w:rsid w:val="008D482F"/>
    <w:rsid w:val="008D7F1D"/>
    <w:rsid w:val="009775CB"/>
    <w:rsid w:val="009E544E"/>
    <w:rsid w:val="00A75874"/>
    <w:rsid w:val="00AB1980"/>
    <w:rsid w:val="00AB4A06"/>
    <w:rsid w:val="00C33470"/>
    <w:rsid w:val="00C40813"/>
    <w:rsid w:val="00C7439D"/>
    <w:rsid w:val="00C96D18"/>
    <w:rsid w:val="00CD58A3"/>
    <w:rsid w:val="00CF22BD"/>
    <w:rsid w:val="00D42806"/>
    <w:rsid w:val="00D66B0A"/>
    <w:rsid w:val="00D67266"/>
    <w:rsid w:val="00DD7FA8"/>
    <w:rsid w:val="00E522CE"/>
    <w:rsid w:val="00EC3EAC"/>
    <w:rsid w:val="00F0571E"/>
    <w:rsid w:val="00F160B6"/>
    <w:rsid w:val="00F22A50"/>
    <w:rsid w:val="00F24EA7"/>
    <w:rsid w:val="00F51879"/>
    <w:rsid w:val="00F9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C4454-D7BF-45DD-BBF3-9BD9A504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F24EA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F0571E"/>
  </w:style>
  <w:style w:type="paragraph" w:styleId="Quote">
    <w:name w:val="Quote"/>
    <w:basedOn w:val="Normal"/>
    <w:next w:val="Normal"/>
    <w:link w:val="QuoteChar"/>
    <w:uiPriority w:val="29"/>
    <w:qFormat/>
    <w:rsid w:val="00C334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470"/>
    <w:rPr>
      <w:i/>
      <w:iCs/>
      <w:color w:val="404040" w:themeColor="text1" w:themeTint="BF"/>
    </w:rPr>
  </w:style>
  <w:style w:type="paragraph" w:customStyle="1" w:styleId="EndNoteBibliographyTitle">
    <w:name w:val="EndNote Bibliography Title"/>
    <w:basedOn w:val="Normal"/>
    <w:link w:val="EndNoteBibliographyTitleChar"/>
    <w:rsid w:val="00F160B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160B6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160B6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160B6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F160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19</cp:revision>
  <dcterms:created xsi:type="dcterms:W3CDTF">2016-10-13T00:38:00Z</dcterms:created>
  <dcterms:modified xsi:type="dcterms:W3CDTF">2016-10-22T06:24:00Z</dcterms:modified>
</cp:coreProperties>
</file>