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46607" w14:textId="77777777" w:rsidR="00CD4383" w:rsidRPr="00DF1D1C" w:rsidRDefault="00CD4383" w:rsidP="00257641">
      <w:pPr>
        <w:pStyle w:val="Title"/>
        <w:tabs>
          <w:tab w:val="left" w:pos="360"/>
          <w:tab w:val="left" w:pos="720"/>
        </w:tabs>
        <w:rPr>
          <w:b/>
        </w:rPr>
      </w:pPr>
    </w:p>
    <w:p w14:paraId="5741A0CE" w14:textId="77777777" w:rsidR="00CD4383" w:rsidRPr="00DF1D1C" w:rsidRDefault="00CD4383" w:rsidP="00257641">
      <w:pPr>
        <w:pStyle w:val="Title"/>
        <w:tabs>
          <w:tab w:val="left" w:pos="360"/>
          <w:tab w:val="left" w:pos="720"/>
        </w:tabs>
        <w:rPr>
          <w:b/>
        </w:rPr>
      </w:pPr>
    </w:p>
    <w:p w14:paraId="0BC2E1BF" w14:textId="77777777" w:rsidR="00CD4383" w:rsidRPr="00DF1D1C" w:rsidRDefault="00CD4383" w:rsidP="00257641">
      <w:pPr>
        <w:pStyle w:val="Title"/>
        <w:tabs>
          <w:tab w:val="left" w:pos="360"/>
          <w:tab w:val="left" w:pos="720"/>
        </w:tabs>
        <w:rPr>
          <w:b/>
        </w:rPr>
      </w:pPr>
    </w:p>
    <w:p w14:paraId="4E5B06DF" w14:textId="77777777" w:rsidR="00CD4383" w:rsidRPr="00DF1D1C" w:rsidRDefault="00CD4383" w:rsidP="00257641">
      <w:pPr>
        <w:pStyle w:val="Title"/>
        <w:tabs>
          <w:tab w:val="left" w:pos="360"/>
          <w:tab w:val="left" w:pos="720"/>
        </w:tabs>
        <w:rPr>
          <w:b/>
        </w:rPr>
      </w:pPr>
    </w:p>
    <w:p w14:paraId="1523727B" w14:textId="77777777" w:rsidR="00CD4383" w:rsidRPr="00DF1D1C" w:rsidRDefault="00CD4383" w:rsidP="00257641">
      <w:pPr>
        <w:pBdr>
          <w:top w:val="single" w:sz="4" w:space="0" w:color="auto"/>
          <w:left w:val="single" w:sz="4" w:space="4" w:color="auto"/>
          <w:bottom w:val="single" w:sz="4" w:space="1" w:color="auto"/>
          <w:right w:val="single" w:sz="4" w:space="4" w:color="auto"/>
        </w:pBdr>
        <w:tabs>
          <w:tab w:val="left" w:pos="0"/>
          <w:tab w:val="left" w:pos="360"/>
          <w:tab w:val="left" w:pos="720"/>
          <w:tab w:val="right" w:pos="6797"/>
        </w:tabs>
        <w:jc w:val="center"/>
        <w:rPr>
          <w:b/>
          <w:noProof w:val="0"/>
          <w:sz w:val="26"/>
        </w:rPr>
      </w:pPr>
    </w:p>
    <w:p w14:paraId="0BEB8784" w14:textId="77777777" w:rsidR="00CD4383" w:rsidRPr="00DF1D1C" w:rsidRDefault="00CD4383" w:rsidP="00257641">
      <w:pPr>
        <w:pBdr>
          <w:top w:val="single" w:sz="4" w:space="0" w:color="auto"/>
          <w:left w:val="single" w:sz="4" w:space="4" w:color="auto"/>
          <w:bottom w:val="single" w:sz="4" w:space="1" w:color="auto"/>
          <w:right w:val="single" w:sz="4" w:space="4" w:color="auto"/>
        </w:pBdr>
        <w:tabs>
          <w:tab w:val="left" w:pos="0"/>
          <w:tab w:val="left" w:pos="360"/>
          <w:tab w:val="left" w:pos="720"/>
          <w:tab w:val="right" w:pos="6797"/>
        </w:tabs>
        <w:jc w:val="center"/>
        <w:rPr>
          <w:b/>
          <w:noProof w:val="0"/>
          <w:sz w:val="26"/>
        </w:rPr>
      </w:pPr>
    </w:p>
    <w:p w14:paraId="65BA9A95" w14:textId="6CB283A8" w:rsidR="00D37D99" w:rsidRPr="0099775D" w:rsidRDefault="004A2F88" w:rsidP="00257641">
      <w:pPr>
        <w:pBdr>
          <w:top w:val="single" w:sz="4" w:space="0" w:color="auto"/>
          <w:left w:val="single" w:sz="4" w:space="4" w:color="auto"/>
          <w:bottom w:val="single" w:sz="4" w:space="1" w:color="auto"/>
          <w:right w:val="single" w:sz="4" w:space="4" w:color="auto"/>
        </w:pBdr>
        <w:tabs>
          <w:tab w:val="left" w:pos="0"/>
          <w:tab w:val="left" w:pos="360"/>
          <w:tab w:val="left" w:pos="720"/>
          <w:tab w:val="right" w:pos="6797"/>
        </w:tabs>
        <w:jc w:val="center"/>
        <w:rPr>
          <w:b/>
          <w:noProof w:val="0"/>
          <w:sz w:val="28"/>
          <w:szCs w:val="28"/>
        </w:rPr>
      </w:pPr>
      <w:r w:rsidRPr="0099775D">
        <w:rPr>
          <w:b/>
          <w:noProof w:val="0"/>
          <w:sz w:val="28"/>
          <w:szCs w:val="28"/>
        </w:rPr>
        <w:t>STATE FISCAL YEAR 20</w:t>
      </w:r>
      <w:r w:rsidR="00EB2D8E">
        <w:rPr>
          <w:b/>
          <w:noProof w:val="0"/>
          <w:sz w:val="28"/>
          <w:szCs w:val="28"/>
        </w:rPr>
        <w:t>20</w:t>
      </w:r>
    </w:p>
    <w:p w14:paraId="42C938D8" w14:textId="501DE39A" w:rsidR="00CD4383" w:rsidRPr="0099775D" w:rsidRDefault="00BD1C99" w:rsidP="00257641">
      <w:pPr>
        <w:pBdr>
          <w:top w:val="single" w:sz="4" w:space="0" w:color="auto"/>
          <w:left w:val="single" w:sz="4" w:space="4" w:color="auto"/>
          <w:bottom w:val="single" w:sz="4" w:space="1" w:color="auto"/>
          <w:right w:val="single" w:sz="4" w:space="4" w:color="auto"/>
        </w:pBdr>
        <w:tabs>
          <w:tab w:val="left" w:pos="0"/>
          <w:tab w:val="left" w:pos="360"/>
          <w:tab w:val="left" w:pos="720"/>
          <w:tab w:val="right" w:pos="6797"/>
        </w:tabs>
        <w:jc w:val="center"/>
        <w:rPr>
          <w:b/>
          <w:noProof w:val="0"/>
          <w:sz w:val="28"/>
          <w:szCs w:val="28"/>
        </w:rPr>
      </w:pPr>
      <w:r w:rsidRPr="0099775D">
        <w:rPr>
          <w:b/>
          <w:noProof w:val="0"/>
          <w:sz w:val="28"/>
          <w:szCs w:val="28"/>
        </w:rPr>
        <w:t xml:space="preserve">MODEL </w:t>
      </w:r>
      <w:r w:rsidR="00CD4383" w:rsidRPr="0099775D">
        <w:rPr>
          <w:b/>
          <w:noProof w:val="0"/>
          <w:sz w:val="28"/>
          <w:szCs w:val="28"/>
        </w:rPr>
        <w:t xml:space="preserve">PURCHASE OF SERVICE </w:t>
      </w:r>
      <w:r w:rsidR="00E11FAB" w:rsidRPr="0099775D">
        <w:rPr>
          <w:b/>
          <w:noProof w:val="0"/>
          <w:sz w:val="28"/>
          <w:szCs w:val="28"/>
        </w:rPr>
        <w:t>PROVIDER AGREEMENT</w:t>
      </w:r>
    </w:p>
    <w:p w14:paraId="3C9693D4" w14:textId="77777777" w:rsidR="00CD4383" w:rsidRPr="0099775D" w:rsidRDefault="00CD4383" w:rsidP="00257641">
      <w:pPr>
        <w:pStyle w:val="Title"/>
        <w:pBdr>
          <w:top w:val="single" w:sz="4" w:space="0" w:color="auto"/>
          <w:left w:val="single" w:sz="4" w:space="4" w:color="auto"/>
          <w:bottom w:val="single" w:sz="4" w:space="1" w:color="auto"/>
          <w:right w:val="single" w:sz="4" w:space="4" w:color="auto"/>
        </w:pBdr>
        <w:tabs>
          <w:tab w:val="left" w:pos="360"/>
          <w:tab w:val="left" w:pos="720"/>
        </w:tabs>
        <w:rPr>
          <w:b/>
          <w:sz w:val="28"/>
          <w:szCs w:val="28"/>
        </w:rPr>
      </w:pPr>
    </w:p>
    <w:p w14:paraId="77B2124A" w14:textId="77777777" w:rsidR="00CD4383" w:rsidRPr="0099775D" w:rsidRDefault="00CD4383" w:rsidP="00257641">
      <w:pPr>
        <w:pStyle w:val="Title"/>
        <w:pBdr>
          <w:top w:val="single" w:sz="4" w:space="0" w:color="auto"/>
          <w:left w:val="single" w:sz="4" w:space="4" w:color="auto"/>
          <w:bottom w:val="single" w:sz="4" w:space="1" w:color="auto"/>
          <w:right w:val="single" w:sz="4" w:space="4" w:color="auto"/>
        </w:pBdr>
        <w:tabs>
          <w:tab w:val="left" w:pos="360"/>
          <w:tab w:val="left" w:pos="720"/>
        </w:tabs>
        <w:rPr>
          <w:b/>
          <w:sz w:val="28"/>
          <w:szCs w:val="28"/>
        </w:rPr>
      </w:pPr>
      <w:r w:rsidRPr="0099775D">
        <w:rPr>
          <w:b/>
          <w:sz w:val="28"/>
          <w:szCs w:val="28"/>
        </w:rPr>
        <w:t>BET</w:t>
      </w:r>
      <w:bookmarkStart w:id="0" w:name="_GoBack"/>
      <w:bookmarkEnd w:id="0"/>
      <w:r w:rsidRPr="0099775D">
        <w:rPr>
          <w:b/>
          <w:sz w:val="28"/>
          <w:szCs w:val="28"/>
        </w:rPr>
        <w:t>WEEN</w:t>
      </w:r>
    </w:p>
    <w:p w14:paraId="05749EC4" w14:textId="77777777" w:rsidR="00CD4383" w:rsidRPr="0099775D" w:rsidRDefault="00CD4383" w:rsidP="00257641">
      <w:pPr>
        <w:pStyle w:val="Title"/>
        <w:pBdr>
          <w:top w:val="single" w:sz="4" w:space="0" w:color="auto"/>
          <w:left w:val="single" w:sz="4" w:space="4" w:color="auto"/>
          <w:bottom w:val="single" w:sz="4" w:space="1" w:color="auto"/>
          <w:right w:val="single" w:sz="4" w:space="4" w:color="auto"/>
        </w:pBdr>
        <w:tabs>
          <w:tab w:val="left" w:pos="360"/>
          <w:tab w:val="left" w:pos="720"/>
        </w:tabs>
        <w:rPr>
          <w:b/>
          <w:sz w:val="28"/>
          <w:szCs w:val="28"/>
        </w:rPr>
      </w:pPr>
    </w:p>
    <w:p w14:paraId="65FB7EAC" w14:textId="77777777" w:rsidR="00CD4383" w:rsidRPr="0099775D" w:rsidRDefault="00CD4383" w:rsidP="00257641">
      <w:pPr>
        <w:pStyle w:val="Title"/>
        <w:pBdr>
          <w:top w:val="single" w:sz="4" w:space="0" w:color="auto"/>
          <w:left w:val="single" w:sz="4" w:space="4" w:color="auto"/>
          <w:bottom w:val="single" w:sz="4" w:space="1" w:color="auto"/>
          <w:right w:val="single" w:sz="4" w:space="4" w:color="auto"/>
        </w:pBdr>
        <w:tabs>
          <w:tab w:val="left" w:pos="360"/>
          <w:tab w:val="left" w:pos="720"/>
        </w:tabs>
        <w:rPr>
          <w:b/>
          <w:sz w:val="28"/>
          <w:szCs w:val="28"/>
        </w:rPr>
      </w:pPr>
      <w:r w:rsidRPr="0099775D">
        <w:rPr>
          <w:b/>
          <w:sz w:val="28"/>
          <w:szCs w:val="28"/>
        </w:rPr>
        <w:t>STATE OF WEST VIRGINIA</w:t>
      </w:r>
    </w:p>
    <w:p w14:paraId="7C377289" w14:textId="77777777" w:rsidR="00CD4383" w:rsidRPr="0099775D" w:rsidRDefault="00CD4383" w:rsidP="00257641">
      <w:pPr>
        <w:pStyle w:val="Subtitle"/>
        <w:pBdr>
          <w:top w:val="single" w:sz="4" w:space="0" w:color="auto"/>
          <w:left w:val="single" w:sz="4" w:space="4" w:color="auto"/>
          <w:bottom w:val="single" w:sz="4" w:space="1" w:color="auto"/>
          <w:right w:val="single" w:sz="4" w:space="4" w:color="auto"/>
        </w:pBdr>
        <w:tabs>
          <w:tab w:val="left" w:pos="360"/>
          <w:tab w:val="left" w:pos="720"/>
        </w:tabs>
        <w:rPr>
          <w:sz w:val="28"/>
          <w:szCs w:val="28"/>
        </w:rPr>
      </w:pPr>
      <w:r w:rsidRPr="0099775D">
        <w:rPr>
          <w:sz w:val="28"/>
          <w:szCs w:val="28"/>
        </w:rPr>
        <w:t>DEPARTMENT OF HEALTH AND HUMAN RESOURCES</w:t>
      </w:r>
    </w:p>
    <w:p w14:paraId="06A45266" w14:textId="77777777" w:rsidR="00D854A7" w:rsidRDefault="00CD4383" w:rsidP="00257641">
      <w:pPr>
        <w:pStyle w:val="Title"/>
        <w:pBdr>
          <w:top w:val="single" w:sz="4" w:space="0" w:color="auto"/>
          <w:left w:val="single" w:sz="4" w:space="4" w:color="auto"/>
          <w:bottom w:val="single" w:sz="4" w:space="1" w:color="auto"/>
          <w:right w:val="single" w:sz="4" w:space="4" w:color="auto"/>
        </w:pBdr>
        <w:tabs>
          <w:tab w:val="left" w:pos="360"/>
          <w:tab w:val="left" w:pos="720"/>
        </w:tabs>
        <w:rPr>
          <w:b/>
          <w:sz w:val="28"/>
          <w:szCs w:val="28"/>
        </w:rPr>
      </w:pPr>
      <w:r w:rsidRPr="0099775D">
        <w:rPr>
          <w:b/>
          <w:sz w:val="28"/>
          <w:szCs w:val="28"/>
        </w:rPr>
        <w:t>BUREAU FOR MEDICAL SERVICES</w:t>
      </w:r>
    </w:p>
    <w:p w14:paraId="7631DABE" w14:textId="5105C3CB" w:rsidR="00CD4383" w:rsidRPr="0099775D" w:rsidRDefault="00D854A7" w:rsidP="00257641">
      <w:pPr>
        <w:pStyle w:val="Title"/>
        <w:pBdr>
          <w:top w:val="single" w:sz="4" w:space="0" w:color="auto"/>
          <w:left w:val="single" w:sz="4" w:space="4" w:color="auto"/>
          <w:bottom w:val="single" w:sz="4" w:space="1" w:color="auto"/>
          <w:right w:val="single" w:sz="4" w:space="4" w:color="auto"/>
        </w:pBdr>
        <w:tabs>
          <w:tab w:val="left" w:pos="360"/>
          <w:tab w:val="left" w:pos="720"/>
        </w:tabs>
        <w:rPr>
          <w:b/>
          <w:sz w:val="28"/>
          <w:szCs w:val="28"/>
        </w:rPr>
      </w:pPr>
      <w:r>
        <w:rPr>
          <w:b/>
          <w:sz w:val="28"/>
          <w:szCs w:val="28"/>
        </w:rPr>
        <w:t>BUREAU FOR CHILDREN AND FAMILIES</w:t>
      </w:r>
    </w:p>
    <w:p w14:paraId="71A1974B" w14:textId="77777777" w:rsidR="00CD4383" w:rsidRPr="0099775D" w:rsidRDefault="00CD4383" w:rsidP="00257641">
      <w:pPr>
        <w:pStyle w:val="Title"/>
        <w:pBdr>
          <w:top w:val="single" w:sz="4" w:space="0" w:color="auto"/>
          <w:left w:val="single" w:sz="4" w:space="4" w:color="auto"/>
          <w:bottom w:val="single" w:sz="4" w:space="1" w:color="auto"/>
          <w:right w:val="single" w:sz="4" w:space="4" w:color="auto"/>
        </w:pBdr>
        <w:tabs>
          <w:tab w:val="left" w:pos="360"/>
          <w:tab w:val="left" w:pos="720"/>
        </w:tabs>
        <w:rPr>
          <w:b/>
          <w:sz w:val="28"/>
          <w:szCs w:val="28"/>
        </w:rPr>
      </w:pPr>
    </w:p>
    <w:p w14:paraId="5F360437" w14:textId="77777777" w:rsidR="00CD4383" w:rsidRPr="0099775D" w:rsidRDefault="00CD4383" w:rsidP="00257641">
      <w:pPr>
        <w:pStyle w:val="Title"/>
        <w:pBdr>
          <w:top w:val="single" w:sz="4" w:space="0" w:color="auto"/>
          <w:left w:val="single" w:sz="4" w:space="4" w:color="auto"/>
          <w:bottom w:val="single" w:sz="4" w:space="1" w:color="auto"/>
          <w:right w:val="single" w:sz="4" w:space="4" w:color="auto"/>
        </w:pBdr>
        <w:tabs>
          <w:tab w:val="left" w:pos="360"/>
          <w:tab w:val="left" w:pos="720"/>
        </w:tabs>
        <w:rPr>
          <w:b/>
          <w:sz w:val="28"/>
          <w:szCs w:val="28"/>
        </w:rPr>
      </w:pPr>
      <w:r w:rsidRPr="0099775D">
        <w:rPr>
          <w:b/>
          <w:sz w:val="28"/>
          <w:szCs w:val="28"/>
        </w:rPr>
        <w:t>AND</w:t>
      </w:r>
    </w:p>
    <w:p w14:paraId="364CA871" w14:textId="77777777" w:rsidR="00CD4383" w:rsidRPr="0099775D" w:rsidRDefault="00CD4383" w:rsidP="00257641">
      <w:pPr>
        <w:pStyle w:val="Title"/>
        <w:pBdr>
          <w:top w:val="single" w:sz="4" w:space="0" w:color="auto"/>
          <w:left w:val="single" w:sz="4" w:space="4" w:color="auto"/>
          <w:bottom w:val="single" w:sz="4" w:space="1" w:color="auto"/>
          <w:right w:val="single" w:sz="4" w:space="4" w:color="auto"/>
        </w:pBdr>
        <w:tabs>
          <w:tab w:val="left" w:pos="360"/>
          <w:tab w:val="left" w:pos="720"/>
        </w:tabs>
        <w:rPr>
          <w:b/>
          <w:sz w:val="28"/>
          <w:szCs w:val="28"/>
        </w:rPr>
      </w:pPr>
    </w:p>
    <w:p w14:paraId="35E6D78F" w14:textId="02D0140F" w:rsidR="00D05E2C" w:rsidRPr="0099775D" w:rsidRDefault="00BD1C99" w:rsidP="00257641">
      <w:pPr>
        <w:pStyle w:val="Title"/>
        <w:pBdr>
          <w:top w:val="single" w:sz="4" w:space="0" w:color="auto"/>
          <w:left w:val="single" w:sz="4" w:space="4" w:color="auto"/>
          <w:bottom w:val="single" w:sz="4" w:space="1" w:color="auto"/>
          <w:right w:val="single" w:sz="4" w:space="4" w:color="auto"/>
        </w:pBdr>
        <w:tabs>
          <w:tab w:val="left" w:pos="360"/>
          <w:tab w:val="left" w:pos="720"/>
        </w:tabs>
        <w:rPr>
          <w:b/>
          <w:sz w:val="28"/>
          <w:szCs w:val="28"/>
        </w:rPr>
      </w:pPr>
      <w:r w:rsidRPr="0099775D">
        <w:rPr>
          <w:b/>
          <w:sz w:val="28"/>
          <w:szCs w:val="28"/>
        </w:rPr>
        <w:t>(</w:t>
      </w:r>
      <w:r w:rsidR="001D0428" w:rsidRPr="0099775D">
        <w:rPr>
          <w:b/>
          <w:sz w:val="28"/>
          <w:szCs w:val="28"/>
        </w:rPr>
        <w:t>MANAGED CARE ORGANIZATION</w:t>
      </w:r>
      <w:r w:rsidRPr="0099775D">
        <w:rPr>
          <w:b/>
          <w:sz w:val="28"/>
          <w:szCs w:val="28"/>
        </w:rPr>
        <w:t>)</w:t>
      </w:r>
      <w:r w:rsidR="00EB1791" w:rsidRPr="0099775D">
        <w:rPr>
          <w:b/>
          <w:sz w:val="28"/>
          <w:szCs w:val="28"/>
        </w:rPr>
        <w:t xml:space="preserve"> </w:t>
      </w:r>
    </w:p>
    <w:p w14:paraId="73E860FD" w14:textId="77777777" w:rsidR="00CA5ACA" w:rsidRPr="0099775D" w:rsidRDefault="00CA5ACA" w:rsidP="00257641">
      <w:pPr>
        <w:pStyle w:val="Title"/>
        <w:pBdr>
          <w:top w:val="single" w:sz="4" w:space="0" w:color="auto"/>
          <w:left w:val="single" w:sz="4" w:space="4" w:color="auto"/>
          <w:bottom w:val="single" w:sz="4" w:space="1" w:color="auto"/>
          <w:right w:val="single" w:sz="4" w:space="4" w:color="auto"/>
        </w:pBdr>
        <w:tabs>
          <w:tab w:val="left" w:pos="360"/>
          <w:tab w:val="left" w:pos="720"/>
        </w:tabs>
        <w:rPr>
          <w:b/>
          <w:sz w:val="28"/>
          <w:szCs w:val="28"/>
        </w:rPr>
      </w:pPr>
    </w:p>
    <w:p w14:paraId="34DDB429" w14:textId="77777777" w:rsidR="00CD4383" w:rsidRPr="00DF1D1C" w:rsidRDefault="00CD4383" w:rsidP="00257641">
      <w:pPr>
        <w:pStyle w:val="Title"/>
        <w:pBdr>
          <w:top w:val="single" w:sz="4" w:space="0" w:color="auto"/>
          <w:left w:val="single" w:sz="4" w:space="4" w:color="auto"/>
          <w:bottom w:val="single" w:sz="4" w:space="1" w:color="auto"/>
          <w:right w:val="single" w:sz="4" w:space="4" w:color="auto"/>
        </w:pBdr>
        <w:tabs>
          <w:tab w:val="left" w:pos="360"/>
          <w:tab w:val="left" w:pos="720"/>
        </w:tabs>
        <w:rPr>
          <w:b/>
        </w:rPr>
      </w:pPr>
    </w:p>
    <w:p w14:paraId="1C0A7901" w14:textId="77777777" w:rsidR="00CD4383" w:rsidRPr="00DF1D1C" w:rsidRDefault="00CD4383" w:rsidP="00257641">
      <w:pPr>
        <w:pStyle w:val="Title"/>
        <w:tabs>
          <w:tab w:val="left" w:pos="360"/>
          <w:tab w:val="left" w:pos="720"/>
        </w:tabs>
        <w:rPr>
          <w:b/>
        </w:rPr>
      </w:pPr>
    </w:p>
    <w:p w14:paraId="58D0EDA3" w14:textId="77777777" w:rsidR="00CD4383" w:rsidRPr="00DF1D1C" w:rsidRDefault="00CD4383" w:rsidP="00257641">
      <w:pPr>
        <w:pStyle w:val="Title"/>
        <w:tabs>
          <w:tab w:val="left" w:pos="360"/>
          <w:tab w:val="left" w:pos="720"/>
        </w:tabs>
        <w:rPr>
          <w:b/>
          <w:i/>
        </w:rPr>
        <w:sectPr w:rsidR="00CD4383" w:rsidRPr="00DF1D1C" w:rsidSect="00154FEE">
          <w:headerReference w:type="default" r:id="rId12"/>
          <w:footerReference w:type="even" r:id="rId13"/>
          <w:footerReference w:type="first" r:id="rId14"/>
          <w:type w:val="continuous"/>
          <w:pgSz w:w="12240" w:h="15840" w:code="1"/>
          <w:pgMar w:top="1440" w:right="1440" w:bottom="1440" w:left="1440" w:header="720" w:footer="720" w:gutter="0"/>
          <w:pgNumType w:fmt="lowerRoman" w:start="1"/>
          <w:cols w:space="720"/>
        </w:sectPr>
      </w:pPr>
    </w:p>
    <w:p w14:paraId="62395902" w14:textId="77777777" w:rsidR="00CD4383" w:rsidRPr="0099775D" w:rsidRDefault="00CD4383" w:rsidP="00257641">
      <w:pPr>
        <w:pStyle w:val="Title"/>
        <w:tabs>
          <w:tab w:val="left" w:pos="360"/>
          <w:tab w:val="left" w:pos="720"/>
        </w:tabs>
        <w:rPr>
          <w:b/>
        </w:rPr>
      </w:pPr>
      <w:r w:rsidRPr="0099775D">
        <w:rPr>
          <w:b/>
        </w:rPr>
        <w:lastRenderedPageBreak/>
        <w:t>STATE OF WEST VIRGINIA</w:t>
      </w:r>
    </w:p>
    <w:p w14:paraId="4D1896EA" w14:textId="77777777" w:rsidR="00CD4383" w:rsidRPr="0099775D" w:rsidRDefault="00CD4383" w:rsidP="00257641">
      <w:pPr>
        <w:pStyle w:val="Subtitle"/>
        <w:tabs>
          <w:tab w:val="left" w:pos="360"/>
          <w:tab w:val="left" w:pos="720"/>
        </w:tabs>
      </w:pPr>
      <w:r w:rsidRPr="0099775D">
        <w:t>DEPARTMENT OF HEALTH AND HUMAN RESOURCES</w:t>
      </w:r>
    </w:p>
    <w:p w14:paraId="43626C25" w14:textId="77777777" w:rsidR="00CD4383" w:rsidRPr="0099775D" w:rsidRDefault="00CD4383" w:rsidP="00257641">
      <w:pPr>
        <w:tabs>
          <w:tab w:val="left" w:pos="0"/>
          <w:tab w:val="left" w:pos="360"/>
          <w:tab w:val="left" w:pos="720"/>
          <w:tab w:val="right" w:pos="6797"/>
        </w:tabs>
        <w:jc w:val="center"/>
        <w:rPr>
          <w:b/>
          <w:noProof w:val="0"/>
          <w:sz w:val="26"/>
        </w:rPr>
      </w:pPr>
      <w:r w:rsidRPr="0099775D">
        <w:rPr>
          <w:b/>
          <w:noProof w:val="0"/>
          <w:sz w:val="26"/>
        </w:rPr>
        <w:t xml:space="preserve">PURCHASE OF SERVICE </w:t>
      </w:r>
      <w:r w:rsidR="00E11FAB" w:rsidRPr="0099775D">
        <w:rPr>
          <w:b/>
          <w:noProof w:val="0"/>
          <w:sz w:val="26"/>
        </w:rPr>
        <w:t>PROVIDER AGREEMENT</w:t>
      </w:r>
    </w:p>
    <w:p w14:paraId="31DB98D1" w14:textId="77777777" w:rsidR="009A0060" w:rsidRPr="00DF1D1C" w:rsidRDefault="009A0060" w:rsidP="00257641">
      <w:pPr>
        <w:pStyle w:val="Title"/>
        <w:tabs>
          <w:tab w:val="left" w:pos="360"/>
          <w:tab w:val="left" w:pos="720"/>
        </w:tabs>
        <w:rPr>
          <w:b/>
        </w:rPr>
      </w:pPr>
    </w:p>
    <w:p w14:paraId="50824771" w14:textId="77777777" w:rsidR="00CD4383" w:rsidRPr="00637769" w:rsidRDefault="009A0060" w:rsidP="00257641">
      <w:pPr>
        <w:pStyle w:val="Title"/>
        <w:tabs>
          <w:tab w:val="left" w:pos="360"/>
          <w:tab w:val="left" w:pos="720"/>
        </w:tabs>
        <w:rPr>
          <w:b/>
          <w:sz w:val="28"/>
          <w:szCs w:val="28"/>
        </w:rPr>
      </w:pPr>
      <w:r w:rsidRPr="00637769">
        <w:rPr>
          <w:b/>
          <w:sz w:val="28"/>
          <w:szCs w:val="28"/>
        </w:rPr>
        <w:t>Table of Contents</w:t>
      </w:r>
    </w:p>
    <w:p w14:paraId="4EB3F16D" w14:textId="5ECE4AF8" w:rsidR="00613ED8" w:rsidRDefault="001C500D">
      <w:pPr>
        <w:pStyle w:val="TOC1"/>
        <w:rPr>
          <w:rFonts w:asciiTheme="minorHAnsi" w:eastAsiaTheme="minorEastAsia" w:hAnsiTheme="minorHAnsi" w:cstheme="minorBidi"/>
          <w:b w:val="0"/>
          <w:caps w:val="0"/>
          <w:sz w:val="22"/>
          <w:szCs w:val="22"/>
        </w:rPr>
      </w:pPr>
      <w:r>
        <w:rPr>
          <w:sz w:val="20"/>
        </w:rPr>
        <w:fldChar w:fldCharType="begin"/>
      </w:r>
      <w:r>
        <w:rPr>
          <w:sz w:val="20"/>
        </w:rPr>
        <w:instrText xml:space="preserve"> TOC \t "Heading 1,1,Heading 2,2,Heading 3,3" </w:instrText>
      </w:r>
      <w:r>
        <w:rPr>
          <w:sz w:val="20"/>
        </w:rPr>
        <w:fldChar w:fldCharType="separate"/>
      </w:r>
      <w:r w:rsidR="00613ED8">
        <w:t>ARTICLE I: STANDARD WEST VIRGINIA TERMS</w:t>
      </w:r>
      <w:r w:rsidR="00613ED8">
        <w:tab/>
      </w:r>
      <w:r w:rsidR="00613ED8">
        <w:fldChar w:fldCharType="begin"/>
      </w:r>
      <w:r w:rsidR="00613ED8">
        <w:instrText xml:space="preserve"> PAGEREF _Toc8128932 \h </w:instrText>
      </w:r>
      <w:r w:rsidR="00613ED8">
        <w:fldChar w:fldCharType="separate"/>
      </w:r>
      <w:r w:rsidR="00613ED8">
        <w:t>1</w:t>
      </w:r>
      <w:r w:rsidR="00613ED8">
        <w:fldChar w:fldCharType="end"/>
      </w:r>
    </w:p>
    <w:p w14:paraId="6841D16A" w14:textId="77777777" w:rsidR="00613ED8" w:rsidRDefault="00613ED8">
      <w:pPr>
        <w:pStyle w:val="TOC2"/>
        <w:rPr>
          <w:rFonts w:asciiTheme="minorHAnsi" w:eastAsiaTheme="minorEastAsia" w:hAnsiTheme="minorHAnsi" w:cstheme="minorBidi"/>
          <w:smallCaps w:val="0"/>
          <w:sz w:val="22"/>
          <w:szCs w:val="22"/>
        </w:rPr>
      </w:pPr>
      <w:r>
        <w:t>1. GENERAL TERMS AND CONDITIONS</w:t>
      </w:r>
      <w:r>
        <w:tab/>
      </w:r>
      <w:r>
        <w:fldChar w:fldCharType="begin"/>
      </w:r>
      <w:r>
        <w:instrText xml:space="preserve"> PAGEREF _Toc8128933 \h </w:instrText>
      </w:r>
      <w:r>
        <w:fldChar w:fldCharType="separate"/>
      </w:r>
      <w:r>
        <w:t>1</w:t>
      </w:r>
      <w:r>
        <w:fldChar w:fldCharType="end"/>
      </w:r>
    </w:p>
    <w:p w14:paraId="400BC226" w14:textId="77777777" w:rsidR="00613ED8" w:rsidRDefault="00613ED8">
      <w:pPr>
        <w:pStyle w:val="TOC2"/>
        <w:rPr>
          <w:rFonts w:asciiTheme="minorHAnsi" w:eastAsiaTheme="minorEastAsia" w:hAnsiTheme="minorHAnsi" w:cstheme="minorBidi"/>
          <w:smallCaps w:val="0"/>
          <w:sz w:val="22"/>
          <w:szCs w:val="22"/>
        </w:rPr>
      </w:pPr>
      <w:r>
        <w:t>2. CONTRACT TERM</w:t>
      </w:r>
      <w:r>
        <w:tab/>
      </w:r>
      <w:r>
        <w:fldChar w:fldCharType="begin"/>
      </w:r>
      <w:r>
        <w:instrText xml:space="preserve"> PAGEREF _Toc8128934 \h </w:instrText>
      </w:r>
      <w:r>
        <w:fldChar w:fldCharType="separate"/>
      </w:r>
      <w:r>
        <w:t>2</w:t>
      </w:r>
      <w:r>
        <w:fldChar w:fldCharType="end"/>
      </w:r>
    </w:p>
    <w:p w14:paraId="1E240233" w14:textId="77777777" w:rsidR="00613ED8" w:rsidRDefault="00613ED8">
      <w:pPr>
        <w:pStyle w:val="TOC2"/>
        <w:rPr>
          <w:rFonts w:asciiTheme="minorHAnsi" w:eastAsiaTheme="minorEastAsia" w:hAnsiTheme="minorHAnsi" w:cstheme="minorBidi"/>
          <w:smallCaps w:val="0"/>
          <w:sz w:val="22"/>
          <w:szCs w:val="22"/>
        </w:rPr>
      </w:pPr>
      <w:r>
        <w:t>3. ENTIRE AGREEMENT</w:t>
      </w:r>
      <w:r>
        <w:tab/>
      </w:r>
      <w:r>
        <w:fldChar w:fldCharType="begin"/>
      </w:r>
      <w:r>
        <w:instrText xml:space="preserve"> PAGEREF _Toc8128935 \h </w:instrText>
      </w:r>
      <w:r>
        <w:fldChar w:fldCharType="separate"/>
      </w:r>
      <w:r>
        <w:t>2</w:t>
      </w:r>
      <w:r>
        <w:fldChar w:fldCharType="end"/>
      </w:r>
    </w:p>
    <w:p w14:paraId="6675228F" w14:textId="77777777" w:rsidR="00613ED8" w:rsidRDefault="00613ED8">
      <w:pPr>
        <w:pStyle w:val="TOC2"/>
        <w:rPr>
          <w:rFonts w:asciiTheme="minorHAnsi" w:eastAsiaTheme="minorEastAsia" w:hAnsiTheme="minorHAnsi" w:cstheme="minorBidi"/>
          <w:smallCaps w:val="0"/>
          <w:sz w:val="22"/>
          <w:szCs w:val="22"/>
        </w:rPr>
      </w:pPr>
      <w:r>
        <w:t>4. CONTRACT ADMINISTRATION</w:t>
      </w:r>
      <w:r>
        <w:tab/>
      </w:r>
      <w:r>
        <w:fldChar w:fldCharType="begin"/>
      </w:r>
      <w:r>
        <w:instrText xml:space="preserve"> PAGEREF _Toc8128936 \h </w:instrText>
      </w:r>
      <w:r>
        <w:fldChar w:fldCharType="separate"/>
      </w:r>
      <w:r>
        <w:t>3</w:t>
      </w:r>
      <w:r>
        <w:fldChar w:fldCharType="end"/>
      </w:r>
    </w:p>
    <w:p w14:paraId="36BBC574" w14:textId="77777777" w:rsidR="00613ED8" w:rsidRDefault="00613ED8">
      <w:pPr>
        <w:pStyle w:val="TOC2"/>
        <w:rPr>
          <w:rFonts w:asciiTheme="minorHAnsi" w:eastAsiaTheme="minorEastAsia" w:hAnsiTheme="minorHAnsi" w:cstheme="minorBidi"/>
          <w:smallCaps w:val="0"/>
          <w:sz w:val="22"/>
          <w:szCs w:val="22"/>
        </w:rPr>
      </w:pPr>
      <w:r>
        <w:t>5. NOTICES</w:t>
      </w:r>
      <w:r>
        <w:tab/>
      </w:r>
      <w:r>
        <w:fldChar w:fldCharType="begin"/>
      </w:r>
      <w:r>
        <w:instrText xml:space="preserve"> PAGEREF _Toc8128937 \h </w:instrText>
      </w:r>
      <w:r>
        <w:fldChar w:fldCharType="separate"/>
      </w:r>
      <w:r>
        <w:t>3</w:t>
      </w:r>
      <w:r>
        <w:fldChar w:fldCharType="end"/>
      </w:r>
    </w:p>
    <w:p w14:paraId="5C92D67E" w14:textId="77777777" w:rsidR="00613ED8" w:rsidRDefault="00613ED8">
      <w:pPr>
        <w:pStyle w:val="TOC1"/>
        <w:rPr>
          <w:rFonts w:asciiTheme="minorHAnsi" w:eastAsiaTheme="minorEastAsia" w:hAnsiTheme="minorHAnsi" w:cstheme="minorBidi"/>
          <w:b w:val="0"/>
          <w:caps w:val="0"/>
          <w:sz w:val="22"/>
          <w:szCs w:val="22"/>
        </w:rPr>
      </w:pPr>
      <w:r>
        <w:t>ARTICLE II: GENERAL CONTRACT TERMS FOR MANAGED CARE ORGANIZATIONS</w:t>
      </w:r>
      <w:r>
        <w:tab/>
      </w:r>
      <w:r>
        <w:fldChar w:fldCharType="begin"/>
      </w:r>
      <w:r>
        <w:instrText xml:space="preserve"> PAGEREF _Toc8128938 \h </w:instrText>
      </w:r>
      <w:r>
        <w:fldChar w:fldCharType="separate"/>
      </w:r>
      <w:r>
        <w:t>4</w:t>
      </w:r>
      <w:r>
        <w:fldChar w:fldCharType="end"/>
      </w:r>
    </w:p>
    <w:p w14:paraId="083B9A6F" w14:textId="77777777" w:rsidR="00613ED8" w:rsidRDefault="00613ED8">
      <w:pPr>
        <w:pStyle w:val="TOC2"/>
        <w:rPr>
          <w:rFonts w:asciiTheme="minorHAnsi" w:eastAsiaTheme="minorEastAsia" w:hAnsiTheme="minorHAnsi" w:cstheme="minorBidi"/>
          <w:smallCaps w:val="0"/>
          <w:sz w:val="22"/>
          <w:szCs w:val="22"/>
        </w:rPr>
      </w:pPr>
      <w:r>
        <w:t>1. DEFINITIONS</w:t>
      </w:r>
      <w:r>
        <w:tab/>
      </w:r>
      <w:r>
        <w:fldChar w:fldCharType="begin"/>
      </w:r>
      <w:r>
        <w:instrText xml:space="preserve"> PAGEREF _Toc8128939 \h </w:instrText>
      </w:r>
      <w:r>
        <w:fldChar w:fldCharType="separate"/>
      </w:r>
      <w:r>
        <w:t>4</w:t>
      </w:r>
      <w:r>
        <w:fldChar w:fldCharType="end"/>
      </w:r>
    </w:p>
    <w:p w14:paraId="71A0550F" w14:textId="77777777" w:rsidR="00613ED8" w:rsidRDefault="00613ED8">
      <w:pPr>
        <w:pStyle w:val="TOC2"/>
        <w:rPr>
          <w:rFonts w:asciiTheme="minorHAnsi" w:eastAsiaTheme="minorEastAsia" w:hAnsiTheme="minorHAnsi" w:cstheme="minorBidi"/>
          <w:smallCaps w:val="0"/>
          <w:sz w:val="22"/>
          <w:szCs w:val="22"/>
        </w:rPr>
      </w:pPr>
      <w:r>
        <w:t>2. DELEGATIONS OF AUTHORITY</w:t>
      </w:r>
      <w:r>
        <w:tab/>
      </w:r>
      <w:r>
        <w:fldChar w:fldCharType="begin"/>
      </w:r>
      <w:r>
        <w:instrText xml:space="preserve"> PAGEREF _Toc8128940 \h </w:instrText>
      </w:r>
      <w:r>
        <w:fldChar w:fldCharType="separate"/>
      </w:r>
      <w:r>
        <w:t>20</w:t>
      </w:r>
      <w:r>
        <w:fldChar w:fldCharType="end"/>
      </w:r>
    </w:p>
    <w:p w14:paraId="2EEC1E41" w14:textId="77777777" w:rsidR="00613ED8" w:rsidRDefault="00613ED8">
      <w:pPr>
        <w:pStyle w:val="TOC2"/>
        <w:rPr>
          <w:rFonts w:asciiTheme="minorHAnsi" w:eastAsiaTheme="minorEastAsia" w:hAnsiTheme="minorHAnsi" w:cstheme="minorBidi"/>
          <w:smallCaps w:val="0"/>
          <w:sz w:val="22"/>
          <w:szCs w:val="22"/>
        </w:rPr>
      </w:pPr>
      <w:r>
        <w:t>3. FUNCTIONS AND DUTIES OF THE MANAGED CARE ORGANIZATION</w:t>
      </w:r>
      <w:r>
        <w:tab/>
      </w:r>
      <w:r>
        <w:fldChar w:fldCharType="begin"/>
      </w:r>
      <w:r>
        <w:instrText xml:space="preserve"> PAGEREF _Toc8128941 \h </w:instrText>
      </w:r>
      <w:r>
        <w:fldChar w:fldCharType="separate"/>
      </w:r>
      <w:r>
        <w:t>20</w:t>
      </w:r>
      <w:r>
        <w:fldChar w:fldCharType="end"/>
      </w:r>
    </w:p>
    <w:p w14:paraId="33517C8E" w14:textId="77777777" w:rsidR="00613ED8" w:rsidRDefault="00613ED8">
      <w:pPr>
        <w:pStyle w:val="TOC2"/>
        <w:rPr>
          <w:rFonts w:asciiTheme="minorHAnsi" w:eastAsiaTheme="minorEastAsia" w:hAnsiTheme="minorHAnsi" w:cstheme="minorBidi"/>
          <w:smallCaps w:val="0"/>
          <w:sz w:val="22"/>
          <w:szCs w:val="22"/>
        </w:rPr>
      </w:pPr>
      <w:r>
        <w:t>4. FUNCTIONS AND DUTIES OF THE STATE</w:t>
      </w:r>
      <w:r>
        <w:tab/>
      </w:r>
      <w:r>
        <w:fldChar w:fldCharType="begin"/>
      </w:r>
      <w:r>
        <w:instrText xml:space="preserve"> PAGEREF _Toc8128942 \h </w:instrText>
      </w:r>
      <w:r>
        <w:fldChar w:fldCharType="separate"/>
      </w:r>
      <w:r>
        <w:t>20</w:t>
      </w:r>
      <w:r>
        <w:fldChar w:fldCharType="end"/>
      </w:r>
    </w:p>
    <w:p w14:paraId="58241E5D" w14:textId="77777777" w:rsidR="00613ED8" w:rsidRDefault="00613ED8">
      <w:pPr>
        <w:pStyle w:val="TOC3"/>
        <w:rPr>
          <w:rFonts w:asciiTheme="minorHAnsi" w:eastAsiaTheme="minorEastAsia" w:hAnsiTheme="minorHAnsi" w:cstheme="minorBidi"/>
          <w:i w:val="0"/>
          <w:sz w:val="22"/>
          <w:szCs w:val="22"/>
        </w:rPr>
      </w:pPr>
      <w:r>
        <w:t xml:space="preserve">4.1 </w:t>
      </w:r>
      <w:r>
        <w:rPr>
          <w:rFonts w:asciiTheme="minorHAnsi" w:eastAsiaTheme="minorEastAsia" w:hAnsiTheme="minorHAnsi" w:cstheme="minorBidi"/>
          <w:i w:val="0"/>
          <w:sz w:val="22"/>
          <w:szCs w:val="22"/>
        </w:rPr>
        <w:tab/>
      </w:r>
      <w:r>
        <w:t>Eligibility Determination</w:t>
      </w:r>
      <w:r>
        <w:tab/>
      </w:r>
      <w:r>
        <w:fldChar w:fldCharType="begin"/>
      </w:r>
      <w:r>
        <w:instrText xml:space="preserve"> PAGEREF _Toc8128943 \h </w:instrText>
      </w:r>
      <w:r>
        <w:fldChar w:fldCharType="separate"/>
      </w:r>
      <w:r>
        <w:t>20</w:t>
      </w:r>
      <w:r>
        <w:fldChar w:fldCharType="end"/>
      </w:r>
    </w:p>
    <w:p w14:paraId="7CADBA43" w14:textId="77777777" w:rsidR="00613ED8" w:rsidRDefault="00613ED8">
      <w:pPr>
        <w:pStyle w:val="TOC3"/>
        <w:rPr>
          <w:rFonts w:asciiTheme="minorHAnsi" w:eastAsiaTheme="minorEastAsia" w:hAnsiTheme="minorHAnsi" w:cstheme="minorBidi"/>
          <w:i w:val="0"/>
          <w:sz w:val="22"/>
          <w:szCs w:val="22"/>
        </w:rPr>
      </w:pPr>
      <w:r>
        <w:t xml:space="preserve">4.2 </w:t>
      </w:r>
      <w:r>
        <w:rPr>
          <w:rFonts w:asciiTheme="minorHAnsi" w:eastAsiaTheme="minorEastAsia" w:hAnsiTheme="minorHAnsi" w:cstheme="minorBidi"/>
          <w:i w:val="0"/>
          <w:sz w:val="22"/>
          <w:szCs w:val="22"/>
        </w:rPr>
        <w:tab/>
      </w:r>
      <w:r>
        <w:t>Enrollment</w:t>
      </w:r>
      <w:r>
        <w:tab/>
      </w:r>
      <w:r>
        <w:fldChar w:fldCharType="begin"/>
      </w:r>
      <w:r>
        <w:instrText xml:space="preserve"> PAGEREF _Toc8128944 \h </w:instrText>
      </w:r>
      <w:r>
        <w:fldChar w:fldCharType="separate"/>
      </w:r>
      <w:r>
        <w:t>20</w:t>
      </w:r>
      <w:r>
        <w:fldChar w:fldCharType="end"/>
      </w:r>
    </w:p>
    <w:p w14:paraId="2FCF8C6F" w14:textId="77777777" w:rsidR="00613ED8" w:rsidRDefault="00613ED8">
      <w:pPr>
        <w:pStyle w:val="TOC3"/>
        <w:rPr>
          <w:rFonts w:asciiTheme="minorHAnsi" w:eastAsiaTheme="minorEastAsia" w:hAnsiTheme="minorHAnsi" w:cstheme="minorBidi"/>
          <w:i w:val="0"/>
          <w:sz w:val="22"/>
          <w:szCs w:val="22"/>
        </w:rPr>
      </w:pPr>
      <w:r>
        <w:t>4.3</w:t>
      </w:r>
      <w:r>
        <w:rPr>
          <w:rFonts w:asciiTheme="minorHAnsi" w:eastAsiaTheme="minorEastAsia" w:hAnsiTheme="minorHAnsi" w:cstheme="minorBidi"/>
          <w:i w:val="0"/>
          <w:sz w:val="22"/>
          <w:szCs w:val="22"/>
        </w:rPr>
        <w:tab/>
      </w:r>
      <w:r>
        <w:t>Enrollee Assignment</w:t>
      </w:r>
      <w:r>
        <w:tab/>
      </w:r>
      <w:r>
        <w:fldChar w:fldCharType="begin"/>
      </w:r>
      <w:r>
        <w:instrText xml:space="preserve"> PAGEREF _Toc8128945 \h </w:instrText>
      </w:r>
      <w:r>
        <w:fldChar w:fldCharType="separate"/>
      </w:r>
      <w:r>
        <w:t>20</w:t>
      </w:r>
      <w:r>
        <w:fldChar w:fldCharType="end"/>
      </w:r>
    </w:p>
    <w:p w14:paraId="484B4DF9" w14:textId="77777777" w:rsidR="00613ED8" w:rsidRDefault="00613ED8">
      <w:pPr>
        <w:pStyle w:val="TOC3"/>
        <w:rPr>
          <w:rFonts w:asciiTheme="minorHAnsi" w:eastAsiaTheme="minorEastAsia" w:hAnsiTheme="minorHAnsi" w:cstheme="minorBidi"/>
          <w:i w:val="0"/>
          <w:sz w:val="22"/>
          <w:szCs w:val="22"/>
        </w:rPr>
      </w:pPr>
      <w:r>
        <w:t xml:space="preserve">4.4 </w:t>
      </w:r>
      <w:r>
        <w:rPr>
          <w:rFonts w:asciiTheme="minorHAnsi" w:eastAsiaTheme="minorEastAsia" w:hAnsiTheme="minorHAnsi" w:cstheme="minorBidi"/>
          <w:i w:val="0"/>
          <w:sz w:val="22"/>
          <w:szCs w:val="22"/>
        </w:rPr>
        <w:tab/>
      </w:r>
      <w:r>
        <w:t>Voluntary and Involuntary Disenrollment</w:t>
      </w:r>
      <w:r>
        <w:tab/>
      </w:r>
      <w:r>
        <w:fldChar w:fldCharType="begin"/>
      </w:r>
      <w:r>
        <w:instrText xml:space="preserve"> PAGEREF _Toc8128946 \h </w:instrText>
      </w:r>
      <w:r>
        <w:fldChar w:fldCharType="separate"/>
      </w:r>
      <w:r>
        <w:t>20</w:t>
      </w:r>
      <w:r>
        <w:fldChar w:fldCharType="end"/>
      </w:r>
    </w:p>
    <w:p w14:paraId="0BFB2685" w14:textId="77777777" w:rsidR="00613ED8" w:rsidRDefault="00613ED8">
      <w:pPr>
        <w:pStyle w:val="TOC3"/>
        <w:rPr>
          <w:rFonts w:asciiTheme="minorHAnsi" w:eastAsiaTheme="minorEastAsia" w:hAnsiTheme="minorHAnsi" w:cstheme="minorBidi"/>
          <w:i w:val="0"/>
          <w:sz w:val="22"/>
          <w:szCs w:val="22"/>
        </w:rPr>
      </w:pPr>
      <w:r>
        <w:t xml:space="preserve">4.5 </w:t>
      </w:r>
      <w:r>
        <w:rPr>
          <w:rFonts w:asciiTheme="minorHAnsi" w:eastAsiaTheme="minorEastAsia" w:hAnsiTheme="minorHAnsi" w:cstheme="minorBidi"/>
          <w:i w:val="0"/>
          <w:sz w:val="22"/>
          <w:szCs w:val="22"/>
        </w:rPr>
        <w:tab/>
      </w:r>
      <w:r>
        <w:t>Capitation Payments to Managed Care Organization</w:t>
      </w:r>
      <w:r>
        <w:tab/>
      </w:r>
      <w:r>
        <w:fldChar w:fldCharType="begin"/>
      </w:r>
      <w:r>
        <w:instrText xml:space="preserve"> PAGEREF _Toc8128947 \h </w:instrText>
      </w:r>
      <w:r>
        <w:fldChar w:fldCharType="separate"/>
      </w:r>
      <w:r>
        <w:t>21</w:t>
      </w:r>
      <w:r>
        <w:fldChar w:fldCharType="end"/>
      </w:r>
    </w:p>
    <w:p w14:paraId="3D0186B9" w14:textId="77777777" w:rsidR="00613ED8" w:rsidRDefault="00613ED8">
      <w:pPr>
        <w:pStyle w:val="TOC3"/>
        <w:rPr>
          <w:rFonts w:asciiTheme="minorHAnsi" w:eastAsiaTheme="minorEastAsia" w:hAnsiTheme="minorHAnsi" w:cstheme="minorBidi"/>
          <w:i w:val="0"/>
          <w:sz w:val="22"/>
          <w:szCs w:val="22"/>
        </w:rPr>
      </w:pPr>
      <w:r>
        <w:t>4.6</w:t>
      </w:r>
      <w:r>
        <w:rPr>
          <w:rFonts w:asciiTheme="minorHAnsi" w:eastAsiaTheme="minorEastAsia" w:hAnsiTheme="minorHAnsi" w:cstheme="minorBidi"/>
          <w:i w:val="0"/>
          <w:sz w:val="22"/>
          <w:szCs w:val="22"/>
        </w:rPr>
        <w:tab/>
      </w:r>
      <w:r>
        <w:t>Federal Disallowance</w:t>
      </w:r>
      <w:r>
        <w:tab/>
      </w:r>
      <w:r>
        <w:fldChar w:fldCharType="begin"/>
      </w:r>
      <w:r>
        <w:instrText xml:space="preserve"> PAGEREF _Toc8128948 \h </w:instrText>
      </w:r>
      <w:r>
        <w:fldChar w:fldCharType="separate"/>
      </w:r>
      <w:r>
        <w:t>22</w:t>
      </w:r>
      <w:r>
        <w:fldChar w:fldCharType="end"/>
      </w:r>
    </w:p>
    <w:p w14:paraId="7E9A28D7" w14:textId="77777777" w:rsidR="00613ED8" w:rsidRDefault="00613ED8">
      <w:pPr>
        <w:pStyle w:val="TOC3"/>
        <w:rPr>
          <w:rFonts w:asciiTheme="minorHAnsi" w:eastAsiaTheme="minorEastAsia" w:hAnsiTheme="minorHAnsi" w:cstheme="minorBidi"/>
          <w:i w:val="0"/>
          <w:sz w:val="22"/>
          <w:szCs w:val="22"/>
        </w:rPr>
      </w:pPr>
      <w:r>
        <w:t>4.7</w:t>
      </w:r>
      <w:r>
        <w:rPr>
          <w:rFonts w:asciiTheme="minorHAnsi" w:eastAsiaTheme="minorEastAsia" w:hAnsiTheme="minorHAnsi" w:cstheme="minorBidi"/>
          <w:i w:val="0"/>
          <w:sz w:val="22"/>
          <w:szCs w:val="22"/>
        </w:rPr>
        <w:tab/>
      </w:r>
      <w:r>
        <w:t>Enrollee Eligibility Capitation Adjustments</w:t>
      </w:r>
      <w:r>
        <w:tab/>
      </w:r>
      <w:r>
        <w:fldChar w:fldCharType="begin"/>
      </w:r>
      <w:r>
        <w:instrText xml:space="preserve"> PAGEREF _Toc8128949 \h </w:instrText>
      </w:r>
      <w:r>
        <w:fldChar w:fldCharType="separate"/>
      </w:r>
      <w:r>
        <w:t>22</w:t>
      </w:r>
      <w:r>
        <w:fldChar w:fldCharType="end"/>
      </w:r>
    </w:p>
    <w:p w14:paraId="7B1DC4CD" w14:textId="77777777" w:rsidR="00613ED8" w:rsidRDefault="00613ED8">
      <w:pPr>
        <w:pStyle w:val="TOC3"/>
        <w:rPr>
          <w:rFonts w:asciiTheme="minorHAnsi" w:eastAsiaTheme="minorEastAsia" w:hAnsiTheme="minorHAnsi" w:cstheme="minorBidi"/>
          <w:i w:val="0"/>
          <w:sz w:val="22"/>
          <w:szCs w:val="22"/>
        </w:rPr>
      </w:pPr>
      <w:r>
        <w:t xml:space="preserve">4.8 </w:t>
      </w:r>
      <w:r>
        <w:rPr>
          <w:rFonts w:asciiTheme="minorHAnsi" w:eastAsiaTheme="minorEastAsia" w:hAnsiTheme="minorHAnsi" w:cstheme="minorBidi"/>
          <w:i w:val="0"/>
          <w:sz w:val="22"/>
          <w:szCs w:val="22"/>
        </w:rPr>
        <w:tab/>
      </w:r>
      <w:r>
        <w:t>Information</w:t>
      </w:r>
      <w:r>
        <w:tab/>
      </w:r>
      <w:r>
        <w:fldChar w:fldCharType="begin"/>
      </w:r>
      <w:r>
        <w:instrText xml:space="preserve"> PAGEREF _Toc8128950 \h </w:instrText>
      </w:r>
      <w:r>
        <w:fldChar w:fldCharType="separate"/>
      </w:r>
      <w:r>
        <w:t>22</w:t>
      </w:r>
      <w:r>
        <w:fldChar w:fldCharType="end"/>
      </w:r>
    </w:p>
    <w:p w14:paraId="4013E0B0" w14:textId="77777777" w:rsidR="00613ED8" w:rsidRDefault="00613ED8">
      <w:pPr>
        <w:pStyle w:val="TOC3"/>
        <w:rPr>
          <w:rFonts w:asciiTheme="minorHAnsi" w:eastAsiaTheme="minorEastAsia" w:hAnsiTheme="minorHAnsi" w:cstheme="minorBidi"/>
          <w:i w:val="0"/>
          <w:sz w:val="22"/>
          <w:szCs w:val="22"/>
        </w:rPr>
      </w:pPr>
      <w:r>
        <w:t xml:space="preserve">4.9 </w:t>
      </w:r>
      <w:r>
        <w:rPr>
          <w:rFonts w:asciiTheme="minorHAnsi" w:eastAsiaTheme="minorEastAsia" w:hAnsiTheme="minorHAnsi" w:cstheme="minorBidi"/>
          <w:i w:val="0"/>
          <w:sz w:val="22"/>
          <w:szCs w:val="22"/>
        </w:rPr>
        <w:tab/>
      </w:r>
      <w:r>
        <w:t>Ongoing Managed Care Organization Monitoring</w:t>
      </w:r>
      <w:r>
        <w:tab/>
      </w:r>
      <w:r>
        <w:fldChar w:fldCharType="begin"/>
      </w:r>
      <w:r>
        <w:instrText xml:space="preserve"> PAGEREF _Toc8128951 \h </w:instrText>
      </w:r>
      <w:r>
        <w:fldChar w:fldCharType="separate"/>
      </w:r>
      <w:r>
        <w:t>22</w:t>
      </w:r>
      <w:r>
        <w:fldChar w:fldCharType="end"/>
      </w:r>
    </w:p>
    <w:p w14:paraId="559F8F49" w14:textId="77777777" w:rsidR="00613ED8" w:rsidRDefault="00613ED8">
      <w:pPr>
        <w:pStyle w:val="TOC3"/>
        <w:rPr>
          <w:rFonts w:asciiTheme="minorHAnsi" w:eastAsiaTheme="minorEastAsia" w:hAnsiTheme="minorHAnsi" w:cstheme="minorBidi"/>
          <w:i w:val="0"/>
          <w:sz w:val="22"/>
          <w:szCs w:val="22"/>
        </w:rPr>
      </w:pPr>
      <w:r>
        <w:t xml:space="preserve">4.10 </w:t>
      </w:r>
      <w:r>
        <w:rPr>
          <w:rFonts w:asciiTheme="minorHAnsi" w:eastAsiaTheme="minorEastAsia" w:hAnsiTheme="minorHAnsi" w:cstheme="minorBidi"/>
          <w:i w:val="0"/>
          <w:sz w:val="22"/>
          <w:szCs w:val="22"/>
        </w:rPr>
        <w:tab/>
      </w:r>
      <w:r>
        <w:t>Utilization Review and Control</w:t>
      </w:r>
      <w:r>
        <w:tab/>
      </w:r>
      <w:r>
        <w:fldChar w:fldCharType="begin"/>
      </w:r>
      <w:r>
        <w:instrText xml:space="preserve"> PAGEREF _Toc8128952 \h </w:instrText>
      </w:r>
      <w:r>
        <w:fldChar w:fldCharType="separate"/>
      </w:r>
      <w:r>
        <w:t>23</w:t>
      </w:r>
      <w:r>
        <w:fldChar w:fldCharType="end"/>
      </w:r>
    </w:p>
    <w:p w14:paraId="6548CB12" w14:textId="77777777" w:rsidR="00613ED8" w:rsidRDefault="00613ED8">
      <w:pPr>
        <w:pStyle w:val="TOC3"/>
        <w:rPr>
          <w:rFonts w:asciiTheme="minorHAnsi" w:eastAsiaTheme="minorEastAsia" w:hAnsiTheme="minorHAnsi" w:cstheme="minorBidi"/>
          <w:i w:val="0"/>
          <w:sz w:val="22"/>
          <w:szCs w:val="22"/>
        </w:rPr>
      </w:pPr>
      <w:r>
        <w:t>4.11</w:t>
      </w:r>
      <w:r>
        <w:rPr>
          <w:rFonts w:asciiTheme="minorHAnsi" w:eastAsiaTheme="minorEastAsia" w:hAnsiTheme="minorHAnsi" w:cstheme="minorBidi"/>
          <w:i w:val="0"/>
          <w:sz w:val="22"/>
          <w:szCs w:val="22"/>
        </w:rPr>
        <w:tab/>
      </w:r>
      <w:r>
        <w:t>Force Majeure</w:t>
      </w:r>
      <w:r>
        <w:tab/>
      </w:r>
      <w:r>
        <w:fldChar w:fldCharType="begin"/>
      </w:r>
      <w:r>
        <w:instrText xml:space="preserve"> PAGEREF _Toc8128953 \h </w:instrText>
      </w:r>
      <w:r>
        <w:fldChar w:fldCharType="separate"/>
      </w:r>
      <w:r>
        <w:t>23</w:t>
      </w:r>
      <w:r>
        <w:fldChar w:fldCharType="end"/>
      </w:r>
    </w:p>
    <w:p w14:paraId="34A34C6E" w14:textId="77777777" w:rsidR="00613ED8" w:rsidRDefault="00613ED8">
      <w:pPr>
        <w:pStyle w:val="TOC3"/>
        <w:rPr>
          <w:rFonts w:asciiTheme="minorHAnsi" w:eastAsiaTheme="minorEastAsia" w:hAnsiTheme="minorHAnsi" w:cstheme="minorBidi"/>
          <w:i w:val="0"/>
          <w:sz w:val="22"/>
          <w:szCs w:val="22"/>
        </w:rPr>
      </w:pPr>
      <w:r>
        <w:t xml:space="preserve">4.12 </w:t>
      </w:r>
      <w:r>
        <w:rPr>
          <w:rFonts w:asciiTheme="minorHAnsi" w:eastAsiaTheme="minorEastAsia" w:hAnsiTheme="minorHAnsi" w:cstheme="minorBidi"/>
          <w:i w:val="0"/>
          <w:sz w:val="22"/>
          <w:szCs w:val="22"/>
        </w:rPr>
        <w:tab/>
      </w:r>
      <w:r>
        <w:t>Time Is of the Essence</w:t>
      </w:r>
      <w:r>
        <w:tab/>
      </w:r>
      <w:r>
        <w:fldChar w:fldCharType="begin"/>
      </w:r>
      <w:r>
        <w:instrText xml:space="preserve"> PAGEREF _Toc8128954 \h </w:instrText>
      </w:r>
      <w:r>
        <w:fldChar w:fldCharType="separate"/>
      </w:r>
      <w:r>
        <w:t>24</w:t>
      </w:r>
      <w:r>
        <w:fldChar w:fldCharType="end"/>
      </w:r>
    </w:p>
    <w:p w14:paraId="77B7D819" w14:textId="77777777" w:rsidR="00613ED8" w:rsidRDefault="00613ED8">
      <w:pPr>
        <w:pStyle w:val="TOC3"/>
        <w:rPr>
          <w:rFonts w:asciiTheme="minorHAnsi" w:eastAsiaTheme="minorEastAsia" w:hAnsiTheme="minorHAnsi" w:cstheme="minorBidi"/>
          <w:i w:val="0"/>
          <w:sz w:val="22"/>
          <w:szCs w:val="22"/>
        </w:rPr>
      </w:pPr>
      <w:r>
        <w:t xml:space="preserve">4.13 </w:t>
      </w:r>
      <w:r>
        <w:rPr>
          <w:rFonts w:asciiTheme="minorHAnsi" w:eastAsiaTheme="minorEastAsia" w:hAnsiTheme="minorHAnsi" w:cstheme="minorBidi"/>
          <w:i w:val="0"/>
          <w:sz w:val="22"/>
          <w:szCs w:val="22"/>
        </w:rPr>
        <w:tab/>
      </w:r>
      <w:r>
        <w:t>MCO Response Time Frames</w:t>
      </w:r>
      <w:r>
        <w:tab/>
      </w:r>
      <w:r>
        <w:fldChar w:fldCharType="begin"/>
      </w:r>
      <w:r>
        <w:instrText xml:space="preserve"> PAGEREF _Toc8128955 \h </w:instrText>
      </w:r>
      <w:r>
        <w:fldChar w:fldCharType="separate"/>
      </w:r>
      <w:r>
        <w:t>24</w:t>
      </w:r>
      <w:r>
        <w:fldChar w:fldCharType="end"/>
      </w:r>
    </w:p>
    <w:p w14:paraId="62EA2380" w14:textId="77777777" w:rsidR="00613ED8" w:rsidRDefault="00613ED8">
      <w:pPr>
        <w:pStyle w:val="TOC2"/>
        <w:rPr>
          <w:rFonts w:asciiTheme="minorHAnsi" w:eastAsiaTheme="minorEastAsia" w:hAnsiTheme="minorHAnsi" w:cstheme="minorBidi"/>
          <w:smallCaps w:val="0"/>
          <w:sz w:val="22"/>
          <w:szCs w:val="22"/>
        </w:rPr>
      </w:pPr>
      <w:r>
        <w:t>5. DECLARATIONS AND MISCELLANEOUS PROVISIONS</w:t>
      </w:r>
      <w:r>
        <w:tab/>
      </w:r>
      <w:r>
        <w:fldChar w:fldCharType="begin"/>
      </w:r>
      <w:r>
        <w:instrText xml:space="preserve"> PAGEREF _Toc8128956 \h </w:instrText>
      </w:r>
      <w:r>
        <w:fldChar w:fldCharType="separate"/>
      </w:r>
      <w:r>
        <w:t>24</w:t>
      </w:r>
      <w:r>
        <w:fldChar w:fldCharType="end"/>
      </w:r>
    </w:p>
    <w:p w14:paraId="4B60DF68" w14:textId="77777777" w:rsidR="00613ED8" w:rsidRDefault="00613ED8">
      <w:pPr>
        <w:pStyle w:val="TOC3"/>
        <w:rPr>
          <w:rFonts w:asciiTheme="minorHAnsi" w:eastAsiaTheme="minorEastAsia" w:hAnsiTheme="minorHAnsi" w:cstheme="minorBidi"/>
          <w:i w:val="0"/>
          <w:sz w:val="22"/>
          <w:szCs w:val="22"/>
        </w:rPr>
      </w:pPr>
      <w:r>
        <w:t xml:space="preserve">5.1 </w:t>
      </w:r>
      <w:r>
        <w:rPr>
          <w:rFonts w:asciiTheme="minorHAnsi" w:eastAsiaTheme="minorEastAsia" w:hAnsiTheme="minorHAnsi" w:cstheme="minorBidi"/>
          <w:i w:val="0"/>
          <w:sz w:val="22"/>
          <w:szCs w:val="22"/>
        </w:rPr>
        <w:tab/>
      </w:r>
      <w:r>
        <w:t>Competition Not Restricted</w:t>
      </w:r>
      <w:r>
        <w:tab/>
      </w:r>
      <w:r>
        <w:fldChar w:fldCharType="begin"/>
      </w:r>
      <w:r>
        <w:instrText xml:space="preserve"> PAGEREF _Toc8128957 \h </w:instrText>
      </w:r>
      <w:r>
        <w:fldChar w:fldCharType="separate"/>
      </w:r>
      <w:r>
        <w:t>24</w:t>
      </w:r>
      <w:r>
        <w:fldChar w:fldCharType="end"/>
      </w:r>
    </w:p>
    <w:p w14:paraId="5E6786ED" w14:textId="77777777" w:rsidR="00613ED8" w:rsidRDefault="00613ED8">
      <w:pPr>
        <w:pStyle w:val="TOC3"/>
        <w:rPr>
          <w:rFonts w:asciiTheme="minorHAnsi" w:eastAsiaTheme="minorEastAsia" w:hAnsiTheme="minorHAnsi" w:cstheme="minorBidi"/>
          <w:i w:val="0"/>
          <w:sz w:val="22"/>
          <w:szCs w:val="22"/>
        </w:rPr>
      </w:pPr>
      <w:r>
        <w:t xml:space="preserve">5.2 </w:t>
      </w:r>
      <w:r>
        <w:rPr>
          <w:rFonts w:asciiTheme="minorHAnsi" w:eastAsiaTheme="minorEastAsia" w:hAnsiTheme="minorHAnsi" w:cstheme="minorBidi"/>
          <w:i w:val="0"/>
          <w:sz w:val="22"/>
          <w:szCs w:val="22"/>
        </w:rPr>
        <w:tab/>
      </w:r>
      <w:r>
        <w:t>Binding Authority</w:t>
      </w:r>
      <w:r>
        <w:tab/>
      </w:r>
      <w:r>
        <w:fldChar w:fldCharType="begin"/>
      </w:r>
      <w:r>
        <w:instrText xml:space="preserve"> PAGEREF _Toc8128958 \h </w:instrText>
      </w:r>
      <w:r>
        <w:fldChar w:fldCharType="separate"/>
      </w:r>
      <w:r>
        <w:t>24</w:t>
      </w:r>
      <w:r>
        <w:fldChar w:fldCharType="end"/>
      </w:r>
    </w:p>
    <w:p w14:paraId="44B00C63" w14:textId="77777777" w:rsidR="00613ED8" w:rsidRDefault="00613ED8">
      <w:pPr>
        <w:pStyle w:val="TOC3"/>
        <w:rPr>
          <w:rFonts w:asciiTheme="minorHAnsi" w:eastAsiaTheme="minorEastAsia" w:hAnsiTheme="minorHAnsi" w:cstheme="minorBidi"/>
          <w:i w:val="0"/>
          <w:sz w:val="22"/>
          <w:szCs w:val="22"/>
        </w:rPr>
      </w:pPr>
      <w:r>
        <w:t xml:space="preserve">5.3 </w:t>
      </w:r>
      <w:r>
        <w:rPr>
          <w:rFonts w:asciiTheme="minorHAnsi" w:eastAsiaTheme="minorEastAsia" w:hAnsiTheme="minorHAnsi" w:cstheme="minorBidi"/>
          <w:i w:val="0"/>
          <w:sz w:val="22"/>
          <w:szCs w:val="22"/>
        </w:rPr>
        <w:tab/>
      </w:r>
      <w:r>
        <w:t>Nonsegregated Facilities</w:t>
      </w:r>
      <w:r>
        <w:tab/>
      </w:r>
      <w:r>
        <w:fldChar w:fldCharType="begin"/>
      </w:r>
      <w:r>
        <w:instrText xml:space="preserve"> PAGEREF _Toc8128959 \h </w:instrText>
      </w:r>
      <w:r>
        <w:fldChar w:fldCharType="separate"/>
      </w:r>
      <w:r>
        <w:t>24</w:t>
      </w:r>
      <w:r>
        <w:fldChar w:fldCharType="end"/>
      </w:r>
    </w:p>
    <w:p w14:paraId="30D80716" w14:textId="77777777" w:rsidR="00613ED8" w:rsidRDefault="00613ED8">
      <w:pPr>
        <w:pStyle w:val="TOC3"/>
        <w:rPr>
          <w:rFonts w:asciiTheme="minorHAnsi" w:eastAsiaTheme="minorEastAsia" w:hAnsiTheme="minorHAnsi" w:cstheme="minorBidi"/>
          <w:i w:val="0"/>
          <w:sz w:val="22"/>
          <w:szCs w:val="22"/>
        </w:rPr>
      </w:pPr>
      <w:r>
        <w:lastRenderedPageBreak/>
        <w:t xml:space="preserve">5.4 </w:t>
      </w:r>
      <w:r>
        <w:rPr>
          <w:rFonts w:asciiTheme="minorHAnsi" w:eastAsiaTheme="minorEastAsia" w:hAnsiTheme="minorHAnsi" w:cstheme="minorBidi"/>
          <w:i w:val="0"/>
          <w:sz w:val="22"/>
          <w:szCs w:val="22"/>
        </w:rPr>
        <w:tab/>
      </w:r>
      <w:r>
        <w:t>Offer of Gratuities</w:t>
      </w:r>
      <w:r>
        <w:tab/>
      </w:r>
      <w:r>
        <w:fldChar w:fldCharType="begin"/>
      </w:r>
      <w:r>
        <w:instrText xml:space="preserve"> PAGEREF _Toc8128960 \h </w:instrText>
      </w:r>
      <w:r>
        <w:fldChar w:fldCharType="separate"/>
      </w:r>
      <w:r>
        <w:t>25</w:t>
      </w:r>
      <w:r>
        <w:fldChar w:fldCharType="end"/>
      </w:r>
    </w:p>
    <w:p w14:paraId="6A9497A7" w14:textId="77777777" w:rsidR="00613ED8" w:rsidRDefault="00613ED8">
      <w:pPr>
        <w:pStyle w:val="TOC3"/>
        <w:rPr>
          <w:rFonts w:asciiTheme="minorHAnsi" w:eastAsiaTheme="minorEastAsia" w:hAnsiTheme="minorHAnsi" w:cstheme="minorBidi"/>
          <w:i w:val="0"/>
          <w:sz w:val="22"/>
          <w:szCs w:val="22"/>
        </w:rPr>
      </w:pPr>
      <w:r>
        <w:t xml:space="preserve">5.5 </w:t>
      </w:r>
      <w:r>
        <w:rPr>
          <w:rFonts w:asciiTheme="minorHAnsi" w:eastAsiaTheme="minorEastAsia" w:hAnsiTheme="minorHAnsi" w:cstheme="minorBidi"/>
          <w:i w:val="0"/>
          <w:sz w:val="22"/>
          <w:szCs w:val="22"/>
        </w:rPr>
        <w:tab/>
      </w:r>
      <w:r>
        <w:t>Employment/Affirmative Action Clause</w:t>
      </w:r>
      <w:r>
        <w:tab/>
      </w:r>
      <w:r>
        <w:fldChar w:fldCharType="begin"/>
      </w:r>
      <w:r>
        <w:instrText xml:space="preserve"> PAGEREF _Toc8128961 \h </w:instrText>
      </w:r>
      <w:r>
        <w:fldChar w:fldCharType="separate"/>
      </w:r>
      <w:r>
        <w:t>25</w:t>
      </w:r>
      <w:r>
        <w:fldChar w:fldCharType="end"/>
      </w:r>
    </w:p>
    <w:p w14:paraId="618AD881" w14:textId="77777777" w:rsidR="00613ED8" w:rsidRDefault="00613ED8">
      <w:pPr>
        <w:pStyle w:val="TOC3"/>
        <w:rPr>
          <w:rFonts w:asciiTheme="minorHAnsi" w:eastAsiaTheme="minorEastAsia" w:hAnsiTheme="minorHAnsi" w:cstheme="minorBidi"/>
          <w:i w:val="0"/>
          <w:sz w:val="22"/>
          <w:szCs w:val="22"/>
        </w:rPr>
      </w:pPr>
      <w:r>
        <w:t xml:space="preserve">5.6 </w:t>
      </w:r>
      <w:r>
        <w:rPr>
          <w:rFonts w:asciiTheme="minorHAnsi" w:eastAsiaTheme="minorEastAsia" w:hAnsiTheme="minorHAnsi" w:cstheme="minorBidi"/>
          <w:i w:val="0"/>
          <w:sz w:val="22"/>
          <w:szCs w:val="22"/>
        </w:rPr>
        <w:tab/>
      </w:r>
      <w:r>
        <w:t>Hold Harmless</w:t>
      </w:r>
      <w:r>
        <w:tab/>
      </w:r>
      <w:r>
        <w:fldChar w:fldCharType="begin"/>
      </w:r>
      <w:r>
        <w:instrText xml:space="preserve"> PAGEREF _Toc8128962 \h </w:instrText>
      </w:r>
      <w:r>
        <w:fldChar w:fldCharType="separate"/>
      </w:r>
      <w:r>
        <w:t>25</w:t>
      </w:r>
      <w:r>
        <w:fldChar w:fldCharType="end"/>
      </w:r>
    </w:p>
    <w:p w14:paraId="26A0A9DA" w14:textId="77777777" w:rsidR="00613ED8" w:rsidRDefault="00613ED8">
      <w:pPr>
        <w:pStyle w:val="TOC3"/>
        <w:rPr>
          <w:rFonts w:asciiTheme="minorHAnsi" w:eastAsiaTheme="minorEastAsia" w:hAnsiTheme="minorHAnsi" w:cstheme="minorBidi"/>
          <w:i w:val="0"/>
          <w:sz w:val="22"/>
          <w:szCs w:val="22"/>
        </w:rPr>
      </w:pPr>
      <w:r>
        <w:t xml:space="preserve">5.7 </w:t>
      </w:r>
      <w:r>
        <w:rPr>
          <w:rFonts w:asciiTheme="minorHAnsi" w:eastAsiaTheme="minorEastAsia" w:hAnsiTheme="minorHAnsi" w:cstheme="minorBidi"/>
          <w:i w:val="0"/>
          <w:sz w:val="22"/>
          <w:szCs w:val="22"/>
        </w:rPr>
        <w:tab/>
      </w:r>
      <w:r>
        <w:t>Confidentiality</w:t>
      </w:r>
      <w:r>
        <w:tab/>
      </w:r>
      <w:r>
        <w:fldChar w:fldCharType="begin"/>
      </w:r>
      <w:r>
        <w:instrText xml:space="preserve"> PAGEREF _Toc8128963 \h </w:instrText>
      </w:r>
      <w:r>
        <w:fldChar w:fldCharType="separate"/>
      </w:r>
      <w:r>
        <w:t>25</w:t>
      </w:r>
      <w:r>
        <w:fldChar w:fldCharType="end"/>
      </w:r>
    </w:p>
    <w:p w14:paraId="7CA0D3A1" w14:textId="77777777" w:rsidR="00613ED8" w:rsidRDefault="00613ED8">
      <w:pPr>
        <w:pStyle w:val="TOC3"/>
        <w:rPr>
          <w:rFonts w:asciiTheme="minorHAnsi" w:eastAsiaTheme="minorEastAsia" w:hAnsiTheme="minorHAnsi" w:cstheme="minorBidi"/>
          <w:i w:val="0"/>
          <w:sz w:val="22"/>
          <w:szCs w:val="22"/>
        </w:rPr>
      </w:pPr>
      <w:r>
        <w:t xml:space="preserve">5.8 </w:t>
      </w:r>
      <w:r>
        <w:rPr>
          <w:rFonts w:asciiTheme="minorHAnsi" w:eastAsiaTheme="minorEastAsia" w:hAnsiTheme="minorHAnsi" w:cstheme="minorBidi"/>
          <w:i w:val="0"/>
          <w:sz w:val="22"/>
          <w:szCs w:val="22"/>
        </w:rPr>
        <w:tab/>
      </w:r>
      <w:r>
        <w:t>Independent Capacity</w:t>
      </w:r>
      <w:r>
        <w:tab/>
      </w:r>
      <w:r>
        <w:fldChar w:fldCharType="begin"/>
      </w:r>
      <w:r>
        <w:instrText xml:space="preserve"> PAGEREF _Toc8128964 \h </w:instrText>
      </w:r>
      <w:r>
        <w:fldChar w:fldCharType="separate"/>
      </w:r>
      <w:r>
        <w:t>26</w:t>
      </w:r>
      <w:r>
        <w:fldChar w:fldCharType="end"/>
      </w:r>
    </w:p>
    <w:p w14:paraId="40E3B39C" w14:textId="77777777" w:rsidR="00613ED8" w:rsidRDefault="00613ED8">
      <w:pPr>
        <w:pStyle w:val="TOC3"/>
        <w:rPr>
          <w:rFonts w:asciiTheme="minorHAnsi" w:eastAsiaTheme="minorEastAsia" w:hAnsiTheme="minorHAnsi" w:cstheme="minorBidi"/>
          <w:i w:val="0"/>
          <w:sz w:val="22"/>
          <w:szCs w:val="22"/>
        </w:rPr>
      </w:pPr>
      <w:r>
        <w:t xml:space="preserve">5.9 </w:t>
      </w:r>
      <w:r>
        <w:rPr>
          <w:rFonts w:asciiTheme="minorHAnsi" w:eastAsiaTheme="minorEastAsia" w:hAnsiTheme="minorHAnsi" w:cstheme="minorBidi"/>
          <w:i w:val="0"/>
          <w:sz w:val="22"/>
          <w:szCs w:val="22"/>
        </w:rPr>
        <w:tab/>
      </w:r>
      <w:r>
        <w:t>Contract Liaison</w:t>
      </w:r>
      <w:r>
        <w:tab/>
      </w:r>
      <w:r>
        <w:fldChar w:fldCharType="begin"/>
      </w:r>
      <w:r>
        <w:instrText xml:space="preserve"> PAGEREF _Toc8128965 \h </w:instrText>
      </w:r>
      <w:r>
        <w:fldChar w:fldCharType="separate"/>
      </w:r>
      <w:r>
        <w:t>26</w:t>
      </w:r>
      <w:r>
        <w:fldChar w:fldCharType="end"/>
      </w:r>
    </w:p>
    <w:p w14:paraId="7A6E45B4" w14:textId="77777777" w:rsidR="00613ED8" w:rsidRDefault="00613ED8">
      <w:pPr>
        <w:pStyle w:val="TOC3"/>
        <w:rPr>
          <w:rFonts w:asciiTheme="minorHAnsi" w:eastAsiaTheme="minorEastAsia" w:hAnsiTheme="minorHAnsi" w:cstheme="minorBidi"/>
          <w:i w:val="0"/>
          <w:sz w:val="22"/>
          <w:szCs w:val="22"/>
        </w:rPr>
      </w:pPr>
      <w:r>
        <w:t xml:space="preserve">5.10 </w:t>
      </w:r>
      <w:r>
        <w:rPr>
          <w:rFonts w:asciiTheme="minorHAnsi" w:eastAsiaTheme="minorEastAsia" w:hAnsiTheme="minorHAnsi" w:cstheme="minorBidi"/>
          <w:i w:val="0"/>
          <w:sz w:val="22"/>
          <w:szCs w:val="22"/>
        </w:rPr>
        <w:tab/>
      </w:r>
      <w:r>
        <w:t>Key Staff Positions</w:t>
      </w:r>
      <w:r>
        <w:tab/>
      </w:r>
      <w:r>
        <w:fldChar w:fldCharType="begin"/>
      </w:r>
      <w:r>
        <w:instrText xml:space="preserve"> PAGEREF _Toc8128966 \h </w:instrText>
      </w:r>
      <w:r>
        <w:fldChar w:fldCharType="separate"/>
      </w:r>
      <w:r>
        <w:t>26</w:t>
      </w:r>
      <w:r>
        <w:fldChar w:fldCharType="end"/>
      </w:r>
    </w:p>
    <w:p w14:paraId="73750904" w14:textId="77777777" w:rsidR="00613ED8" w:rsidRDefault="00613ED8">
      <w:pPr>
        <w:pStyle w:val="TOC3"/>
        <w:rPr>
          <w:rFonts w:asciiTheme="minorHAnsi" w:eastAsiaTheme="minorEastAsia" w:hAnsiTheme="minorHAnsi" w:cstheme="minorBidi"/>
          <w:i w:val="0"/>
          <w:sz w:val="22"/>
          <w:szCs w:val="22"/>
        </w:rPr>
      </w:pPr>
      <w:r>
        <w:t xml:space="preserve">5.11 </w:t>
      </w:r>
      <w:r>
        <w:rPr>
          <w:rFonts w:asciiTheme="minorHAnsi" w:eastAsiaTheme="minorEastAsia" w:hAnsiTheme="minorHAnsi" w:cstheme="minorBidi"/>
          <w:i w:val="0"/>
          <w:sz w:val="22"/>
          <w:szCs w:val="22"/>
        </w:rPr>
        <w:tab/>
      </w:r>
      <w:r>
        <w:t>Location of Operations</w:t>
      </w:r>
      <w:r>
        <w:tab/>
      </w:r>
      <w:r>
        <w:fldChar w:fldCharType="begin"/>
      </w:r>
      <w:r>
        <w:instrText xml:space="preserve"> PAGEREF _Toc8128967 \h </w:instrText>
      </w:r>
      <w:r>
        <w:fldChar w:fldCharType="separate"/>
      </w:r>
      <w:r>
        <w:t>27</w:t>
      </w:r>
      <w:r>
        <w:fldChar w:fldCharType="end"/>
      </w:r>
    </w:p>
    <w:p w14:paraId="6BE7DDC1" w14:textId="77777777" w:rsidR="00613ED8" w:rsidRDefault="00613ED8">
      <w:pPr>
        <w:pStyle w:val="TOC3"/>
        <w:rPr>
          <w:rFonts w:asciiTheme="minorHAnsi" w:eastAsiaTheme="minorEastAsia" w:hAnsiTheme="minorHAnsi" w:cstheme="minorBidi"/>
          <w:i w:val="0"/>
          <w:sz w:val="22"/>
          <w:szCs w:val="22"/>
        </w:rPr>
      </w:pPr>
      <w:r>
        <w:t>5.12 Communication with the Department</w:t>
      </w:r>
      <w:r>
        <w:tab/>
      </w:r>
      <w:r>
        <w:fldChar w:fldCharType="begin"/>
      </w:r>
      <w:r>
        <w:instrText xml:space="preserve"> PAGEREF _Toc8128968 \h </w:instrText>
      </w:r>
      <w:r>
        <w:fldChar w:fldCharType="separate"/>
      </w:r>
      <w:r>
        <w:t>27</w:t>
      </w:r>
      <w:r>
        <w:fldChar w:fldCharType="end"/>
      </w:r>
    </w:p>
    <w:p w14:paraId="39332655" w14:textId="77777777" w:rsidR="00613ED8" w:rsidRDefault="00613ED8">
      <w:pPr>
        <w:pStyle w:val="TOC3"/>
        <w:rPr>
          <w:rFonts w:asciiTheme="minorHAnsi" w:eastAsiaTheme="minorEastAsia" w:hAnsiTheme="minorHAnsi" w:cstheme="minorBidi"/>
          <w:i w:val="0"/>
          <w:sz w:val="22"/>
          <w:szCs w:val="22"/>
        </w:rPr>
      </w:pPr>
      <w:r>
        <w:t xml:space="preserve">5.13 </w:t>
      </w:r>
      <w:r>
        <w:rPr>
          <w:rFonts w:asciiTheme="minorHAnsi" w:eastAsiaTheme="minorEastAsia" w:hAnsiTheme="minorHAnsi" w:cstheme="minorBidi"/>
          <w:i w:val="0"/>
          <w:sz w:val="22"/>
          <w:szCs w:val="22"/>
        </w:rPr>
        <w:tab/>
      </w:r>
      <w:r>
        <w:t>Waivers</w:t>
      </w:r>
      <w:r>
        <w:tab/>
      </w:r>
      <w:r>
        <w:fldChar w:fldCharType="begin"/>
      </w:r>
      <w:r>
        <w:instrText xml:space="preserve"> PAGEREF _Toc8128969 \h </w:instrText>
      </w:r>
      <w:r>
        <w:fldChar w:fldCharType="separate"/>
      </w:r>
      <w:r>
        <w:t>27</w:t>
      </w:r>
      <w:r>
        <w:fldChar w:fldCharType="end"/>
      </w:r>
    </w:p>
    <w:p w14:paraId="7A525009" w14:textId="77777777" w:rsidR="00613ED8" w:rsidRDefault="00613ED8">
      <w:pPr>
        <w:pStyle w:val="TOC3"/>
        <w:rPr>
          <w:rFonts w:asciiTheme="minorHAnsi" w:eastAsiaTheme="minorEastAsia" w:hAnsiTheme="minorHAnsi" w:cstheme="minorBidi"/>
          <w:i w:val="0"/>
          <w:sz w:val="22"/>
          <w:szCs w:val="22"/>
        </w:rPr>
      </w:pPr>
      <w:r>
        <w:t xml:space="preserve">5.14 </w:t>
      </w:r>
      <w:r>
        <w:rPr>
          <w:rFonts w:asciiTheme="minorHAnsi" w:eastAsiaTheme="minorEastAsia" w:hAnsiTheme="minorHAnsi" w:cstheme="minorBidi"/>
          <w:i w:val="0"/>
          <w:sz w:val="22"/>
          <w:szCs w:val="22"/>
        </w:rPr>
        <w:tab/>
      </w:r>
      <w:r>
        <w:t>Compliance with Applicable Laws, Rules, And Policies</w:t>
      </w:r>
      <w:r>
        <w:tab/>
      </w:r>
      <w:r>
        <w:fldChar w:fldCharType="begin"/>
      </w:r>
      <w:r>
        <w:instrText xml:space="preserve"> PAGEREF _Toc8128970 \h </w:instrText>
      </w:r>
      <w:r>
        <w:fldChar w:fldCharType="separate"/>
      </w:r>
      <w:r>
        <w:t>28</w:t>
      </w:r>
      <w:r>
        <w:fldChar w:fldCharType="end"/>
      </w:r>
    </w:p>
    <w:p w14:paraId="42D55C36" w14:textId="77777777" w:rsidR="00613ED8" w:rsidRDefault="00613ED8">
      <w:pPr>
        <w:pStyle w:val="TOC3"/>
        <w:rPr>
          <w:rFonts w:asciiTheme="minorHAnsi" w:eastAsiaTheme="minorEastAsia" w:hAnsiTheme="minorHAnsi" w:cstheme="minorBidi"/>
          <w:i w:val="0"/>
          <w:sz w:val="22"/>
          <w:szCs w:val="22"/>
        </w:rPr>
      </w:pPr>
      <w:r>
        <w:t>5.15</w:t>
      </w:r>
      <w:r>
        <w:rPr>
          <w:rFonts w:asciiTheme="minorHAnsi" w:eastAsiaTheme="minorEastAsia" w:hAnsiTheme="minorHAnsi" w:cstheme="minorBidi"/>
          <w:i w:val="0"/>
          <w:sz w:val="22"/>
          <w:szCs w:val="22"/>
        </w:rPr>
        <w:tab/>
      </w:r>
      <w:r>
        <w:t>Non-discrimination</w:t>
      </w:r>
      <w:r>
        <w:tab/>
      </w:r>
      <w:r>
        <w:fldChar w:fldCharType="begin"/>
      </w:r>
      <w:r>
        <w:instrText xml:space="preserve"> PAGEREF _Toc8128971 \h </w:instrText>
      </w:r>
      <w:r>
        <w:fldChar w:fldCharType="separate"/>
      </w:r>
      <w:r>
        <w:t>29</w:t>
      </w:r>
      <w:r>
        <w:fldChar w:fldCharType="end"/>
      </w:r>
    </w:p>
    <w:p w14:paraId="0E3F4FAC" w14:textId="77777777" w:rsidR="00613ED8" w:rsidRDefault="00613ED8">
      <w:pPr>
        <w:pStyle w:val="TOC3"/>
        <w:rPr>
          <w:rFonts w:asciiTheme="minorHAnsi" w:eastAsiaTheme="minorEastAsia" w:hAnsiTheme="minorHAnsi" w:cstheme="minorBidi"/>
          <w:i w:val="0"/>
          <w:sz w:val="22"/>
          <w:szCs w:val="22"/>
        </w:rPr>
      </w:pPr>
      <w:r>
        <w:t xml:space="preserve">5.16 </w:t>
      </w:r>
      <w:r>
        <w:rPr>
          <w:rFonts w:asciiTheme="minorHAnsi" w:eastAsiaTheme="minorEastAsia" w:hAnsiTheme="minorHAnsi" w:cstheme="minorBidi"/>
          <w:i w:val="0"/>
          <w:sz w:val="22"/>
          <w:szCs w:val="22"/>
        </w:rPr>
        <w:tab/>
      </w:r>
      <w:r>
        <w:t>Federal Requirements and Assurances</w:t>
      </w:r>
      <w:r>
        <w:tab/>
      </w:r>
      <w:r>
        <w:fldChar w:fldCharType="begin"/>
      </w:r>
      <w:r>
        <w:instrText xml:space="preserve"> PAGEREF _Toc8128972 \h </w:instrText>
      </w:r>
      <w:r>
        <w:fldChar w:fldCharType="separate"/>
      </w:r>
      <w:r>
        <w:t>30</w:t>
      </w:r>
      <w:r>
        <w:fldChar w:fldCharType="end"/>
      </w:r>
    </w:p>
    <w:p w14:paraId="2DE03AF9" w14:textId="77777777" w:rsidR="00613ED8" w:rsidRDefault="00613ED8">
      <w:pPr>
        <w:pStyle w:val="TOC3"/>
        <w:rPr>
          <w:rFonts w:asciiTheme="minorHAnsi" w:eastAsiaTheme="minorEastAsia" w:hAnsiTheme="minorHAnsi" w:cstheme="minorBidi"/>
          <w:i w:val="0"/>
          <w:sz w:val="22"/>
          <w:szCs w:val="22"/>
        </w:rPr>
      </w:pPr>
      <w:r>
        <w:t xml:space="preserve">5.18 </w:t>
      </w:r>
      <w:r>
        <w:rPr>
          <w:rFonts w:asciiTheme="minorHAnsi" w:eastAsiaTheme="minorEastAsia" w:hAnsiTheme="minorHAnsi" w:cstheme="minorBidi"/>
          <w:i w:val="0"/>
          <w:sz w:val="22"/>
          <w:szCs w:val="22"/>
        </w:rPr>
        <w:tab/>
      </w:r>
      <w:r>
        <w:t>Disclosure of Interlocking Relationships</w:t>
      </w:r>
      <w:r>
        <w:tab/>
      </w:r>
      <w:r>
        <w:fldChar w:fldCharType="begin"/>
      </w:r>
      <w:r>
        <w:instrText xml:space="preserve"> PAGEREF _Toc8128973 \h </w:instrText>
      </w:r>
      <w:r>
        <w:fldChar w:fldCharType="separate"/>
      </w:r>
      <w:r>
        <w:t>31</w:t>
      </w:r>
      <w:r>
        <w:fldChar w:fldCharType="end"/>
      </w:r>
    </w:p>
    <w:p w14:paraId="0E4332DC" w14:textId="77777777" w:rsidR="00613ED8" w:rsidRDefault="00613ED8">
      <w:pPr>
        <w:pStyle w:val="TOC3"/>
        <w:rPr>
          <w:rFonts w:asciiTheme="minorHAnsi" w:eastAsiaTheme="minorEastAsia" w:hAnsiTheme="minorHAnsi" w:cstheme="minorBidi"/>
          <w:i w:val="0"/>
          <w:sz w:val="22"/>
          <w:szCs w:val="22"/>
        </w:rPr>
      </w:pPr>
      <w:r>
        <w:t xml:space="preserve">5.19 </w:t>
      </w:r>
      <w:r>
        <w:rPr>
          <w:rFonts w:asciiTheme="minorHAnsi" w:eastAsiaTheme="minorEastAsia" w:hAnsiTheme="minorHAnsi" w:cstheme="minorBidi"/>
          <w:i w:val="0"/>
          <w:sz w:val="22"/>
          <w:szCs w:val="22"/>
        </w:rPr>
        <w:tab/>
      </w:r>
      <w:r>
        <w:t>Department’s Data Files</w:t>
      </w:r>
      <w:r>
        <w:tab/>
      </w:r>
      <w:r>
        <w:fldChar w:fldCharType="begin"/>
      </w:r>
      <w:r>
        <w:instrText xml:space="preserve"> PAGEREF _Toc8128974 \h </w:instrText>
      </w:r>
      <w:r>
        <w:fldChar w:fldCharType="separate"/>
      </w:r>
      <w:r>
        <w:t>31</w:t>
      </w:r>
      <w:r>
        <w:fldChar w:fldCharType="end"/>
      </w:r>
    </w:p>
    <w:p w14:paraId="4302D194" w14:textId="77777777" w:rsidR="00613ED8" w:rsidRDefault="00613ED8">
      <w:pPr>
        <w:pStyle w:val="TOC3"/>
        <w:rPr>
          <w:rFonts w:asciiTheme="minorHAnsi" w:eastAsiaTheme="minorEastAsia" w:hAnsiTheme="minorHAnsi" w:cstheme="minorBidi"/>
          <w:i w:val="0"/>
          <w:sz w:val="22"/>
          <w:szCs w:val="22"/>
        </w:rPr>
      </w:pPr>
      <w:r>
        <w:t xml:space="preserve">5.20 </w:t>
      </w:r>
      <w:r>
        <w:rPr>
          <w:rFonts w:asciiTheme="minorHAnsi" w:eastAsiaTheme="minorEastAsia" w:hAnsiTheme="minorHAnsi" w:cstheme="minorBidi"/>
          <w:i w:val="0"/>
          <w:sz w:val="22"/>
          <w:szCs w:val="22"/>
        </w:rPr>
        <w:tab/>
      </w:r>
      <w:r>
        <w:t>Changes Due to a Section 1915(b) Freedom of Choice or 1115 Demonstration Waiver</w:t>
      </w:r>
      <w:r>
        <w:tab/>
      </w:r>
      <w:r>
        <w:fldChar w:fldCharType="begin"/>
      </w:r>
      <w:r>
        <w:instrText xml:space="preserve"> PAGEREF _Toc8128975 \h </w:instrText>
      </w:r>
      <w:r>
        <w:fldChar w:fldCharType="separate"/>
      </w:r>
      <w:r>
        <w:t>31</w:t>
      </w:r>
      <w:r>
        <w:fldChar w:fldCharType="end"/>
      </w:r>
    </w:p>
    <w:p w14:paraId="5E2EE252" w14:textId="77777777" w:rsidR="00613ED8" w:rsidRDefault="00613ED8">
      <w:pPr>
        <w:pStyle w:val="TOC3"/>
        <w:rPr>
          <w:rFonts w:asciiTheme="minorHAnsi" w:eastAsiaTheme="minorEastAsia" w:hAnsiTheme="minorHAnsi" w:cstheme="minorBidi"/>
          <w:i w:val="0"/>
          <w:sz w:val="22"/>
          <w:szCs w:val="22"/>
        </w:rPr>
      </w:pPr>
      <w:r>
        <w:t>5.21</w:t>
      </w:r>
      <w:r>
        <w:rPr>
          <w:rFonts w:asciiTheme="minorHAnsi" w:eastAsiaTheme="minorEastAsia" w:hAnsiTheme="minorHAnsi" w:cstheme="minorBidi"/>
          <w:i w:val="0"/>
          <w:sz w:val="22"/>
          <w:szCs w:val="22"/>
        </w:rPr>
        <w:tab/>
      </w:r>
      <w:r>
        <w:t>Contracting Conflict of Interest Safeguards</w:t>
      </w:r>
      <w:r>
        <w:tab/>
      </w:r>
      <w:r>
        <w:fldChar w:fldCharType="begin"/>
      </w:r>
      <w:r>
        <w:instrText xml:space="preserve"> PAGEREF _Toc8128976 \h </w:instrText>
      </w:r>
      <w:r>
        <w:fldChar w:fldCharType="separate"/>
      </w:r>
      <w:r>
        <w:t>31</w:t>
      </w:r>
      <w:r>
        <w:fldChar w:fldCharType="end"/>
      </w:r>
    </w:p>
    <w:p w14:paraId="47AD4F89" w14:textId="77777777" w:rsidR="00613ED8" w:rsidRDefault="00613ED8">
      <w:pPr>
        <w:pStyle w:val="TOC3"/>
        <w:rPr>
          <w:rFonts w:asciiTheme="minorHAnsi" w:eastAsiaTheme="minorEastAsia" w:hAnsiTheme="minorHAnsi" w:cstheme="minorBidi"/>
          <w:i w:val="0"/>
          <w:sz w:val="22"/>
          <w:szCs w:val="22"/>
        </w:rPr>
      </w:pPr>
      <w:r>
        <w:t>5.22</w:t>
      </w:r>
      <w:r>
        <w:rPr>
          <w:rFonts w:asciiTheme="minorHAnsi" w:eastAsiaTheme="minorEastAsia" w:hAnsiTheme="minorHAnsi" w:cstheme="minorBidi"/>
          <w:i w:val="0"/>
          <w:sz w:val="22"/>
          <w:szCs w:val="22"/>
        </w:rPr>
        <w:tab/>
      </w:r>
      <w:r>
        <w:t>Prohibition Against Performance Outside the United States</w:t>
      </w:r>
      <w:r>
        <w:tab/>
      </w:r>
      <w:r>
        <w:fldChar w:fldCharType="begin"/>
      </w:r>
      <w:r>
        <w:instrText xml:space="preserve"> PAGEREF _Toc8128977 \h </w:instrText>
      </w:r>
      <w:r>
        <w:fldChar w:fldCharType="separate"/>
      </w:r>
      <w:r>
        <w:t>32</w:t>
      </w:r>
      <w:r>
        <w:fldChar w:fldCharType="end"/>
      </w:r>
    </w:p>
    <w:p w14:paraId="5ED11C40" w14:textId="77777777" w:rsidR="00613ED8" w:rsidRDefault="00613ED8">
      <w:pPr>
        <w:pStyle w:val="TOC3"/>
        <w:rPr>
          <w:rFonts w:asciiTheme="minorHAnsi" w:eastAsiaTheme="minorEastAsia" w:hAnsiTheme="minorHAnsi" w:cstheme="minorBidi"/>
          <w:i w:val="0"/>
          <w:sz w:val="22"/>
          <w:szCs w:val="22"/>
        </w:rPr>
      </w:pPr>
      <w:r>
        <w:t xml:space="preserve">5.23 </w:t>
      </w:r>
      <w:r>
        <w:rPr>
          <w:rFonts w:asciiTheme="minorHAnsi" w:eastAsiaTheme="minorEastAsia" w:hAnsiTheme="minorHAnsi" w:cstheme="minorBidi"/>
          <w:i w:val="0"/>
          <w:sz w:val="22"/>
          <w:szCs w:val="22"/>
        </w:rPr>
        <w:tab/>
      </w:r>
      <w:r>
        <w:t>Freedom of Information</w:t>
      </w:r>
      <w:r>
        <w:tab/>
      </w:r>
      <w:r>
        <w:fldChar w:fldCharType="begin"/>
      </w:r>
      <w:r>
        <w:instrText xml:space="preserve"> PAGEREF _Toc8128978 \h </w:instrText>
      </w:r>
      <w:r>
        <w:fldChar w:fldCharType="separate"/>
      </w:r>
      <w:r>
        <w:t>32</w:t>
      </w:r>
      <w:r>
        <w:fldChar w:fldCharType="end"/>
      </w:r>
    </w:p>
    <w:p w14:paraId="1735A928" w14:textId="77777777" w:rsidR="00613ED8" w:rsidRDefault="00613ED8">
      <w:pPr>
        <w:pStyle w:val="TOC2"/>
        <w:rPr>
          <w:rFonts w:asciiTheme="minorHAnsi" w:eastAsiaTheme="minorEastAsia" w:hAnsiTheme="minorHAnsi" w:cstheme="minorBidi"/>
          <w:smallCaps w:val="0"/>
          <w:sz w:val="22"/>
          <w:szCs w:val="22"/>
        </w:rPr>
      </w:pPr>
      <w:r>
        <w:t>6. CONTRACT REMEDIES AND DISPUTES</w:t>
      </w:r>
      <w:r>
        <w:tab/>
      </w:r>
      <w:r>
        <w:fldChar w:fldCharType="begin"/>
      </w:r>
      <w:r>
        <w:instrText xml:space="preserve"> PAGEREF _Toc8128979 \h </w:instrText>
      </w:r>
      <w:r>
        <w:fldChar w:fldCharType="separate"/>
      </w:r>
      <w:r>
        <w:t>32</w:t>
      </w:r>
      <w:r>
        <w:fldChar w:fldCharType="end"/>
      </w:r>
    </w:p>
    <w:p w14:paraId="00A71836" w14:textId="77777777" w:rsidR="00613ED8" w:rsidRDefault="00613ED8">
      <w:pPr>
        <w:pStyle w:val="TOC3"/>
        <w:rPr>
          <w:rFonts w:asciiTheme="minorHAnsi" w:eastAsiaTheme="minorEastAsia" w:hAnsiTheme="minorHAnsi" w:cstheme="minorBidi"/>
          <w:i w:val="0"/>
          <w:sz w:val="22"/>
          <w:szCs w:val="22"/>
        </w:rPr>
      </w:pPr>
      <w:r>
        <w:t xml:space="preserve">6.1 </w:t>
      </w:r>
      <w:r>
        <w:rPr>
          <w:rFonts w:asciiTheme="minorHAnsi" w:eastAsiaTheme="minorEastAsia" w:hAnsiTheme="minorHAnsi" w:cstheme="minorBidi"/>
          <w:i w:val="0"/>
          <w:sz w:val="22"/>
          <w:szCs w:val="22"/>
        </w:rPr>
        <w:tab/>
      </w:r>
      <w:r>
        <w:t>MCO Performance</w:t>
      </w:r>
      <w:r>
        <w:tab/>
      </w:r>
      <w:r>
        <w:fldChar w:fldCharType="begin"/>
      </w:r>
      <w:r>
        <w:instrText xml:space="preserve"> PAGEREF _Toc8128980 \h </w:instrText>
      </w:r>
      <w:r>
        <w:fldChar w:fldCharType="separate"/>
      </w:r>
      <w:r>
        <w:t>32</w:t>
      </w:r>
      <w:r>
        <w:fldChar w:fldCharType="end"/>
      </w:r>
    </w:p>
    <w:p w14:paraId="25587755" w14:textId="77777777" w:rsidR="00613ED8" w:rsidRDefault="00613ED8">
      <w:pPr>
        <w:pStyle w:val="TOC3"/>
        <w:rPr>
          <w:rFonts w:asciiTheme="minorHAnsi" w:eastAsiaTheme="minorEastAsia" w:hAnsiTheme="minorHAnsi" w:cstheme="minorBidi"/>
          <w:i w:val="0"/>
          <w:sz w:val="22"/>
          <w:szCs w:val="22"/>
        </w:rPr>
      </w:pPr>
      <w:r>
        <w:t xml:space="preserve">6.2 </w:t>
      </w:r>
      <w:r>
        <w:rPr>
          <w:rFonts w:asciiTheme="minorHAnsi" w:eastAsiaTheme="minorEastAsia" w:hAnsiTheme="minorHAnsi" w:cstheme="minorBidi"/>
          <w:i w:val="0"/>
          <w:sz w:val="22"/>
          <w:szCs w:val="22"/>
        </w:rPr>
        <w:tab/>
      </w:r>
      <w:r>
        <w:t>Corrective Action Plan (CAP)</w:t>
      </w:r>
      <w:r>
        <w:tab/>
      </w:r>
      <w:r>
        <w:fldChar w:fldCharType="begin"/>
      </w:r>
      <w:r>
        <w:instrText xml:space="preserve"> PAGEREF _Toc8128981 \h </w:instrText>
      </w:r>
      <w:r>
        <w:fldChar w:fldCharType="separate"/>
      </w:r>
      <w:r>
        <w:t>33</w:t>
      </w:r>
      <w:r>
        <w:fldChar w:fldCharType="end"/>
      </w:r>
    </w:p>
    <w:p w14:paraId="4DE6B5B2" w14:textId="77777777" w:rsidR="00613ED8" w:rsidRDefault="00613ED8">
      <w:pPr>
        <w:pStyle w:val="TOC3"/>
        <w:rPr>
          <w:rFonts w:asciiTheme="minorHAnsi" w:eastAsiaTheme="minorEastAsia" w:hAnsiTheme="minorHAnsi" w:cstheme="minorBidi"/>
          <w:i w:val="0"/>
          <w:sz w:val="22"/>
          <w:szCs w:val="22"/>
        </w:rPr>
      </w:pPr>
      <w:r>
        <w:t xml:space="preserve">6.3 </w:t>
      </w:r>
      <w:r>
        <w:rPr>
          <w:rFonts w:asciiTheme="minorHAnsi" w:eastAsiaTheme="minorEastAsia" w:hAnsiTheme="minorHAnsi" w:cstheme="minorBidi"/>
          <w:i w:val="0"/>
          <w:sz w:val="22"/>
          <w:szCs w:val="22"/>
        </w:rPr>
        <w:tab/>
      </w:r>
      <w:r>
        <w:t>Conditions Endangering Performance</w:t>
      </w:r>
      <w:r>
        <w:tab/>
      </w:r>
      <w:r>
        <w:fldChar w:fldCharType="begin"/>
      </w:r>
      <w:r>
        <w:instrText xml:space="preserve"> PAGEREF _Toc8128982 \h </w:instrText>
      </w:r>
      <w:r>
        <w:fldChar w:fldCharType="separate"/>
      </w:r>
      <w:r>
        <w:t>34</w:t>
      </w:r>
      <w:r>
        <w:fldChar w:fldCharType="end"/>
      </w:r>
    </w:p>
    <w:p w14:paraId="26D54D63" w14:textId="77777777" w:rsidR="00613ED8" w:rsidRDefault="00613ED8">
      <w:pPr>
        <w:pStyle w:val="TOC3"/>
        <w:rPr>
          <w:rFonts w:asciiTheme="minorHAnsi" w:eastAsiaTheme="minorEastAsia" w:hAnsiTheme="minorHAnsi" w:cstheme="minorBidi"/>
          <w:i w:val="0"/>
          <w:sz w:val="22"/>
          <w:szCs w:val="22"/>
        </w:rPr>
      </w:pPr>
      <w:r>
        <w:t>6.4</w:t>
      </w:r>
      <w:r>
        <w:rPr>
          <w:rFonts w:asciiTheme="minorHAnsi" w:eastAsiaTheme="minorEastAsia" w:hAnsiTheme="minorHAnsi" w:cstheme="minorBidi"/>
          <w:i w:val="0"/>
          <w:sz w:val="22"/>
          <w:szCs w:val="22"/>
        </w:rPr>
        <w:tab/>
      </w:r>
      <w:r>
        <w:t>Failure to Meet Contract Requirements</w:t>
      </w:r>
      <w:r>
        <w:tab/>
      </w:r>
      <w:r>
        <w:fldChar w:fldCharType="begin"/>
      </w:r>
      <w:r>
        <w:instrText xml:space="preserve"> PAGEREF _Toc8128983 \h </w:instrText>
      </w:r>
      <w:r>
        <w:fldChar w:fldCharType="separate"/>
      </w:r>
      <w:r>
        <w:t>35</w:t>
      </w:r>
      <w:r>
        <w:fldChar w:fldCharType="end"/>
      </w:r>
    </w:p>
    <w:p w14:paraId="60069758" w14:textId="77777777" w:rsidR="00613ED8" w:rsidRDefault="00613ED8">
      <w:pPr>
        <w:pStyle w:val="TOC3"/>
        <w:rPr>
          <w:rFonts w:asciiTheme="minorHAnsi" w:eastAsiaTheme="minorEastAsia" w:hAnsiTheme="minorHAnsi" w:cstheme="minorBidi"/>
          <w:i w:val="0"/>
          <w:sz w:val="22"/>
          <w:szCs w:val="22"/>
        </w:rPr>
      </w:pPr>
      <w:r>
        <w:t>6.5</w:t>
      </w:r>
      <w:r>
        <w:rPr>
          <w:rFonts w:asciiTheme="minorHAnsi" w:eastAsiaTheme="minorEastAsia" w:hAnsiTheme="minorHAnsi" w:cstheme="minorBidi"/>
          <w:i w:val="0"/>
          <w:sz w:val="22"/>
          <w:szCs w:val="22"/>
        </w:rPr>
        <w:tab/>
      </w:r>
      <w:r>
        <w:t>Temporary Management</w:t>
      </w:r>
      <w:r>
        <w:tab/>
      </w:r>
      <w:r>
        <w:fldChar w:fldCharType="begin"/>
      </w:r>
      <w:r>
        <w:instrText xml:space="preserve"> PAGEREF _Toc8128984 \h </w:instrText>
      </w:r>
      <w:r>
        <w:fldChar w:fldCharType="separate"/>
      </w:r>
      <w:r>
        <w:t>37</w:t>
      </w:r>
      <w:r>
        <w:fldChar w:fldCharType="end"/>
      </w:r>
    </w:p>
    <w:p w14:paraId="77E8F6A3" w14:textId="77777777" w:rsidR="00613ED8" w:rsidRDefault="00613ED8">
      <w:pPr>
        <w:pStyle w:val="TOC3"/>
        <w:rPr>
          <w:rFonts w:asciiTheme="minorHAnsi" w:eastAsiaTheme="minorEastAsia" w:hAnsiTheme="minorHAnsi" w:cstheme="minorBidi"/>
          <w:i w:val="0"/>
          <w:sz w:val="22"/>
          <w:szCs w:val="22"/>
        </w:rPr>
      </w:pPr>
      <w:r>
        <w:t xml:space="preserve">6.6 </w:t>
      </w:r>
      <w:r>
        <w:rPr>
          <w:rFonts w:asciiTheme="minorHAnsi" w:eastAsiaTheme="minorEastAsia" w:hAnsiTheme="minorHAnsi" w:cstheme="minorBidi"/>
          <w:i w:val="0"/>
          <w:sz w:val="22"/>
          <w:szCs w:val="22"/>
        </w:rPr>
        <w:tab/>
      </w:r>
      <w:r>
        <w:t>Suspension of New Enrollment</w:t>
      </w:r>
      <w:r>
        <w:tab/>
      </w:r>
      <w:r>
        <w:fldChar w:fldCharType="begin"/>
      </w:r>
      <w:r>
        <w:instrText xml:space="preserve"> PAGEREF _Toc8128985 \h </w:instrText>
      </w:r>
      <w:r>
        <w:fldChar w:fldCharType="separate"/>
      </w:r>
      <w:r>
        <w:t>37</w:t>
      </w:r>
      <w:r>
        <w:fldChar w:fldCharType="end"/>
      </w:r>
    </w:p>
    <w:p w14:paraId="3F4ACC18" w14:textId="77777777" w:rsidR="00613ED8" w:rsidRDefault="00613ED8">
      <w:pPr>
        <w:pStyle w:val="TOC3"/>
        <w:rPr>
          <w:rFonts w:asciiTheme="minorHAnsi" w:eastAsiaTheme="minorEastAsia" w:hAnsiTheme="minorHAnsi" w:cstheme="minorBidi"/>
          <w:i w:val="0"/>
          <w:sz w:val="22"/>
          <w:szCs w:val="22"/>
        </w:rPr>
      </w:pPr>
      <w:r>
        <w:t>6.7</w:t>
      </w:r>
      <w:r>
        <w:rPr>
          <w:rFonts w:asciiTheme="minorHAnsi" w:eastAsiaTheme="minorEastAsia" w:hAnsiTheme="minorHAnsi" w:cstheme="minorBidi"/>
          <w:i w:val="0"/>
          <w:sz w:val="22"/>
          <w:szCs w:val="22"/>
        </w:rPr>
        <w:tab/>
      </w:r>
      <w:r>
        <w:t>Payment Suspension</w:t>
      </w:r>
      <w:r>
        <w:tab/>
      </w:r>
      <w:r>
        <w:fldChar w:fldCharType="begin"/>
      </w:r>
      <w:r>
        <w:instrText xml:space="preserve"> PAGEREF _Toc8128986 \h </w:instrText>
      </w:r>
      <w:r>
        <w:fldChar w:fldCharType="separate"/>
      </w:r>
      <w:r>
        <w:t>37</w:t>
      </w:r>
      <w:r>
        <w:fldChar w:fldCharType="end"/>
      </w:r>
    </w:p>
    <w:p w14:paraId="33847861" w14:textId="77777777" w:rsidR="00613ED8" w:rsidRDefault="00613ED8">
      <w:pPr>
        <w:pStyle w:val="TOC3"/>
        <w:rPr>
          <w:rFonts w:asciiTheme="minorHAnsi" w:eastAsiaTheme="minorEastAsia" w:hAnsiTheme="minorHAnsi" w:cstheme="minorBidi"/>
          <w:i w:val="0"/>
          <w:sz w:val="22"/>
          <w:szCs w:val="22"/>
        </w:rPr>
      </w:pPr>
      <w:r>
        <w:t>6.8</w:t>
      </w:r>
      <w:r>
        <w:rPr>
          <w:rFonts w:asciiTheme="minorHAnsi" w:eastAsiaTheme="minorEastAsia" w:hAnsiTheme="minorHAnsi" w:cstheme="minorBidi"/>
          <w:i w:val="0"/>
          <w:sz w:val="22"/>
          <w:szCs w:val="22"/>
        </w:rPr>
        <w:tab/>
      </w:r>
      <w:r>
        <w:t>Dispute Resolution</w:t>
      </w:r>
      <w:r>
        <w:tab/>
      </w:r>
      <w:r>
        <w:fldChar w:fldCharType="begin"/>
      </w:r>
      <w:r>
        <w:instrText xml:space="preserve"> PAGEREF _Toc8128987 \h </w:instrText>
      </w:r>
      <w:r>
        <w:fldChar w:fldCharType="separate"/>
      </w:r>
      <w:r>
        <w:t>38</w:t>
      </w:r>
      <w:r>
        <w:fldChar w:fldCharType="end"/>
      </w:r>
    </w:p>
    <w:p w14:paraId="7C0AFBE6" w14:textId="77777777" w:rsidR="00613ED8" w:rsidRDefault="00613ED8">
      <w:pPr>
        <w:pStyle w:val="TOC3"/>
        <w:rPr>
          <w:rFonts w:asciiTheme="minorHAnsi" w:eastAsiaTheme="minorEastAsia" w:hAnsiTheme="minorHAnsi" w:cstheme="minorBidi"/>
          <w:i w:val="0"/>
          <w:sz w:val="22"/>
          <w:szCs w:val="22"/>
        </w:rPr>
      </w:pPr>
      <w:r>
        <w:t>6.9</w:t>
      </w:r>
      <w:r>
        <w:rPr>
          <w:rFonts w:asciiTheme="minorHAnsi" w:eastAsiaTheme="minorEastAsia" w:hAnsiTheme="minorHAnsi" w:cstheme="minorBidi"/>
          <w:i w:val="0"/>
          <w:sz w:val="22"/>
          <w:szCs w:val="22"/>
        </w:rPr>
        <w:tab/>
      </w:r>
      <w:r>
        <w:t>Termination For Default</w:t>
      </w:r>
      <w:r>
        <w:tab/>
      </w:r>
      <w:r>
        <w:fldChar w:fldCharType="begin"/>
      </w:r>
      <w:r>
        <w:instrText xml:space="preserve"> PAGEREF _Toc8128988 \h </w:instrText>
      </w:r>
      <w:r>
        <w:fldChar w:fldCharType="separate"/>
      </w:r>
      <w:r>
        <w:t>39</w:t>
      </w:r>
      <w:r>
        <w:fldChar w:fldCharType="end"/>
      </w:r>
    </w:p>
    <w:p w14:paraId="4C6E9E84" w14:textId="77777777" w:rsidR="00613ED8" w:rsidRDefault="00613ED8">
      <w:pPr>
        <w:pStyle w:val="TOC3"/>
        <w:rPr>
          <w:rFonts w:asciiTheme="minorHAnsi" w:eastAsiaTheme="minorEastAsia" w:hAnsiTheme="minorHAnsi" w:cstheme="minorBidi"/>
          <w:i w:val="0"/>
          <w:sz w:val="22"/>
          <w:szCs w:val="22"/>
        </w:rPr>
      </w:pPr>
      <w:r>
        <w:t xml:space="preserve">6.10 </w:t>
      </w:r>
      <w:r>
        <w:rPr>
          <w:rFonts w:asciiTheme="minorHAnsi" w:eastAsiaTheme="minorEastAsia" w:hAnsiTheme="minorHAnsi" w:cstheme="minorBidi"/>
          <w:i w:val="0"/>
          <w:sz w:val="22"/>
          <w:szCs w:val="22"/>
        </w:rPr>
        <w:tab/>
      </w:r>
      <w:r>
        <w:t>Termination for Convenience</w:t>
      </w:r>
      <w:r>
        <w:tab/>
      </w:r>
      <w:r>
        <w:fldChar w:fldCharType="begin"/>
      </w:r>
      <w:r>
        <w:instrText xml:space="preserve"> PAGEREF _Toc8128989 \h </w:instrText>
      </w:r>
      <w:r>
        <w:fldChar w:fldCharType="separate"/>
      </w:r>
      <w:r>
        <w:t>41</w:t>
      </w:r>
      <w:r>
        <w:fldChar w:fldCharType="end"/>
      </w:r>
    </w:p>
    <w:p w14:paraId="4AC40073" w14:textId="77777777" w:rsidR="00613ED8" w:rsidRDefault="00613ED8">
      <w:pPr>
        <w:pStyle w:val="TOC3"/>
        <w:rPr>
          <w:rFonts w:asciiTheme="minorHAnsi" w:eastAsiaTheme="minorEastAsia" w:hAnsiTheme="minorHAnsi" w:cstheme="minorBidi"/>
          <w:i w:val="0"/>
          <w:sz w:val="22"/>
          <w:szCs w:val="22"/>
        </w:rPr>
      </w:pPr>
      <w:r>
        <w:t xml:space="preserve">6.11 </w:t>
      </w:r>
      <w:r>
        <w:rPr>
          <w:rFonts w:asciiTheme="minorHAnsi" w:eastAsiaTheme="minorEastAsia" w:hAnsiTheme="minorHAnsi" w:cstheme="minorBidi"/>
          <w:i w:val="0"/>
          <w:sz w:val="22"/>
          <w:szCs w:val="22"/>
        </w:rPr>
        <w:tab/>
      </w:r>
      <w:r>
        <w:t>Termination Due to Change in Law, Interpretation of Law, or Binding Court Decision</w:t>
      </w:r>
      <w:r>
        <w:tab/>
      </w:r>
      <w:r>
        <w:fldChar w:fldCharType="begin"/>
      </w:r>
      <w:r>
        <w:instrText xml:space="preserve"> PAGEREF _Toc8128990 \h </w:instrText>
      </w:r>
      <w:r>
        <w:fldChar w:fldCharType="separate"/>
      </w:r>
      <w:r>
        <w:t>41</w:t>
      </w:r>
      <w:r>
        <w:fldChar w:fldCharType="end"/>
      </w:r>
    </w:p>
    <w:p w14:paraId="5C521517" w14:textId="77777777" w:rsidR="00613ED8" w:rsidRDefault="00613ED8">
      <w:pPr>
        <w:pStyle w:val="TOC3"/>
        <w:rPr>
          <w:rFonts w:asciiTheme="minorHAnsi" w:eastAsiaTheme="minorEastAsia" w:hAnsiTheme="minorHAnsi" w:cstheme="minorBidi"/>
          <w:i w:val="0"/>
          <w:sz w:val="22"/>
          <w:szCs w:val="22"/>
        </w:rPr>
      </w:pPr>
      <w:r>
        <w:t xml:space="preserve">6.12 </w:t>
      </w:r>
      <w:r>
        <w:rPr>
          <w:rFonts w:asciiTheme="minorHAnsi" w:eastAsiaTheme="minorEastAsia" w:hAnsiTheme="minorHAnsi" w:cstheme="minorBidi"/>
          <w:i w:val="0"/>
          <w:sz w:val="22"/>
          <w:szCs w:val="22"/>
        </w:rPr>
        <w:tab/>
      </w:r>
      <w:r>
        <w:t>Termination for Managed Care Organization Bankruptcy</w:t>
      </w:r>
      <w:r>
        <w:tab/>
      </w:r>
      <w:r>
        <w:fldChar w:fldCharType="begin"/>
      </w:r>
      <w:r>
        <w:instrText xml:space="preserve"> PAGEREF _Toc8128991 \h </w:instrText>
      </w:r>
      <w:r>
        <w:fldChar w:fldCharType="separate"/>
      </w:r>
      <w:r>
        <w:t>41</w:t>
      </w:r>
      <w:r>
        <w:fldChar w:fldCharType="end"/>
      </w:r>
    </w:p>
    <w:p w14:paraId="540000FA" w14:textId="77777777" w:rsidR="00613ED8" w:rsidRDefault="00613ED8">
      <w:pPr>
        <w:pStyle w:val="TOC3"/>
        <w:rPr>
          <w:rFonts w:asciiTheme="minorHAnsi" w:eastAsiaTheme="minorEastAsia" w:hAnsiTheme="minorHAnsi" w:cstheme="minorBidi"/>
          <w:i w:val="0"/>
          <w:sz w:val="22"/>
          <w:szCs w:val="22"/>
        </w:rPr>
      </w:pPr>
      <w:r>
        <w:t>6.13</w:t>
      </w:r>
      <w:r>
        <w:rPr>
          <w:rFonts w:asciiTheme="minorHAnsi" w:eastAsiaTheme="minorEastAsia" w:hAnsiTheme="minorHAnsi" w:cstheme="minorBidi"/>
          <w:i w:val="0"/>
          <w:sz w:val="22"/>
          <w:szCs w:val="22"/>
        </w:rPr>
        <w:tab/>
      </w:r>
      <w:r>
        <w:t>Termination for Unavailability of Funds</w:t>
      </w:r>
      <w:r>
        <w:tab/>
      </w:r>
      <w:r>
        <w:fldChar w:fldCharType="begin"/>
      </w:r>
      <w:r>
        <w:instrText xml:space="preserve"> PAGEREF _Toc8128992 \h </w:instrText>
      </w:r>
      <w:r>
        <w:fldChar w:fldCharType="separate"/>
      </w:r>
      <w:r>
        <w:t>41</w:t>
      </w:r>
      <w:r>
        <w:fldChar w:fldCharType="end"/>
      </w:r>
    </w:p>
    <w:p w14:paraId="1F3246B2" w14:textId="77777777" w:rsidR="00613ED8" w:rsidRDefault="00613ED8">
      <w:pPr>
        <w:pStyle w:val="TOC3"/>
        <w:rPr>
          <w:rFonts w:asciiTheme="minorHAnsi" w:eastAsiaTheme="minorEastAsia" w:hAnsiTheme="minorHAnsi" w:cstheme="minorBidi"/>
          <w:i w:val="0"/>
          <w:sz w:val="22"/>
          <w:szCs w:val="22"/>
        </w:rPr>
      </w:pPr>
      <w:r>
        <w:t xml:space="preserve">6.14 </w:t>
      </w:r>
      <w:r>
        <w:rPr>
          <w:rFonts w:asciiTheme="minorHAnsi" w:eastAsiaTheme="minorEastAsia" w:hAnsiTheme="minorHAnsi" w:cstheme="minorBidi"/>
          <w:i w:val="0"/>
          <w:sz w:val="22"/>
          <w:szCs w:val="22"/>
        </w:rPr>
        <w:tab/>
      </w:r>
      <w:r>
        <w:t>Termination Obligations of Contracting Parties</w:t>
      </w:r>
      <w:r>
        <w:tab/>
      </w:r>
      <w:r>
        <w:fldChar w:fldCharType="begin"/>
      </w:r>
      <w:r>
        <w:instrText xml:space="preserve"> PAGEREF _Toc8128993 \h </w:instrText>
      </w:r>
      <w:r>
        <w:fldChar w:fldCharType="separate"/>
      </w:r>
      <w:r>
        <w:t>42</w:t>
      </w:r>
      <w:r>
        <w:fldChar w:fldCharType="end"/>
      </w:r>
    </w:p>
    <w:p w14:paraId="66CEE644" w14:textId="77777777" w:rsidR="00613ED8" w:rsidRDefault="00613ED8">
      <w:pPr>
        <w:pStyle w:val="TOC3"/>
        <w:rPr>
          <w:rFonts w:asciiTheme="minorHAnsi" w:eastAsiaTheme="minorEastAsia" w:hAnsiTheme="minorHAnsi" w:cstheme="minorBidi"/>
          <w:i w:val="0"/>
          <w:sz w:val="22"/>
          <w:szCs w:val="22"/>
        </w:rPr>
      </w:pPr>
      <w:r>
        <w:t xml:space="preserve">6.15 </w:t>
      </w:r>
      <w:r>
        <w:rPr>
          <w:rFonts w:asciiTheme="minorHAnsi" w:eastAsiaTheme="minorEastAsia" w:hAnsiTheme="minorHAnsi" w:cstheme="minorBidi"/>
          <w:i w:val="0"/>
          <w:sz w:val="22"/>
          <w:szCs w:val="22"/>
        </w:rPr>
        <w:tab/>
      </w:r>
      <w:r>
        <w:t>MCO Operations Transition</w:t>
      </w:r>
      <w:r>
        <w:tab/>
      </w:r>
      <w:r>
        <w:fldChar w:fldCharType="begin"/>
      </w:r>
      <w:r>
        <w:instrText xml:space="preserve"> PAGEREF _Toc8128994 \h </w:instrText>
      </w:r>
      <w:r>
        <w:fldChar w:fldCharType="separate"/>
      </w:r>
      <w:r>
        <w:t>43</w:t>
      </w:r>
      <w:r>
        <w:fldChar w:fldCharType="end"/>
      </w:r>
    </w:p>
    <w:p w14:paraId="2A64A31C" w14:textId="77777777" w:rsidR="00613ED8" w:rsidRDefault="00613ED8">
      <w:pPr>
        <w:pStyle w:val="TOC3"/>
        <w:rPr>
          <w:rFonts w:asciiTheme="minorHAnsi" w:eastAsiaTheme="minorEastAsia" w:hAnsiTheme="minorHAnsi" w:cstheme="minorBidi"/>
          <w:i w:val="0"/>
          <w:sz w:val="22"/>
          <w:szCs w:val="22"/>
        </w:rPr>
      </w:pPr>
      <w:r>
        <w:t>6.16</w:t>
      </w:r>
      <w:r>
        <w:rPr>
          <w:rFonts w:asciiTheme="minorHAnsi" w:eastAsiaTheme="minorEastAsia" w:hAnsiTheme="minorHAnsi" w:cstheme="minorBidi"/>
          <w:i w:val="0"/>
          <w:sz w:val="22"/>
          <w:szCs w:val="22"/>
        </w:rPr>
        <w:tab/>
      </w:r>
      <w:r>
        <w:t>Cooperation with Other Contractors and Prospective Contractors</w:t>
      </w:r>
      <w:r>
        <w:tab/>
      </w:r>
      <w:r>
        <w:fldChar w:fldCharType="begin"/>
      </w:r>
      <w:r>
        <w:instrText xml:space="preserve"> PAGEREF _Toc8128995 \h </w:instrText>
      </w:r>
      <w:r>
        <w:fldChar w:fldCharType="separate"/>
      </w:r>
      <w:r>
        <w:t>44</w:t>
      </w:r>
      <w:r>
        <w:fldChar w:fldCharType="end"/>
      </w:r>
    </w:p>
    <w:p w14:paraId="71D22BEE" w14:textId="77777777" w:rsidR="00613ED8" w:rsidRDefault="00613ED8">
      <w:pPr>
        <w:pStyle w:val="TOC3"/>
        <w:rPr>
          <w:rFonts w:asciiTheme="minorHAnsi" w:eastAsiaTheme="minorEastAsia" w:hAnsiTheme="minorHAnsi" w:cstheme="minorBidi"/>
          <w:i w:val="0"/>
          <w:sz w:val="22"/>
          <w:szCs w:val="22"/>
        </w:rPr>
      </w:pPr>
      <w:r>
        <w:t xml:space="preserve">6.17 </w:t>
      </w:r>
      <w:r>
        <w:rPr>
          <w:rFonts w:asciiTheme="minorHAnsi" w:eastAsiaTheme="minorEastAsia" w:hAnsiTheme="minorHAnsi" w:cstheme="minorBidi"/>
          <w:i w:val="0"/>
          <w:sz w:val="22"/>
          <w:szCs w:val="22"/>
        </w:rPr>
        <w:tab/>
      </w:r>
      <w:r>
        <w:t>Waiver of Default or Breach</w:t>
      </w:r>
      <w:r>
        <w:tab/>
      </w:r>
      <w:r>
        <w:fldChar w:fldCharType="begin"/>
      </w:r>
      <w:r>
        <w:instrText xml:space="preserve"> PAGEREF _Toc8128996 \h </w:instrText>
      </w:r>
      <w:r>
        <w:fldChar w:fldCharType="separate"/>
      </w:r>
      <w:r>
        <w:t>44</w:t>
      </w:r>
      <w:r>
        <w:fldChar w:fldCharType="end"/>
      </w:r>
    </w:p>
    <w:p w14:paraId="26EC4399" w14:textId="77777777" w:rsidR="00613ED8" w:rsidRDefault="00613ED8">
      <w:pPr>
        <w:pStyle w:val="TOC3"/>
        <w:rPr>
          <w:rFonts w:asciiTheme="minorHAnsi" w:eastAsiaTheme="minorEastAsia" w:hAnsiTheme="minorHAnsi" w:cstheme="minorBidi"/>
          <w:i w:val="0"/>
          <w:sz w:val="22"/>
          <w:szCs w:val="22"/>
        </w:rPr>
      </w:pPr>
      <w:r>
        <w:t xml:space="preserve">6.18 </w:t>
      </w:r>
      <w:r>
        <w:rPr>
          <w:rFonts w:asciiTheme="minorHAnsi" w:eastAsiaTheme="minorEastAsia" w:hAnsiTheme="minorHAnsi" w:cstheme="minorBidi"/>
          <w:i w:val="0"/>
          <w:sz w:val="22"/>
          <w:szCs w:val="22"/>
        </w:rPr>
        <w:tab/>
      </w:r>
      <w:r>
        <w:t>Severability</w:t>
      </w:r>
      <w:r>
        <w:tab/>
      </w:r>
      <w:r>
        <w:fldChar w:fldCharType="begin"/>
      </w:r>
      <w:r>
        <w:instrText xml:space="preserve"> PAGEREF _Toc8128997 \h </w:instrText>
      </w:r>
      <w:r>
        <w:fldChar w:fldCharType="separate"/>
      </w:r>
      <w:r>
        <w:t>44</w:t>
      </w:r>
      <w:r>
        <w:fldChar w:fldCharType="end"/>
      </w:r>
    </w:p>
    <w:p w14:paraId="50E9FB0E" w14:textId="77777777" w:rsidR="00613ED8" w:rsidRDefault="00613ED8">
      <w:pPr>
        <w:pStyle w:val="TOC3"/>
        <w:rPr>
          <w:rFonts w:asciiTheme="minorHAnsi" w:eastAsiaTheme="minorEastAsia" w:hAnsiTheme="minorHAnsi" w:cstheme="minorBidi"/>
          <w:i w:val="0"/>
          <w:sz w:val="22"/>
          <w:szCs w:val="22"/>
        </w:rPr>
      </w:pPr>
      <w:r>
        <w:t xml:space="preserve">6.19 </w:t>
      </w:r>
      <w:r>
        <w:rPr>
          <w:rFonts w:asciiTheme="minorHAnsi" w:eastAsiaTheme="minorEastAsia" w:hAnsiTheme="minorHAnsi" w:cstheme="minorBidi"/>
          <w:i w:val="0"/>
          <w:sz w:val="22"/>
          <w:szCs w:val="22"/>
        </w:rPr>
        <w:tab/>
      </w:r>
      <w:r>
        <w:t>Modification of the Contract in the Event of Remedies</w:t>
      </w:r>
      <w:r>
        <w:tab/>
      </w:r>
      <w:r>
        <w:fldChar w:fldCharType="begin"/>
      </w:r>
      <w:r>
        <w:instrText xml:space="preserve"> PAGEREF _Toc8128998 \h </w:instrText>
      </w:r>
      <w:r>
        <w:fldChar w:fldCharType="separate"/>
      </w:r>
      <w:r>
        <w:t>44</w:t>
      </w:r>
      <w:r>
        <w:fldChar w:fldCharType="end"/>
      </w:r>
    </w:p>
    <w:p w14:paraId="3B5123F3" w14:textId="77777777" w:rsidR="00613ED8" w:rsidRDefault="00613ED8">
      <w:pPr>
        <w:pStyle w:val="TOC2"/>
        <w:rPr>
          <w:rFonts w:asciiTheme="minorHAnsi" w:eastAsiaTheme="minorEastAsia" w:hAnsiTheme="minorHAnsi" w:cstheme="minorBidi"/>
          <w:smallCaps w:val="0"/>
          <w:sz w:val="22"/>
          <w:szCs w:val="22"/>
        </w:rPr>
      </w:pPr>
      <w:r>
        <w:t>7. POST-AWARD READINESS REVIEW</w:t>
      </w:r>
      <w:r>
        <w:tab/>
      </w:r>
      <w:r>
        <w:fldChar w:fldCharType="begin"/>
      </w:r>
      <w:r>
        <w:instrText xml:space="preserve"> PAGEREF _Toc8128999 \h </w:instrText>
      </w:r>
      <w:r>
        <w:fldChar w:fldCharType="separate"/>
      </w:r>
      <w:r>
        <w:t>44</w:t>
      </w:r>
      <w:r>
        <w:fldChar w:fldCharType="end"/>
      </w:r>
    </w:p>
    <w:p w14:paraId="32DCEF47" w14:textId="77777777" w:rsidR="00613ED8" w:rsidRDefault="00613ED8">
      <w:pPr>
        <w:pStyle w:val="TOC2"/>
        <w:rPr>
          <w:rFonts w:asciiTheme="minorHAnsi" w:eastAsiaTheme="minorEastAsia" w:hAnsiTheme="minorHAnsi" w:cstheme="minorBidi"/>
          <w:smallCaps w:val="0"/>
          <w:sz w:val="22"/>
          <w:szCs w:val="22"/>
        </w:rPr>
      </w:pPr>
      <w:r>
        <w:t>8. OTHER REQUIREMENTS</w:t>
      </w:r>
      <w:r>
        <w:tab/>
      </w:r>
      <w:r>
        <w:fldChar w:fldCharType="begin"/>
      </w:r>
      <w:r>
        <w:instrText xml:space="preserve"> PAGEREF _Toc8129000 \h </w:instrText>
      </w:r>
      <w:r>
        <w:fldChar w:fldCharType="separate"/>
      </w:r>
      <w:r>
        <w:t>45</w:t>
      </w:r>
      <w:r>
        <w:fldChar w:fldCharType="end"/>
      </w:r>
    </w:p>
    <w:p w14:paraId="60D45401" w14:textId="77777777" w:rsidR="00613ED8" w:rsidRDefault="00613ED8">
      <w:pPr>
        <w:pStyle w:val="TOC3"/>
        <w:rPr>
          <w:rFonts w:asciiTheme="minorHAnsi" w:eastAsiaTheme="minorEastAsia" w:hAnsiTheme="minorHAnsi" w:cstheme="minorBidi"/>
          <w:i w:val="0"/>
          <w:sz w:val="22"/>
          <w:szCs w:val="22"/>
        </w:rPr>
      </w:pPr>
      <w:r>
        <w:t>8.1</w:t>
      </w:r>
      <w:r>
        <w:rPr>
          <w:rFonts w:asciiTheme="minorHAnsi" w:eastAsiaTheme="minorEastAsia" w:hAnsiTheme="minorHAnsi" w:cstheme="minorBidi"/>
          <w:i w:val="0"/>
          <w:sz w:val="22"/>
          <w:szCs w:val="22"/>
        </w:rPr>
        <w:tab/>
      </w:r>
      <w:r>
        <w:t>Inspection of Facilities</w:t>
      </w:r>
      <w:r>
        <w:tab/>
      </w:r>
      <w:r>
        <w:fldChar w:fldCharType="begin"/>
      </w:r>
      <w:r>
        <w:instrText xml:space="preserve"> PAGEREF _Toc8129001 \h </w:instrText>
      </w:r>
      <w:r>
        <w:fldChar w:fldCharType="separate"/>
      </w:r>
      <w:r>
        <w:t>45</w:t>
      </w:r>
      <w:r>
        <w:fldChar w:fldCharType="end"/>
      </w:r>
    </w:p>
    <w:p w14:paraId="4CA782B4" w14:textId="77777777" w:rsidR="00613ED8" w:rsidRDefault="00613ED8">
      <w:pPr>
        <w:pStyle w:val="TOC3"/>
        <w:rPr>
          <w:rFonts w:asciiTheme="minorHAnsi" w:eastAsiaTheme="minorEastAsia" w:hAnsiTheme="minorHAnsi" w:cstheme="minorBidi"/>
          <w:i w:val="0"/>
          <w:sz w:val="22"/>
          <w:szCs w:val="22"/>
        </w:rPr>
      </w:pPr>
      <w:r>
        <w:t>8.2</w:t>
      </w:r>
      <w:r>
        <w:rPr>
          <w:rFonts w:asciiTheme="minorHAnsi" w:eastAsiaTheme="minorEastAsia" w:hAnsiTheme="minorHAnsi" w:cstheme="minorBidi"/>
          <w:i w:val="0"/>
          <w:sz w:val="22"/>
          <w:szCs w:val="22"/>
        </w:rPr>
        <w:tab/>
      </w:r>
      <w:r>
        <w:t>MCO Requirements Related to Information Systems</w:t>
      </w:r>
      <w:r>
        <w:tab/>
      </w:r>
      <w:r>
        <w:fldChar w:fldCharType="begin"/>
      </w:r>
      <w:r>
        <w:instrText xml:space="preserve"> PAGEREF _Toc8129002 \h </w:instrText>
      </w:r>
      <w:r>
        <w:fldChar w:fldCharType="separate"/>
      </w:r>
      <w:r>
        <w:t>46</w:t>
      </w:r>
      <w:r>
        <w:fldChar w:fldCharType="end"/>
      </w:r>
    </w:p>
    <w:p w14:paraId="514E1326" w14:textId="77777777" w:rsidR="00613ED8" w:rsidRDefault="00613ED8">
      <w:pPr>
        <w:pStyle w:val="TOC3"/>
        <w:rPr>
          <w:rFonts w:asciiTheme="minorHAnsi" w:eastAsiaTheme="minorEastAsia" w:hAnsiTheme="minorHAnsi" w:cstheme="minorBidi"/>
          <w:i w:val="0"/>
          <w:sz w:val="22"/>
          <w:szCs w:val="22"/>
        </w:rPr>
      </w:pPr>
      <w:r>
        <w:lastRenderedPageBreak/>
        <w:t>8.3 Maintenance and Examination of Records</w:t>
      </w:r>
      <w:r>
        <w:tab/>
      </w:r>
      <w:r>
        <w:fldChar w:fldCharType="begin"/>
      </w:r>
      <w:r>
        <w:instrText xml:space="preserve"> PAGEREF _Toc8129003 \h </w:instrText>
      </w:r>
      <w:r>
        <w:fldChar w:fldCharType="separate"/>
      </w:r>
      <w:r>
        <w:t>46</w:t>
      </w:r>
      <w:r>
        <w:fldChar w:fldCharType="end"/>
      </w:r>
    </w:p>
    <w:p w14:paraId="3B4177E4" w14:textId="77777777" w:rsidR="00613ED8" w:rsidRDefault="00613ED8">
      <w:pPr>
        <w:pStyle w:val="TOC3"/>
        <w:rPr>
          <w:rFonts w:asciiTheme="minorHAnsi" w:eastAsiaTheme="minorEastAsia" w:hAnsiTheme="minorHAnsi" w:cstheme="minorBidi"/>
          <w:i w:val="0"/>
          <w:sz w:val="22"/>
          <w:szCs w:val="22"/>
        </w:rPr>
      </w:pPr>
      <w:r>
        <w:t>8.4</w:t>
      </w:r>
      <w:r>
        <w:rPr>
          <w:rFonts w:asciiTheme="minorHAnsi" w:eastAsiaTheme="minorEastAsia" w:hAnsiTheme="minorHAnsi" w:cstheme="minorBidi"/>
          <w:i w:val="0"/>
          <w:sz w:val="22"/>
          <w:szCs w:val="22"/>
        </w:rPr>
        <w:tab/>
      </w:r>
      <w:r>
        <w:t>Audit Accounting and Retention of Records</w:t>
      </w:r>
      <w:r>
        <w:tab/>
      </w:r>
      <w:r>
        <w:fldChar w:fldCharType="begin"/>
      </w:r>
      <w:r>
        <w:instrText xml:space="preserve"> PAGEREF _Toc8129004 \h </w:instrText>
      </w:r>
      <w:r>
        <w:fldChar w:fldCharType="separate"/>
      </w:r>
      <w:r>
        <w:t>47</w:t>
      </w:r>
      <w:r>
        <w:fldChar w:fldCharType="end"/>
      </w:r>
    </w:p>
    <w:p w14:paraId="59A12C8F" w14:textId="77777777" w:rsidR="00613ED8" w:rsidRDefault="00613ED8">
      <w:pPr>
        <w:pStyle w:val="TOC3"/>
        <w:rPr>
          <w:rFonts w:asciiTheme="minorHAnsi" w:eastAsiaTheme="minorEastAsia" w:hAnsiTheme="minorHAnsi" w:cstheme="minorBidi"/>
          <w:i w:val="0"/>
          <w:sz w:val="22"/>
          <w:szCs w:val="22"/>
        </w:rPr>
      </w:pPr>
      <w:r>
        <w:t>8.5</w:t>
      </w:r>
      <w:r>
        <w:rPr>
          <w:rFonts w:asciiTheme="minorHAnsi" w:eastAsiaTheme="minorEastAsia" w:hAnsiTheme="minorHAnsi" w:cstheme="minorBidi"/>
          <w:i w:val="0"/>
          <w:sz w:val="22"/>
          <w:szCs w:val="22"/>
        </w:rPr>
        <w:tab/>
      </w:r>
      <w:r>
        <w:t>Subcontracts</w:t>
      </w:r>
      <w:r>
        <w:tab/>
      </w:r>
      <w:r>
        <w:fldChar w:fldCharType="begin"/>
      </w:r>
      <w:r>
        <w:instrText xml:space="preserve"> PAGEREF _Toc8129005 \h </w:instrText>
      </w:r>
      <w:r>
        <w:fldChar w:fldCharType="separate"/>
      </w:r>
      <w:r>
        <w:t>48</w:t>
      </w:r>
      <w:r>
        <w:fldChar w:fldCharType="end"/>
      </w:r>
    </w:p>
    <w:p w14:paraId="173755C6" w14:textId="77777777" w:rsidR="00613ED8" w:rsidRDefault="00613ED8">
      <w:pPr>
        <w:pStyle w:val="TOC2"/>
        <w:rPr>
          <w:rFonts w:asciiTheme="minorHAnsi" w:eastAsiaTheme="minorEastAsia" w:hAnsiTheme="minorHAnsi" w:cstheme="minorBidi"/>
          <w:smallCaps w:val="0"/>
          <w:sz w:val="22"/>
          <w:szCs w:val="22"/>
        </w:rPr>
      </w:pPr>
      <w:r>
        <w:t>9. SIGNATURES</w:t>
      </w:r>
      <w:r>
        <w:tab/>
      </w:r>
      <w:r>
        <w:fldChar w:fldCharType="begin"/>
      </w:r>
      <w:r>
        <w:instrText xml:space="preserve"> PAGEREF _Toc8129006 \h </w:instrText>
      </w:r>
      <w:r>
        <w:fldChar w:fldCharType="separate"/>
      </w:r>
      <w:r>
        <w:t>54</w:t>
      </w:r>
      <w:r>
        <w:fldChar w:fldCharType="end"/>
      </w:r>
    </w:p>
    <w:p w14:paraId="40E24F04" w14:textId="77777777" w:rsidR="00613ED8" w:rsidRDefault="00613ED8">
      <w:pPr>
        <w:pStyle w:val="TOC1"/>
        <w:rPr>
          <w:rFonts w:asciiTheme="minorHAnsi" w:eastAsiaTheme="minorEastAsia" w:hAnsiTheme="minorHAnsi" w:cstheme="minorBidi"/>
          <w:b w:val="0"/>
          <w:caps w:val="0"/>
          <w:sz w:val="22"/>
          <w:szCs w:val="22"/>
        </w:rPr>
      </w:pPr>
      <w:r>
        <w:t>Article III: Statement of Work</w:t>
      </w:r>
      <w:r>
        <w:tab/>
      </w:r>
      <w:r>
        <w:fldChar w:fldCharType="begin"/>
      </w:r>
      <w:r>
        <w:instrText xml:space="preserve"> PAGEREF _Toc8129007 \h </w:instrText>
      </w:r>
      <w:r>
        <w:fldChar w:fldCharType="separate"/>
      </w:r>
      <w:r>
        <w:t>55</w:t>
      </w:r>
      <w:r>
        <w:fldChar w:fldCharType="end"/>
      </w:r>
    </w:p>
    <w:p w14:paraId="44FE2E3C" w14:textId="77777777" w:rsidR="00613ED8" w:rsidRDefault="00613ED8">
      <w:pPr>
        <w:pStyle w:val="TOC2"/>
        <w:rPr>
          <w:rFonts w:asciiTheme="minorHAnsi" w:eastAsiaTheme="minorEastAsia" w:hAnsiTheme="minorHAnsi" w:cstheme="minorBidi"/>
          <w:smallCaps w:val="0"/>
          <w:sz w:val="22"/>
          <w:szCs w:val="22"/>
        </w:rPr>
      </w:pPr>
      <w:r>
        <w:t>1. COVERED POPULATIONS</w:t>
      </w:r>
      <w:r>
        <w:tab/>
      </w:r>
      <w:r>
        <w:fldChar w:fldCharType="begin"/>
      </w:r>
      <w:r>
        <w:instrText xml:space="preserve"> PAGEREF _Toc8129008 \h </w:instrText>
      </w:r>
      <w:r>
        <w:fldChar w:fldCharType="separate"/>
      </w:r>
      <w:r>
        <w:t>55</w:t>
      </w:r>
      <w:r>
        <w:fldChar w:fldCharType="end"/>
      </w:r>
    </w:p>
    <w:p w14:paraId="66408F35" w14:textId="77777777" w:rsidR="00613ED8" w:rsidRDefault="00613ED8">
      <w:pPr>
        <w:pStyle w:val="TOC2"/>
        <w:rPr>
          <w:rFonts w:asciiTheme="minorHAnsi" w:eastAsiaTheme="minorEastAsia" w:hAnsiTheme="minorHAnsi" w:cstheme="minorBidi"/>
          <w:smallCaps w:val="0"/>
          <w:sz w:val="22"/>
          <w:szCs w:val="22"/>
        </w:rPr>
      </w:pPr>
      <w:r>
        <w:t>2. COVERED SERVICES</w:t>
      </w:r>
      <w:r>
        <w:tab/>
      </w:r>
      <w:r>
        <w:fldChar w:fldCharType="begin"/>
      </w:r>
      <w:r>
        <w:instrText xml:space="preserve"> PAGEREF _Toc8129009 \h </w:instrText>
      </w:r>
      <w:r>
        <w:fldChar w:fldCharType="separate"/>
      </w:r>
      <w:r>
        <w:t>55</w:t>
      </w:r>
      <w:r>
        <w:fldChar w:fldCharType="end"/>
      </w:r>
    </w:p>
    <w:p w14:paraId="55C2D52B" w14:textId="77777777" w:rsidR="00613ED8" w:rsidRDefault="00613ED8">
      <w:pPr>
        <w:pStyle w:val="TOC3"/>
        <w:rPr>
          <w:rFonts w:asciiTheme="minorHAnsi" w:eastAsiaTheme="minorEastAsia" w:hAnsiTheme="minorHAnsi" w:cstheme="minorBidi"/>
          <w:i w:val="0"/>
          <w:sz w:val="22"/>
          <w:szCs w:val="22"/>
        </w:rPr>
      </w:pPr>
      <w:r>
        <w:t>2.1</w:t>
      </w:r>
      <w:r>
        <w:rPr>
          <w:rFonts w:asciiTheme="minorHAnsi" w:eastAsiaTheme="minorEastAsia" w:hAnsiTheme="minorHAnsi" w:cstheme="minorBidi"/>
          <w:i w:val="0"/>
          <w:sz w:val="22"/>
          <w:szCs w:val="22"/>
        </w:rPr>
        <w:tab/>
      </w:r>
      <w:r>
        <w:t>Covered MCO Services</w:t>
      </w:r>
      <w:r>
        <w:tab/>
      </w:r>
      <w:r>
        <w:fldChar w:fldCharType="begin"/>
      </w:r>
      <w:r>
        <w:instrText xml:space="preserve"> PAGEREF _Toc8129010 \h </w:instrText>
      </w:r>
      <w:r>
        <w:fldChar w:fldCharType="separate"/>
      </w:r>
      <w:r>
        <w:t>55</w:t>
      </w:r>
      <w:r>
        <w:fldChar w:fldCharType="end"/>
      </w:r>
    </w:p>
    <w:p w14:paraId="2E78C88F" w14:textId="77777777" w:rsidR="00613ED8" w:rsidRDefault="00613ED8">
      <w:pPr>
        <w:pStyle w:val="TOC3"/>
        <w:rPr>
          <w:rFonts w:asciiTheme="minorHAnsi" w:eastAsiaTheme="minorEastAsia" w:hAnsiTheme="minorHAnsi" w:cstheme="minorBidi"/>
          <w:i w:val="0"/>
          <w:sz w:val="22"/>
          <w:szCs w:val="22"/>
        </w:rPr>
      </w:pPr>
      <w:r>
        <w:t>2.2</w:t>
      </w:r>
      <w:r>
        <w:rPr>
          <w:rFonts w:asciiTheme="minorHAnsi" w:eastAsiaTheme="minorEastAsia" w:hAnsiTheme="minorHAnsi" w:cstheme="minorBidi"/>
          <w:i w:val="0"/>
          <w:sz w:val="22"/>
          <w:szCs w:val="22"/>
        </w:rPr>
        <w:tab/>
      </w:r>
      <w:r>
        <w:t>Additional Requirements/Provisions for Certain Services</w:t>
      </w:r>
      <w:r>
        <w:tab/>
      </w:r>
      <w:r>
        <w:fldChar w:fldCharType="begin"/>
      </w:r>
      <w:r>
        <w:instrText xml:space="preserve"> PAGEREF _Toc8129011 \h </w:instrText>
      </w:r>
      <w:r>
        <w:fldChar w:fldCharType="separate"/>
      </w:r>
      <w:r>
        <w:t>56</w:t>
      </w:r>
      <w:r>
        <w:fldChar w:fldCharType="end"/>
      </w:r>
    </w:p>
    <w:p w14:paraId="6AB2EC0A" w14:textId="77777777" w:rsidR="00613ED8" w:rsidRDefault="00613ED8">
      <w:pPr>
        <w:pStyle w:val="TOC3"/>
        <w:rPr>
          <w:rFonts w:asciiTheme="minorHAnsi" w:eastAsiaTheme="minorEastAsia" w:hAnsiTheme="minorHAnsi" w:cstheme="minorBidi"/>
          <w:i w:val="0"/>
          <w:sz w:val="22"/>
          <w:szCs w:val="22"/>
        </w:rPr>
      </w:pPr>
      <w:r>
        <w:t>2.3</w:t>
      </w:r>
      <w:r>
        <w:rPr>
          <w:rFonts w:asciiTheme="minorHAnsi" w:eastAsiaTheme="minorEastAsia" w:hAnsiTheme="minorHAnsi" w:cstheme="minorBidi"/>
          <w:i w:val="0"/>
          <w:sz w:val="22"/>
          <w:szCs w:val="22"/>
        </w:rPr>
        <w:tab/>
      </w:r>
      <w:r>
        <w:t>Medicaid Benefits Covered but Excluded from Capitation that Require Coordination</w:t>
      </w:r>
      <w:r>
        <w:tab/>
      </w:r>
      <w:r>
        <w:fldChar w:fldCharType="begin"/>
      </w:r>
      <w:r>
        <w:instrText xml:space="preserve"> PAGEREF _Toc8129012 \h </w:instrText>
      </w:r>
      <w:r>
        <w:fldChar w:fldCharType="separate"/>
      </w:r>
      <w:r>
        <w:t>63</w:t>
      </w:r>
      <w:r>
        <w:fldChar w:fldCharType="end"/>
      </w:r>
    </w:p>
    <w:p w14:paraId="6D163085" w14:textId="77777777" w:rsidR="00613ED8" w:rsidRDefault="00613ED8">
      <w:pPr>
        <w:pStyle w:val="TOC3"/>
        <w:rPr>
          <w:rFonts w:asciiTheme="minorHAnsi" w:eastAsiaTheme="minorEastAsia" w:hAnsiTheme="minorHAnsi" w:cstheme="minorBidi"/>
          <w:i w:val="0"/>
          <w:sz w:val="22"/>
          <w:szCs w:val="22"/>
        </w:rPr>
      </w:pPr>
      <w:r>
        <w:t xml:space="preserve">2.4 </w:t>
      </w:r>
      <w:r>
        <w:rPr>
          <w:rFonts w:asciiTheme="minorHAnsi" w:eastAsiaTheme="minorEastAsia" w:hAnsiTheme="minorHAnsi" w:cstheme="minorBidi"/>
          <w:i w:val="0"/>
          <w:sz w:val="22"/>
          <w:szCs w:val="22"/>
        </w:rPr>
        <w:tab/>
      </w:r>
      <w:r>
        <w:t>Non-covered Services</w:t>
      </w:r>
      <w:r>
        <w:tab/>
      </w:r>
      <w:r>
        <w:fldChar w:fldCharType="begin"/>
      </w:r>
      <w:r>
        <w:instrText xml:space="preserve"> PAGEREF _Toc8129013 \h </w:instrText>
      </w:r>
      <w:r>
        <w:fldChar w:fldCharType="separate"/>
      </w:r>
      <w:r>
        <w:t>64</w:t>
      </w:r>
      <w:r>
        <w:fldChar w:fldCharType="end"/>
      </w:r>
    </w:p>
    <w:p w14:paraId="075045F2" w14:textId="77777777" w:rsidR="00613ED8" w:rsidRDefault="00613ED8">
      <w:pPr>
        <w:pStyle w:val="TOC3"/>
        <w:rPr>
          <w:rFonts w:asciiTheme="minorHAnsi" w:eastAsiaTheme="minorEastAsia" w:hAnsiTheme="minorHAnsi" w:cstheme="minorBidi"/>
          <w:i w:val="0"/>
          <w:sz w:val="22"/>
          <w:szCs w:val="22"/>
        </w:rPr>
      </w:pPr>
      <w:r>
        <w:t>2.5</w:t>
      </w:r>
      <w:r>
        <w:rPr>
          <w:rFonts w:asciiTheme="minorHAnsi" w:eastAsiaTheme="minorEastAsia" w:hAnsiTheme="minorHAnsi" w:cstheme="minorBidi"/>
          <w:i w:val="0"/>
          <w:sz w:val="22"/>
          <w:szCs w:val="22"/>
        </w:rPr>
        <w:tab/>
      </w:r>
      <w:r>
        <w:t>Other Requirements Pertaining to Covered Services</w:t>
      </w:r>
      <w:r>
        <w:tab/>
      </w:r>
      <w:r>
        <w:fldChar w:fldCharType="begin"/>
      </w:r>
      <w:r>
        <w:instrText xml:space="preserve"> PAGEREF _Toc8129014 \h </w:instrText>
      </w:r>
      <w:r>
        <w:fldChar w:fldCharType="separate"/>
      </w:r>
      <w:r>
        <w:t>65</w:t>
      </w:r>
      <w:r>
        <w:fldChar w:fldCharType="end"/>
      </w:r>
    </w:p>
    <w:p w14:paraId="2D98107C" w14:textId="77777777" w:rsidR="00613ED8" w:rsidRDefault="00613ED8">
      <w:pPr>
        <w:pStyle w:val="TOC3"/>
        <w:rPr>
          <w:rFonts w:asciiTheme="minorHAnsi" w:eastAsiaTheme="minorEastAsia" w:hAnsiTheme="minorHAnsi" w:cstheme="minorBidi"/>
          <w:i w:val="0"/>
          <w:sz w:val="22"/>
          <w:szCs w:val="22"/>
        </w:rPr>
      </w:pPr>
      <w:r>
        <w:t>2.6</w:t>
      </w:r>
      <w:r>
        <w:rPr>
          <w:rFonts w:asciiTheme="minorHAnsi" w:eastAsiaTheme="minorEastAsia" w:hAnsiTheme="minorHAnsi" w:cstheme="minorBidi"/>
          <w:i w:val="0"/>
          <w:sz w:val="22"/>
          <w:szCs w:val="22"/>
        </w:rPr>
        <w:tab/>
      </w:r>
      <w:r>
        <w:t>Requirements Pertaining to Medicaid Managed Care Programs</w:t>
      </w:r>
      <w:r>
        <w:tab/>
      </w:r>
      <w:r>
        <w:fldChar w:fldCharType="begin"/>
      </w:r>
      <w:r>
        <w:instrText xml:space="preserve"> PAGEREF _Toc8129015 \h </w:instrText>
      </w:r>
      <w:r>
        <w:fldChar w:fldCharType="separate"/>
      </w:r>
      <w:r>
        <w:t>66</w:t>
      </w:r>
      <w:r>
        <w:fldChar w:fldCharType="end"/>
      </w:r>
    </w:p>
    <w:p w14:paraId="3DBD2809" w14:textId="77777777" w:rsidR="00613ED8" w:rsidRDefault="00613ED8">
      <w:pPr>
        <w:pStyle w:val="TOC2"/>
        <w:rPr>
          <w:rFonts w:asciiTheme="minorHAnsi" w:eastAsiaTheme="minorEastAsia" w:hAnsiTheme="minorHAnsi" w:cstheme="minorBidi"/>
          <w:smallCaps w:val="0"/>
          <w:sz w:val="22"/>
          <w:szCs w:val="22"/>
        </w:rPr>
      </w:pPr>
      <w:r>
        <w:t>3. PROVIDER NETWORK</w:t>
      </w:r>
      <w:r>
        <w:tab/>
      </w:r>
      <w:r>
        <w:fldChar w:fldCharType="begin"/>
      </w:r>
      <w:r>
        <w:instrText xml:space="preserve"> PAGEREF _Toc8129016 \h </w:instrText>
      </w:r>
      <w:r>
        <w:fldChar w:fldCharType="separate"/>
      </w:r>
      <w:r>
        <w:t>66</w:t>
      </w:r>
      <w:r>
        <w:fldChar w:fldCharType="end"/>
      </w:r>
    </w:p>
    <w:p w14:paraId="1CB5A395" w14:textId="77777777" w:rsidR="00613ED8" w:rsidRDefault="00613ED8">
      <w:pPr>
        <w:pStyle w:val="TOC3"/>
        <w:rPr>
          <w:rFonts w:asciiTheme="minorHAnsi" w:eastAsiaTheme="minorEastAsia" w:hAnsiTheme="minorHAnsi" w:cstheme="minorBidi"/>
          <w:i w:val="0"/>
          <w:sz w:val="22"/>
          <w:szCs w:val="22"/>
        </w:rPr>
      </w:pPr>
      <w:r>
        <w:t>3.1</w:t>
      </w:r>
      <w:r>
        <w:rPr>
          <w:rFonts w:asciiTheme="minorHAnsi" w:eastAsiaTheme="minorEastAsia" w:hAnsiTheme="minorHAnsi" w:cstheme="minorBidi"/>
          <w:i w:val="0"/>
          <w:sz w:val="22"/>
          <w:szCs w:val="22"/>
        </w:rPr>
        <w:tab/>
      </w:r>
      <w:r>
        <w:t>General Requirements</w:t>
      </w:r>
      <w:r>
        <w:tab/>
      </w:r>
      <w:r>
        <w:fldChar w:fldCharType="begin"/>
      </w:r>
      <w:r>
        <w:instrText xml:space="preserve"> PAGEREF _Toc8129017 \h </w:instrText>
      </w:r>
      <w:r>
        <w:fldChar w:fldCharType="separate"/>
      </w:r>
      <w:r>
        <w:t>66</w:t>
      </w:r>
      <w:r>
        <w:fldChar w:fldCharType="end"/>
      </w:r>
    </w:p>
    <w:p w14:paraId="7F515B73" w14:textId="77777777" w:rsidR="00613ED8" w:rsidRDefault="00613ED8">
      <w:pPr>
        <w:pStyle w:val="TOC3"/>
        <w:rPr>
          <w:rFonts w:asciiTheme="minorHAnsi" w:eastAsiaTheme="minorEastAsia" w:hAnsiTheme="minorHAnsi" w:cstheme="minorBidi"/>
          <w:i w:val="0"/>
          <w:sz w:val="22"/>
          <w:szCs w:val="22"/>
        </w:rPr>
      </w:pPr>
      <w:r>
        <w:t>3.5</w:t>
      </w:r>
      <w:r>
        <w:rPr>
          <w:rFonts w:asciiTheme="minorHAnsi" w:eastAsiaTheme="minorEastAsia" w:hAnsiTheme="minorHAnsi" w:cstheme="minorBidi"/>
          <w:i w:val="0"/>
          <w:sz w:val="22"/>
          <w:szCs w:val="22"/>
        </w:rPr>
        <w:tab/>
      </w:r>
      <w:r>
        <w:t>Mainstreaming</w:t>
      </w:r>
      <w:r>
        <w:tab/>
      </w:r>
      <w:r>
        <w:fldChar w:fldCharType="begin"/>
      </w:r>
      <w:r>
        <w:instrText xml:space="preserve"> PAGEREF _Toc8129018 \h </w:instrText>
      </w:r>
      <w:r>
        <w:fldChar w:fldCharType="separate"/>
      </w:r>
      <w:r>
        <w:t>82</w:t>
      </w:r>
      <w:r>
        <w:fldChar w:fldCharType="end"/>
      </w:r>
    </w:p>
    <w:p w14:paraId="6F2E4030" w14:textId="77777777" w:rsidR="00613ED8" w:rsidRDefault="00613ED8">
      <w:pPr>
        <w:pStyle w:val="TOC3"/>
        <w:rPr>
          <w:rFonts w:asciiTheme="minorHAnsi" w:eastAsiaTheme="minorEastAsia" w:hAnsiTheme="minorHAnsi" w:cstheme="minorBidi"/>
          <w:i w:val="0"/>
          <w:sz w:val="22"/>
          <w:szCs w:val="22"/>
        </w:rPr>
      </w:pPr>
      <w:r>
        <w:t>3.6</w:t>
      </w:r>
      <w:r>
        <w:rPr>
          <w:rFonts w:asciiTheme="minorHAnsi" w:eastAsiaTheme="minorEastAsia" w:hAnsiTheme="minorHAnsi" w:cstheme="minorBidi"/>
          <w:i w:val="0"/>
          <w:sz w:val="22"/>
          <w:szCs w:val="22"/>
        </w:rPr>
        <w:tab/>
      </w:r>
      <w:r>
        <w:t>Provider Services</w:t>
      </w:r>
      <w:r>
        <w:tab/>
      </w:r>
      <w:r>
        <w:fldChar w:fldCharType="begin"/>
      </w:r>
      <w:r>
        <w:instrText xml:space="preserve"> PAGEREF _Toc8129019 \h </w:instrText>
      </w:r>
      <w:r>
        <w:fldChar w:fldCharType="separate"/>
      </w:r>
      <w:r>
        <w:t>82</w:t>
      </w:r>
      <w:r>
        <w:fldChar w:fldCharType="end"/>
      </w:r>
    </w:p>
    <w:p w14:paraId="5C61638D" w14:textId="77777777" w:rsidR="00613ED8" w:rsidRDefault="00613ED8">
      <w:pPr>
        <w:pStyle w:val="TOC3"/>
        <w:rPr>
          <w:rFonts w:asciiTheme="minorHAnsi" w:eastAsiaTheme="minorEastAsia" w:hAnsiTheme="minorHAnsi" w:cstheme="minorBidi"/>
          <w:i w:val="0"/>
          <w:sz w:val="22"/>
          <w:szCs w:val="22"/>
        </w:rPr>
      </w:pPr>
      <w:r>
        <w:t>3.7</w:t>
      </w:r>
      <w:r>
        <w:rPr>
          <w:rFonts w:asciiTheme="minorHAnsi" w:eastAsiaTheme="minorEastAsia" w:hAnsiTheme="minorHAnsi" w:cstheme="minorBidi"/>
          <w:i w:val="0"/>
          <w:sz w:val="22"/>
          <w:szCs w:val="22"/>
        </w:rPr>
        <w:tab/>
      </w:r>
      <w:r>
        <w:t>Provider Reimbursement</w:t>
      </w:r>
      <w:r>
        <w:tab/>
      </w:r>
      <w:r>
        <w:fldChar w:fldCharType="begin"/>
      </w:r>
      <w:r>
        <w:instrText xml:space="preserve"> PAGEREF _Toc8129020 \h </w:instrText>
      </w:r>
      <w:r>
        <w:fldChar w:fldCharType="separate"/>
      </w:r>
      <w:r>
        <w:t>87</w:t>
      </w:r>
      <w:r>
        <w:fldChar w:fldCharType="end"/>
      </w:r>
    </w:p>
    <w:p w14:paraId="1F350AA4" w14:textId="77777777" w:rsidR="00613ED8" w:rsidRDefault="00613ED8">
      <w:pPr>
        <w:pStyle w:val="TOC3"/>
        <w:rPr>
          <w:rFonts w:asciiTheme="minorHAnsi" w:eastAsiaTheme="minorEastAsia" w:hAnsiTheme="minorHAnsi" w:cstheme="minorBidi"/>
          <w:i w:val="0"/>
          <w:sz w:val="22"/>
          <w:szCs w:val="22"/>
        </w:rPr>
      </w:pPr>
      <w:r>
        <w:t>3.8</w:t>
      </w:r>
      <w:r>
        <w:rPr>
          <w:rFonts w:asciiTheme="minorHAnsi" w:eastAsiaTheme="minorEastAsia" w:hAnsiTheme="minorHAnsi" w:cstheme="minorBidi"/>
          <w:i w:val="0"/>
          <w:sz w:val="22"/>
          <w:szCs w:val="22"/>
        </w:rPr>
        <w:tab/>
      </w:r>
      <w:r>
        <w:t>Prohibitions on Inappropriate Physician Incentives</w:t>
      </w:r>
      <w:r>
        <w:tab/>
      </w:r>
      <w:r>
        <w:fldChar w:fldCharType="begin"/>
      </w:r>
      <w:r>
        <w:instrText xml:space="preserve"> PAGEREF _Toc8129021 \h </w:instrText>
      </w:r>
      <w:r>
        <w:fldChar w:fldCharType="separate"/>
      </w:r>
      <w:r>
        <w:t>92</w:t>
      </w:r>
      <w:r>
        <w:fldChar w:fldCharType="end"/>
      </w:r>
    </w:p>
    <w:p w14:paraId="50E5F711" w14:textId="77777777" w:rsidR="00613ED8" w:rsidRDefault="00613ED8">
      <w:pPr>
        <w:pStyle w:val="TOC2"/>
        <w:rPr>
          <w:rFonts w:asciiTheme="minorHAnsi" w:eastAsiaTheme="minorEastAsia" w:hAnsiTheme="minorHAnsi" w:cstheme="minorBidi"/>
          <w:smallCaps w:val="0"/>
          <w:sz w:val="22"/>
          <w:szCs w:val="22"/>
        </w:rPr>
      </w:pPr>
      <w:r>
        <w:t>4. ENROLLMENT &amp; ENROLLEE SERVICES</w:t>
      </w:r>
      <w:r>
        <w:tab/>
      </w:r>
      <w:r>
        <w:fldChar w:fldCharType="begin"/>
      </w:r>
      <w:r>
        <w:instrText xml:space="preserve"> PAGEREF _Toc8129022 \h </w:instrText>
      </w:r>
      <w:r>
        <w:fldChar w:fldCharType="separate"/>
      </w:r>
      <w:r>
        <w:t>93</w:t>
      </w:r>
      <w:r>
        <w:fldChar w:fldCharType="end"/>
      </w:r>
    </w:p>
    <w:p w14:paraId="21441793" w14:textId="77777777" w:rsidR="00613ED8" w:rsidRDefault="00613ED8">
      <w:pPr>
        <w:pStyle w:val="TOC3"/>
        <w:rPr>
          <w:rFonts w:asciiTheme="minorHAnsi" w:eastAsiaTheme="minorEastAsia" w:hAnsiTheme="minorHAnsi" w:cstheme="minorBidi"/>
          <w:i w:val="0"/>
          <w:sz w:val="22"/>
          <w:szCs w:val="22"/>
        </w:rPr>
      </w:pPr>
      <w:r>
        <w:t>4.1</w:t>
      </w:r>
      <w:r>
        <w:rPr>
          <w:rFonts w:asciiTheme="minorHAnsi" w:eastAsiaTheme="minorEastAsia" w:hAnsiTheme="minorHAnsi" w:cstheme="minorBidi"/>
          <w:i w:val="0"/>
          <w:sz w:val="22"/>
          <w:szCs w:val="22"/>
        </w:rPr>
        <w:tab/>
      </w:r>
      <w:r>
        <w:t>Marketing</w:t>
      </w:r>
      <w:r>
        <w:tab/>
      </w:r>
      <w:r>
        <w:fldChar w:fldCharType="begin"/>
      </w:r>
      <w:r>
        <w:instrText xml:space="preserve"> PAGEREF _Toc8129023 \h </w:instrText>
      </w:r>
      <w:r>
        <w:fldChar w:fldCharType="separate"/>
      </w:r>
      <w:r>
        <w:t>93</w:t>
      </w:r>
      <w:r>
        <w:fldChar w:fldCharType="end"/>
      </w:r>
    </w:p>
    <w:p w14:paraId="4C49386B" w14:textId="77777777" w:rsidR="00613ED8" w:rsidRDefault="00613ED8">
      <w:pPr>
        <w:pStyle w:val="TOC3"/>
        <w:rPr>
          <w:rFonts w:asciiTheme="minorHAnsi" w:eastAsiaTheme="minorEastAsia" w:hAnsiTheme="minorHAnsi" w:cstheme="minorBidi"/>
          <w:i w:val="0"/>
          <w:sz w:val="22"/>
          <w:szCs w:val="22"/>
        </w:rPr>
      </w:pPr>
      <w:r>
        <w:t>4.2</w:t>
      </w:r>
      <w:r>
        <w:rPr>
          <w:rFonts w:asciiTheme="minorHAnsi" w:eastAsiaTheme="minorEastAsia" w:hAnsiTheme="minorHAnsi" w:cstheme="minorBidi"/>
          <w:i w:val="0"/>
          <w:sz w:val="22"/>
          <w:szCs w:val="22"/>
        </w:rPr>
        <w:tab/>
      </w:r>
      <w:r>
        <w:t>Enrollment</w:t>
      </w:r>
      <w:r>
        <w:tab/>
      </w:r>
      <w:r>
        <w:fldChar w:fldCharType="begin"/>
      </w:r>
      <w:r>
        <w:instrText xml:space="preserve"> PAGEREF _Toc8129024 \h </w:instrText>
      </w:r>
      <w:r>
        <w:fldChar w:fldCharType="separate"/>
      </w:r>
      <w:r>
        <w:t>94</w:t>
      </w:r>
      <w:r>
        <w:fldChar w:fldCharType="end"/>
      </w:r>
    </w:p>
    <w:p w14:paraId="30064ECB" w14:textId="77777777" w:rsidR="00613ED8" w:rsidRDefault="00613ED8">
      <w:pPr>
        <w:pStyle w:val="TOC3"/>
        <w:rPr>
          <w:rFonts w:asciiTheme="minorHAnsi" w:eastAsiaTheme="minorEastAsia" w:hAnsiTheme="minorHAnsi" w:cstheme="minorBidi"/>
          <w:i w:val="0"/>
          <w:sz w:val="22"/>
          <w:szCs w:val="22"/>
        </w:rPr>
      </w:pPr>
      <w:r>
        <w:t>4.3</w:t>
      </w:r>
      <w:r>
        <w:rPr>
          <w:rFonts w:asciiTheme="minorHAnsi" w:eastAsiaTheme="minorEastAsia" w:hAnsiTheme="minorHAnsi" w:cstheme="minorBidi"/>
          <w:i w:val="0"/>
          <w:sz w:val="22"/>
          <w:szCs w:val="22"/>
        </w:rPr>
        <w:tab/>
      </w:r>
      <w:r>
        <w:t>Enrollee Services Department</w:t>
      </w:r>
      <w:r>
        <w:tab/>
      </w:r>
      <w:r>
        <w:fldChar w:fldCharType="begin"/>
      </w:r>
      <w:r>
        <w:instrText xml:space="preserve"> PAGEREF _Toc8129025 \h </w:instrText>
      </w:r>
      <w:r>
        <w:fldChar w:fldCharType="separate"/>
      </w:r>
      <w:r>
        <w:t>97</w:t>
      </w:r>
      <w:r>
        <w:fldChar w:fldCharType="end"/>
      </w:r>
    </w:p>
    <w:p w14:paraId="7D098720" w14:textId="77777777" w:rsidR="00613ED8" w:rsidRDefault="00613ED8">
      <w:pPr>
        <w:pStyle w:val="TOC3"/>
        <w:rPr>
          <w:rFonts w:asciiTheme="minorHAnsi" w:eastAsiaTheme="minorEastAsia" w:hAnsiTheme="minorHAnsi" w:cstheme="minorBidi"/>
          <w:i w:val="0"/>
          <w:sz w:val="22"/>
          <w:szCs w:val="22"/>
        </w:rPr>
      </w:pPr>
      <w:r>
        <w:t>4.4</w:t>
      </w:r>
      <w:r>
        <w:rPr>
          <w:rFonts w:asciiTheme="minorHAnsi" w:eastAsiaTheme="minorEastAsia" w:hAnsiTheme="minorHAnsi" w:cstheme="minorBidi"/>
          <w:i w:val="0"/>
          <w:sz w:val="22"/>
          <w:szCs w:val="22"/>
        </w:rPr>
        <w:tab/>
      </w:r>
      <w:r>
        <w:t>Materials</w:t>
      </w:r>
      <w:r>
        <w:tab/>
      </w:r>
      <w:r>
        <w:fldChar w:fldCharType="begin"/>
      </w:r>
      <w:r>
        <w:instrText xml:space="preserve"> PAGEREF _Toc8129026 \h </w:instrText>
      </w:r>
      <w:r>
        <w:fldChar w:fldCharType="separate"/>
      </w:r>
      <w:r>
        <w:t>97</w:t>
      </w:r>
      <w:r>
        <w:fldChar w:fldCharType="end"/>
      </w:r>
    </w:p>
    <w:p w14:paraId="7191DE78" w14:textId="77777777" w:rsidR="00613ED8" w:rsidRDefault="00613ED8">
      <w:pPr>
        <w:pStyle w:val="TOC3"/>
        <w:rPr>
          <w:rFonts w:asciiTheme="minorHAnsi" w:eastAsiaTheme="minorEastAsia" w:hAnsiTheme="minorHAnsi" w:cstheme="minorBidi"/>
          <w:i w:val="0"/>
          <w:sz w:val="22"/>
          <w:szCs w:val="22"/>
        </w:rPr>
      </w:pPr>
      <w:r>
        <w:t>4.6</w:t>
      </w:r>
      <w:r>
        <w:rPr>
          <w:rFonts w:asciiTheme="minorHAnsi" w:eastAsiaTheme="minorEastAsia" w:hAnsiTheme="minorHAnsi" w:cstheme="minorBidi"/>
          <w:i w:val="0"/>
          <w:sz w:val="22"/>
          <w:szCs w:val="22"/>
        </w:rPr>
        <w:tab/>
      </w:r>
      <w:r>
        <w:t>Enrollee Rights</w:t>
      </w:r>
      <w:r>
        <w:tab/>
      </w:r>
      <w:r>
        <w:fldChar w:fldCharType="begin"/>
      </w:r>
      <w:r>
        <w:instrText xml:space="preserve"> PAGEREF _Toc8129027 \h </w:instrText>
      </w:r>
      <w:r>
        <w:fldChar w:fldCharType="separate"/>
      </w:r>
      <w:r>
        <w:t>104</w:t>
      </w:r>
      <w:r>
        <w:fldChar w:fldCharType="end"/>
      </w:r>
    </w:p>
    <w:p w14:paraId="04108793" w14:textId="77777777" w:rsidR="00613ED8" w:rsidRDefault="00613ED8">
      <w:pPr>
        <w:pStyle w:val="TOC3"/>
        <w:rPr>
          <w:rFonts w:asciiTheme="minorHAnsi" w:eastAsiaTheme="minorEastAsia" w:hAnsiTheme="minorHAnsi" w:cstheme="minorBidi"/>
          <w:i w:val="0"/>
          <w:sz w:val="22"/>
          <w:szCs w:val="22"/>
        </w:rPr>
      </w:pPr>
      <w:r>
        <w:t>4.7</w:t>
      </w:r>
      <w:r>
        <w:rPr>
          <w:rFonts w:asciiTheme="minorHAnsi" w:eastAsiaTheme="minorEastAsia" w:hAnsiTheme="minorHAnsi" w:cstheme="minorBidi"/>
          <w:i w:val="0"/>
          <w:sz w:val="22"/>
          <w:szCs w:val="22"/>
        </w:rPr>
        <w:tab/>
      </w:r>
      <w:r>
        <w:t>Enabling Services</w:t>
      </w:r>
      <w:r>
        <w:tab/>
      </w:r>
      <w:r>
        <w:fldChar w:fldCharType="begin"/>
      </w:r>
      <w:r>
        <w:instrText xml:space="preserve"> PAGEREF _Toc8129028 \h </w:instrText>
      </w:r>
      <w:r>
        <w:fldChar w:fldCharType="separate"/>
      </w:r>
      <w:r>
        <w:t>107</w:t>
      </w:r>
      <w:r>
        <w:fldChar w:fldCharType="end"/>
      </w:r>
    </w:p>
    <w:p w14:paraId="092DCE20" w14:textId="77777777" w:rsidR="00613ED8" w:rsidRDefault="00613ED8">
      <w:pPr>
        <w:pStyle w:val="TOC3"/>
        <w:rPr>
          <w:rFonts w:asciiTheme="minorHAnsi" w:eastAsiaTheme="minorEastAsia" w:hAnsiTheme="minorHAnsi" w:cstheme="minorBidi"/>
          <w:i w:val="0"/>
          <w:sz w:val="22"/>
          <w:szCs w:val="22"/>
        </w:rPr>
      </w:pPr>
      <w:r>
        <w:t>4.8</w:t>
      </w:r>
      <w:r>
        <w:rPr>
          <w:rFonts w:asciiTheme="minorHAnsi" w:eastAsiaTheme="minorEastAsia" w:hAnsiTheme="minorHAnsi" w:cstheme="minorBidi"/>
          <w:i w:val="0"/>
          <w:sz w:val="22"/>
          <w:szCs w:val="22"/>
        </w:rPr>
        <w:tab/>
      </w:r>
      <w:r>
        <w:t>Grievances and Appeals</w:t>
      </w:r>
      <w:r>
        <w:tab/>
      </w:r>
      <w:r>
        <w:fldChar w:fldCharType="begin"/>
      </w:r>
      <w:r>
        <w:instrText xml:space="preserve"> PAGEREF _Toc8129029 \h </w:instrText>
      </w:r>
      <w:r>
        <w:fldChar w:fldCharType="separate"/>
      </w:r>
      <w:r>
        <w:t>108</w:t>
      </w:r>
      <w:r>
        <w:fldChar w:fldCharType="end"/>
      </w:r>
    </w:p>
    <w:p w14:paraId="3D494C2F" w14:textId="77777777" w:rsidR="00613ED8" w:rsidRDefault="00613ED8">
      <w:pPr>
        <w:pStyle w:val="TOC3"/>
        <w:rPr>
          <w:rFonts w:asciiTheme="minorHAnsi" w:eastAsiaTheme="minorEastAsia" w:hAnsiTheme="minorHAnsi" w:cstheme="minorBidi"/>
          <w:i w:val="0"/>
          <w:sz w:val="22"/>
          <w:szCs w:val="22"/>
        </w:rPr>
      </w:pPr>
      <w:r>
        <w:t>4.9</w:t>
      </w:r>
      <w:r>
        <w:rPr>
          <w:rFonts w:asciiTheme="minorHAnsi" w:eastAsiaTheme="minorEastAsia" w:hAnsiTheme="minorHAnsi" w:cstheme="minorBidi"/>
          <w:i w:val="0"/>
          <w:sz w:val="22"/>
          <w:szCs w:val="22"/>
        </w:rPr>
        <w:tab/>
      </w:r>
      <w:r>
        <w:t>Cost-Sharing Obligations</w:t>
      </w:r>
      <w:r>
        <w:tab/>
      </w:r>
      <w:r>
        <w:fldChar w:fldCharType="begin"/>
      </w:r>
      <w:r>
        <w:instrText xml:space="preserve"> PAGEREF _Toc8129030 \h </w:instrText>
      </w:r>
      <w:r>
        <w:fldChar w:fldCharType="separate"/>
      </w:r>
      <w:r>
        <w:t>114</w:t>
      </w:r>
      <w:r>
        <w:fldChar w:fldCharType="end"/>
      </w:r>
    </w:p>
    <w:p w14:paraId="3FFC8782" w14:textId="77777777" w:rsidR="00613ED8" w:rsidRDefault="00613ED8">
      <w:pPr>
        <w:pStyle w:val="TOC3"/>
        <w:rPr>
          <w:rFonts w:asciiTheme="minorHAnsi" w:eastAsiaTheme="minorEastAsia" w:hAnsiTheme="minorHAnsi" w:cstheme="minorBidi"/>
          <w:i w:val="0"/>
          <w:sz w:val="22"/>
          <w:szCs w:val="22"/>
        </w:rPr>
      </w:pPr>
      <w:r>
        <w:t>4.10</w:t>
      </w:r>
      <w:r>
        <w:rPr>
          <w:rFonts w:asciiTheme="minorHAnsi" w:eastAsiaTheme="minorEastAsia" w:hAnsiTheme="minorHAnsi" w:cstheme="minorBidi"/>
          <w:i w:val="0"/>
          <w:sz w:val="22"/>
          <w:szCs w:val="22"/>
        </w:rPr>
        <w:tab/>
      </w:r>
      <w:r>
        <w:t>Value-Added Services</w:t>
      </w:r>
      <w:r>
        <w:tab/>
      </w:r>
      <w:r>
        <w:fldChar w:fldCharType="begin"/>
      </w:r>
      <w:r>
        <w:instrText xml:space="preserve"> PAGEREF _Toc8129031 \h </w:instrText>
      </w:r>
      <w:r>
        <w:fldChar w:fldCharType="separate"/>
      </w:r>
      <w:r>
        <w:t>116</w:t>
      </w:r>
      <w:r>
        <w:fldChar w:fldCharType="end"/>
      </w:r>
    </w:p>
    <w:p w14:paraId="55E7574C" w14:textId="77777777" w:rsidR="00613ED8" w:rsidRDefault="00613ED8">
      <w:pPr>
        <w:pStyle w:val="TOC2"/>
        <w:rPr>
          <w:rFonts w:asciiTheme="minorHAnsi" w:eastAsiaTheme="minorEastAsia" w:hAnsiTheme="minorHAnsi" w:cstheme="minorBidi"/>
          <w:smallCaps w:val="0"/>
          <w:sz w:val="22"/>
          <w:szCs w:val="22"/>
        </w:rPr>
      </w:pPr>
      <w:r>
        <w:t>5. MEDICAID ADMINISTRATOR/CONTRACT LIAISON FUNCTIONS</w:t>
      </w:r>
      <w:r>
        <w:tab/>
      </w:r>
      <w:r>
        <w:fldChar w:fldCharType="begin"/>
      </w:r>
      <w:r>
        <w:instrText xml:space="preserve"> PAGEREF _Toc8129032 \h </w:instrText>
      </w:r>
      <w:r>
        <w:fldChar w:fldCharType="separate"/>
      </w:r>
      <w:r>
        <w:t>116</w:t>
      </w:r>
      <w:r>
        <w:fldChar w:fldCharType="end"/>
      </w:r>
    </w:p>
    <w:p w14:paraId="270CECFB" w14:textId="77777777" w:rsidR="00613ED8" w:rsidRDefault="00613ED8">
      <w:pPr>
        <w:pStyle w:val="TOC2"/>
        <w:rPr>
          <w:rFonts w:asciiTheme="minorHAnsi" w:eastAsiaTheme="minorEastAsia" w:hAnsiTheme="minorHAnsi" w:cstheme="minorBidi"/>
          <w:smallCaps w:val="0"/>
          <w:sz w:val="22"/>
          <w:szCs w:val="22"/>
        </w:rPr>
      </w:pPr>
      <w:r>
        <w:t>6. HEALTH CARE MANAGEMENT</w:t>
      </w:r>
      <w:r>
        <w:tab/>
      </w:r>
      <w:r>
        <w:fldChar w:fldCharType="begin"/>
      </w:r>
      <w:r>
        <w:instrText xml:space="preserve"> PAGEREF _Toc8129033 \h </w:instrText>
      </w:r>
      <w:r>
        <w:fldChar w:fldCharType="separate"/>
      </w:r>
      <w:r>
        <w:t>117</w:t>
      </w:r>
      <w:r>
        <w:fldChar w:fldCharType="end"/>
      </w:r>
    </w:p>
    <w:p w14:paraId="35EC2204" w14:textId="77777777" w:rsidR="00613ED8" w:rsidRDefault="00613ED8">
      <w:pPr>
        <w:pStyle w:val="TOC3"/>
        <w:rPr>
          <w:rFonts w:asciiTheme="minorHAnsi" w:eastAsiaTheme="minorEastAsia" w:hAnsiTheme="minorHAnsi" w:cstheme="minorBidi"/>
          <w:i w:val="0"/>
          <w:sz w:val="22"/>
          <w:szCs w:val="22"/>
        </w:rPr>
      </w:pPr>
      <w:r>
        <w:t>6.1</w:t>
      </w:r>
      <w:r>
        <w:rPr>
          <w:rFonts w:asciiTheme="minorHAnsi" w:eastAsiaTheme="minorEastAsia" w:hAnsiTheme="minorHAnsi" w:cstheme="minorBidi"/>
          <w:i w:val="0"/>
          <w:sz w:val="22"/>
          <w:szCs w:val="22"/>
        </w:rPr>
        <w:tab/>
      </w:r>
      <w:r>
        <w:t>Second Opinions</w:t>
      </w:r>
      <w:r>
        <w:tab/>
      </w:r>
      <w:r>
        <w:fldChar w:fldCharType="begin"/>
      </w:r>
      <w:r>
        <w:instrText xml:space="preserve"> PAGEREF _Toc8129034 \h </w:instrText>
      </w:r>
      <w:r>
        <w:fldChar w:fldCharType="separate"/>
      </w:r>
      <w:r>
        <w:t>117</w:t>
      </w:r>
      <w:r>
        <w:fldChar w:fldCharType="end"/>
      </w:r>
    </w:p>
    <w:p w14:paraId="3EE1BC35" w14:textId="77777777" w:rsidR="00613ED8" w:rsidRDefault="00613ED8">
      <w:pPr>
        <w:pStyle w:val="TOC3"/>
        <w:rPr>
          <w:rFonts w:asciiTheme="minorHAnsi" w:eastAsiaTheme="minorEastAsia" w:hAnsiTheme="minorHAnsi" w:cstheme="minorBidi"/>
          <w:i w:val="0"/>
          <w:sz w:val="22"/>
          <w:szCs w:val="22"/>
        </w:rPr>
      </w:pPr>
      <w:r>
        <w:t>6.2</w:t>
      </w:r>
      <w:r>
        <w:rPr>
          <w:rFonts w:asciiTheme="minorHAnsi" w:eastAsiaTheme="minorEastAsia" w:hAnsiTheme="minorHAnsi" w:cstheme="minorBidi"/>
          <w:i w:val="0"/>
          <w:sz w:val="22"/>
          <w:szCs w:val="22"/>
        </w:rPr>
        <w:tab/>
      </w:r>
      <w:r>
        <w:t>Out-of-Network Services</w:t>
      </w:r>
      <w:r>
        <w:tab/>
      </w:r>
      <w:r>
        <w:fldChar w:fldCharType="begin"/>
      </w:r>
      <w:r>
        <w:instrText xml:space="preserve"> PAGEREF _Toc8129035 \h </w:instrText>
      </w:r>
      <w:r>
        <w:fldChar w:fldCharType="separate"/>
      </w:r>
      <w:r>
        <w:t>118</w:t>
      </w:r>
      <w:r>
        <w:fldChar w:fldCharType="end"/>
      </w:r>
    </w:p>
    <w:p w14:paraId="74FE2567" w14:textId="77777777" w:rsidR="00613ED8" w:rsidRDefault="00613ED8">
      <w:pPr>
        <w:pStyle w:val="TOC3"/>
        <w:rPr>
          <w:rFonts w:asciiTheme="minorHAnsi" w:eastAsiaTheme="minorEastAsia" w:hAnsiTheme="minorHAnsi" w:cstheme="minorBidi"/>
          <w:i w:val="0"/>
          <w:sz w:val="22"/>
          <w:szCs w:val="22"/>
        </w:rPr>
      </w:pPr>
      <w:r>
        <w:t>6.3</w:t>
      </w:r>
      <w:r>
        <w:rPr>
          <w:rFonts w:asciiTheme="minorHAnsi" w:eastAsiaTheme="minorEastAsia" w:hAnsiTheme="minorHAnsi" w:cstheme="minorBidi"/>
          <w:i w:val="0"/>
          <w:sz w:val="22"/>
          <w:szCs w:val="22"/>
        </w:rPr>
        <w:tab/>
      </w:r>
      <w:r>
        <w:t>Continuity and Coordination of Care</w:t>
      </w:r>
      <w:r>
        <w:tab/>
      </w:r>
      <w:r>
        <w:fldChar w:fldCharType="begin"/>
      </w:r>
      <w:r>
        <w:instrText xml:space="preserve"> PAGEREF _Toc8129036 \h </w:instrText>
      </w:r>
      <w:r>
        <w:fldChar w:fldCharType="separate"/>
      </w:r>
      <w:r>
        <w:t>118</w:t>
      </w:r>
      <w:r>
        <w:fldChar w:fldCharType="end"/>
      </w:r>
    </w:p>
    <w:p w14:paraId="54EDCCB0" w14:textId="77777777" w:rsidR="00613ED8" w:rsidRDefault="00613ED8">
      <w:pPr>
        <w:pStyle w:val="TOC3"/>
        <w:rPr>
          <w:rFonts w:asciiTheme="minorHAnsi" w:eastAsiaTheme="minorEastAsia" w:hAnsiTheme="minorHAnsi" w:cstheme="minorBidi"/>
          <w:i w:val="0"/>
          <w:sz w:val="22"/>
          <w:szCs w:val="22"/>
        </w:rPr>
      </w:pPr>
      <w:r>
        <w:t>6.4</w:t>
      </w:r>
      <w:r>
        <w:rPr>
          <w:rFonts w:asciiTheme="minorHAnsi" w:eastAsiaTheme="minorEastAsia" w:hAnsiTheme="minorHAnsi" w:cstheme="minorBidi"/>
          <w:i w:val="0"/>
          <w:sz w:val="22"/>
          <w:szCs w:val="22"/>
        </w:rPr>
        <w:tab/>
      </w:r>
      <w:r>
        <w:t>Service Authorization (Prior Authorization)</w:t>
      </w:r>
      <w:r>
        <w:tab/>
      </w:r>
      <w:r>
        <w:fldChar w:fldCharType="begin"/>
      </w:r>
      <w:r>
        <w:instrText xml:space="preserve"> PAGEREF _Toc8129037 \h </w:instrText>
      </w:r>
      <w:r>
        <w:fldChar w:fldCharType="separate"/>
      </w:r>
      <w:r>
        <w:t>123</w:t>
      </w:r>
      <w:r>
        <w:fldChar w:fldCharType="end"/>
      </w:r>
    </w:p>
    <w:p w14:paraId="41D267E9" w14:textId="77777777" w:rsidR="00613ED8" w:rsidRDefault="00613ED8">
      <w:pPr>
        <w:pStyle w:val="TOC3"/>
        <w:rPr>
          <w:rFonts w:asciiTheme="minorHAnsi" w:eastAsiaTheme="minorEastAsia" w:hAnsiTheme="minorHAnsi" w:cstheme="minorBidi"/>
          <w:i w:val="0"/>
          <w:sz w:val="22"/>
          <w:szCs w:val="22"/>
        </w:rPr>
      </w:pPr>
      <w:r>
        <w:t>6.5</w:t>
      </w:r>
      <w:r>
        <w:rPr>
          <w:rFonts w:asciiTheme="minorHAnsi" w:eastAsiaTheme="minorEastAsia" w:hAnsiTheme="minorHAnsi" w:cstheme="minorBidi"/>
          <w:i w:val="0"/>
          <w:sz w:val="22"/>
          <w:szCs w:val="22"/>
        </w:rPr>
        <w:tab/>
      </w:r>
      <w:r>
        <w:t>Rural Option</w:t>
      </w:r>
      <w:r>
        <w:tab/>
      </w:r>
      <w:r>
        <w:fldChar w:fldCharType="begin"/>
      </w:r>
      <w:r>
        <w:instrText xml:space="preserve"> PAGEREF _Toc8129038 \h </w:instrText>
      </w:r>
      <w:r>
        <w:fldChar w:fldCharType="separate"/>
      </w:r>
      <w:r>
        <w:t>125</w:t>
      </w:r>
      <w:r>
        <w:fldChar w:fldCharType="end"/>
      </w:r>
    </w:p>
    <w:p w14:paraId="3FE925AB" w14:textId="77777777" w:rsidR="00613ED8" w:rsidRDefault="00613ED8">
      <w:pPr>
        <w:pStyle w:val="TOC3"/>
        <w:rPr>
          <w:rFonts w:asciiTheme="minorHAnsi" w:eastAsiaTheme="minorEastAsia" w:hAnsiTheme="minorHAnsi" w:cstheme="minorBidi"/>
          <w:i w:val="0"/>
          <w:sz w:val="22"/>
          <w:szCs w:val="22"/>
        </w:rPr>
      </w:pPr>
      <w:r>
        <w:t>6.6</w:t>
      </w:r>
      <w:r>
        <w:rPr>
          <w:rFonts w:asciiTheme="minorHAnsi" w:eastAsiaTheme="minorEastAsia" w:hAnsiTheme="minorHAnsi" w:cstheme="minorBidi"/>
          <w:i w:val="0"/>
          <w:sz w:val="22"/>
          <w:szCs w:val="22"/>
        </w:rPr>
        <w:tab/>
      </w:r>
      <w:r>
        <w:t>Utilization Management</w:t>
      </w:r>
      <w:r>
        <w:tab/>
      </w:r>
      <w:r>
        <w:fldChar w:fldCharType="begin"/>
      </w:r>
      <w:r>
        <w:instrText xml:space="preserve"> PAGEREF _Toc8129039 \h </w:instrText>
      </w:r>
      <w:r>
        <w:fldChar w:fldCharType="separate"/>
      </w:r>
      <w:r>
        <w:t>126</w:t>
      </w:r>
      <w:r>
        <w:fldChar w:fldCharType="end"/>
      </w:r>
    </w:p>
    <w:p w14:paraId="6E56EAA8" w14:textId="77777777" w:rsidR="00613ED8" w:rsidRDefault="00613ED8">
      <w:pPr>
        <w:pStyle w:val="TOC3"/>
        <w:rPr>
          <w:rFonts w:asciiTheme="minorHAnsi" w:eastAsiaTheme="minorEastAsia" w:hAnsiTheme="minorHAnsi" w:cstheme="minorBidi"/>
          <w:i w:val="0"/>
          <w:sz w:val="22"/>
          <w:szCs w:val="22"/>
        </w:rPr>
      </w:pPr>
      <w:r>
        <w:t>6.7</w:t>
      </w:r>
      <w:r>
        <w:rPr>
          <w:rFonts w:asciiTheme="minorHAnsi" w:eastAsiaTheme="minorEastAsia" w:hAnsiTheme="minorHAnsi" w:cstheme="minorBidi"/>
          <w:i w:val="0"/>
          <w:sz w:val="22"/>
          <w:szCs w:val="22"/>
        </w:rPr>
        <w:tab/>
      </w:r>
      <w:r>
        <w:t>Practice Guidelines and New Technology</w:t>
      </w:r>
      <w:r>
        <w:tab/>
      </w:r>
      <w:r>
        <w:fldChar w:fldCharType="begin"/>
      </w:r>
      <w:r>
        <w:instrText xml:space="preserve"> PAGEREF _Toc8129040 \h </w:instrText>
      </w:r>
      <w:r>
        <w:fldChar w:fldCharType="separate"/>
      </w:r>
      <w:r>
        <w:t>126</w:t>
      </w:r>
      <w:r>
        <w:fldChar w:fldCharType="end"/>
      </w:r>
    </w:p>
    <w:p w14:paraId="1775318F" w14:textId="77777777" w:rsidR="00613ED8" w:rsidRDefault="00613ED8">
      <w:pPr>
        <w:pStyle w:val="TOC3"/>
        <w:rPr>
          <w:rFonts w:asciiTheme="minorHAnsi" w:eastAsiaTheme="minorEastAsia" w:hAnsiTheme="minorHAnsi" w:cstheme="minorBidi"/>
          <w:i w:val="0"/>
          <w:sz w:val="22"/>
          <w:szCs w:val="22"/>
        </w:rPr>
      </w:pPr>
      <w:r>
        <w:t>6.8</w:t>
      </w:r>
      <w:r>
        <w:rPr>
          <w:rFonts w:asciiTheme="minorHAnsi" w:eastAsiaTheme="minorEastAsia" w:hAnsiTheme="minorHAnsi" w:cstheme="minorBidi"/>
          <w:i w:val="0"/>
          <w:sz w:val="22"/>
          <w:szCs w:val="22"/>
        </w:rPr>
        <w:tab/>
      </w:r>
      <w:r>
        <w:t>Enrollee Medical Records and Communication of Clinical Information</w:t>
      </w:r>
      <w:r>
        <w:tab/>
      </w:r>
      <w:r>
        <w:fldChar w:fldCharType="begin"/>
      </w:r>
      <w:r>
        <w:instrText xml:space="preserve"> PAGEREF _Toc8129041 \h </w:instrText>
      </w:r>
      <w:r>
        <w:fldChar w:fldCharType="separate"/>
      </w:r>
      <w:r>
        <w:t>126</w:t>
      </w:r>
      <w:r>
        <w:fldChar w:fldCharType="end"/>
      </w:r>
    </w:p>
    <w:p w14:paraId="05FAFE9D" w14:textId="77777777" w:rsidR="00613ED8" w:rsidRDefault="00613ED8">
      <w:pPr>
        <w:pStyle w:val="TOC3"/>
        <w:rPr>
          <w:rFonts w:asciiTheme="minorHAnsi" w:eastAsiaTheme="minorEastAsia" w:hAnsiTheme="minorHAnsi" w:cstheme="minorBidi"/>
          <w:i w:val="0"/>
          <w:sz w:val="22"/>
          <w:szCs w:val="22"/>
        </w:rPr>
      </w:pPr>
      <w:r>
        <w:t>6.9</w:t>
      </w:r>
      <w:r>
        <w:rPr>
          <w:rFonts w:asciiTheme="minorHAnsi" w:eastAsiaTheme="minorEastAsia" w:hAnsiTheme="minorHAnsi" w:cstheme="minorBidi"/>
          <w:i w:val="0"/>
          <w:sz w:val="22"/>
          <w:szCs w:val="22"/>
        </w:rPr>
        <w:tab/>
      </w:r>
      <w:r>
        <w:t>Confidentiality</w:t>
      </w:r>
      <w:r>
        <w:tab/>
      </w:r>
      <w:r>
        <w:fldChar w:fldCharType="begin"/>
      </w:r>
      <w:r>
        <w:instrText xml:space="preserve"> PAGEREF _Toc8129042 \h </w:instrText>
      </w:r>
      <w:r>
        <w:fldChar w:fldCharType="separate"/>
      </w:r>
      <w:r>
        <w:t>128</w:t>
      </w:r>
      <w:r>
        <w:fldChar w:fldCharType="end"/>
      </w:r>
    </w:p>
    <w:p w14:paraId="09068157" w14:textId="77777777" w:rsidR="00613ED8" w:rsidRDefault="00613ED8">
      <w:pPr>
        <w:pStyle w:val="TOC3"/>
        <w:rPr>
          <w:rFonts w:asciiTheme="minorHAnsi" w:eastAsiaTheme="minorEastAsia" w:hAnsiTheme="minorHAnsi" w:cstheme="minorBidi"/>
          <w:i w:val="0"/>
          <w:sz w:val="22"/>
          <w:szCs w:val="22"/>
        </w:rPr>
      </w:pPr>
      <w:r>
        <w:t>6.10</w:t>
      </w:r>
      <w:r>
        <w:rPr>
          <w:rFonts w:asciiTheme="minorHAnsi" w:eastAsiaTheme="minorEastAsia" w:hAnsiTheme="minorHAnsi" w:cstheme="minorBidi"/>
          <w:i w:val="0"/>
          <w:sz w:val="22"/>
          <w:szCs w:val="22"/>
        </w:rPr>
        <w:tab/>
      </w:r>
      <w:r>
        <w:t>Reporting Requirements</w:t>
      </w:r>
      <w:r>
        <w:tab/>
      </w:r>
      <w:r>
        <w:fldChar w:fldCharType="begin"/>
      </w:r>
      <w:r>
        <w:instrText xml:space="preserve"> PAGEREF _Toc8129043 \h </w:instrText>
      </w:r>
      <w:r>
        <w:fldChar w:fldCharType="separate"/>
      </w:r>
      <w:r>
        <w:t>130</w:t>
      </w:r>
      <w:r>
        <w:fldChar w:fldCharType="end"/>
      </w:r>
    </w:p>
    <w:p w14:paraId="599C91D6" w14:textId="77777777" w:rsidR="00613ED8" w:rsidRDefault="00613ED8">
      <w:pPr>
        <w:pStyle w:val="TOC2"/>
        <w:rPr>
          <w:rFonts w:asciiTheme="minorHAnsi" w:eastAsiaTheme="minorEastAsia" w:hAnsiTheme="minorHAnsi" w:cstheme="minorBidi"/>
          <w:smallCaps w:val="0"/>
          <w:sz w:val="22"/>
          <w:szCs w:val="22"/>
        </w:rPr>
      </w:pPr>
      <w:r w:rsidRPr="00E15383">
        <w:lastRenderedPageBreak/>
        <w:t>7.</w:t>
      </w:r>
      <w:r>
        <w:rPr>
          <w:rFonts w:asciiTheme="minorHAnsi" w:eastAsiaTheme="minorEastAsia" w:hAnsiTheme="minorHAnsi" w:cstheme="minorBidi"/>
          <w:smallCaps w:val="0"/>
          <w:sz w:val="22"/>
          <w:szCs w:val="22"/>
        </w:rPr>
        <w:tab/>
      </w:r>
      <w:r>
        <w:t>QUALITY ASSESSMENT AND PERFORMANCE IMPROVEMENT (QAPI) PROGRAM</w:t>
      </w:r>
      <w:r>
        <w:tab/>
      </w:r>
      <w:r>
        <w:fldChar w:fldCharType="begin"/>
      </w:r>
      <w:r>
        <w:instrText xml:space="preserve"> PAGEREF _Toc8129044 \h </w:instrText>
      </w:r>
      <w:r>
        <w:fldChar w:fldCharType="separate"/>
      </w:r>
      <w:r>
        <w:t>137</w:t>
      </w:r>
      <w:r>
        <w:fldChar w:fldCharType="end"/>
      </w:r>
    </w:p>
    <w:p w14:paraId="6693B786" w14:textId="77777777" w:rsidR="00613ED8" w:rsidRDefault="00613ED8">
      <w:pPr>
        <w:pStyle w:val="TOC3"/>
        <w:rPr>
          <w:rFonts w:asciiTheme="minorHAnsi" w:eastAsiaTheme="minorEastAsia" w:hAnsiTheme="minorHAnsi" w:cstheme="minorBidi"/>
          <w:i w:val="0"/>
          <w:sz w:val="22"/>
          <w:szCs w:val="22"/>
        </w:rPr>
      </w:pPr>
      <w:r>
        <w:t>7.1</w:t>
      </w:r>
      <w:r>
        <w:rPr>
          <w:rFonts w:asciiTheme="minorHAnsi" w:eastAsiaTheme="minorEastAsia" w:hAnsiTheme="minorHAnsi" w:cstheme="minorBidi"/>
          <w:i w:val="0"/>
          <w:sz w:val="22"/>
          <w:szCs w:val="22"/>
        </w:rPr>
        <w:tab/>
      </w:r>
      <w:r>
        <w:t>Required Levels of Performance</w:t>
      </w:r>
      <w:r>
        <w:tab/>
      </w:r>
      <w:r>
        <w:fldChar w:fldCharType="begin"/>
      </w:r>
      <w:r>
        <w:instrText xml:space="preserve"> PAGEREF _Toc8129045 \h </w:instrText>
      </w:r>
      <w:r>
        <w:fldChar w:fldCharType="separate"/>
      </w:r>
      <w:r>
        <w:t>137</w:t>
      </w:r>
      <w:r>
        <w:fldChar w:fldCharType="end"/>
      </w:r>
    </w:p>
    <w:p w14:paraId="4BF48864" w14:textId="77777777" w:rsidR="00613ED8" w:rsidRDefault="00613ED8">
      <w:pPr>
        <w:pStyle w:val="TOC3"/>
        <w:rPr>
          <w:rFonts w:asciiTheme="minorHAnsi" w:eastAsiaTheme="minorEastAsia" w:hAnsiTheme="minorHAnsi" w:cstheme="minorBidi"/>
          <w:i w:val="0"/>
          <w:sz w:val="22"/>
          <w:szCs w:val="22"/>
        </w:rPr>
      </w:pPr>
      <w:r>
        <w:t>7.2</w:t>
      </w:r>
      <w:r>
        <w:rPr>
          <w:rFonts w:asciiTheme="minorHAnsi" w:eastAsiaTheme="minorEastAsia" w:hAnsiTheme="minorHAnsi" w:cstheme="minorBidi"/>
          <w:i w:val="0"/>
          <w:sz w:val="22"/>
          <w:szCs w:val="22"/>
        </w:rPr>
        <w:tab/>
      </w:r>
      <w:r>
        <w:t>Performance Improvement Projects (PIPs)</w:t>
      </w:r>
      <w:r>
        <w:tab/>
      </w:r>
      <w:r>
        <w:fldChar w:fldCharType="begin"/>
      </w:r>
      <w:r>
        <w:instrText xml:space="preserve"> PAGEREF _Toc8129046 \h </w:instrText>
      </w:r>
      <w:r>
        <w:fldChar w:fldCharType="separate"/>
      </w:r>
      <w:r>
        <w:t>138</w:t>
      </w:r>
      <w:r>
        <w:fldChar w:fldCharType="end"/>
      </w:r>
    </w:p>
    <w:p w14:paraId="7F212FB4" w14:textId="77777777" w:rsidR="00613ED8" w:rsidRDefault="00613ED8">
      <w:pPr>
        <w:pStyle w:val="TOC3"/>
        <w:rPr>
          <w:rFonts w:asciiTheme="minorHAnsi" w:eastAsiaTheme="minorEastAsia" w:hAnsiTheme="minorHAnsi" w:cstheme="minorBidi"/>
          <w:i w:val="0"/>
          <w:sz w:val="22"/>
          <w:szCs w:val="22"/>
        </w:rPr>
      </w:pPr>
      <w:r>
        <w:t>7.3</w:t>
      </w:r>
      <w:r>
        <w:rPr>
          <w:rFonts w:asciiTheme="minorHAnsi" w:eastAsiaTheme="minorEastAsia" w:hAnsiTheme="minorHAnsi" w:cstheme="minorBidi"/>
          <w:i w:val="0"/>
          <w:sz w:val="22"/>
          <w:szCs w:val="22"/>
        </w:rPr>
        <w:tab/>
      </w:r>
      <w:r>
        <w:t>Systemic Problems</w:t>
      </w:r>
      <w:r>
        <w:tab/>
      </w:r>
      <w:r>
        <w:fldChar w:fldCharType="begin"/>
      </w:r>
      <w:r>
        <w:instrText xml:space="preserve"> PAGEREF _Toc8129047 \h </w:instrText>
      </w:r>
      <w:r>
        <w:fldChar w:fldCharType="separate"/>
      </w:r>
      <w:r>
        <w:t>140</w:t>
      </w:r>
      <w:r>
        <w:fldChar w:fldCharType="end"/>
      </w:r>
    </w:p>
    <w:p w14:paraId="37300241" w14:textId="77777777" w:rsidR="00613ED8" w:rsidRDefault="00613ED8">
      <w:pPr>
        <w:pStyle w:val="TOC3"/>
        <w:rPr>
          <w:rFonts w:asciiTheme="minorHAnsi" w:eastAsiaTheme="minorEastAsia" w:hAnsiTheme="minorHAnsi" w:cstheme="minorBidi"/>
          <w:i w:val="0"/>
          <w:sz w:val="22"/>
          <w:szCs w:val="22"/>
        </w:rPr>
      </w:pPr>
      <w:r>
        <w:t>7.4</w:t>
      </w:r>
      <w:r>
        <w:rPr>
          <w:rFonts w:asciiTheme="minorHAnsi" w:eastAsiaTheme="minorEastAsia" w:hAnsiTheme="minorHAnsi" w:cstheme="minorBidi"/>
          <w:i w:val="0"/>
          <w:sz w:val="22"/>
          <w:szCs w:val="22"/>
        </w:rPr>
        <w:tab/>
      </w:r>
      <w:r>
        <w:t>Health Information System</w:t>
      </w:r>
      <w:r>
        <w:tab/>
      </w:r>
      <w:r>
        <w:fldChar w:fldCharType="begin"/>
      </w:r>
      <w:r>
        <w:instrText xml:space="preserve"> PAGEREF _Toc8129048 \h </w:instrText>
      </w:r>
      <w:r>
        <w:fldChar w:fldCharType="separate"/>
      </w:r>
      <w:r>
        <w:t>140</w:t>
      </w:r>
      <w:r>
        <w:fldChar w:fldCharType="end"/>
      </w:r>
    </w:p>
    <w:p w14:paraId="47D346D0" w14:textId="77777777" w:rsidR="00613ED8" w:rsidRDefault="00613ED8">
      <w:pPr>
        <w:pStyle w:val="TOC3"/>
        <w:rPr>
          <w:rFonts w:asciiTheme="minorHAnsi" w:eastAsiaTheme="minorEastAsia" w:hAnsiTheme="minorHAnsi" w:cstheme="minorBidi"/>
          <w:i w:val="0"/>
          <w:sz w:val="22"/>
          <w:szCs w:val="22"/>
        </w:rPr>
      </w:pPr>
      <w:r>
        <w:t>7.5</w:t>
      </w:r>
      <w:r>
        <w:rPr>
          <w:rFonts w:asciiTheme="minorHAnsi" w:eastAsiaTheme="minorEastAsia" w:hAnsiTheme="minorHAnsi" w:cstheme="minorBidi"/>
          <w:i w:val="0"/>
          <w:sz w:val="22"/>
          <w:szCs w:val="22"/>
        </w:rPr>
        <w:tab/>
      </w:r>
      <w:r>
        <w:t>Administration of the QAPI Program</w:t>
      </w:r>
      <w:r>
        <w:tab/>
      </w:r>
      <w:r>
        <w:fldChar w:fldCharType="begin"/>
      </w:r>
      <w:r>
        <w:instrText xml:space="preserve"> PAGEREF _Toc8129049 \h </w:instrText>
      </w:r>
      <w:r>
        <w:fldChar w:fldCharType="separate"/>
      </w:r>
      <w:r>
        <w:t>141</w:t>
      </w:r>
      <w:r>
        <w:fldChar w:fldCharType="end"/>
      </w:r>
    </w:p>
    <w:p w14:paraId="0F50732E" w14:textId="77777777" w:rsidR="00613ED8" w:rsidRDefault="00613ED8">
      <w:pPr>
        <w:pStyle w:val="TOC3"/>
        <w:rPr>
          <w:rFonts w:asciiTheme="minorHAnsi" w:eastAsiaTheme="minorEastAsia" w:hAnsiTheme="minorHAnsi" w:cstheme="minorBidi"/>
          <w:i w:val="0"/>
          <w:sz w:val="22"/>
          <w:szCs w:val="22"/>
        </w:rPr>
      </w:pPr>
      <w:r>
        <w:t>7.6</w:t>
      </w:r>
      <w:r>
        <w:rPr>
          <w:rFonts w:asciiTheme="minorHAnsi" w:eastAsiaTheme="minorEastAsia" w:hAnsiTheme="minorHAnsi" w:cstheme="minorBidi"/>
          <w:i w:val="0"/>
          <w:sz w:val="22"/>
          <w:szCs w:val="22"/>
        </w:rPr>
        <w:tab/>
      </w:r>
      <w:r>
        <w:t>MCO Accreditation</w:t>
      </w:r>
      <w:r>
        <w:tab/>
      </w:r>
      <w:r>
        <w:fldChar w:fldCharType="begin"/>
      </w:r>
      <w:r>
        <w:instrText xml:space="preserve"> PAGEREF _Toc8129050 \h </w:instrText>
      </w:r>
      <w:r>
        <w:fldChar w:fldCharType="separate"/>
      </w:r>
      <w:r>
        <w:t>142</w:t>
      </w:r>
      <w:r>
        <w:fldChar w:fldCharType="end"/>
      </w:r>
    </w:p>
    <w:p w14:paraId="1C5F687B" w14:textId="77777777" w:rsidR="00613ED8" w:rsidRDefault="00613ED8">
      <w:pPr>
        <w:pStyle w:val="TOC3"/>
        <w:rPr>
          <w:rFonts w:asciiTheme="minorHAnsi" w:eastAsiaTheme="minorEastAsia" w:hAnsiTheme="minorHAnsi" w:cstheme="minorBidi"/>
          <w:i w:val="0"/>
          <w:sz w:val="22"/>
          <w:szCs w:val="22"/>
        </w:rPr>
      </w:pPr>
      <w:r>
        <w:t xml:space="preserve">7.7 </w:t>
      </w:r>
      <w:r>
        <w:rPr>
          <w:rFonts w:asciiTheme="minorHAnsi" w:eastAsiaTheme="minorEastAsia" w:hAnsiTheme="minorHAnsi" w:cstheme="minorBidi"/>
          <w:i w:val="0"/>
          <w:sz w:val="22"/>
          <w:szCs w:val="22"/>
        </w:rPr>
        <w:tab/>
      </w:r>
      <w:r>
        <w:t>Performance Profiling</w:t>
      </w:r>
      <w:r>
        <w:tab/>
      </w:r>
      <w:r>
        <w:fldChar w:fldCharType="begin"/>
      </w:r>
      <w:r>
        <w:instrText xml:space="preserve"> PAGEREF _Toc8129051 \h </w:instrText>
      </w:r>
      <w:r>
        <w:fldChar w:fldCharType="separate"/>
      </w:r>
      <w:r>
        <w:t>143</w:t>
      </w:r>
      <w:r>
        <w:fldChar w:fldCharType="end"/>
      </w:r>
    </w:p>
    <w:p w14:paraId="1337F613" w14:textId="77777777" w:rsidR="00613ED8" w:rsidRDefault="00613ED8">
      <w:pPr>
        <w:pStyle w:val="TOC3"/>
        <w:rPr>
          <w:rFonts w:asciiTheme="minorHAnsi" w:eastAsiaTheme="minorEastAsia" w:hAnsiTheme="minorHAnsi" w:cstheme="minorBidi"/>
          <w:i w:val="0"/>
          <w:sz w:val="22"/>
          <w:szCs w:val="22"/>
        </w:rPr>
      </w:pPr>
      <w:r>
        <w:t>7.8</w:t>
      </w:r>
      <w:r>
        <w:rPr>
          <w:rFonts w:asciiTheme="minorHAnsi" w:eastAsiaTheme="minorEastAsia" w:hAnsiTheme="minorHAnsi" w:cstheme="minorBidi"/>
          <w:i w:val="0"/>
          <w:sz w:val="22"/>
          <w:szCs w:val="22"/>
        </w:rPr>
        <w:tab/>
      </w:r>
      <w:r>
        <w:t>Quality Withhold Program</w:t>
      </w:r>
      <w:r>
        <w:tab/>
      </w:r>
      <w:r>
        <w:fldChar w:fldCharType="begin"/>
      </w:r>
      <w:r>
        <w:instrText xml:space="preserve"> PAGEREF _Toc8129052 \h </w:instrText>
      </w:r>
      <w:r>
        <w:fldChar w:fldCharType="separate"/>
      </w:r>
      <w:r>
        <w:t>143</w:t>
      </w:r>
      <w:r>
        <w:fldChar w:fldCharType="end"/>
      </w:r>
    </w:p>
    <w:p w14:paraId="64E80400" w14:textId="77777777" w:rsidR="00613ED8" w:rsidRDefault="00613ED8">
      <w:pPr>
        <w:pStyle w:val="TOC2"/>
        <w:rPr>
          <w:rFonts w:asciiTheme="minorHAnsi" w:eastAsiaTheme="minorEastAsia" w:hAnsiTheme="minorHAnsi" w:cstheme="minorBidi"/>
          <w:smallCaps w:val="0"/>
          <w:sz w:val="22"/>
          <w:szCs w:val="22"/>
        </w:rPr>
      </w:pPr>
      <w:r>
        <w:t>8. FINANCIAL REQUIREMENTS &amp; PAYMENT PROVISIONS</w:t>
      </w:r>
      <w:r>
        <w:tab/>
      </w:r>
      <w:r>
        <w:fldChar w:fldCharType="begin"/>
      </w:r>
      <w:r>
        <w:instrText xml:space="preserve"> PAGEREF _Toc8129053 \h </w:instrText>
      </w:r>
      <w:r>
        <w:fldChar w:fldCharType="separate"/>
      </w:r>
      <w:r>
        <w:t>143</w:t>
      </w:r>
      <w:r>
        <w:fldChar w:fldCharType="end"/>
      </w:r>
    </w:p>
    <w:p w14:paraId="33EE70AF" w14:textId="77777777" w:rsidR="00613ED8" w:rsidRDefault="00613ED8">
      <w:pPr>
        <w:pStyle w:val="TOC3"/>
        <w:rPr>
          <w:rFonts w:asciiTheme="minorHAnsi" w:eastAsiaTheme="minorEastAsia" w:hAnsiTheme="minorHAnsi" w:cstheme="minorBidi"/>
          <w:i w:val="0"/>
          <w:sz w:val="22"/>
          <w:szCs w:val="22"/>
        </w:rPr>
      </w:pPr>
      <w:r>
        <w:t>8.1</w:t>
      </w:r>
      <w:r>
        <w:rPr>
          <w:rFonts w:asciiTheme="minorHAnsi" w:eastAsiaTheme="minorEastAsia" w:hAnsiTheme="minorHAnsi" w:cstheme="minorBidi"/>
          <w:i w:val="0"/>
          <w:sz w:val="22"/>
          <w:szCs w:val="22"/>
        </w:rPr>
        <w:tab/>
      </w:r>
      <w:r>
        <w:t>Solvency Requirements</w:t>
      </w:r>
      <w:r>
        <w:tab/>
      </w:r>
      <w:r>
        <w:fldChar w:fldCharType="begin"/>
      </w:r>
      <w:r>
        <w:instrText xml:space="preserve"> PAGEREF _Toc8129054 \h </w:instrText>
      </w:r>
      <w:r>
        <w:fldChar w:fldCharType="separate"/>
      </w:r>
      <w:r>
        <w:t>143</w:t>
      </w:r>
      <w:r>
        <w:fldChar w:fldCharType="end"/>
      </w:r>
    </w:p>
    <w:p w14:paraId="5D65A6A4" w14:textId="77777777" w:rsidR="00613ED8" w:rsidRDefault="00613ED8">
      <w:pPr>
        <w:pStyle w:val="TOC3"/>
        <w:rPr>
          <w:rFonts w:asciiTheme="minorHAnsi" w:eastAsiaTheme="minorEastAsia" w:hAnsiTheme="minorHAnsi" w:cstheme="minorBidi"/>
          <w:i w:val="0"/>
          <w:sz w:val="22"/>
          <w:szCs w:val="22"/>
        </w:rPr>
      </w:pPr>
      <w:r>
        <w:t>8.2</w:t>
      </w:r>
      <w:r>
        <w:rPr>
          <w:rFonts w:asciiTheme="minorHAnsi" w:eastAsiaTheme="minorEastAsia" w:hAnsiTheme="minorHAnsi" w:cstheme="minorBidi"/>
          <w:i w:val="0"/>
          <w:sz w:val="22"/>
          <w:szCs w:val="22"/>
        </w:rPr>
        <w:tab/>
      </w:r>
      <w:r>
        <w:t>Capitation Payments to MCOs</w:t>
      </w:r>
      <w:r>
        <w:tab/>
      </w:r>
      <w:r>
        <w:fldChar w:fldCharType="begin"/>
      </w:r>
      <w:r>
        <w:instrText xml:space="preserve"> PAGEREF _Toc8129055 \h </w:instrText>
      </w:r>
      <w:r>
        <w:fldChar w:fldCharType="separate"/>
      </w:r>
      <w:r>
        <w:t>144</w:t>
      </w:r>
      <w:r>
        <w:fldChar w:fldCharType="end"/>
      </w:r>
    </w:p>
    <w:p w14:paraId="1FB6BCD8" w14:textId="77777777" w:rsidR="00613ED8" w:rsidRDefault="00613ED8">
      <w:pPr>
        <w:pStyle w:val="TOC3"/>
        <w:rPr>
          <w:rFonts w:asciiTheme="minorHAnsi" w:eastAsiaTheme="minorEastAsia" w:hAnsiTheme="minorHAnsi" w:cstheme="minorBidi"/>
          <w:i w:val="0"/>
          <w:sz w:val="22"/>
          <w:szCs w:val="22"/>
        </w:rPr>
      </w:pPr>
      <w:r>
        <w:t xml:space="preserve">8.3 </w:t>
      </w:r>
      <w:r>
        <w:rPr>
          <w:rFonts w:asciiTheme="minorHAnsi" w:eastAsiaTheme="minorEastAsia" w:hAnsiTheme="minorHAnsi" w:cstheme="minorBidi"/>
          <w:i w:val="0"/>
          <w:sz w:val="22"/>
          <w:szCs w:val="22"/>
        </w:rPr>
        <w:tab/>
      </w:r>
      <w:r>
        <w:t>Medicaid Medical Loss Ratio (MLR)</w:t>
      </w:r>
      <w:r>
        <w:tab/>
      </w:r>
      <w:r>
        <w:fldChar w:fldCharType="begin"/>
      </w:r>
      <w:r>
        <w:instrText xml:space="preserve"> PAGEREF _Toc8129056 \h </w:instrText>
      </w:r>
      <w:r>
        <w:fldChar w:fldCharType="separate"/>
      </w:r>
      <w:r>
        <w:t>145</w:t>
      </w:r>
      <w:r>
        <w:fldChar w:fldCharType="end"/>
      </w:r>
    </w:p>
    <w:p w14:paraId="40776716" w14:textId="77777777" w:rsidR="00613ED8" w:rsidRDefault="00613ED8">
      <w:pPr>
        <w:pStyle w:val="TOC3"/>
        <w:rPr>
          <w:rFonts w:asciiTheme="minorHAnsi" w:eastAsiaTheme="minorEastAsia" w:hAnsiTheme="minorHAnsi" w:cstheme="minorBidi"/>
          <w:i w:val="0"/>
          <w:sz w:val="22"/>
          <w:szCs w:val="22"/>
        </w:rPr>
      </w:pPr>
      <w:r>
        <w:t xml:space="preserve">8.4 </w:t>
      </w:r>
      <w:r>
        <w:rPr>
          <w:rFonts w:asciiTheme="minorHAnsi" w:eastAsiaTheme="minorEastAsia" w:hAnsiTheme="minorHAnsi" w:cstheme="minorBidi"/>
          <w:i w:val="0"/>
          <w:sz w:val="22"/>
          <w:szCs w:val="22"/>
        </w:rPr>
        <w:tab/>
      </w:r>
      <w:r>
        <w:t>Health Insurer Fee</w:t>
      </w:r>
      <w:r>
        <w:tab/>
      </w:r>
      <w:r>
        <w:fldChar w:fldCharType="begin"/>
      </w:r>
      <w:r>
        <w:instrText xml:space="preserve"> PAGEREF _Toc8129057 \h </w:instrText>
      </w:r>
      <w:r>
        <w:fldChar w:fldCharType="separate"/>
      </w:r>
      <w:r>
        <w:t>146</w:t>
      </w:r>
      <w:r>
        <w:fldChar w:fldCharType="end"/>
      </w:r>
    </w:p>
    <w:p w14:paraId="3FBA8ECF" w14:textId="77777777" w:rsidR="00613ED8" w:rsidRDefault="00613ED8">
      <w:pPr>
        <w:pStyle w:val="TOC3"/>
        <w:rPr>
          <w:rFonts w:asciiTheme="minorHAnsi" w:eastAsiaTheme="minorEastAsia" w:hAnsiTheme="minorHAnsi" w:cstheme="minorBidi"/>
          <w:i w:val="0"/>
          <w:sz w:val="22"/>
          <w:szCs w:val="22"/>
        </w:rPr>
      </w:pPr>
      <w:r>
        <w:t>8.5</w:t>
      </w:r>
      <w:r>
        <w:rPr>
          <w:rFonts w:asciiTheme="minorHAnsi" w:eastAsiaTheme="minorEastAsia" w:hAnsiTheme="minorHAnsi" w:cstheme="minorBidi"/>
          <w:i w:val="0"/>
          <w:sz w:val="22"/>
          <w:szCs w:val="22"/>
        </w:rPr>
        <w:tab/>
      </w:r>
      <w:r>
        <w:t>Third Party Liability (TPL)</w:t>
      </w:r>
      <w:r>
        <w:tab/>
      </w:r>
      <w:r>
        <w:fldChar w:fldCharType="begin"/>
      </w:r>
      <w:r>
        <w:instrText xml:space="preserve"> PAGEREF _Toc8129058 \h </w:instrText>
      </w:r>
      <w:r>
        <w:fldChar w:fldCharType="separate"/>
      </w:r>
      <w:r>
        <w:t>146</w:t>
      </w:r>
      <w:r>
        <w:fldChar w:fldCharType="end"/>
      </w:r>
    </w:p>
    <w:p w14:paraId="7305708A" w14:textId="77777777" w:rsidR="00613ED8" w:rsidRDefault="00613ED8">
      <w:pPr>
        <w:pStyle w:val="TOC3"/>
        <w:rPr>
          <w:rFonts w:asciiTheme="minorHAnsi" w:eastAsiaTheme="minorEastAsia" w:hAnsiTheme="minorHAnsi" w:cstheme="minorBidi"/>
          <w:i w:val="0"/>
          <w:sz w:val="22"/>
          <w:szCs w:val="22"/>
        </w:rPr>
      </w:pPr>
      <w:r>
        <w:t>8.6</w:t>
      </w:r>
      <w:r>
        <w:rPr>
          <w:rFonts w:asciiTheme="minorHAnsi" w:eastAsiaTheme="minorEastAsia" w:hAnsiTheme="minorHAnsi" w:cstheme="minorBidi"/>
          <w:i w:val="0"/>
          <w:sz w:val="22"/>
          <w:szCs w:val="22"/>
        </w:rPr>
        <w:tab/>
      </w:r>
      <w:r>
        <w:t>Special Payment Arrangements</w:t>
      </w:r>
      <w:r>
        <w:tab/>
      </w:r>
      <w:r>
        <w:fldChar w:fldCharType="begin"/>
      </w:r>
      <w:r>
        <w:instrText xml:space="preserve"> PAGEREF _Toc8129059 \h </w:instrText>
      </w:r>
      <w:r>
        <w:fldChar w:fldCharType="separate"/>
      </w:r>
      <w:r>
        <w:t>147</w:t>
      </w:r>
      <w:r>
        <w:fldChar w:fldCharType="end"/>
      </w:r>
    </w:p>
    <w:p w14:paraId="32BB5A11" w14:textId="77777777" w:rsidR="00613ED8" w:rsidRDefault="00613ED8">
      <w:pPr>
        <w:pStyle w:val="TOC3"/>
        <w:rPr>
          <w:rFonts w:asciiTheme="minorHAnsi" w:eastAsiaTheme="minorEastAsia" w:hAnsiTheme="minorHAnsi" w:cstheme="minorBidi"/>
          <w:i w:val="0"/>
          <w:sz w:val="22"/>
          <w:szCs w:val="22"/>
        </w:rPr>
      </w:pPr>
      <w:r>
        <w:t>8.7</w:t>
      </w:r>
      <w:r>
        <w:rPr>
          <w:rFonts w:asciiTheme="minorHAnsi" w:eastAsiaTheme="minorEastAsia" w:hAnsiTheme="minorHAnsi" w:cstheme="minorBidi"/>
          <w:i w:val="0"/>
          <w:sz w:val="22"/>
          <w:szCs w:val="22"/>
        </w:rPr>
        <w:tab/>
      </w:r>
      <w:r>
        <w:t>Enrollee Liability</w:t>
      </w:r>
      <w:r>
        <w:tab/>
      </w:r>
      <w:r>
        <w:fldChar w:fldCharType="begin"/>
      </w:r>
      <w:r>
        <w:instrText xml:space="preserve"> PAGEREF _Toc8129060 \h </w:instrText>
      </w:r>
      <w:r>
        <w:fldChar w:fldCharType="separate"/>
      </w:r>
      <w:r>
        <w:t>152</w:t>
      </w:r>
      <w:r>
        <w:fldChar w:fldCharType="end"/>
      </w:r>
    </w:p>
    <w:p w14:paraId="587B026F" w14:textId="77777777" w:rsidR="00613ED8" w:rsidRDefault="00613ED8">
      <w:pPr>
        <w:pStyle w:val="TOC2"/>
        <w:rPr>
          <w:rFonts w:asciiTheme="minorHAnsi" w:eastAsiaTheme="minorEastAsia" w:hAnsiTheme="minorHAnsi" w:cstheme="minorBidi"/>
          <w:smallCaps w:val="0"/>
          <w:sz w:val="22"/>
          <w:szCs w:val="22"/>
        </w:rPr>
      </w:pPr>
      <w:r>
        <w:t>9. FRAUD, WASTE, AND ABUSE REQUIREMENTS</w:t>
      </w:r>
      <w:r>
        <w:tab/>
      </w:r>
      <w:r>
        <w:fldChar w:fldCharType="begin"/>
      </w:r>
      <w:r>
        <w:instrText xml:space="preserve"> PAGEREF _Toc8129061 \h </w:instrText>
      </w:r>
      <w:r>
        <w:fldChar w:fldCharType="separate"/>
      </w:r>
      <w:r>
        <w:t>153</w:t>
      </w:r>
      <w:r>
        <w:fldChar w:fldCharType="end"/>
      </w:r>
    </w:p>
    <w:p w14:paraId="02194860" w14:textId="77777777" w:rsidR="00613ED8" w:rsidRDefault="00613ED8">
      <w:pPr>
        <w:pStyle w:val="TOC3"/>
        <w:rPr>
          <w:rFonts w:asciiTheme="minorHAnsi" w:eastAsiaTheme="minorEastAsia" w:hAnsiTheme="minorHAnsi" w:cstheme="minorBidi"/>
          <w:i w:val="0"/>
          <w:sz w:val="22"/>
          <w:szCs w:val="22"/>
        </w:rPr>
      </w:pPr>
      <w:r>
        <w:t>9.1</w:t>
      </w:r>
      <w:r>
        <w:rPr>
          <w:rFonts w:asciiTheme="minorHAnsi" w:eastAsiaTheme="minorEastAsia" w:hAnsiTheme="minorHAnsi" w:cstheme="minorBidi"/>
          <w:i w:val="0"/>
          <w:sz w:val="22"/>
          <w:szCs w:val="22"/>
        </w:rPr>
        <w:tab/>
      </w:r>
      <w:r>
        <w:t>Fraud, Waste, and Abuse Guidelines</w:t>
      </w:r>
      <w:r>
        <w:tab/>
      </w:r>
      <w:r>
        <w:fldChar w:fldCharType="begin"/>
      </w:r>
      <w:r>
        <w:instrText xml:space="preserve"> PAGEREF _Toc8129062 \h </w:instrText>
      </w:r>
      <w:r>
        <w:fldChar w:fldCharType="separate"/>
      </w:r>
      <w:r>
        <w:t>153</w:t>
      </w:r>
      <w:r>
        <w:fldChar w:fldCharType="end"/>
      </w:r>
    </w:p>
    <w:p w14:paraId="1EFA3B81" w14:textId="77777777" w:rsidR="00613ED8" w:rsidRDefault="00613ED8">
      <w:pPr>
        <w:pStyle w:val="TOC3"/>
        <w:rPr>
          <w:rFonts w:asciiTheme="minorHAnsi" w:eastAsiaTheme="minorEastAsia" w:hAnsiTheme="minorHAnsi" w:cstheme="minorBidi"/>
          <w:i w:val="0"/>
          <w:sz w:val="22"/>
          <w:szCs w:val="22"/>
        </w:rPr>
      </w:pPr>
      <w:r>
        <w:t>9.2</w:t>
      </w:r>
      <w:r>
        <w:rPr>
          <w:rFonts w:asciiTheme="minorHAnsi" w:eastAsiaTheme="minorEastAsia" w:hAnsiTheme="minorHAnsi" w:cstheme="minorBidi"/>
          <w:i w:val="0"/>
          <w:sz w:val="22"/>
          <w:szCs w:val="22"/>
        </w:rPr>
        <w:tab/>
      </w:r>
      <w:r>
        <w:t>Credible Allegation of Fraud</w:t>
      </w:r>
      <w:r>
        <w:tab/>
      </w:r>
      <w:r>
        <w:fldChar w:fldCharType="begin"/>
      </w:r>
      <w:r>
        <w:instrText xml:space="preserve"> PAGEREF _Toc8129063 \h </w:instrText>
      </w:r>
      <w:r>
        <w:fldChar w:fldCharType="separate"/>
      </w:r>
      <w:r>
        <w:t>157</w:t>
      </w:r>
      <w:r>
        <w:fldChar w:fldCharType="end"/>
      </w:r>
    </w:p>
    <w:p w14:paraId="00C9994A" w14:textId="77777777" w:rsidR="00613ED8" w:rsidRDefault="00613ED8">
      <w:pPr>
        <w:pStyle w:val="TOC3"/>
        <w:rPr>
          <w:rFonts w:asciiTheme="minorHAnsi" w:eastAsiaTheme="minorEastAsia" w:hAnsiTheme="minorHAnsi" w:cstheme="minorBidi"/>
          <w:i w:val="0"/>
          <w:sz w:val="22"/>
          <w:szCs w:val="22"/>
        </w:rPr>
      </w:pPr>
      <w:r>
        <w:t>9.3</w:t>
      </w:r>
      <w:r>
        <w:rPr>
          <w:rFonts w:asciiTheme="minorHAnsi" w:eastAsiaTheme="minorEastAsia" w:hAnsiTheme="minorHAnsi" w:cstheme="minorBidi"/>
          <w:i w:val="0"/>
          <w:sz w:val="22"/>
          <w:szCs w:val="22"/>
        </w:rPr>
        <w:tab/>
      </w:r>
      <w:r>
        <w:t>Treatment of Overpayments</w:t>
      </w:r>
      <w:r>
        <w:tab/>
      </w:r>
      <w:r>
        <w:fldChar w:fldCharType="begin"/>
      </w:r>
      <w:r>
        <w:instrText xml:space="preserve"> PAGEREF _Toc8129064 \h </w:instrText>
      </w:r>
      <w:r>
        <w:fldChar w:fldCharType="separate"/>
      </w:r>
      <w:r>
        <w:t>158</w:t>
      </w:r>
      <w:r>
        <w:fldChar w:fldCharType="end"/>
      </w:r>
    </w:p>
    <w:p w14:paraId="510A52B2" w14:textId="77777777" w:rsidR="00613ED8" w:rsidRDefault="00613ED8">
      <w:pPr>
        <w:pStyle w:val="TOC2"/>
        <w:rPr>
          <w:rFonts w:asciiTheme="minorHAnsi" w:eastAsiaTheme="minorEastAsia" w:hAnsiTheme="minorHAnsi" w:cstheme="minorBidi"/>
          <w:smallCaps w:val="0"/>
          <w:sz w:val="22"/>
          <w:szCs w:val="22"/>
        </w:rPr>
      </w:pPr>
      <w:r>
        <w:t>10. CHILDREN’S DENTAL SERVICES</w:t>
      </w:r>
      <w:r>
        <w:tab/>
      </w:r>
      <w:r>
        <w:fldChar w:fldCharType="begin"/>
      </w:r>
      <w:r>
        <w:instrText xml:space="preserve"> PAGEREF _Toc8129065 \h </w:instrText>
      </w:r>
      <w:r>
        <w:fldChar w:fldCharType="separate"/>
      </w:r>
      <w:r>
        <w:t>161</w:t>
      </w:r>
      <w:r>
        <w:fldChar w:fldCharType="end"/>
      </w:r>
    </w:p>
    <w:p w14:paraId="141353F4" w14:textId="77777777" w:rsidR="00613ED8" w:rsidRDefault="00613ED8">
      <w:pPr>
        <w:pStyle w:val="TOC3"/>
        <w:rPr>
          <w:rFonts w:asciiTheme="minorHAnsi" w:eastAsiaTheme="minorEastAsia" w:hAnsiTheme="minorHAnsi" w:cstheme="minorBidi"/>
          <w:i w:val="0"/>
          <w:sz w:val="22"/>
          <w:szCs w:val="22"/>
        </w:rPr>
      </w:pPr>
      <w:r>
        <w:t>10.1</w:t>
      </w:r>
      <w:r>
        <w:rPr>
          <w:rFonts w:asciiTheme="minorHAnsi" w:eastAsiaTheme="minorEastAsia" w:hAnsiTheme="minorHAnsi" w:cstheme="minorBidi"/>
          <w:i w:val="0"/>
          <w:sz w:val="22"/>
          <w:szCs w:val="22"/>
        </w:rPr>
        <w:tab/>
      </w:r>
      <w:r>
        <w:t xml:space="preserve">Children’s Dental Services Administration </w:t>
      </w:r>
      <w:r>
        <w:tab/>
      </w:r>
      <w:r>
        <w:fldChar w:fldCharType="begin"/>
      </w:r>
      <w:r>
        <w:instrText xml:space="preserve"> PAGEREF _Toc8129066 \h </w:instrText>
      </w:r>
      <w:r>
        <w:fldChar w:fldCharType="separate"/>
      </w:r>
      <w:r>
        <w:t>161</w:t>
      </w:r>
      <w:r>
        <w:fldChar w:fldCharType="end"/>
      </w:r>
    </w:p>
    <w:p w14:paraId="44887C0D" w14:textId="77777777" w:rsidR="00613ED8" w:rsidRDefault="00613ED8">
      <w:pPr>
        <w:pStyle w:val="TOC3"/>
        <w:rPr>
          <w:rFonts w:asciiTheme="minorHAnsi" w:eastAsiaTheme="minorEastAsia" w:hAnsiTheme="minorHAnsi" w:cstheme="minorBidi"/>
          <w:i w:val="0"/>
          <w:sz w:val="22"/>
          <w:szCs w:val="22"/>
        </w:rPr>
      </w:pPr>
      <w:r>
        <w:t>10.2</w:t>
      </w:r>
      <w:r>
        <w:rPr>
          <w:rFonts w:asciiTheme="minorHAnsi" w:eastAsiaTheme="minorEastAsia" w:hAnsiTheme="minorHAnsi" w:cstheme="minorBidi"/>
          <w:i w:val="0"/>
          <w:sz w:val="22"/>
          <w:szCs w:val="22"/>
        </w:rPr>
        <w:tab/>
      </w:r>
      <w:r>
        <w:t>Covered Dental Services</w:t>
      </w:r>
      <w:r>
        <w:tab/>
      </w:r>
      <w:r>
        <w:fldChar w:fldCharType="begin"/>
      </w:r>
      <w:r>
        <w:instrText xml:space="preserve"> PAGEREF _Toc8129067 \h </w:instrText>
      </w:r>
      <w:r>
        <w:fldChar w:fldCharType="separate"/>
      </w:r>
      <w:r>
        <w:t>161</w:t>
      </w:r>
      <w:r>
        <w:fldChar w:fldCharType="end"/>
      </w:r>
    </w:p>
    <w:p w14:paraId="430BD258" w14:textId="77777777" w:rsidR="00613ED8" w:rsidRDefault="00613ED8">
      <w:pPr>
        <w:pStyle w:val="TOC3"/>
        <w:rPr>
          <w:rFonts w:asciiTheme="minorHAnsi" w:eastAsiaTheme="minorEastAsia" w:hAnsiTheme="minorHAnsi" w:cstheme="minorBidi"/>
          <w:i w:val="0"/>
          <w:sz w:val="22"/>
          <w:szCs w:val="22"/>
        </w:rPr>
      </w:pPr>
      <w:r>
        <w:t>10.3</w:t>
      </w:r>
      <w:r>
        <w:rPr>
          <w:rFonts w:asciiTheme="minorHAnsi" w:eastAsiaTheme="minorEastAsia" w:hAnsiTheme="minorHAnsi" w:cstheme="minorBidi"/>
          <w:i w:val="0"/>
          <w:sz w:val="22"/>
          <w:szCs w:val="22"/>
        </w:rPr>
        <w:tab/>
      </w:r>
      <w:r>
        <w:t>Dental Director</w:t>
      </w:r>
      <w:r>
        <w:tab/>
      </w:r>
      <w:r>
        <w:fldChar w:fldCharType="begin"/>
      </w:r>
      <w:r>
        <w:instrText xml:space="preserve"> PAGEREF _Toc8129068 \h </w:instrText>
      </w:r>
      <w:r>
        <w:fldChar w:fldCharType="separate"/>
      </w:r>
      <w:r>
        <w:t>161</w:t>
      </w:r>
      <w:r>
        <w:fldChar w:fldCharType="end"/>
      </w:r>
    </w:p>
    <w:p w14:paraId="379148B8" w14:textId="77777777" w:rsidR="00613ED8" w:rsidRDefault="00613ED8">
      <w:pPr>
        <w:pStyle w:val="TOC3"/>
        <w:rPr>
          <w:rFonts w:asciiTheme="minorHAnsi" w:eastAsiaTheme="minorEastAsia" w:hAnsiTheme="minorHAnsi" w:cstheme="minorBidi"/>
          <w:i w:val="0"/>
          <w:sz w:val="22"/>
          <w:szCs w:val="22"/>
        </w:rPr>
      </w:pPr>
      <w:r>
        <w:t>10.4</w:t>
      </w:r>
      <w:r>
        <w:rPr>
          <w:rFonts w:asciiTheme="minorHAnsi" w:eastAsiaTheme="minorEastAsia" w:hAnsiTheme="minorHAnsi" w:cstheme="minorBidi"/>
          <w:i w:val="0"/>
          <w:sz w:val="22"/>
          <w:szCs w:val="22"/>
        </w:rPr>
        <w:tab/>
      </w:r>
      <w:r>
        <w:t>Oral Health Fluoride Varnish Program</w:t>
      </w:r>
      <w:r>
        <w:tab/>
      </w:r>
      <w:r>
        <w:fldChar w:fldCharType="begin"/>
      </w:r>
      <w:r>
        <w:instrText xml:space="preserve"> PAGEREF _Toc8129069 \h </w:instrText>
      </w:r>
      <w:r>
        <w:fldChar w:fldCharType="separate"/>
      </w:r>
      <w:r>
        <w:t>162</w:t>
      </w:r>
      <w:r>
        <w:fldChar w:fldCharType="end"/>
      </w:r>
    </w:p>
    <w:p w14:paraId="5B9F9103" w14:textId="77777777" w:rsidR="00613ED8" w:rsidRDefault="00613ED8">
      <w:pPr>
        <w:pStyle w:val="TOC3"/>
        <w:rPr>
          <w:rFonts w:asciiTheme="minorHAnsi" w:eastAsiaTheme="minorEastAsia" w:hAnsiTheme="minorHAnsi" w:cstheme="minorBidi"/>
          <w:i w:val="0"/>
          <w:sz w:val="22"/>
          <w:szCs w:val="22"/>
        </w:rPr>
      </w:pPr>
      <w:r>
        <w:t>10.5</w:t>
      </w:r>
      <w:r>
        <w:rPr>
          <w:rFonts w:asciiTheme="minorHAnsi" w:eastAsiaTheme="minorEastAsia" w:hAnsiTheme="minorHAnsi" w:cstheme="minorBidi"/>
          <w:i w:val="0"/>
          <w:sz w:val="22"/>
          <w:szCs w:val="22"/>
        </w:rPr>
        <w:tab/>
      </w:r>
      <w:r>
        <w:t>Coordination of Care</w:t>
      </w:r>
      <w:r>
        <w:tab/>
      </w:r>
      <w:r>
        <w:fldChar w:fldCharType="begin"/>
      </w:r>
      <w:r>
        <w:instrText xml:space="preserve"> PAGEREF _Toc8129070 \h </w:instrText>
      </w:r>
      <w:r>
        <w:fldChar w:fldCharType="separate"/>
      </w:r>
      <w:r>
        <w:t>162</w:t>
      </w:r>
      <w:r>
        <w:fldChar w:fldCharType="end"/>
      </w:r>
    </w:p>
    <w:p w14:paraId="138AF596" w14:textId="77777777" w:rsidR="00613ED8" w:rsidRDefault="00613ED8">
      <w:pPr>
        <w:pStyle w:val="TOC3"/>
        <w:rPr>
          <w:rFonts w:asciiTheme="minorHAnsi" w:eastAsiaTheme="minorEastAsia" w:hAnsiTheme="minorHAnsi" w:cstheme="minorBidi"/>
          <w:i w:val="0"/>
          <w:sz w:val="22"/>
          <w:szCs w:val="22"/>
        </w:rPr>
      </w:pPr>
      <w:r>
        <w:t>10.6</w:t>
      </w:r>
      <w:r>
        <w:rPr>
          <w:rFonts w:asciiTheme="minorHAnsi" w:eastAsiaTheme="minorEastAsia" w:hAnsiTheme="minorHAnsi" w:cstheme="minorBidi"/>
          <w:i w:val="0"/>
          <w:sz w:val="22"/>
          <w:szCs w:val="22"/>
        </w:rPr>
        <w:tab/>
      </w:r>
      <w:r>
        <w:t>Continuity of Care for MCO Orthodontic Services</w:t>
      </w:r>
      <w:r>
        <w:tab/>
      </w:r>
      <w:r>
        <w:fldChar w:fldCharType="begin"/>
      </w:r>
      <w:r>
        <w:instrText xml:space="preserve"> PAGEREF _Toc8129071 \h </w:instrText>
      </w:r>
      <w:r>
        <w:fldChar w:fldCharType="separate"/>
      </w:r>
      <w:r>
        <w:t>162</w:t>
      </w:r>
      <w:r>
        <w:fldChar w:fldCharType="end"/>
      </w:r>
    </w:p>
    <w:p w14:paraId="54FC38A2" w14:textId="77777777" w:rsidR="00613ED8" w:rsidRDefault="00613ED8">
      <w:pPr>
        <w:pStyle w:val="TOC3"/>
        <w:rPr>
          <w:rFonts w:asciiTheme="minorHAnsi" w:eastAsiaTheme="minorEastAsia" w:hAnsiTheme="minorHAnsi" w:cstheme="minorBidi"/>
          <w:i w:val="0"/>
          <w:sz w:val="22"/>
          <w:szCs w:val="22"/>
        </w:rPr>
      </w:pPr>
      <w:r>
        <w:t>10.7</w:t>
      </w:r>
      <w:r>
        <w:rPr>
          <w:rFonts w:asciiTheme="minorHAnsi" w:eastAsiaTheme="minorEastAsia" w:hAnsiTheme="minorHAnsi" w:cstheme="minorBidi"/>
          <w:i w:val="0"/>
          <w:sz w:val="22"/>
          <w:szCs w:val="22"/>
        </w:rPr>
        <w:tab/>
      </w:r>
      <w:r>
        <w:t>Continued Care for Active Orthodontia</w:t>
      </w:r>
      <w:r>
        <w:tab/>
      </w:r>
      <w:r>
        <w:fldChar w:fldCharType="begin"/>
      </w:r>
      <w:r>
        <w:instrText xml:space="preserve"> PAGEREF _Toc8129072 \h </w:instrText>
      </w:r>
      <w:r>
        <w:fldChar w:fldCharType="separate"/>
      </w:r>
      <w:r>
        <w:t>162</w:t>
      </w:r>
      <w:r>
        <w:fldChar w:fldCharType="end"/>
      </w:r>
    </w:p>
    <w:p w14:paraId="6B158115" w14:textId="77777777" w:rsidR="00613ED8" w:rsidRDefault="00613ED8">
      <w:pPr>
        <w:pStyle w:val="TOC2"/>
        <w:rPr>
          <w:rFonts w:asciiTheme="minorHAnsi" w:eastAsiaTheme="minorEastAsia" w:hAnsiTheme="minorHAnsi" w:cstheme="minorBidi"/>
          <w:smallCaps w:val="0"/>
          <w:sz w:val="22"/>
          <w:szCs w:val="22"/>
        </w:rPr>
      </w:pPr>
      <w:r>
        <w:t>11. BEHAVIORAL HEALTH SERVICES</w:t>
      </w:r>
      <w:r>
        <w:tab/>
      </w:r>
      <w:r>
        <w:fldChar w:fldCharType="begin"/>
      </w:r>
      <w:r>
        <w:instrText xml:space="preserve"> PAGEREF _Toc8129073 \h </w:instrText>
      </w:r>
      <w:r>
        <w:fldChar w:fldCharType="separate"/>
      </w:r>
      <w:r>
        <w:t>162</w:t>
      </w:r>
      <w:r>
        <w:fldChar w:fldCharType="end"/>
      </w:r>
    </w:p>
    <w:p w14:paraId="3305E17D" w14:textId="77777777" w:rsidR="00613ED8" w:rsidRDefault="00613ED8">
      <w:pPr>
        <w:pStyle w:val="TOC3"/>
        <w:rPr>
          <w:rFonts w:asciiTheme="minorHAnsi" w:eastAsiaTheme="minorEastAsia" w:hAnsiTheme="minorHAnsi" w:cstheme="minorBidi"/>
          <w:i w:val="0"/>
          <w:sz w:val="22"/>
          <w:szCs w:val="22"/>
        </w:rPr>
      </w:pPr>
      <w:r>
        <w:t>11.1</w:t>
      </w:r>
      <w:r>
        <w:rPr>
          <w:rFonts w:asciiTheme="minorHAnsi" w:eastAsiaTheme="minorEastAsia" w:hAnsiTheme="minorHAnsi" w:cstheme="minorBidi"/>
          <w:i w:val="0"/>
          <w:sz w:val="22"/>
          <w:szCs w:val="22"/>
        </w:rPr>
        <w:tab/>
      </w:r>
      <w:r>
        <w:t>MCO Behavioral Services Administration</w:t>
      </w:r>
      <w:r>
        <w:tab/>
      </w:r>
      <w:r>
        <w:fldChar w:fldCharType="begin"/>
      </w:r>
      <w:r>
        <w:instrText xml:space="preserve"> PAGEREF _Toc8129074 \h </w:instrText>
      </w:r>
      <w:r>
        <w:fldChar w:fldCharType="separate"/>
      </w:r>
      <w:r>
        <w:t>162</w:t>
      </w:r>
      <w:r>
        <w:fldChar w:fldCharType="end"/>
      </w:r>
    </w:p>
    <w:p w14:paraId="03A850C1" w14:textId="77777777" w:rsidR="00613ED8" w:rsidRDefault="00613ED8">
      <w:pPr>
        <w:pStyle w:val="TOC3"/>
        <w:rPr>
          <w:rFonts w:asciiTheme="minorHAnsi" w:eastAsiaTheme="minorEastAsia" w:hAnsiTheme="minorHAnsi" w:cstheme="minorBidi"/>
          <w:i w:val="0"/>
          <w:sz w:val="22"/>
          <w:szCs w:val="22"/>
        </w:rPr>
      </w:pPr>
      <w:r>
        <w:t>11.2</w:t>
      </w:r>
      <w:r>
        <w:rPr>
          <w:rFonts w:asciiTheme="minorHAnsi" w:eastAsiaTheme="minorEastAsia" w:hAnsiTheme="minorHAnsi" w:cstheme="minorBidi"/>
          <w:i w:val="0"/>
          <w:sz w:val="22"/>
          <w:szCs w:val="22"/>
        </w:rPr>
        <w:tab/>
      </w:r>
      <w:r>
        <w:t>Behavioral Health Director</w:t>
      </w:r>
      <w:r>
        <w:tab/>
      </w:r>
      <w:r>
        <w:fldChar w:fldCharType="begin"/>
      </w:r>
      <w:r>
        <w:instrText xml:space="preserve"> PAGEREF _Toc8129075 \h </w:instrText>
      </w:r>
      <w:r>
        <w:fldChar w:fldCharType="separate"/>
      </w:r>
      <w:r>
        <w:t>163</w:t>
      </w:r>
      <w:r>
        <w:fldChar w:fldCharType="end"/>
      </w:r>
    </w:p>
    <w:p w14:paraId="6B2EB582" w14:textId="77777777" w:rsidR="00613ED8" w:rsidRDefault="00613ED8">
      <w:pPr>
        <w:pStyle w:val="TOC3"/>
        <w:rPr>
          <w:rFonts w:asciiTheme="minorHAnsi" w:eastAsiaTheme="minorEastAsia" w:hAnsiTheme="minorHAnsi" w:cstheme="minorBidi"/>
          <w:i w:val="0"/>
          <w:sz w:val="22"/>
          <w:szCs w:val="22"/>
        </w:rPr>
      </w:pPr>
      <w:r>
        <w:t>11.3</w:t>
      </w:r>
      <w:r>
        <w:rPr>
          <w:rFonts w:asciiTheme="minorHAnsi" w:eastAsiaTheme="minorEastAsia" w:hAnsiTheme="minorHAnsi" w:cstheme="minorBidi"/>
          <w:i w:val="0"/>
          <w:sz w:val="22"/>
          <w:szCs w:val="22"/>
        </w:rPr>
        <w:tab/>
      </w:r>
      <w:r>
        <w:t>Behavioral Health Covered Services</w:t>
      </w:r>
      <w:r>
        <w:tab/>
      </w:r>
      <w:r>
        <w:fldChar w:fldCharType="begin"/>
      </w:r>
      <w:r>
        <w:instrText xml:space="preserve"> PAGEREF _Toc8129076 \h </w:instrText>
      </w:r>
      <w:r>
        <w:fldChar w:fldCharType="separate"/>
      </w:r>
      <w:r>
        <w:t>163</w:t>
      </w:r>
      <w:r>
        <w:fldChar w:fldCharType="end"/>
      </w:r>
    </w:p>
    <w:p w14:paraId="79F61B4F" w14:textId="77777777" w:rsidR="00613ED8" w:rsidRDefault="00613ED8">
      <w:pPr>
        <w:pStyle w:val="TOC3"/>
        <w:rPr>
          <w:rFonts w:asciiTheme="minorHAnsi" w:eastAsiaTheme="minorEastAsia" w:hAnsiTheme="minorHAnsi" w:cstheme="minorBidi"/>
          <w:i w:val="0"/>
          <w:sz w:val="22"/>
          <w:szCs w:val="22"/>
        </w:rPr>
      </w:pPr>
      <w:r>
        <w:t>11.4</w:t>
      </w:r>
      <w:r>
        <w:rPr>
          <w:rFonts w:asciiTheme="minorHAnsi" w:eastAsiaTheme="minorEastAsia" w:hAnsiTheme="minorHAnsi" w:cstheme="minorBidi"/>
          <w:i w:val="0"/>
          <w:sz w:val="22"/>
          <w:szCs w:val="22"/>
        </w:rPr>
        <w:tab/>
      </w:r>
      <w:r>
        <w:t>Coordination of Care</w:t>
      </w:r>
      <w:r>
        <w:tab/>
      </w:r>
      <w:r>
        <w:fldChar w:fldCharType="begin"/>
      </w:r>
      <w:r>
        <w:instrText xml:space="preserve"> PAGEREF _Toc8129077 \h </w:instrText>
      </w:r>
      <w:r>
        <w:fldChar w:fldCharType="separate"/>
      </w:r>
      <w:r>
        <w:t>163</w:t>
      </w:r>
      <w:r>
        <w:fldChar w:fldCharType="end"/>
      </w:r>
    </w:p>
    <w:p w14:paraId="718292DE" w14:textId="77777777" w:rsidR="00613ED8" w:rsidRDefault="00613ED8">
      <w:pPr>
        <w:pStyle w:val="TOC3"/>
        <w:rPr>
          <w:rFonts w:asciiTheme="minorHAnsi" w:eastAsiaTheme="minorEastAsia" w:hAnsiTheme="minorHAnsi" w:cstheme="minorBidi"/>
          <w:i w:val="0"/>
          <w:sz w:val="22"/>
          <w:szCs w:val="22"/>
        </w:rPr>
      </w:pPr>
      <w:r>
        <w:t>11.5</w:t>
      </w:r>
      <w:r>
        <w:rPr>
          <w:rFonts w:asciiTheme="minorHAnsi" w:eastAsiaTheme="minorEastAsia" w:hAnsiTheme="minorHAnsi" w:cstheme="minorBidi"/>
          <w:i w:val="0"/>
          <w:sz w:val="22"/>
          <w:szCs w:val="22"/>
        </w:rPr>
        <w:tab/>
      </w:r>
      <w:r>
        <w:t>Adult Inpatient and Residential Care for Behavioral Health</w:t>
      </w:r>
      <w:r>
        <w:tab/>
      </w:r>
      <w:r>
        <w:fldChar w:fldCharType="begin"/>
      </w:r>
      <w:r>
        <w:instrText xml:space="preserve"> PAGEREF _Toc8129078 \h </w:instrText>
      </w:r>
      <w:r>
        <w:fldChar w:fldCharType="separate"/>
      </w:r>
      <w:r>
        <w:t>164</w:t>
      </w:r>
      <w:r>
        <w:fldChar w:fldCharType="end"/>
      </w:r>
    </w:p>
    <w:p w14:paraId="39494184" w14:textId="77777777" w:rsidR="00613ED8" w:rsidRDefault="00613ED8">
      <w:pPr>
        <w:pStyle w:val="TOC3"/>
        <w:rPr>
          <w:rFonts w:asciiTheme="minorHAnsi" w:eastAsiaTheme="minorEastAsia" w:hAnsiTheme="minorHAnsi" w:cstheme="minorBidi"/>
          <w:i w:val="0"/>
          <w:sz w:val="22"/>
          <w:szCs w:val="22"/>
        </w:rPr>
      </w:pPr>
      <w:r>
        <w:t>11.6</w:t>
      </w:r>
      <w:r>
        <w:rPr>
          <w:rFonts w:asciiTheme="minorHAnsi" w:eastAsiaTheme="minorEastAsia" w:hAnsiTheme="minorHAnsi" w:cstheme="minorBidi"/>
          <w:i w:val="0"/>
          <w:sz w:val="22"/>
          <w:szCs w:val="22"/>
        </w:rPr>
        <w:tab/>
      </w:r>
      <w:r>
        <w:t>Children’s Inpatient Care for Behavioral Health</w:t>
      </w:r>
      <w:r>
        <w:tab/>
      </w:r>
      <w:r>
        <w:fldChar w:fldCharType="begin"/>
      </w:r>
      <w:r>
        <w:instrText xml:space="preserve"> PAGEREF _Toc8129079 \h </w:instrText>
      </w:r>
      <w:r>
        <w:fldChar w:fldCharType="separate"/>
      </w:r>
      <w:r>
        <w:t>164</w:t>
      </w:r>
      <w:r>
        <w:fldChar w:fldCharType="end"/>
      </w:r>
    </w:p>
    <w:p w14:paraId="4A6329F6" w14:textId="77777777" w:rsidR="00613ED8" w:rsidRDefault="00613ED8">
      <w:pPr>
        <w:pStyle w:val="TOC3"/>
        <w:rPr>
          <w:rFonts w:asciiTheme="minorHAnsi" w:eastAsiaTheme="minorEastAsia" w:hAnsiTheme="minorHAnsi" w:cstheme="minorBidi"/>
          <w:i w:val="0"/>
          <w:sz w:val="22"/>
          <w:szCs w:val="22"/>
        </w:rPr>
      </w:pPr>
      <w:r>
        <w:t>11.7</w:t>
      </w:r>
      <w:r>
        <w:rPr>
          <w:rFonts w:asciiTheme="minorHAnsi" w:eastAsiaTheme="minorEastAsia" w:hAnsiTheme="minorHAnsi" w:cstheme="minorBidi"/>
          <w:i w:val="0"/>
          <w:sz w:val="22"/>
          <w:szCs w:val="22"/>
        </w:rPr>
        <w:tab/>
      </w:r>
      <w:r>
        <w:t>Court Ordered Services</w:t>
      </w:r>
      <w:r>
        <w:tab/>
      </w:r>
      <w:r>
        <w:fldChar w:fldCharType="begin"/>
      </w:r>
      <w:r>
        <w:instrText xml:space="preserve"> PAGEREF _Toc8129080 \h </w:instrText>
      </w:r>
      <w:r>
        <w:fldChar w:fldCharType="separate"/>
      </w:r>
      <w:r>
        <w:t>164</w:t>
      </w:r>
      <w:r>
        <w:fldChar w:fldCharType="end"/>
      </w:r>
    </w:p>
    <w:p w14:paraId="594DA75F" w14:textId="77777777" w:rsidR="00613ED8" w:rsidRDefault="00613ED8">
      <w:pPr>
        <w:pStyle w:val="TOC3"/>
        <w:rPr>
          <w:rFonts w:asciiTheme="minorHAnsi" w:eastAsiaTheme="minorEastAsia" w:hAnsiTheme="minorHAnsi" w:cstheme="minorBidi"/>
          <w:i w:val="0"/>
          <w:sz w:val="22"/>
          <w:szCs w:val="22"/>
        </w:rPr>
      </w:pPr>
      <w:r>
        <w:t>11.8</w:t>
      </w:r>
      <w:r>
        <w:rPr>
          <w:rFonts w:asciiTheme="minorHAnsi" w:eastAsiaTheme="minorEastAsia" w:hAnsiTheme="minorHAnsi" w:cstheme="minorBidi"/>
          <w:i w:val="0"/>
          <w:sz w:val="22"/>
          <w:szCs w:val="22"/>
        </w:rPr>
        <w:tab/>
      </w:r>
      <w:r>
        <w:t>Behavioral Health Provider Network</w:t>
      </w:r>
      <w:r>
        <w:tab/>
      </w:r>
      <w:r>
        <w:fldChar w:fldCharType="begin"/>
      </w:r>
      <w:r>
        <w:instrText xml:space="preserve"> PAGEREF _Toc8129081 \h </w:instrText>
      </w:r>
      <w:r>
        <w:fldChar w:fldCharType="separate"/>
      </w:r>
      <w:r>
        <w:t>165</w:t>
      </w:r>
      <w:r>
        <w:fldChar w:fldCharType="end"/>
      </w:r>
    </w:p>
    <w:p w14:paraId="131ABBA9" w14:textId="77777777" w:rsidR="00613ED8" w:rsidRDefault="00613ED8">
      <w:pPr>
        <w:pStyle w:val="TOC3"/>
        <w:rPr>
          <w:rFonts w:asciiTheme="minorHAnsi" w:eastAsiaTheme="minorEastAsia" w:hAnsiTheme="minorHAnsi" w:cstheme="minorBidi"/>
          <w:i w:val="0"/>
          <w:sz w:val="22"/>
          <w:szCs w:val="22"/>
        </w:rPr>
      </w:pPr>
      <w:r>
        <w:t>11.9</w:t>
      </w:r>
      <w:r>
        <w:rPr>
          <w:rFonts w:asciiTheme="minorHAnsi" w:eastAsiaTheme="minorEastAsia" w:hAnsiTheme="minorHAnsi" w:cstheme="minorBidi"/>
          <w:i w:val="0"/>
          <w:sz w:val="22"/>
          <w:szCs w:val="22"/>
        </w:rPr>
        <w:tab/>
      </w:r>
      <w:r>
        <w:t>Behavioral Health Service Authorization</w:t>
      </w:r>
      <w:r>
        <w:tab/>
      </w:r>
      <w:r>
        <w:fldChar w:fldCharType="begin"/>
      </w:r>
      <w:r>
        <w:instrText xml:space="preserve"> PAGEREF _Toc8129082 \h </w:instrText>
      </w:r>
      <w:r>
        <w:fldChar w:fldCharType="separate"/>
      </w:r>
      <w:r>
        <w:t>165</w:t>
      </w:r>
      <w:r>
        <w:fldChar w:fldCharType="end"/>
      </w:r>
    </w:p>
    <w:p w14:paraId="039DF533" w14:textId="77777777" w:rsidR="00613ED8" w:rsidRDefault="00613ED8">
      <w:pPr>
        <w:pStyle w:val="TOC3"/>
        <w:rPr>
          <w:rFonts w:asciiTheme="minorHAnsi" w:eastAsiaTheme="minorEastAsia" w:hAnsiTheme="minorHAnsi" w:cstheme="minorBidi"/>
          <w:i w:val="0"/>
          <w:sz w:val="22"/>
          <w:szCs w:val="22"/>
        </w:rPr>
      </w:pPr>
      <w:r>
        <w:t>11.10 Substance Use Disorder (SUD) Services</w:t>
      </w:r>
      <w:r>
        <w:tab/>
      </w:r>
      <w:r>
        <w:fldChar w:fldCharType="begin"/>
      </w:r>
      <w:r>
        <w:instrText xml:space="preserve"> PAGEREF _Toc8129083 \h </w:instrText>
      </w:r>
      <w:r>
        <w:fldChar w:fldCharType="separate"/>
      </w:r>
      <w:r>
        <w:t>165</w:t>
      </w:r>
      <w:r>
        <w:fldChar w:fldCharType="end"/>
      </w:r>
    </w:p>
    <w:p w14:paraId="5DD45ED9" w14:textId="77777777" w:rsidR="00613ED8" w:rsidRDefault="00613ED8">
      <w:pPr>
        <w:pStyle w:val="TOC2"/>
        <w:rPr>
          <w:rFonts w:asciiTheme="minorHAnsi" w:eastAsiaTheme="minorEastAsia" w:hAnsiTheme="minorHAnsi" w:cstheme="minorBidi"/>
          <w:smallCaps w:val="0"/>
          <w:sz w:val="22"/>
          <w:szCs w:val="22"/>
        </w:rPr>
      </w:pPr>
      <w:r>
        <w:t>12. SOCIALLY NECESSARY SERVICES (SNS)</w:t>
      </w:r>
      <w:r>
        <w:tab/>
      </w:r>
      <w:r>
        <w:fldChar w:fldCharType="begin"/>
      </w:r>
      <w:r>
        <w:instrText xml:space="preserve"> PAGEREF _Toc8129084 \h </w:instrText>
      </w:r>
      <w:r>
        <w:fldChar w:fldCharType="separate"/>
      </w:r>
      <w:r>
        <w:t>169</w:t>
      </w:r>
      <w:r>
        <w:fldChar w:fldCharType="end"/>
      </w:r>
    </w:p>
    <w:p w14:paraId="374782F3" w14:textId="77777777" w:rsidR="00613ED8" w:rsidRDefault="00613ED8">
      <w:pPr>
        <w:pStyle w:val="TOC3"/>
        <w:rPr>
          <w:rFonts w:asciiTheme="minorHAnsi" w:eastAsiaTheme="minorEastAsia" w:hAnsiTheme="minorHAnsi" w:cstheme="minorBidi"/>
          <w:i w:val="0"/>
          <w:sz w:val="22"/>
          <w:szCs w:val="22"/>
        </w:rPr>
      </w:pPr>
      <w:r>
        <w:t>12.1 Contracting</w:t>
      </w:r>
      <w:r>
        <w:tab/>
      </w:r>
      <w:r>
        <w:fldChar w:fldCharType="begin"/>
      </w:r>
      <w:r>
        <w:instrText xml:space="preserve"> PAGEREF _Toc8129085 \h </w:instrText>
      </w:r>
      <w:r>
        <w:fldChar w:fldCharType="separate"/>
      </w:r>
      <w:r>
        <w:t>169</w:t>
      </w:r>
      <w:r>
        <w:fldChar w:fldCharType="end"/>
      </w:r>
    </w:p>
    <w:p w14:paraId="4D776F21" w14:textId="77777777" w:rsidR="00613ED8" w:rsidRDefault="00613ED8">
      <w:pPr>
        <w:pStyle w:val="TOC3"/>
        <w:rPr>
          <w:rFonts w:asciiTheme="minorHAnsi" w:eastAsiaTheme="minorEastAsia" w:hAnsiTheme="minorHAnsi" w:cstheme="minorBidi"/>
          <w:i w:val="0"/>
          <w:sz w:val="22"/>
          <w:szCs w:val="22"/>
        </w:rPr>
      </w:pPr>
      <w:r>
        <w:lastRenderedPageBreak/>
        <w:t>12.2 Invoicing</w:t>
      </w:r>
      <w:r>
        <w:tab/>
      </w:r>
      <w:r>
        <w:fldChar w:fldCharType="begin"/>
      </w:r>
      <w:r>
        <w:instrText xml:space="preserve"> PAGEREF _Toc8129086 \h </w:instrText>
      </w:r>
      <w:r>
        <w:fldChar w:fldCharType="separate"/>
      </w:r>
      <w:r>
        <w:t>169</w:t>
      </w:r>
      <w:r>
        <w:fldChar w:fldCharType="end"/>
      </w:r>
    </w:p>
    <w:p w14:paraId="79EF306F" w14:textId="77777777" w:rsidR="00613ED8" w:rsidRDefault="00613ED8">
      <w:pPr>
        <w:pStyle w:val="TOC3"/>
        <w:rPr>
          <w:rFonts w:asciiTheme="minorHAnsi" w:eastAsiaTheme="minorEastAsia" w:hAnsiTheme="minorHAnsi" w:cstheme="minorBidi"/>
          <w:i w:val="0"/>
          <w:sz w:val="22"/>
          <w:szCs w:val="22"/>
        </w:rPr>
      </w:pPr>
      <w:r>
        <w:t>12.3 Reporting</w:t>
      </w:r>
      <w:r>
        <w:tab/>
      </w:r>
      <w:r>
        <w:fldChar w:fldCharType="begin"/>
      </w:r>
      <w:r>
        <w:instrText xml:space="preserve"> PAGEREF _Toc8129087 \h </w:instrText>
      </w:r>
      <w:r>
        <w:fldChar w:fldCharType="separate"/>
      </w:r>
      <w:r>
        <w:t>169</w:t>
      </w:r>
      <w:r>
        <w:fldChar w:fldCharType="end"/>
      </w:r>
    </w:p>
    <w:p w14:paraId="6821FE4B" w14:textId="77777777" w:rsidR="00613ED8" w:rsidRDefault="00613ED8">
      <w:pPr>
        <w:pStyle w:val="TOC3"/>
        <w:rPr>
          <w:rFonts w:asciiTheme="minorHAnsi" w:eastAsiaTheme="minorEastAsia" w:hAnsiTheme="minorHAnsi" w:cstheme="minorBidi"/>
          <w:i w:val="0"/>
          <w:sz w:val="22"/>
          <w:szCs w:val="22"/>
        </w:rPr>
      </w:pPr>
      <w:r>
        <w:t>12.4 Retrospective Reviews</w:t>
      </w:r>
      <w:r>
        <w:tab/>
      </w:r>
      <w:r>
        <w:fldChar w:fldCharType="begin"/>
      </w:r>
      <w:r>
        <w:instrText xml:space="preserve"> PAGEREF _Toc8129088 \h </w:instrText>
      </w:r>
      <w:r>
        <w:fldChar w:fldCharType="separate"/>
      </w:r>
      <w:r>
        <w:t>170</w:t>
      </w:r>
      <w:r>
        <w:fldChar w:fldCharType="end"/>
      </w:r>
    </w:p>
    <w:p w14:paraId="7B2579B4" w14:textId="77777777" w:rsidR="00613ED8" w:rsidRDefault="00613ED8">
      <w:pPr>
        <w:pStyle w:val="TOC3"/>
        <w:rPr>
          <w:rFonts w:asciiTheme="minorHAnsi" w:eastAsiaTheme="minorEastAsia" w:hAnsiTheme="minorHAnsi" w:cstheme="minorBidi"/>
          <w:i w:val="0"/>
          <w:sz w:val="22"/>
          <w:szCs w:val="22"/>
        </w:rPr>
      </w:pPr>
      <w:r>
        <w:t>12.5 Authorization Requirements</w:t>
      </w:r>
      <w:r>
        <w:tab/>
      </w:r>
      <w:r>
        <w:fldChar w:fldCharType="begin"/>
      </w:r>
      <w:r>
        <w:instrText xml:space="preserve"> PAGEREF _Toc8129089 \h </w:instrText>
      </w:r>
      <w:r>
        <w:fldChar w:fldCharType="separate"/>
      </w:r>
      <w:r>
        <w:t>170</w:t>
      </w:r>
      <w:r>
        <w:fldChar w:fldCharType="end"/>
      </w:r>
    </w:p>
    <w:p w14:paraId="67BAF542" w14:textId="77777777" w:rsidR="00613ED8" w:rsidRDefault="00613ED8">
      <w:pPr>
        <w:pStyle w:val="TOC3"/>
        <w:rPr>
          <w:rFonts w:asciiTheme="minorHAnsi" w:eastAsiaTheme="minorEastAsia" w:hAnsiTheme="minorHAnsi" w:cstheme="minorBidi"/>
          <w:i w:val="0"/>
          <w:sz w:val="22"/>
          <w:szCs w:val="22"/>
        </w:rPr>
      </w:pPr>
      <w:r>
        <w:t>12.6 Focus Groups</w:t>
      </w:r>
      <w:r>
        <w:tab/>
      </w:r>
      <w:r>
        <w:fldChar w:fldCharType="begin"/>
      </w:r>
      <w:r>
        <w:instrText xml:space="preserve"> PAGEREF _Toc8129090 \h </w:instrText>
      </w:r>
      <w:r>
        <w:fldChar w:fldCharType="separate"/>
      </w:r>
      <w:r>
        <w:t>171</w:t>
      </w:r>
      <w:r>
        <w:fldChar w:fldCharType="end"/>
      </w:r>
    </w:p>
    <w:p w14:paraId="0A5FE362" w14:textId="77777777" w:rsidR="00613ED8" w:rsidRDefault="00613ED8">
      <w:pPr>
        <w:pStyle w:val="TOC2"/>
        <w:rPr>
          <w:rFonts w:asciiTheme="minorHAnsi" w:eastAsiaTheme="minorEastAsia" w:hAnsiTheme="minorHAnsi" w:cstheme="minorBidi"/>
          <w:smallCaps w:val="0"/>
          <w:sz w:val="22"/>
          <w:szCs w:val="22"/>
        </w:rPr>
      </w:pPr>
      <w:r>
        <w:t>13. CHILDREN’S RESIDENTIAL TREATMENT FACILITIES/EMERGENCY SHELTERS</w:t>
      </w:r>
      <w:r>
        <w:tab/>
      </w:r>
      <w:r>
        <w:fldChar w:fldCharType="begin"/>
      </w:r>
      <w:r>
        <w:instrText xml:space="preserve"> PAGEREF _Toc8129091 \h </w:instrText>
      </w:r>
      <w:r>
        <w:fldChar w:fldCharType="separate"/>
      </w:r>
      <w:r>
        <w:t>171</w:t>
      </w:r>
      <w:r>
        <w:fldChar w:fldCharType="end"/>
      </w:r>
    </w:p>
    <w:p w14:paraId="1BA2EA7D" w14:textId="77777777" w:rsidR="00613ED8" w:rsidRDefault="00613ED8">
      <w:pPr>
        <w:pStyle w:val="TOC3"/>
        <w:rPr>
          <w:rFonts w:asciiTheme="minorHAnsi" w:eastAsiaTheme="minorEastAsia" w:hAnsiTheme="minorHAnsi" w:cstheme="minorBidi"/>
          <w:i w:val="0"/>
          <w:sz w:val="22"/>
          <w:szCs w:val="22"/>
        </w:rPr>
      </w:pPr>
      <w:r>
        <w:t>13.1 Provider Network</w:t>
      </w:r>
      <w:r>
        <w:tab/>
      </w:r>
      <w:r>
        <w:fldChar w:fldCharType="begin"/>
      </w:r>
      <w:r>
        <w:instrText xml:space="preserve"> PAGEREF _Toc8129092 \h </w:instrText>
      </w:r>
      <w:r>
        <w:fldChar w:fldCharType="separate"/>
      </w:r>
      <w:r>
        <w:t>171</w:t>
      </w:r>
      <w:r>
        <w:fldChar w:fldCharType="end"/>
      </w:r>
    </w:p>
    <w:p w14:paraId="540A869D" w14:textId="77777777" w:rsidR="00613ED8" w:rsidRDefault="00613ED8">
      <w:pPr>
        <w:pStyle w:val="TOC3"/>
        <w:rPr>
          <w:rFonts w:asciiTheme="minorHAnsi" w:eastAsiaTheme="minorEastAsia" w:hAnsiTheme="minorHAnsi" w:cstheme="minorBidi"/>
          <w:i w:val="0"/>
          <w:sz w:val="22"/>
          <w:szCs w:val="22"/>
        </w:rPr>
      </w:pPr>
      <w:r>
        <w:t>13.2 Qualified Residential Treatment Program (QRTP)</w:t>
      </w:r>
      <w:r>
        <w:tab/>
      </w:r>
      <w:r>
        <w:fldChar w:fldCharType="begin"/>
      </w:r>
      <w:r>
        <w:instrText xml:space="preserve"> PAGEREF _Toc8129093 \h </w:instrText>
      </w:r>
      <w:r>
        <w:fldChar w:fldCharType="separate"/>
      </w:r>
      <w:r>
        <w:t>171</w:t>
      </w:r>
      <w:r>
        <w:fldChar w:fldCharType="end"/>
      </w:r>
    </w:p>
    <w:p w14:paraId="32DB20A2" w14:textId="77777777" w:rsidR="00613ED8" w:rsidRDefault="00613ED8">
      <w:pPr>
        <w:pStyle w:val="TOC3"/>
        <w:rPr>
          <w:rFonts w:asciiTheme="minorHAnsi" w:eastAsiaTheme="minorEastAsia" w:hAnsiTheme="minorHAnsi" w:cstheme="minorBidi"/>
          <w:i w:val="0"/>
          <w:sz w:val="22"/>
          <w:szCs w:val="22"/>
        </w:rPr>
      </w:pPr>
      <w:r>
        <w:t>13.3 Focus Groups</w:t>
      </w:r>
      <w:r>
        <w:tab/>
      </w:r>
      <w:r>
        <w:fldChar w:fldCharType="begin"/>
      </w:r>
      <w:r>
        <w:instrText xml:space="preserve"> PAGEREF _Toc8129094 \h </w:instrText>
      </w:r>
      <w:r>
        <w:fldChar w:fldCharType="separate"/>
      </w:r>
      <w:r>
        <w:t>173</w:t>
      </w:r>
      <w:r>
        <w:fldChar w:fldCharType="end"/>
      </w:r>
    </w:p>
    <w:p w14:paraId="1B7FBA66" w14:textId="77777777" w:rsidR="00613ED8" w:rsidRDefault="00613ED8">
      <w:pPr>
        <w:pStyle w:val="TOC3"/>
        <w:rPr>
          <w:rFonts w:asciiTheme="minorHAnsi" w:eastAsiaTheme="minorEastAsia" w:hAnsiTheme="minorHAnsi" w:cstheme="minorBidi"/>
          <w:i w:val="0"/>
          <w:sz w:val="22"/>
          <w:szCs w:val="22"/>
        </w:rPr>
      </w:pPr>
      <w:r>
        <w:t>13.4 Provider Requirements</w:t>
      </w:r>
      <w:r>
        <w:tab/>
      </w:r>
      <w:r>
        <w:fldChar w:fldCharType="begin"/>
      </w:r>
      <w:r>
        <w:instrText xml:space="preserve"> PAGEREF _Toc8129095 \h </w:instrText>
      </w:r>
      <w:r>
        <w:fldChar w:fldCharType="separate"/>
      </w:r>
      <w:r>
        <w:t>174</w:t>
      </w:r>
      <w:r>
        <w:fldChar w:fldCharType="end"/>
      </w:r>
    </w:p>
    <w:p w14:paraId="0E1EA2D7" w14:textId="77777777" w:rsidR="00613ED8" w:rsidRDefault="00613ED8">
      <w:pPr>
        <w:pStyle w:val="TOC2"/>
        <w:rPr>
          <w:rFonts w:asciiTheme="minorHAnsi" w:eastAsiaTheme="minorEastAsia" w:hAnsiTheme="minorHAnsi" w:cstheme="minorBidi"/>
          <w:smallCaps w:val="0"/>
          <w:sz w:val="22"/>
          <w:szCs w:val="22"/>
        </w:rPr>
      </w:pPr>
      <w:r>
        <w:t>14. PERSONAL CARE SERVICES</w:t>
      </w:r>
      <w:r>
        <w:tab/>
      </w:r>
      <w:r>
        <w:fldChar w:fldCharType="begin"/>
      </w:r>
      <w:r>
        <w:instrText xml:space="preserve"> PAGEREF _Toc8129096 \h </w:instrText>
      </w:r>
      <w:r>
        <w:fldChar w:fldCharType="separate"/>
      </w:r>
      <w:r>
        <w:t>174</w:t>
      </w:r>
      <w:r>
        <w:fldChar w:fldCharType="end"/>
      </w:r>
    </w:p>
    <w:p w14:paraId="4859C608" w14:textId="77777777" w:rsidR="00613ED8" w:rsidRDefault="00613ED8">
      <w:pPr>
        <w:pStyle w:val="TOC2"/>
        <w:rPr>
          <w:rFonts w:asciiTheme="minorHAnsi" w:eastAsiaTheme="minorEastAsia" w:hAnsiTheme="minorHAnsi" w:cstheme="minorBidi"/>
          <w:smallCaps w:val="0"/>
          <w:sz w:val="22"/>
          <w:szCs w:val="22"/>
        </w:rPr>
      </w:pPr>
      <w:r>
        <w:t>15. COMMUNITY ENGAGEMENT REQUIREMENTS</w:t>
      </w:r>
      <w:r>
        <w:tab/>
      </w:r>
      <w:r>
        <w:fldChar w:fldCharType="begin"/>
      </w:r>
      <w:r>
        <w:instrText xml:space="preserve"> PAGEREF _Toc8129097 \h </w:instrText>
      </w:r>
      <w:r>
        <w:fldChar w:fldCharType="separate"/>
      </w:r>
      <w:r>
        <w:t>174</w:t>
      </w:r>
      <w:r>
        <w:fldChar w:fldCharType="end"/>
      </w:r>
    </w:p>
    <w:p w14:paraId="370EF607" w14:textId="77777777" w:rsidR="00613ED8" w:rsidRDefault="00613ED8">
      <w:pPr>
        <w:pStyle w:val="TOC2"/>
        <w:rPr>
          <w:rFonts w:asciiTheme="minorHAnsi" w:eastAsiaTheme="minorEastAsia" w:hAnsiTheme="minorHAnsi" w:cstheme="minorBidi"/>
          <w:smallCaps w:val="0"/>
          <w:sz w:val="22"/>
          <w:szCs w:val="22"/>
        </w:rPr>
      </w:pPr>
      <w:r>
        <w:t>16. DELEGATION</w:t>
      </w:r>
      <w:r>
        <w:tab/>
      </w:r>
      <w:r>
        <w:fldChar w:fldCharType="begin"/>
      </w:r>
      <w:r>
        <w:instrText xml:space="preserve"> PAGEREF _Toc8129098 \h </w:instrText>
      </w:r>
      <w:r>
        <w:fldChar w:fldCharType="separate"/>
      </w:r>
      <w:r>
        <w:t>175</w:t>
      </w:r>
      <w:r>
        <w:fldChar w:fldCharType="end"/>
      </w:r>
    </w:p>
    <w:p w14:paraId="54012B35" w14:textId="640CC1AA" w:rsidR="00613ED8" w:rsidRDefault="00613ED8">
      <w:pPr>
        <w:pStyle w:val="TOC1"/>
        <w:rPr>
          <w:rFonts w:asciiTheme="minorHAnsi" w:eastAsiaTheme="minorEastAsia" w:hAnsiTheme="minorHAnsi" w:cstheme="minorBidi"/>
          <w:b w:val="0"/>
          <w:caps w:val="0"/>
          <w:sz w:val="22"/>
          <w:szCs w:val="22"/>
        </w:rPr>
      </w:pPr>
      <w:r>
        <w:t>Appendix A: Description of MCO Medical, Behavioral Health, and Socially Necessary Services (SNS) Covered and Excluded Services</w:t>
      </w:r>
      <w:r>
        <w:tab/>
      </w:r>
      <w:r w:rsidR="00CC065E">
        <w:t>A-</w:t>
      </w:r>
      <w:r>
        <w:fldChar w:fldCharType="begin"/>
      </w:r>
      <w:r>
        <w:instrText xml:space="preserve"> PAGEREF _Toc8129099 \h </w:instrText>
      </w:r>
      <w:r>
        <w:fldChar w:fldCharType="separate"/>
      </w:r>
      <w:r>
        <w:t>1</w:t>
      </w:r>
      <w:r>
        <w:fldChar w:fldCharType="end"/>
      </w:r>
    </w:p>
    <w:p w14:paraId="4BE360BA" w14:textId="586E78D6" w:rsidR="00613ED8" w:rsidRDefault="00613ED8">
      <w:pPr>
        <w:pStyle w:val="TOC1"/>
        <w:rPr>
          <w:rFonts w:asciiTheme="minorHAnsi" w:eastAsiaTheme="minorEastAsia" w:hAnsiTheme="minorHAnsi" w:cstheme="minorBidi"/>
          <w:b w:val="0"/>
          <w:caps w:val="0"/>
          <w:sz w:val="22"/>
          <w:szCs w:val="22"/>
        </w:rPr>
      </w:pPr>
      <w:r>
        <w:t>Appendix B: Overview of West Virginia’s SFY 2020 Payment Methodology and Capitation Rates for Specialized Managed Care Plan for Children and Youth</w:t>
      </w:r>
      <w:r>
        <w:tab/>
      </w:r>
      <w:r w:rsidR="00CC065E">
        <w:t>B-</w:t>
      </w:r>
      <w:r>
        <w:fldChar w:fldCharType="begin"/>
      </w:r>
      <w:r>
        <w:instrText xml:space="preserve"> PAGEREF _Toc8129100 \h </w:instrText>
      </w:r>
      <w:r>
        <w:fldChar w:fldCharType="separate"/>
      </w:r>
      <w:r>
        <w:t>1</w:t>
      </w:r>
      <w:r>
        <w:fldChar w:fldCharType="end"/>
      </w:r>
    </w:p>
    <w:p w14:paraId="6D029C8E" w14:textId="211EA108" w:rsidR="00613ED8" w:rsidRDefault="00613ED8">
      <w:pPr>
        <w:pStyle w:val="TOC1"/>
        <w:rPr>
          <w:rFonts w:asciiTheme="minorHAnsi" w:eastAsiaTheme="minorEastAsia" w:hAnsiTheme="minorHAnsi" w:cstheme="minorBidi"/>
          <w:b w:val="0"/>
          <w:caps w:val="0"/>
          <w:sz w:val="22"/>
          <w:szCs w:val="22"/>
        </w:rPr>
      </w:pPr>
      <w:r>
        <w:t>Appendix C: Marketing Policies</w:t>
      </w:r>
      <w:r>
        <w:tab/>
      </w:r>
      <w:r w:rsidR="00CC065E">
        <w:t>C-</w:t>
      </w:r>
      <w:r>
        <w:fldChar w:fldCharType="begin"/>
      </w:r>
      <w:r>
        <w:instrText xml:space="preserve"> PAGEREF _Toc8129101 \h </w:instrText>
      </w:r>
      <w:r>
        <w:fldChar w:fldCharType="separate"/>
      </w:r>
      <w:r>
        <w:t>1</w:t>
      </w:r>
      <w:r>
        <w:fldChar w:fldCharType="end"/>
      </w:r>
    </w:p>
    <w:p w14:paraId="183CDD63" w14:textId="2F1469FA" w:rsidR="00613ED8" w:rsidRDefault="00613ED8">
      <w:pPr>
        <w:pStyle w:val="TOC1"/>
        <w:rPr>
          <w:rFonts w:asciiTheme="minorHAnsi" w:eastAsiaTheme="minorEastAsia" w:hAnsiTheme="minorHAnsi" w:cstheme="minorBidi"/>
          <w:b w:val="0"/>
          <w:caps w:val="0"/>
          <w:sz w:val="22"/>
          <w:szCs w:val="22"/>
        </w:rPr>
      </w:pPr>
      <w:r>
        <w:t>Appendix D: Summary of MCO Reporting Requirements</w:t>
      </w:r>
      <w:r>
        <w:tab/>
      </w:r>
      <w:r w:rsidR="00CC065E">
        <w:t>D-</w:t>
      </w:r>
      <w:r>
        <w:fldChar w:fldCharType="begin"/>
      </w:r>
      <w:r>
        <w:instrText xml:space="preserve"> PAGEREF _Toc8129102 \h </w:instrText>
      </w:r>
      <w:r>
        <w:fldChar w:fldCharType="separate"/>
      </w:r>
      <w:r>
        <w:t>1</w:t>
      </w:r>
      <w:r>
        <w:fldChar w:fldCharType="end"/>
      </w:r>
    </w:p>
    <w:p w14:paraId="7205E4B8" w14:textId="3D326CE5" w:rsidR="00613ED8" w:rsidRDefault="00613ED8">
      <w:pPr>
        <w:pStyle w:val="TOC1"/>
        <w:rPr>
          <w:rFonts w:asciiTheme="minorHAnsi" w:eastAsiaTheme="minorEastAsia" w:hAnsiTheme="minorHAnsi" w:cstheme="minorBidi"/>
          <w:b w:val="0"/>
          <w:caps w:val="0"/>
          <w:sz w:val="22"/>
          <w:szCs w:val="22"/>
        </w:rPr>
      </w:pPr>
      <w:r>
        <w:t>Appendix E 1: Data Certification Form</w:t>
      </w:r>
      <w:r>
        <w:tab/>
      </w:r>
      <w:r w:rsidR="00CC065E">
        <w:t>E-</w:t>
      </w:r>
      <w:r>
        <w:fldChar w:fldCharType="begin"/>
      </w:r>
      <w:r>
        <w:instrText xml:space="preserve"> PAGEREF _Toc8129103 \h </w:instrText>
      </w:r>
      <w:r>
        <w:fldChar w:fldCharType="separate"/>
      </w:r>
      <w:r>
        <w:t>1</w:t>
      </w:r>
      <w:r>
        <w:fldChar w:fldCharType="end"/>
      </w:r>
    </w:p>
    <w:p w14:paraId="67246B2A" w14:textId="52885532" w:rsidR="00613ED8" w:rsidRDefault="00613ED8">
      <w:pPr>
        <w:pStyle w:val="TOC1"/>
        <w:rPr>
          <w:rFonts w:asciiTheme="minorHAnsi" w:eastAsiaTheme="minorEastAsia" w:hAnsiTheme="minorHAnsi" w:cstheme="minorBidi"/>
          <w:b w:val="0"/>
          <w:caps w:val="0"/>
          <w:sz w:val="22"/>
          <w:szCs w:val="22"/>
        </w:rPr>
      </w:pPr>
      <w:r>
        <w:t>Appendix E 2: Data Certification for Monthly AND Weekly Encounter Data Report Submission</w:t>
      </w:r>
      <w:r>
        <w:tab/>
      </w:r>
      <w:r w:rsidR="00CC065E">
        <w:t>E-</w:t>
      </w:r>
      <w:r>
        <w:fldChar w:fldCharType="begin"/>
      </w:r>
      <w:r>
        <w:instrText xml:space="preserve"> PAGEREF _Toc8129104 \h </w:instrText>
      </w:r>
      <w:r>
        <w:fldChar w:fldCharType="separate"/>
      </w:r>
      <w:r>
        <w:t>2</w:t>
      </w:r>
      <w:r>
        <w:fldChar w:fldCharType="end"/>
      </w:r>
    </w:p>
    <w:p w14:paraId="7B302211" w14:textId="53394E5B" w:rsidR="00613ED8" w:rsidRDefault="00613ED8">
      <w:pPr>
        <w:pStyle w:val="TOC1"/>
        <w:rPr>
          <w:rFonts w:asciiTheme="minorHAnsi" w:eastAsiaTheme="minorEastAsia" w:hAnsiTheme="minorHAnsi" w:cstheme="minorBidi"/>
          <w:b w:val="0"/>
          <w:caps w:val="0"/>
          <w:sz w:val="22"/>
          <w:szCs w:val="22"/>
        </w:rPr>
      </w:pPr>
      <w:r>
        <w:t>APPENDIX F: Service Level Agreements (SLA) and Liquidated Damages Matrix</w:t>
      </w:r>
      <w:r>
        <w:tab/>
      </w:r>
      <w:r w:rsidR="00CC065E">
        <w:t>F-</w:t>
      </w:r>
      <w:r>
        <w:fldChar w:fldCharType="begin"/>
      </w:r>
      <w:r>
        <w:instrText xml:space="preserve"> PAGEREF _Toc8129105 \h </w:instrText>
      </w:r>
      <w:r>
        <w:fldChar w:fldCharType="separate"/>
      </w:r>
      <w:r>
        <w:t>1</w:t>
      </w:r>
      <w:r>
        <w:fldChar w:fldCharType="end"/>
      </w:r>
    </w:p>
    <w:p w14:paraId="0097D107" w14:textId="587FE82D" w:rsidR="00613ED8" w:rsidRDefault="00613ED8">
      <w:pPr>
        <w:pStyle w:val="TOC1"/>
        <w:rPr>
          <w:rFonts w:asciiTheme="minorHAnsi" w:eastAsiaTheme="minorEastAsia" w:hAnsiTheme="minorHAnsi" w:cstheme="minorBidi"/>
          <w:b w:val="0"/>
          <w:caps w:val="0"/>
          <w:sz w:val="22"/>
          <w:szCs w:val="22"/>
        </w:rPr>
      </w:pPr>
      <w:r>
        <w:t>APPENDIX G: Medical Loss Ratio (MLR) Reporting Methodology</w:t>
      </w:r>
      <w:r>
        <w:tab/>
      </w:r>
      <w:r w:rsidR="00CC065E">
        <w:t>G-</w:t>
      </w:r>
      <w:r>
        <w:fldChar w:fldCharType="begin"/>
      </w:r>
      <w:r>
        <w:instrText xml:space="preserve"> PAGEREF _Toc8129106 \h </w:instrText>
      </w:r>
      <w:r>
        <w:fldChar w:fldCharType="separate"/>
      </w:r>
      <w:r>
        <w:t>1</w:t>
      </w:r>
      <w:r>
        <w:fldChar w:fldCharType="end"/>
      </w:r>
    </w:p>
    <w:p w14:paraId="5B3AADEB" w14:textId="3DFAEE80" w:rsidR="00613ED8" w:rsidRDefault="00613ED8">
      <w:pPr>
        <w:pStyle w:val="TOC1"/>
        <w:rPr>
          <w:rFonts w:asciiTheme="minorHAnsi" w:eastAsiaTheme="minorEastAsia" w:hAnsiTheme="minorHAnsi" w:cstheme="minorBidi"/>
          <w:b w:val="0"/>
          <w:caps w:val="0"/>
          <w:sz w:val="22"/>
          <w:szCs w:val="22"/>
        </w:rPr>
      </w:pPr>
      <w:r>
        <w:t>APPENDIX H: Alternative Payment Model (APM) Reporting Template</w:t>
      </w:r>
      <w:r>
        <w:tab/>
      </w:r>
      <w:r w:rsidR="00CC065E">
        <w:t>H-</w:t>
      </w:r>
      <w:r>
        <w:fldChar w:fldCharType="begin"/>
      </w:r>
      <w:r>
        <w:instrText xml:space="preserve"> PAGEREF _Toc8129107 \h </w:instrText>
      </w:r>
      <w:r>
        <w:fldChar w:fldCharType="separate"/>
      </w:r>
      <w:r>
        <w:t>1</w:t>
      </w:r>
      <w:r>
        <w:fldChar w:fldCharType="end"/>
      </w:r>
    </w:p>
    <w:p w14:paraId="752EE8EF" w14:textId="5E9C6A68" w:rsidR="00613ED8" w:rsidRDefault="00613ED8">
      <w:pPr>
        <w:pStyle w:val="TOC1"/>
        <w:rPr>
          <w:rFonts w:asciiTheme="minorHAnsi" w:eastAsiaTheme="minorEastAsia" w:hAnsiTheme="minorHAnsi" w:cstheme="minorBidi"/>
          <w:b w:val="0"/>
          <w:caps w:val="0"/>
          <w:sz w:val="22"/>
          <w:szCs w:val="22"/>
        </w:rPr>
      </w:pPr>
      <w:r>
        <w:t>APPENDIX I: Socially Necessary Crimes and Waivers Protocol</w:t>
      </w:r>
      <w:r>
        <w:tab/>
      </w:r>
      <w:r w:rsidR="00CC065E">
        <w:t>I-</w:t>
      </w:r>
      <w:r>
        <w:fldChar w:fldCharType="begin"/>
      </w:r>
      <w:r>
        <w:instrText xml:space="preserve"> PAGEREF _Toc8129108 \h </w:instrText>
      </w:r>
      <w:r>
        <w:fldChar w:fldCharType="separate"/>
      </w:r>
      <w:r>
        <w:t>1</w:t>
      </w:r>
      <w:r>
        <w:fldChar w:fldCharType="end"/>
      </w:r>
    </w:p>
    <w:p w14:paraId="23AB18F4" w14:textId="31AB03AE" w:rsidR="00613ED8" w:rsidRDefault="00613ED8">
      <w:pPr>
        <w:pStyle w:val="TOC1"/>
        <w:rPr>
          <w:rFonts w:asciiTheme="minorHAnsi" w:eastAsiaTheme="minorEastAsia" w:hAnsiTheme="minorHAnsi" w:cstheme="minorBidi"/>
          <w:b w:val="0"/>
          <w:caps w:val="0"/>
          <w:sz w:val="22"/>
          <w:szCs w:val="22"/>
        </w:rPr>
      </w:pPr>
      <w:r>
        <w:t>APPENDIX J: stakeholder Focus Group questions template</w:t>
      </w:r>
      <w:r>
        <w:tab/>
      </w:r>
      <w:r w:rsidR="00CC065E">
        <w:t>J-</w:t>
      </w:r>
      <w:r>
        <w:fldChar w:fldCharType="begin"/>
      </w:r>
      <w:r>
        <w:instrText xml:space="preserve"> PAGEREF _Toc8129109 \h </w:instrText>
      </w:r>
      <w:r>
        <w:fldChar w:fldCharType="separate"/>
      </w:r>
      <w:r>
        <w:t>1</w:t>
      </w:r>
      <w:r>
        <w:fldChar w:fldCharType="end"/>
      </w:r>
    </w:p>
    <w:p w14:paraId="75E9137E" w14:textId="08B8F345" w:rsidR="00613ED8" w:rsidRDefault="00613ED8">
      <w:pPr>
        <w:pStyle w:val="TOC1"/>
        <w:rPr>
          <w:rFonts w:asciiTheme="minorHAnsi" w:eastAsiaTheme="minorEastAsia" w:hAnsiTheme="minorHAnsi" w:cstheme="minorBidi"/>
          <w:b w:val="0"/>
          <w:caps w:val="0"/>
          <w:sz w:val="22"/>
          <w:szCs w:val="22"/>
        </w:rPr>
      </w:pPr>
      <w:r>
        <w:t>Appendix K: Provider network standards</w:t>
      </w:r>
      <w:r>
        <w:tab/>
      </w:r>
      <w:r w:rsidR="00CC065E">
        <w:t>K-</w:t>
      </w:r>
      <w:r>
        <w:fldChar w:fldCharType="begin"/>
      </w:r>
      <w:r>
        <w:instrText xml:space="preserve"> PAGEREF _Toc8129110 \h </w:instrText>
      </w:r>
      <w:r>
        <w:fldChar w:fldCharType="separate"/>
      </w:r>
      <w:r>
        <w:t>1</w:t>
      </w:r>
      <w:r>
        <w:fldChar w:fldCharType="end"/>
      </w:r>
    </w:p>
    <w:p w14:paraId="709223B9" w14:textId="13F05108" w:rsidR="00613ED8" w:rsidRDefault="00613ED8" w:rsidP="00C57718">
      <w:pPr>
        <w:pStyle w:val="TOC3"/>
        <w:rPr>
          <w:rFonts w:asciiTheme="minorHAnsi" w:eastAsiaTheme="minorEastAsia" w:hAnsiTheme="minorHAnsi" w:cstheme="minorBidi"/>
          <w:i w:val="0"/>
          <w:sz w:val="22"/>
          <w:szCs w:val="22"/>
        </w:rPr>
      </w:pPr>
    </w:p>
    <w:p w14:paraId="76EDB6F9" w14:textId="5158D5F2" w:rsidR="00CD4383" w:rsidRPr="00DF1D1C" w:rsidRDefault="001C500D" w:rsidP="00637769">
      <w:pPr>
        <w:pStyle w:val="Title"/>
        <w:tabs>
          <w:tab w:val="left" w:pos="360"/>
          <w:tab w:val="left" w:pos="720"/>
        </w:tabs>
        <w:rPr>
          <w:caps/>
          <w:noProof/>
          <w:sz w:val="20"/>
        </w:rPr>
      </w:pPr>
      <w:r>
        <w:rPr>
          <w:caps/>
          <w:noProof/>
          <w:sz w:val="20"/>
        </w:rPr>
        <w:fldChar w:fldCharType="end"/>
      </w:r>
    </w:p>
    <w:p w14:paraId="1891716F" w14:textId="77777777" w:rsidR="00CD4383" w:rsidRPr="00DF1D1C" w:rsidRDefault="00CD4383" w:rsidP="00257641">
      <w:pPr>
        <w:pStyle w:val="Title"/>
        <w:tabs>
          <w:tab w:val="clear" w:pos="0"/>
          <w:tab w:val="left" w:pos="360"/>
          <w:tab w:val="left" w:pos="720"/>
        </w:tabs>
        <w:ind w:left="288"/>
        <w:jc w:val="left"/>
        <w:rPr>
          <w:b/>
          <w:caps/>
          <w:noProof/>
          <w:sz w:val="22"/>
        </w:rPr>
      </w:pPr>
    </w:p>
    <w:p w14:paraId="1EB97649" w14:textId="77777777" w:rsidR="00CD4383" w:rsidRPr="00DF1D1C" w:rsidRDefault="00CD4383" w:rsidP="00257641">
      <w:pPr>
        <w:pStyle w:val="Title"/>
        <w:tabs>
          <w:tab w:val="left" w:pos="360"/>
          <w:tab w:val="left" w:pos="720"/>
        </w:tabs>
        <w:rPr>
          <w:b/>
        </w:rPr>
        <w:sectPr w:rsidR="00CD4383" w:rsidRPr="00DF1D1C" w:rsidSect="00154FEE">
          <w:footerReference w:type="default" r:id="rId15"/>
          <w:footerReference w:type="first" r:id="rId16"/>
          <w:pgSz w:w="12240" w:h="15840" w:code="1"/>
          <w:pgMar w:top="1440" w:right="1440" w:bottom="1440" w:left="1440" w:header="720" w:footer="720" w:gutter="0"/>
          <w:pgNumType w:fmt="lowerRoman" w:start="1"/>
          <w:cols w:space="720"/>
        </w:sectPr>
      </w:pPr>
    </w:p>
    <w:p w14:paraId="4BFB8285" w14:textId="77777777" w:rsidR="00CD4383" w:rsidRPr="00DF1D1C" w:rsidRDefault="00CD4383" w:rsidP="00257641">
      <w:pPr>
        <w:pStyle w:val="Title"/>
        <w:tabs>
          <w:tab w:val="left" w:pos="360"/>
          <w:tab w:val="left" w:pos="720"/>
        </w:tabs>
        <w:rPr>
          <w:b/>
        </w:rPr>
      </w:pPr>
      <w:r w:rsidRPr="00DF1D1C">
        <w:rPr>
          <w:b/>
        </w:rPr>
        <w:lastRenderedPageBreak/>
        <w:t>STATE OF WEST VIRGINIA</w:t>
      </w:r>
    </w:p>
    <w:p w14:paraId="0ACB0468" w14:textId="77777777" w:rsidR="00CD4383" w:rsidRPr="00DF1D1C" w:rsidRDefault="00CD4383" w:rsidP="00257641">
      <w:pPr>
        <w:pStyle w:val="Subtitle"/>
        <w:tabs>
          <w:tab w:val="left" w:pos="360"/>
          <w:tab w:val="left" w:pos="720"/>
        </w:tabs>
      </w:pPr>
      <w:r w:rsidRPr="00DF1D1C">
        <w:t>DEPARTMENT OF HEALTH AND HUMAN RESOURCES</w:t>
      </w:r>
    </w:p>
    <w:p w14:paraId="2974C653" w14:textId="77777777" w:rsidR="00CD4383" w:rsidRPr="00DF1D1C" w:rsidRDefault="00CD4383" w:rsidP="00257641">
      <w:pPr>
        <w:tabs>
          <w:tab w:val="left" w:pos="0"/>
          <w:tab w:val="left" w:pos="360"/>
          <w:tab w:val="left" w:pos="720"/>
          <w:tab w:val="right" w:pos="6797"/>
        </w:tabs>
        <w:jc w:val="center"/>
        <w:rPr>
          <w:b/>
          <w:noProof w:val="0"/>
          <w:sz w:val="26"/>
        </w:rPr>
      </w:pPr>
      <w:r w:rsidRPr="00DF1D1C">
        <w:rPr>
          <w:b/>
          <w:noProof w:val="0"/>
          <w:sz w:val="26"/>
        </w:rPr>
        <w:t>PURCHASE OF SERVICE CONTRACT</w:t>
      </w:r>
    </w:p>
    <w:p w14:paraId="7DC86692" w14:textId="58BAEDEF" w:rsidR="00CD4383" w:rsidRPr="00DF1D1C" w:rsidRDefault="00CD4383" w:rsidP="00257641">
      <w:pPr>
        <w:pStyle w:val="Heading1"/>
        <w:rPr>
          <w:noProof w:val="0"/>
        </w:rPr>
      </w:pPr>
      <w:bookmarkStart w:id="1" w:name="_Toc8128932"/>
      <w:r w:rsidRPr="00DF1D1C">
        <w:t>ARTICLE I:</w:t>
      </w:r>
      <w:r w:rsidR="00F24820">
        <w:t xml:space="preserve"> </w:t>
      </w:r>
      <w:r w:rsidRPr="00DF1D1C">
        <w:t xml:space="preserve">STANDARD WEST </w:t>
      </w:r>
      <w:r w:rsidRPr="0099775D">
        <w:t>VIRGINIA</w:t>
      </w:r>
      <w:r w:rsidRPr="00DF1D1C">
        <w:t xml:space="preserve"> TERMS</w:t>
      </w:r>
      <w:bookmarkEnd w:id="1"/>
    </w:p>
    <w:p w14:paraId="0C13EAF9" w14:textId="6DF5B35D" w:rsidR="00CD4383" w:rsidRPr="00DF1D1C" w:rsidRDefault="00CD4383" w:rsidP="00257641">
      <w:r w:rsidRPr="00DF1D1C">
        <w:t xml:space="preserve">This </w:t>
      </w:r>
      <w:r w:rsidR="009B19C2">
        <w:t xml:space="preserve">CONTRACT </w:t>
      </w:r>
      <w:r w:rsidRPr="00DF1D1C">
        <w:t>is made and entered into by and between the STATE OF WEST VIRGINIA, DEPARTMENT OF HEALTH AND HUMAN RESOURCES (DHHR), BUREAU FOR MEDICAL SERVICES</w:t>
      </w:r>
      <w:r w:rsidR="0073202A">
        <w:t xml:space="preserve"> (BMS)</w:t>
      </w:r>
      <w:r w:rsidRPr="00DF1D1C">
        <w:t>, hereinafter referred to as the "Department," and</w:t>
      </w:r>
      <w:r w:rsidR="00D05E2C">
        <w:t xml:space="preserve"> </w:t>
      </w:r>
      <w:r w:rsidR="00D05E2C">
        <w:rPr>
          <w:highlight w:val="yellow"/>
        </w:rPr>
        <w:t>[Insert Managed Care Organization Name]</w:t>
      </w:r>
      <w:r w:rsidRPr="00DF1D1C">
        <w:t>, hereinafter referred to as the "Managed Care Organization</w:t>
      </w:r>
      <w:r w:rsidR="00C77A0C">
        <w:t xml:space="preserve"> (MCO)</w:t>
      </w:r>
      <w:r w:rsidRPr="00DF1D1C">
        <w:t>."</w:t>
      </w:r>
    </w:p>
    <w:p w14:paraId="732A16B7" w14:textId="1F44E2A1" w:rsidR="00CD4383" w:rsidRPr="00DF1D1C" w:rsidRDefault="00CD4383" w:rsidP="00257641">
      <w:r w:rsidRPr="00DF1D1C">
        <w:t xml:space="preserve">WHEREAS, the Department has conducted an open solicitation for the services of </w:t>
      </w:r>
      <w:r w:rsidR="00345C71">
        <w:t>a</w:t>
      </w:r>
      <w:r w:rsidR="007C3C63">
        <w:t>n</w:t>
      </w:r>
      <w:r w:rsidR="00345C71">
        <w:t xml:space="preserve"> </w:t>
      </w:r>
      <w:r w:rsidRPr="00DF1D1C">
        <w:t xml:space="preserve">MCO interested in entering into a </w:t>
      </w:r>
      <w:r w:rsidR="009B19C2">
        <w:t xml:space="preserve">Contract </w:t>
      </w:r>
      <w:r w:rsidRPr="00DF1D1C">
        <w:t>to provide risk</w:t>
      </w:r>
      <w:r w:rsidRPr="00DF1D1C">
        <w:noBreakHyphen/>
        <w:t>based comprehensive health services</w:t>
      </w:r>
      <w:r w:rsidR="00345C71">
        <w:t>,</w:t>
      </w:r>
      <w:r w:rsidRPr="00DF1D1C">
        <w:t xml:space="preserve"> </w:t>
      </w:r>
      <w:r w:rsidR="00345C71">
        <w:t xml:space="preserve">children’s residential care services, and Socially Necessary Services (SNS) </w:t>
      </w:r>
      <w:r w:rsidR="006F4AF4">
        <w:t>administration</w:t>
      </w:r>
      <w:r w:rsidRPr="00DF1D1C">
        <w:t xml:space="preserve">to </w:t>
      </w:r>
      <w:r w:rsidR="00345C71">
        <w:t xml:space="preserve">select </w:t>
      </w:r>
      <w:r w:rsidR="0000123D" w:rsidRPr="00DF1D1C">
        <w:t xml:space="preserve">West Virginia </w:t>
      </w:r>
      <w:r w:rsidRPr="00DF1D1C">
        <w:t xml:space="preserve">Medicaid </w:t>
      </w:r>
      <w:r w:rsidR="0000123D" w:rsidRPr="00DF1D1C">
        <w:t xml:space="preserve">managed care </w:t>
      </w:r>
      <w:r w:rsidR="00AC0524">
        <w:t>enrollee</w:t>
      </w:r>
      <w:r w:rsidR="00AC0524" w:rsidRPr="00DF1D1C">
        <w:t>s</w:t>
      </w:r>
      <w:r w:rsidR="00AC0524">
        <w:t xml:space="preserve"> </w:t>
      </w:r>
      <w:r w:rsidR="00345C71">
        <w:t>who are in foster care</w:t>
      </w:r>
      <w:r w:rsidR="006F4AF4">
        <w:t xml:space="preserve"> or</w:t>
      </w:r>
      <w:r w:rsidR="00345C71">
        <w:t>, are receiving adoption assistance</w:t>
      </w:r>
      <w:r w:rsidR="00D978C8">
        <w:t>;</w:t>
      </w:r>
      <w:r w:rsidRPr="00DF1D1C">
        <w:t xml:space="preserve"> and</w:t>
      </w:r>
    </w:p>
    <w:p w14:paraId="30B65687" w14:textId="0E06BD3D" w:rsidR="00CD4383" w:rsidRPr="00DF1D1C" w:rsidRDefault="00CD4383" w:rsidP="00257641">
      <w:r w:rsidRPr="00DF1D1C">
        <w:t xml:space="preserve">WHEREAS, the </w:t>
      </w:r>
      <w:r w:rsidR="00497A97">
        <w:t>MCO</w:t>
      </w:r>
      <w:r w:rsidRPr="00DF1D1C">
        <w:t xml:space="preserve"> has demonstrated the ability to provide risk-based comprehensive health services in compliance with the program terms and requirements</w:t>
      </w:r>
      <w:r w:rsidR="00D978C8">
        <w:t>;</w:t>
      </w:r>
      <w:r w:rsidRPr="00DF1D1C">
        <w:t xml:space="preserve"> and</w:t>
      </w:r>
      <w:r w:rsidR="00682C5C">
        <w:t xml:space="preserve"> </w:t>
      </w:r>
    </w:p>
    <w:p w14:paraId="57E12AC3" w14:textId="363D29D1" w:rsidR="00345C71" w:rsidRDefault="00CD4383" w:rsidP="00257641">
      <w:r w:rsidRPr="00DF1D1C">
        <w:t xml:space="preserve">WHEREAS, the Department has approved the </w:t>
      </w:r>
      <w:r w:rsidR="00497A97">
        <w:t>MCO</w:t>
      </w:r>
      <w:r w:rsidRPr="00DF1D1C">
        <w:t xml:space="preserve"> to provide risk</w:t>
      </w:r>
      <w:r w:rsidRPr="00DF1D1C">
        <w:softHyphen/>
        <w:t>-based comprehensive health services</w:t>
      </w:r>
      <w:r w:rsidR="00345C71">
        <w:t>, children’s residential care services, and SNS</w:t>
      </w:r>
      <w:r w:rsidR="00345C71" w:rsidRPr="00DF1D1C">
        <w:t xml:space="preserve"> </w:t>
      </w:r>
      <w:r w:rsidRPr="00DF1D1C">
        <w:t xml:space="preserve">to </w:t>
      </w:r>
      <w:r w:rsidR="00345C71">
        <w:t xml:space="preserve">select </w:t>
      </w:r>
      <w:r w:rsidR="0000123D" w:rsidRPr="00DF1D1C">
        <w:t xml:space="preserve">West Virginia </w:t>
      </w:r>
      <w:r w:rsidRPr="00DF1D1C">
        <w:t xml:space="preserve">Medicaid </w:t>
      </w:r>
      <w:r w:rsidR="0000123D" w:rsidRPr="00DF1D1C">
        <w:t xml:space="preserve">managed care </w:t>
      </w:r>
      <w:r w:rsidR="00AC0524">
        <w:t>enrollee</w:t>
      </w:r>
      <w:r w:rsidR="00AC0524" w:rsidRPr="00DF1D1C">
        <w:t>s</w:t>
      </w:r>
      <w:r w:rsidR="00AC0524">
        <w:t xml:space="preserve"> </w:t>
      </w:r>
      <w:r w:rsidR="00345C71">
        <w:t>who are in foster care, are receiving adoption assistance.</w:t>
      </w:r>
    </w:p>
    <w:p w14:paraId="1A4175E5" w14:textId="637A006E" w:rsidR="006F4AF4" w:rsidRDefault="006F4AF4" w:rsidP="00257641">
      <w:r>
        <w:t xml:space="preserve">WHEREAS, the MCO </w:t>
      </w:r>
      <w:r w:rsidR="00626CEF">
        <w:t xml:space="preserve">must </w:t>
      </w:r>
      <w:r>
        <w:t>serve as an Administrative Services Organization (ASO) for the administration of SNS and has demonstrated the ability to oversee the utilization management of such services and oversight of the providers that administer them; and</w:t>
      </w:r>
    </w:p>
    <w:p w14:paraId="656AFE6D" w14:textId="743269F5" w:rsidR="00CD4383" w:rsidRPr="00DF1D1C" w:rsidRDefault="00CD4383" w:rsidP="00257641">
      <w:r w:rsidRPr="00DF1D1C">
        <w:t xml:space="preserve">NOW THEREFORE, in consideration of the foregoing recitals and of the mutual covenants contained herein, the Department and the </w:t>
      </w:r>
      <w:r w:rsidR="00497A97">
        <w:t>MCO</w:t>
      </w:r>
      <w:r w:rsidR="00FD1647">
        <w:t xml:space="preserve"> hereby agree as follows.</w:t>
      </w:r>
    </w:p>
    <w:p w14:paraId="54AF9641" w14:textId="6D956A91" w:rsidR="00CD4383" w:rsidRPr="00D032B3" w:rsidRDefault="00262289" w:rsidP="007610FD">
      <w:pPr>
        <w:pStyle w:val="Heading2"/>
      </w:pPr>
      <w:bookmarkStart w:id="2" w:name="_Toc8128933"/>
      <w:r>
        <w:t xml:space="preserve">1. </w:t>
      </w:r>
      <w:r w:rsidR="00CD4383" w:rsidRPr="00D032B3">
        <w:t>GENERAL TERMS AND CONDITIONS</w:t>
      </w:r>
      <w:bookmarkEnd w:id="2"/>
    </w:p>
    <w:p w14:paraId="6F2422B6" w14:textId="5A6F5D11" w:rsidR="00CD4383" w:rsidRPr="00DF1D1C" w:rsidRDefault="00CD4383" w:rsidP="00257641">
      <w:pPr>
        <w:pStyle w:val="normal6"/>
      </w:pPr>
      <w:r w:rsidRPr="00DF1D1C">
        <w:t xml:space="preserve">Written </w:t>
      </w:r>
      <w:r w:rsidR="00497A97">
        <w:t>MCO</w:t>
      </w:r>
      <w:r w:rsidRPr="00DF1D1C">
        <w:t xml:space="preserve"> responses to a </w:t>
      </w:r>
      <w:r w:rsidR="00A777DA">
        <w:t xml:space="preserve">Request for </w:t>
      </w:r>
      <w:r w:rsidR="00345C71">
        <w:t>Proposal</w:t>
      </w:r>
      <w:r w:rsidR="00726CB3">
        <w:t>,</w:t>
      </w:r>
      <w:r w:rsidRPr="00DF1D1C">
        <w:t xml:space="preserve"> (including the Department</w:t>
      </w:r>
      <w:r w:rsidR="00FA1C0C" w:rsidRPr="00DF1D1C">
        <w:t>’</w:t>
      </w:r>
      <w:r w:rsidRPr="00DF1D1C">
        <w:t>s written responses to oral and written questions, appendices, amendments, and addenda) and/or to other formal requests by the Department for information and documents are hereby incorporat</w:t>
      </w:r>
      <w:r w:rsidR="00F23E90">
        <w:t xml:space="preserve">ed by reference as part of the </w:t>
      </w:r>
      <w:r w:rsidR="009B19C2">
        <w:t xml:space="preserve">Contract </w:t>
      </w:r>
      <w:r w:rsidRPr="00DF1D1C">
        <w:t>having the full force and effect as if specifically contained herein</w:t>
      </w:r>
      <w:r w:rsidR="0078080B" w:rsidRPr="00DF1D1C">
        <w:t xml:space="preserve">. </w:t>
      </w:r>
      <w:r w:rsidRPr="00DF1D1C">
        <w:t>In the event of a con</w:t>
      </w:r>
      <w:r w:rsidR="00F327F6">
        <w:t xml:space="preserve">flict in language between this </w:t>
      </w:r>
      <w:r w:rsidR="009B19C2">
        <w:t xml:space="preserve">Contract </w:t>
      </w:r>
      <w:r w:rsidRPr="00DF1D1C">
        <w:t xml:space="preserve">and other documents mentioned above, the following order of </w:t>
      </w:r>
      <w:r w:rsidR="00F92438">
        <w:t>precedence</w:t>
      </w:r>
      <w:r w:rsidRPr="00DF1D1C">
        <w:t xml:space="preserve"> </w:t>
      </w:r>
      <w:r w:rsidR="001F3B0D">
        <w:t xml:space="preserve">will </w:t>
      </w:r>
      <w:r w:rsidRPr="00DF1D1C">
        <w:t>apply:</w:t>
      </w:r>
    </w:p>
    <w:p w14:paraId="58549DEC" w14:textId="26576308" w:rsidR="00CD4383" w:rsidRDefault="00F327F6" w:rsidP="00257641">
      <w:pPr>
        <w:numPr>
          <w:ilvl w:val="0"/>
          <w:numId w:val="2"/>
        </w:numPr>
        <w:tabs>
          <w:tab w:val="clear" w:pos="360"/>
          <w:tab w:val="left" w:pos="0"/>
          <w:tab w:val="left" w:pos="720"/>
          <w:tab w:val="right" w:pos="8523"/>
        </w:tabs>
        <w:spacing w:after="120"/>
        <w:ind w:left="720"/>
      </w:pPr>
      <w:r>
        <w:t>The terms of this C</w:t>
      </w:r>
      <w:r w:rsidR="00CD4383" w:rsidRPr="00DF1D1C">
        <w:t>ontract</w:t>
      </w:r>
      <w:r w:rsidR="000E0048">
        <w:t>;</w:t>
      </w:r>
      <w:r w:rsidR="007C3C63">
        <w:t xml:space="preserve"> and</w:t>
      </w:r>
    </w:p>
    <w:p w14:paraId="413B3FAD" w14:textId="0E66E1A2" w:rsidR="00C7642A" w:rsidRPr="00DF1D1C" w:rsidRDefault="009155BF" w:rsidP="00257641">
      <w:pPr>
        <w:numPr>
          <w:ilvl w:val="0"/>
          <w:numId w:val="2"/>
        </w:numPr>
        <w:tabs>
          <w:tab w:val="clear" w:pos="360"/>
          <w:tab w:val="left" w:pos="0"/>
          <w:tab w:val="left" w:pos="720"/>
          <w:tab w:val="right" w:pos="8523"/>
        </w:tabs>
        <w:ind w:left="720"/>
      </w:pPr>
      <w:r>
        <w:t xml:space="preserve">MCO </w:t>
      </w:r>
      <w:r w:rsidR="00C7642A">
        <w:t xml:space="preserve">responses to </w:t>
      </w:r>
      <w:r w:rsidR="00360A41">
        <w:t xml:space="preserve">the </w:t>
      </w:r>
      <w:r w:rsidR="00C7642A">
        <w:t>RF</w:t>
      </w:r>
      <w:r w:rsidR="00345C71">
        <w:t>P</w:t>
      </w:r>
      <w:r w:rsidR="007C3C63">
        <w:t>.</w:t>
      </w:r>
      <w:r w:rsidR="000E0048">
        <w:t xml:space="preserve"> </w:t>
      </w:r>
    </w:p>
    <w:p w14:paraId="2D66D09B" w14:textId="77777777" w:rsidR="00CD4383" w:rsidRPr="00DF1D1C" w:rsidRDefault="00CD4383" w:rsidP="00096A5D">
      <w:pPr>
        <w:pStyle w:val="BodyText"/>
      </w:pPr>
      <w:r w:rsidRPr="00DF1D1C">
        <w:t xml:space="preserve">In construing this </w:t>
      </w:r>
      <w:r w:rsidR="00826597">
        <w:t>C</w:t>
      </w:r>
      <w:r w:rsidRPr="00DF1D1C">
        <w:t xml:space="preserve">ontract, whenever appropriate, the singular tense </w:t>
      </w:r>
      <w:r w:rsidR="001F3B0D">
        <w:t>will</w:t>
      </w:r>
      <w:r w:rsidRPr="00DF1D1C">
        <w:t xml:space="preserve"> also be deemed to mean the plural and vice</w:t>
      </w:r>
      <w:r w:rsidRPr="00DF1D1C">
        <w:noBreakHyphen/>
        <w:t>versa</w:t>
      </w:r>
      <w:r w:rsidR="0078080B" w:rsidRPr="00DF1D1C">
        <w:t xml:space="preserve">. </w:t>
      </w:r>
      <w:r w:rsidRPr="00DF1D1C">
        <w:t xml:space="preserve">Titles of paragraphs used herein are for the purpose of facilitating ease of reference only and </w:t>
      </w:r>
      <w:r w:rsidR="001F3B0D">
        <w:t>will</w:t>
      </w:r>
      <w:r w:rsidRPr="00DF1D1C">
        <w:t xml:space="preserve"> not be </w:t>
      </w:r>
      <w:r w:rsidR="00826597">
        <w:t>construed to be a part of this C</w:t>
      </w:r>
      <w:r w:rsidRPr="00DF1D1C">
        <w:t>ontract.</w:t>
      </w:r>
    </w:p>
    <w:p w14:paraId="5C5D9409" w14:textId="4818769A" w:rsidR="00CD4383" w:rsidRPr="00DF1D1C" w:rsidRDefault="00262289" w:rsidP="007610FD">
      <w:pPr>
        <w:pStyle w:val="Heading2"/>
      </w:pPr>
      <w:bookmarkStart w:id="3" w:name="_Toc8128934"/>
      <w:r>
        <w:lastRenderedPageBreak/>
        <w:t xml:space="preserve">2. </w:t>
      </w:r>
      <w:r w:rsidR="009B19C2">
        <w:t xml:space="preserve">CONTRACT </w:t>
      </w:r>
      <w:r w:rsidR="00CD4383" w:rsidRPr="00DF1D1C">
        <w:t>TERM</w:t>
      </w:r>
      <w:bookmarkEnd w:id="3"/>
    </w:p>
    <w:p w14:paraId="0D051349" w14:textId="559CB62A" w:rsidR="007F641F" w:rsidRDefault="00E41E1D" w:rsidP="00257641">
      <w:r>
        <w:t xml:space="preserve">The initial term of this </w:t>
      </w:r>
      <w:r w:rsidR="009B19C2">
        <w:t xml:space="preserve">Contract </w:t>
      </w:r>
      <w:r w:rsidR="00DA003D">
        <w:t>is expected</w:t>
      </w:r>
      <w:r w:rsidR="00CD4383" w:rsidRPr="00E510F7">
        <w:t xml:space="preserve"> commence on </w:t>
      </w:r>
      <w:r w:rsidR="0099539F">
        <w:t>January</w:t>
      </w:r>
      <w:r w:rsidR="0099539F" w:rsidRPr="00E510F7">
        <w:t xml:space="preserve"> </w:t>
      </w:r>
      <w:r w:rsidR="000862C9" w:rsidRPr="00E510F7">
        <w:t xml:space="preserve">1, </w:t>
      </w:r>
      <w:r w:rsidR="000C4201" w:rsidRPr="00E510F7">
        <w:t>20</w:t>
      </w:r>
      <w:r w:rsidR="0099539F">
        <w:t>20</w:t>
      </w:r>
      <w:r w:rsidR="00295B27" w:rsidRPr="00E510F7">
        <w:t xml:space="preserve"> </w:t>
      </w:r>
      <w:r w:rsidR="00CD4383" w:rsidRPr="00E510F7">
        <w:t>and</w:t>
      </w:r>
      <w:r w:rsidR="001F3B0D" w:rsidRPr="00E510F7">
        <w:t xml:space="preserve"> </w:t>
      </w:r>
      <w:r w:rsidR="0004153A">
        <w:t xml:space="preserve">run </w:t>
      </w:r>
      <w:r w:rsidR="00CD4383" w:rsidRPr="00E510F7">
        <w:t xml:space="preserve">through </w:t>
      </w:r>
      <w:r w:rsidR="000862C9" w:rsidRPr="00E510F7">
        <w:t xml:space="preserve">June 30, </w:t>
      </w:r>
      <w:r w:rsidR="000C4201" w:rsidRPr="00E510F7">
        <w:t>20</w:t>
      </w:r>
      <w:r w:rsidR="00345C71">
        <w:t>2</w:t>
      </w:r>
      <w:r w:rsidR="0099539F">
        <w:t>0</w:t>
      </w:r>
      <w:r w:rsidR="00295B27" w:rsidRPr="00E510F7">
        <w:t>,</w:t>
      </w:r>
      <w:r w:rsidR="00D11CF6" w:rsidRPr="00E510F7">
        <w:t xml:space="preserve"> </w:t>
      </w:r>
      <w:r>
        <w:t xml:space="preserve">at which time the </w:t>
      </w:r>
      <w:r w:rsidR="009B19C2">
        <w:t xml:space="preserve">Contract </w:t>
      </w:r>
      <w:r w:rsidR="00CD4383" w:rsidRPr="00E510F7">
        <w:t xml:space="preserve">may be renewed, at the option of the Department, for </w:t>
      </w:r>
      <w:r w:rsidR="00345C71">
        <w:t>three</w:t>
      </w:r>
      <w:r w:rsidR="00345C71" w:rsidRPr="00E510F7">
        <w:t xml:space="preserve"> </w:t>
      </w:r>
      <w:r w:rsidR="0004153A">
        <w:t xml:space="preserve">(3) </w:t>
      </w:r>
      <w:r w:rsidR="00CD4383" w:rsidRPr="00E510F7">
        <w:t>successive one</w:t>
      </w:r>
      <w:r w:rsidR="0004153A">
        <w:t xml:space="preserve"> (1)</w:t>
      </w:r>
      <w:r w:rsidR="00CD4383" w:rsidRPr="00E510F7">
        <w:t>-year periods</w:t>
      </w:r>
      <w:r w:rsidR="00794238" w:rsidRPr="00E510F7">
        <w:t>.</w:t>
      </w:r>
      <w:r w:rsidR="00E37415">
        <w:t xml:space="preserve"> </w:t>
      </w:r>
      <w:r w:rsidR="00794238" w:rsidRPr="00E510F7">
        <w:t xml:space="preserve">This </w:t>
      </w:r>
      <w:r w:rsidR="009B19C2">
        <w:t xml:space="preserve">Contract </w:t>
      </w:r>
      <w:r w:rsidR="00794238" w:rsidRPr="00E510F7">
        <w:t>may be renewed upon the mutual written consent of the</w:t>
      </w:r>
      <w:r w:rsidR="00E37415">
        <w:t xml:space="preserve"> Department</w:t>
      </w:r>
      <w:r w:rsidR="00794238" w:rsidRPr="00E510F7">
        <w:t xml:space="preserve"> and the </w:t>
      </w:r>
      <w:r w:rsidR="00E37415">
        <w:t>MCO</w:t>
      </w:r>
      <w:r w:rsidR="00794238" w:rsidRPr="00E510F7">
        <w:t>, with</w:t>
      </w:r>
      <w:r w:rsidR="00E37415">
        <w:t xml:space="preserve"> written</w:t>
      </w:r>
      <w:r w:rsidR="00794238" w:rsidRPr="00E510F7">
        <w:t xml:space="preserve"> approval of the </w:t>
      </w:r>
      <w:r w:rsidR="007C6A02" w:rsidRPr="00EC4559">
        <w:rPr>
          <w:u w:val="single"/>
        </w:rPr>
        <w:t xml:space="preserve">State of West Virginia, Department of Administration </w:t>
      </w:r>
      <w:r w:rsidR="00593BDD" w:rsidRPr="00EC4559">
        <w:rPr>
          <w:u w:val="single"/>
        </w:rPr>
        <w:t>Purchasing Division</w:t>
      </w:r>
      <w:r w:rsidR="00593BDD" w:rsidRPr="00E510F7">
        <w:t xml:space="preserve"> </w:t>
      </w:r>
      <w:r w:rsidR="00794238" w:rsidRPr="00E510F7">
        <w:t xml:space="preserve">and the Attorney General’s office (Attorney General approval is as to form only). </w:t>
      </w:r>
      <w:r w:rsidR="007A6E8A">
        <w:t xml:space="preserve">The Centers for Medicaid and Medicare Services (CMS) </w:t>
      </w:r>
      <w:r w:rsidR="007A6E8A" w:rsidRPr="007A6E8A">
        <w:t>must review and approve</w:t>
      </w:r>
      <w:r w:rsidR="007A6E8A">
        <w:t xml:space="preserve"> this </w:t>
      </w:r>
      <w:r w:rsidR="009B19C2">
        <w:t xml:space="preserve">Contract </w:t>
      </w:r>
      <w:r w:rsidR="00A416BF">
        <w:t xml:space="preserve">or any amendments to thereof </w:t>
      </w:r>
      <w:r w:rsidR="007A6E8A">
        <w:t>in accordance with 42 CFR 438.</w:t>
      </w:r>
      <w:r w:rsidR="007A5F9C">
        <w:t>80</w:t>
      </w:r>
      <w:r w:rsidR="007A6E8A">
        <w:t xml:space="preserve">6. </w:t>
      </w:r>
    </w:p>
    <w:p w14:paraId="16C18E38" w14:textId="54D12CD1" w:rsidR="00794238" w:rsidRPr="00F71EBC" w:rsidRDefault="00794238" w:rsidP="00257641">
      <w:r w:rsidRPr="00E510F7">
        <w:t xml:space="preserve">Any request for renewal should be submitted to the </w:t>
      </w:r>
      <w:r w:rsidR="004E4FC7" w:rsidRPr="00EC4559">
        <w:rPr>
          <w:u w:val="single"/>
        </w:rPr>
        <w:t>State of West Virginia, Department of Administration Purchasing Division</w:t>
      </w:r>
      <w:r w:rsidR="004E4FC7" w:rsidRPr="00E510F7">
        <w:t xml:space="preserve"> </w:t>
      </w:r>
      <w:r w:rsidRPr="00E510F7">
        <w:t xml:space="preserve">thirty (30) days prior to the expiration date of the initial </w:t>
      </w:r>
      <w:r w:rsidR="009B19C2">
        <w:t xml:space="preserve">Contract </w:t>
      </w:r>
      <w:r w:rsidRPr="00E510F7">
        <w:t xml:space="preserve">term or appropriate renewal term. </w:t>
      </w:r>
      <w:r w:rsidR="00345C71">
        <w:t xml:space="preserve">DHHR </w:t>
      </w:r>
      <w:r w:rsidR="00EA7EA3">
        <w:t xml:space="preserve">will be responsible for submitting the request but the MCO assumes responsibility for submitting any documentation required for a renewal. </w:t>
      </w:r>
      <w:r w:rsidRPr="00E510F7">
        <w:t xml:space="preserve">A </w:t>
      </w:r>
      <w:r w:rsidR="009B19C2">
        <w:t xml:space="preserve">Contract </w:t>
      </w:r>
      <w:r w:rsidRPr="00E510F7">
        <w:t xml:space="preserve">renewal </w:t>
      </w:r>
      <w:r w:rsidR="002B4B75">
        <w:t>must</w:t>
      </w:r>
      <w:r w:rsidR="00305F07">
        <w:t xml:space="preserve"> </w:t>
      </w:r>
      <w:r w:rsidRPr="00E510F7">
        <w:t xml:space="preserve">be in accordance with the </w:t>
      </w:r>
      <w:r w:rsidR="009B19C2">
        <w:t xml:space="preserve">Contract </w:t>
      </w:r>
      <w:r w:rsidR="00EF6982">
        <w:t>T</w:t>
      </w:r>
      <w:r w:rsidRPr="00E510F7">
        <w:t xml:space="preserve">erms and </w:t>
      </w:r>
      <w:r w:rsidR="00EF6982">
        <w:t>C</w:t>
      </w:r>
      <w:r w:rsidRPr="00E510F7">
        <w:t xml:space="preserve">onditions of the original </w:t>
      </w:r>
      <w:r w:rsidR="00305F07">
        <w:t>C</w:t>
      </w:r>
      <w:r w:rsidRPr="00E510F7">
        <w:t xml:space="preserve">ontract. Renewal of this </w:t>
      </w:r>
      <w:r w:rsidR="009B19C2">
        <w:t xml:space="preserve">Contract </w:t>
      </w:r>
      <w:r w:rsidRPr="00E510F7">
        <w:t xml:space="preserve">is limited to successive one (1) year periods or multiple renewal periods of less than one </w:t>
      </w:r>
      <w:r w:rsidR="001C39F8">
        <w:t xml:space="preserve">(1) </w:t>
      </w:r>
      <w:r w:rsidRPr="00E510F7">
        <w:t xml:space="preserve">year, provided that the multiple renewal periods do not exceed </w:t>
      </w:r>
      <w:r w:rsidR="000F18EA">
        <w:t>thirty</w:t>
      </w:r>
      <w:r w:rsidR="00345C71">
        <w:t>-</w:t>
      </w:r>
      <w:r w:rsidR="000F18EA">
        <w:t xml:space="preserve">six (36) </w:t>
      </w:r>
      <w:r w:rsidRPr="00E510F7">
        <w:t xml:space="preserve">months in total. Automatic renewal of this </w:t>
      </w:r>
      <w:r w:rsidR="009B19C2">
        <w:t xml:space="preserve">Contract </w:t>
      </w:r>
      <w:r w:rsidRPr="00E510F7">
        <w:t>is prohibited.</w:t>
      </w:r>
      <w:r w:rsidR="005658EE">
        <w:t xml:space="preserve"> </w:t>
      </w:r>
      <w:r w:rsidRPr="00E510F7">
        <w:t>Attorney General</w:t>
      </w:r>
      <w:r w:rsidR="000C3993">
        <w:t>’s</w:t>
      </w:r>
      <w:r w:rsidRPr="00E510F7">
        <w:t xml:space="preserve"> approval may be required for </w:t>
      </w:r>
      <w:r w:rsidR="00A6306D" w:rsidRPr="00E510F7">
        <w:t>the</w:t>
      </w:r>
      <w:r w:rsidR="007D2DB7">
        <w:t xml:space="preserve"> certain</w:t>
      </w:r>
      <w:r w:rsidR="00A6306D" w:rsidRPr="00E510F7">
        <w:t xml:space="preserve"> </w:t>
      </w:r>
      <w:r w:rsidR="009B19C2">
        <w:t xml:space="preserve">Contract </w:t>
      </w:r>
      <w:r w:rsidR="00926DD1">
        <w:t>T</w:t>
      </w:r>
      <w:r w:rsidRPr="00E510F7">
        <w:t xml:space="preserve">erms and </w:t>
      </w:r>
      <w:r w:rsidR="00926DD1">
        <w:t>C</w:t>
      </w:r>
      <w:r w:rsidRPr="00E510F7">
        <w:t>onditions</w:t>
      </w:r>
      <w:r w:rsidR="00A6306D" w:rsidRPr="00E510F7">
        <w:t xml:space="preserve"> </w:t>
      </w:r>
      <w:r w:rsidR="00E50EB0">
        <w:t xml:space="preserve">proposed by </w:t>
      </w:r>
      <w:r w:rsidR="00A6306D" w:rsidRPr="00E510F7">
        <w:t>the Department</w:t>
      </w:r>
      <w:r w:rsidRPr="00E510F7">
        <w:t xml:space="preserve">. </w:t>
      </w:r>
    </w:p>
    <w:p w14:paraId="1A79C4C0" w14:textId="17ABE6F6" w:rsidR="00D542CB" w:rsidRPr="00140A7E" w:rsidRDefault="00CD4383" w:rsidP="00257641">
      <w:r w:rsidRPr="00140A7E">
        <w:t xml:space="preserve">In the event the Department opts to </w:t>
      </w:r>
      <w:r w:rsidR="00C7642A" w:rsidRPr="00140A7E">
        <w:t>renew</w:t>
      </w:r>
      <w:r w:rsidR="00E41E1D">
        <w:t xml:space="preserve"> the C</w:t>
      </w:r>
      <w:r w:rsidRPr="00140A7E">
        <w:t xml:space="preserve">ontract, notice </w:t>
      </w:r>
      <w:r w:rsidR="001F3B0D" w:rsidRPr="00140A7E">
        <w:t xml:space="preserve">must </w:t>
      </w:r>
      <w:r w:rsidRPr="00140A7E">
        <w:t xml:space="preserve">be sent to the </w:t>
      </w:r>
      <w:r w:rsidR="00497A97" w:rsidRPr="00140A7E">
        <w:t>MCO</w:t>
      </w:r>
      <w:r w:rsidRPr="00140A7E">
        <w:t xml:space="preserve"> </w:t>
      </w:r>
      <w:r w:rsidR="007C3C63">
        <w:t>thirty (</w:t>
      </w:r>
      <w:r w:rsidR="00480D52" w:rsidRPr="00140A7E">
        <w:t>30</w:t>
      </w:r>
      <w:r w:rsidR="007C3C63">
        <w:t>) calendar</w:t>
      </w:r>
      <w:r w:rsidR="00E41E1D">
        <w:t xml:space="preserve"> </w:t>
      </w:r>
      <w:r w:rsidRPr="00140A7E">
        <w:t xml:space="preserve">days prior to the end of the </w:t>
      </w:r>
      <w:r w:rsidR="007F641F">
        <w:t xml:space="preserve">current </w:t>
      </w:r>
      <w:r w:rsidR="009B19C2">
        <w:t xml:space="preserve">Contract </w:t>
      </w:r>
      <w:r w:rsidRPr="00140A7E">
        <w:t>period</w:t>
      </w:r>
      <w:r w:rsidR="0078080B" w:rsidRPr="00140A7E">
        <w:t xml:space="preserve">. </w:t>
      </w:r>
      <w:r w:rsidRPr="00140A7E">
        <w:t xml:space="preserve">In the event a decision is made not to </w:t>
      </w:r>
      <w:r w:rsidR="00C7642A" w:rsidRPr="00140A7E">
        <w:t xml:space="preserve">renew </w:t>
      </w:r>
      <w:r w:rsidR="00E41E1D">
        <w:t>the C</w:t>
      </w:r>
      <w:r w:rsidRPr="00140A7E">
        <w:t xml:space="preserve">ontract, notice </w:t>
      </w:r>
      <w:r w:rsidR="001F3B0D" w:rsidRPr="00140A7E">
        <w:t>will</w:t>
      </w:r>
      <w:r w:rsidRPr="00140A7E">
        <w:t xml:space="preserve"> also be sent to the </w:t>
      </w:r>
      <w:r w:rsidR="00497A97" w:rsidRPr="00140A7E">
        <w:t>MCO</w:t>
      </w:r>
      <w:r w:rsidRPr="00140A7E">
        <w:t xml:space="preserve"> </w:t>
      </w:r>
      <w:r w:rsidR="007C3C63">
        <w:t>thirty (</w:t>
      </w:r>
      <w:r w:rsidR="00480D52" w:rsidRPr="00140A7E">
        <w:t>30</w:t>
      </w:r>
      <w:r w:rsidR="007C3C63">
        <w:t>) calendar</w:t>
      </w:r>
      <w:r w:rsidR="00480D52" w:rsidRPr="00140A7E">
        <w:t xml:space="preserve"> </w:t>
      </w:r>
      <w:r w:rsidRPr="00140A7E">
        <w:t xml:space="preserve">days prior to the end of the </w:t>
      </w:r>
      <w:r w:rsidR="00DB1C37">
        <w:t>current</w:t>
      </w:r>
      <w:r w:rsidR="00DB1C37" w:rsidRPr="00140A7E">
        <w:t xml:space="preserve"> </w:t>
      </w:r>
      <w:r w:rsidR="009B19C2">
        <w:t xml:space="preserve">Contract </w:t>
      </w:r>
      <w:r w:rsidRPr="00140A7E">
        <w:t>period.</w:t>
      </w:r>
    </w:p>
    <w:p w14:paraId="4C7DBB63" w14:textId="1D357717" w:rsidR="00A06F18" w:rsidRDefault="00333B3D" w:rsidP="00257641">
      <w:r>
        <w:t xml:space="preserve">Any </w:t>
      </w:r>
      <w:r w:rsidR="00500A31" w:rsidRPr="00140A7E">
        <w:t xml:space="preserve">modification to this </w:t>
      </w:r>
      <w:r w:rsidR="009B19C2">
        <w:t xml:space="preserve">Contract </w:t>
      </w:r>
      <w:r w:rsidR="00500A31" w:rsidRPr="00140A7E">
        <w:t>will be subject to the terms of the RF</w:t>
      </w:r>
      <w:r w:rsidR="00345C71">
        <w:t>P</w:t>
      </w:r>
      <w:r w:rsidR="00260A35">
        <w:t xml:space="preserve"> with</w:t>
      </w:r>
      <w:r w:rsidR="00500A31" w:rsidRPr="00140A7E">
        <w:t xml:space="preserve"> </w:t>
      </w:r>
      <w:r w:rsidR="00F36883">
        <w:t>the</w:t>
      </w:r>
      <w:r w:rsidR="00500A31" w:rsidRPr="00140A7E">
        <w:t xml:space="preserve"> </w:t>
      </w:r>
      <w:r w:rsidR="00F36883">
        <w:t xml:space="preserve">capitation </w:t>
      </w:r>
      <w:r w:rsidR="00500A31" w:rsidRPr="00140A7E">
        <w:t>rates being adjusted</w:t>
      </w:r>
      <w:r w:rsidR="00F36883">
        <w:t xml:space="preserve"> </w:t>
      </w:r>
      <w:r w:rsidR="001C3194">
        <w:t xml:space="preserve">to reflect the corresponding </w:t>
      </w:r>
      <w:r w:rsidR="00CD56EA">
        <w:t>F</w:t>
      </w:r>
      <w:r w:rsidR="001C3194">
        <w:t xml:space="preserve">iscal </w:t>
      </w:r>
      <w:r w:rsidR="00CD56EA">
        <w:t>Y</w:t>
      </w:r>
      <w:r w:rsidR="001C3194">
        <w:t xml:space="preserve">ear. </w:t>
      </w:r>
    </w:p>
    <w:p w14:paraId="0E8AA34E" w14:textId="449153E4" w:rsidR="001606E1" w:rsidRDefault="001606E1" w:rsidP="00257641">
      <w:r>
        <w:t>Using actuarially sound standards, t</w:t>
      </w:r>
      <w:r w:rsidR="00794A00">
        <w:t xml:space="preserve">he </w:t>
      </w:r>
      <w:r w:rsidR="005658EE" w:rsidRPr="00E510F7">
        <w:t xml:space="preserve">Department </w:t>
      </w:r>
      <w:r w:rsidR="00A06F18">
        <w:t xml:space="preserve">will calculate </w:t>
      </w:r>
      <w:r w:rsidR="005658EE" w:rsidRPr="00E510F7">
        <w:t xml:space="preserve">capitation payments to the MCO </w:t>
      </w:r>
      <w:r w:rsidR="004221CB">
        <w:t xml:space="preserve">on the annual basis </w:t>
      </w:r>
      <w:r w:rsidR="00B42259">
        <w:t>for</w:t>
      </w:r>
      <w:r w:rsidR="005658EE" w:rsidRPr="00E510F7">
        <w:t xml:space="preserve"> </w:t>
      </w:r>
      <w:r w:rsidR="00682C5C">
        <w:t>the</w:t>
      </w:r>
      <w:r w:rsidR="005658EE" w:rsidRPr="00E510F7">
        <w:t xml:space="preserve"> </w:t>
      </w:r>
      <w:r w:rsidR="004221CB">
        <w:t xml:space="preserve">State Fiscal Year </w:t>
      </w:r>
      <w:r w:rsidR="00C76F59">
        <w:t xml:space="preserve">(SFY) </w:t>
      </w:r>
      <w:r w:rsidR="005658EE" w:rsidRPr="00E510F7">
        <w:t>time period</w:t>
      </w:r>
      <w:r w:rsidR="004A2F88">
        <w:t xml:space="preserve"> (i.e., </w:t>
      </w:r>
      <w:r w:rsidR="00345C71">
        <w:t xml:space="preserve">SFY20 </w:t>
      </w:r>
      <w:r w:rsidR="00773068">
        <w:t>begins</w:t>
      </w:r>
      <w:r w:rsidR="005658EE" w:rsidRPr="00E510F7">
        <w:t xml:space="preserve"> July 1, 201</w:t>
      </w:r>
      <w:r w:rsidR="00345C71">
        <w:t>9</w:t>
      </w:r>
      <w:r w:rsidR="005658EE" w:rsidRPr="00E510F7">
        <w:t xml:space="preserve">, </w:t>
      </w:r>
      <w:r w:rsidR="00FD0A48">
        <w:t xml:space="preserve">and ends </w:t>
      </w:r>
      <w:r w:rsidR="005658EE" w:rsidRPr="00E510F7">
        <w:t>June 30, 20</w:t>
      </w:r>
      <w:r w:rsidR="00345C71">
        <w:t>20</w:t>
      </w:r>
      <w:r w:rsidR="004221CB">
        <w:t>)</w:t>
      </w:r>
      <w:r w:rsidR="005658EE" w:rsidRPr="00E510F7">
        <w:t>.</w:t>
      </w:r>
    </w:p>
    <w:p w14:paraId="77A78EBF" w14:textId="77777777" w:rsidR="0095711E" w:rsidRPr="00140A7E" w:rsidRDefault="0095711E" w:rsidP="00257641">
      <w:r w:rsidRPr="00E510F7">
        <w:t>Notwithstanding the foregoing,</w:t>
      </w:r>
      <w:r w:rsidR="00736E7A">
        <w:t xml:space="preserve"> </w:t>
      </w:r>
      <w:r w:rsidR="00682C5C">
        <w:t>the</w:t>
      </w:r>
      <w:r w:rsidRPr="00E510F7">
        <w:t xml:space="preserve"> </w:t>
      </w:r>
      <w:r w:rsidRPr="00EC4559">
        <w:rPr>
          <w:u w:val="single"/>
        </w:rPr>
        <w:t>State of West Virginia, Department of Administration Purchasing Division</w:t>
      </w:r>
      <w:r w:rsidRPr="00203E0A">
        <w:t xml:space="preserve"> </w:t>
      </w:r>
      <w:r w:rsidRPr="00E510F7">
        <w:t xml:space="preserve">approval is not required on </w:t>
      </w:r>
      <w:r w:rsidR="00682C5C">
        <w:t xml:space="preserve">the </w:t>
      </w:r>
      <w:r>
        <w:t xml:space="preserve">Department’s </w:t>
      </w:r>
      <w:r w:rsidRPr="00E510F7">
        <w:t>delegated or exempt purchases.</w:t>
      </w:r>
    </w:p>
    <w:p w14:paraId="721C240E" w14:textId="2AE08C02" w:rsidR="00CD4383" w:rsidRPr="00DF1D1C" w:rsidRDefault="00262289" w:rsidP="007610FD">
      <w:pPr>
        <w:pStyle w:val="Heading2"/>
      </w:pPr>
      <w:bookmarkStart w:id="4" w:name="_Toc8128935"/>
      <w:r>
        <w:t xml:space="preserve">3. </w:t>
      </w:r>
      <w:r w:rsidR="00CD4383" w:rsidRPr="00DF1D1C">
        <w:t>ENTIRE AGREEMENT</w:t>
      </w:r>
      <w:bookmarkEnd w:id="4"/>
    </w:p>
    <w:p w14:paraId="3CA011DD" w14:textId="7D523E99" w:rsidR="00CD4383" w:rsidRPr="00DF1D1C" w:rsidRDefault="00CD4383" w:rsidP="00257641">
      <w:r w:rsidRPr="00DF1D1C">
        <w:t xml:space="preserve">This </w:t>
      </w:r>
      <w:r w:rsidR="00752FF4">
        <w:t>C</w:t>
      </w:r>
      <w:r w:rsidRPr="00DF1D1C">
        <w:t xml:space="preserve">ontract </w:t>
      </w:r>
      <w:r w:rsidR="00672912" w:rsidRPr="00672912">
        <w:t>(including</w:t>
      </w:r>
      <w:r w:rsidR="00F92438">
        <w:t xml:space="preserve"> all provisions incorporated by reference in Section 1 and </w:t>
      </w:r>
      <w:r w:rsidR="00672912" w:rsidRPr="00672912">
        <w:t>any appendices, exhibits, rate</w:t>
      </w:r>
      <w:r w:rsidR="00672912">
        <w:t xml:space="preserve"> matrices and schedules hereto) constitutes</w:t>
      </w:r>
      <w:r w:rsidRPr="00DF1D1C">
        <w:t xml:space="preserve"> the entire agreement between the parties</w:t>
      </w:r>
      <w:r w:rsidR="0078080B" w:rsidRPr="00DF1D1C">
        <w:t xml:space="preserve">. </w:t>
      </w:r>
      <w:r w:rsidRPr="00DF1D1C">
        <w:t xml:space="preserve">No amendment or other modification changing this </w:t>
      </w:r>
      <w:r w:rsidR="00942881">
        <w:t>C</w:t>
      </w:r>
      <w:r w:rsidRPr="00DF1D1C">
        <w:t xml:space="preserve">ontract </w:t>
      </w:r>
      <w:r w:rsidR="001F3B0D">
        <w:t>will</w:t>
      </w:r>
      <w:r w:rsidRPr="00DF1D1C">
        <w:t xml:space="preserve"> have any force or effect unless it is in writing and duly executed by the parties</w:t>
      </w:r>
      <w:r w:rsidR="0078080B" w:rsidRPr="00DF1D1C">
        <w:t xml:space="preserve">. </w:t>
      </w:r>
      <w:r w:rsidRPr="00DF1D1C">
        <w:t xml:space="preserve">Said modification will be incorporated as a written amendment to the </w:t>
      </w:r>
      <w:r w:rsidR="00942881">
        <w:t>C</w:t>
      </w:r>
      <w:r w:rsidRPr="00DF1D1C">
        <w:t>ontract</w:t>
      </w:r>
      <w:r w:rsidR="0078080B" w:rsidRPr="00DF1D1C">
        <w:t xml:space="preserve">. </w:t>
      </w:r>
    </w:p>
    <w:p w14:paraId="63DA30F6" w14:textId="6816DD31" w:rsidR="00CD4383" w:rsidRPr="00DF1D1C" w:rsidRDefault="008A3DB1" w:rsidP="007610FD">
      <w:pPr>
        <w:pStyle w:val="Heading2"/>
      </w:pPr>
      <w:bookmarkStart w:id="5" w:name="_Toc8128936"/>
      <w:r>
        <w:lastRenderedPageBreak/>
        <w:t>4</w:t>
      </w:r>
      <w:r w:rsidR="00262289">
        <w:t xml:space="preserve">. </w:t>
      </w:r>
      <w:r w:rsidR="009B19C2">
        <w:t xml:space="preserve">CONTRACT </w:t>
      </w:r>
      <w:r w:rsidR="00CD4383" w:rsidRPr="00DF1D1C">
        <w:t>ADMINISTRATION</w:t>
      </w:r>
      <w:bookmarkEnd w:id="5"/>
    </w:p>
    <w:p w14:paraId="449539DD" w14:textId="7A0DB1E0" w:rsidR="00CD4383" w:rsidRPr="00DF1D1C" w:rsidRDefault="00CD4383" w:rsidP="00257641">
      <w:r w:rsidRPr="00DF1D1C">
        <w:t xml:space="preserve">This </w:t>
      </w:r>
      <w:r w:rsidR="002467B0">
        <w:t>C</w:t>
      </w:r>
      <w:r w:rsidRPr="00DF1D1C">
        <w:t xml:space="preserve">ontract </w:t>
      </w:r>
      <w:r w:rsidR="001F3B0D">
        <w:t>will</w:t>
      </w:r>
      <w:r w:rsidRPr="00DF1D1C">
        <w:t xml:space="preserve"> be administered for the State by </w:t>
      </w:r>
      <w:r w:rsidR="00C7558C">
        <w:t>DHHR</w:t>
      </w:r>
      <w:r w:rsidR="0078080B" w:rsidRPr="00DF1D1C">
        <w:t xml:space="preserve">. </w:t>
      </w:r>
      <w:r w:rsidRPr="00DF1D1C">
        <w:t xml:space="preserve">The </w:t>
      </w:r>
      <w:r w:rsidR="00C7558C">
        <w:t xml:space="preserve">Assistant to the Deputy Secretary </w:t>
      </w:r>
      <w:r w:rsidR="001F3B0D">
        <w:t>will</w:t>
      </w:r>
      <w:r w:rsidRPr="00DF1D1C">
        <w:t xml:space="preserve"> serve as Contracting Officer upon the execution of the </w:t>
      </w:r>
      <w:r w:rsidR="004F4CD7">
        <w:t>C</w:t>
      </w:r>
      <w:r w:rsidRPr="00DF1D1C">
        <w:t>ontract</w:t>
      </w:r>
      <w:r w:rsidR="0078080B" w:rsidRPr="00DF1D1C">
        <w:t xml:space="preserve">. </w:t>
      </w:r>
      <w:r w:rsidRPr="00DF1D1C">
        <w:t xml:space="preserve">The Contracting Officer </w:t>
      </w:r>
      <w:r w:rsidR="001F3B0D">
        <w:t xml:space="preserve">will </w:t>
      </w:r>
      <w:r w:rsidRPr="00DF1D1C">
        <w:t xml:space="preserve">be </w:t>
      </w:r>
      <w:r w:rsidR="00C7642A">
        <w:t>the primary contact</w:t>
      </w:r>
      <w:r w:rsidR="00C7642A" w:rsidRPr="00DF1D1C">
        <w:t xml:space="preserve"> </w:t>
      </w:r>
      <w:r w:rsidRPr="00DF1D1C">
        <w:t xml:space="preserve">for all matters related to this </w:t>
      </w:r>
      <w:r w:rsidR="004F4CD7">
        <w:t>C</w:t>
      </w:r>
      <w:r w:rsidRPr="00DF1D1C">
        <w:t>ontract.</w:t>
      </w:r>
      <w:r w:rsidR="00F24820">
        <w:t xml:space="preserve"> </w:t>
      </w:r>
    </w:p>
    <w:p w14:paraId="2BD9ADBA" w14:textId="74C5B339" w:rsidR="00CD4383" w:rsidRPr="00DF1D1C" w:rsidRDefault="008A3DB1" w:rsidP="007610FD">
      <w:pPr>
        <w:pStyle w:val="Heading2"/>
      </w:pPr>
      <w:bookmarkStart w:id="6" w:name="_Toc8128937"/>
      <w:r>
        <w:t>5</w:t>
      </w:r>
      <w:r w:rsidR="00262289">
        <w:t xml:space="preserve">. </w:t>
      </w:r>
      <w:r w:rsidR="00CD4383" w:rsidRPr="00DF1D1C">
        <w:t>NOTICES</w:t>
      </w:r>
      <w:bookmarkEnd w:id="6"/>
    </w:p>
    <w:p w14:paraId="58EA7543" w14:textId="0393C958" w:rsidR="00CD4383" w:rsidRPr="00DF1D1C" w:rsidRDefault="00CD4383" w:rsidP="00257641">
      <w:pPr>
        <w:pStyle w:val="normal6"/>
      </w:pPr>
      <w:r w:rsidRPr="00DF1D1C">
        <w:t>Any notice re</w:t>
      </w:r>
      <w:r w:rsidR="001F3B0D">
        <w:t xml:space="preserve">quired under this </w:t>
      </w:r>
      <w:r w:rsidR="002467B0">
        <w:t>C</w:t>
      </w:r>
      <w:r w:rsidR="001F3B0D">
        <w:t>ontract must</w:t>
      </w:r>
      <w:r w:rsidRPr="00DF1D1C">
        <w:t xml:space="preserve"> be deemed sufficiently given upon delivery, if delivered by hand (signed receipt obtained) or </w:t>
      </w:r>
      <w:r w:rsidR="008023E9">
        <w:t>three (</w:t>
      </w:r>
      <w:r w:rsidRPr="00DF1D1C">
        <w:t>3</w:t>
      </w:r>
      <w:r w:rsidR="008023E9">
        <w:t>)</w:t>
      </w:r>
      <w:r w:rsidRPr="00DF1D1C">
        <w:t xml:space="preserve"> days after posting if properly addressed and sent certified mail return receipt requested</w:t>
      </w:r>
      <w:r w:rsidR="0078080B" w:rsidRPr="00DF1D1C">
        <w:t xml:space="preserve">. </w:t>
      </w:r>
      <w:r w:rsidR="001F3B0D">
        <w:t>Notices must</w:t>
      </w:r>
      <w:r w:rsidRPr="00DF1D1C">
        <w:t xml:space="preserve"> be addressed as follows:</w:t>
      </w:r>
    </w:p>
    <w:p w14:paraId="35A16A20" w14:textId="77777777" w:rsidR="00CD4383" w:rsidRPr="00DF1D1C" w:rsidRDefault="00CD4383" w:rsidP="00257641">
      <w:pPr>
        <w:pStyle w:val="Style11ptUnderlineLeft2"/>
        <w:keepNext/>
        <w:keepLines/>
        <w:widowControl w:val="0"/>
        <w:ind w:left="720"/>
      </w:pPr>
      <w:r w:rsidRPr="00DF1D1C">
        <w:t>Managed Care Organization</w:t>
      </w:r>
    </w:p>
    <w:p w14:paraId="6AB940C6" w14:textId="77777777" w:rsidR="00CD4383" w:rsidRPr="00DF1D1C" w:rsidRDefault="00CD4383" w:rsidP="00257641">
      <w:pPr>
        <w:pStyle w:val="Style11ptUnderlineLeft2"/>
        <w:ind w:left="720"/>
      </w:pPr>
      <w:r w:rsidRPr="00DF1D1C">
        <w:t>Department</w:t>
      </w:r>
    </w:p>
    <w:p w14:paraId="7EB050C5" w14:textId="77777777" w:rsidR="00C7558C" w:rsidRDefault="00C7558C" w:rsidP="00257641">
      <w:pPr>
        <w:keepNext/>
        <w:keepLines/>
        <w:tabs>
          <w:tab w:val="left" w:pos="360"/>
          <w:tab w:val="left" w:pos="720"/>
          <w:tab w:val="left" w:pos="2880"/>
          <w:tab w:val="right" w:pos="3665"/>
        </w:tabs>
        <w:spacing w:after="0"/>
        <w:ind w:left="720"/>
        <w:rPr>
          <w:noProof w:val="0"/>
        </w:rPr>
      </w:pPr>
      <w:r>
        <w:rPr>
          <w:noProof w:val="0"/>
        </w:rPr>
        <w:t>Jeff Wiseman</w:t>
      </w:r>
    </w:p>
    <w:p w14:paraId="4D179240" w14:textId="77777777" w:rsidR="00C7558C" w:rsidRDefault="00C7558C" w:rsidP="00257641">
      <w:pPr>
        <w:keepNext/>
        <w:keepLines/>
        <w:tabs>
          <w:tab w:val="left" w:pos="360"/>
          <w:tab w:val="left" w:pos="720"/>
          <w:tab w:val="left" w:pos="2880"/>
          <w:tab w:val="right" w:pos="3665"/>
        </w:tabs>
        <w:spacing w:after="0"/>
        <w:ind w:left="720"/>
        <w:rPr>
          <w:noProof w:val="0"/>
        </w:rPr>
      </w:pPr>
      <w:r>
        <w:rPr>
          <w:noProof w:val="0"/>
        </w:rPr>
        <w:t>Assistant to the Deputy Secretary</w:t>
      </w:r>
    </w:p>
    <w:p w14:paraId="1C527566" w14:textId="77777777" w:rsidR="00C7558C" w:rsidRDefault="00C7558C" w:rsidP="00257641">
      <w:pPr>
        <w:keepNext/>
        <w:keepLines/>
        <w:tabs>
          <w:tab w:val="left" w:pos="360"/>
          <w:tab w:val="left" w:pos="720"/>
          <w:tab w:val="left" w:pos="2880"/>
          <w:tab w:val="right" w:pos="3665"/>
        </w:tabs>
        <w:spacing w:after="0"/>
        <w:ind w:left="720"/>
        <w:rPr>
          <w:noProof w:val="0"/>
        </w:rPr>
      </w:pPr>
      <w:r>
        <w:rPr>
          <w:noProof w:val="0"/>
        </w:rPr>
        <w:t>West Virginia Department of Health and Human Resources</w:t>
      </w:r>
    </w:p>
    <w:p w14:paraId="226E7CDC" w14:textId="77777777" w:rsidR="00C7558C" w:rsidRDefault="00C7558C" w:rsidP="00257641">
      <w:pPr>
        <w:keepNext/>
        <w:keepLines/>
        <w:tabs>
          <w:tab w:val="left" w:pos="360"/>
          <w:tab w:val="left" w:pos="720"/>
          <w:tab w:val="left" w:pos="2880"/>
          <w:tab w:val="right" w:pos="3665"/>
        </w:tabs>
        <w:spacing w:after="0"/>
        <w:ind w:left="720"/>
        <w:rPr>
          <w:noProof w:val="0"/>
        </w:rPr>
      </w:pPr>
      <w:r>
        <w:rPr>
          <w:noProof w:val="0"/>
        </w:rPr>
        <w:t>1 Davis Square, Suite 100E</w:t>
      </w:r>
    </w:p>
    <w:p w14:paraId="03B8BD3F" w14:textId="77777777" w:rsidR="00C7558C" w:rsidRDefault="00C7558C" w:rsidP="00257641">
      <w:pPr>
        <w:keepNext/>
        <w:keepLines/>
        <w:tabs>
          <w:tab w:val="left" w:pos="360"/>
          <w:tab w:val="left" w:pos="720"/>
          <w:tab w:val="left" w:pos="2880"/>
          <w:tab w:val="right" w:pos="3665"/>
        </w:tabs>
        <w:spacing w:after="0"/>
        <w:ind w:left="720"/>
        <w:rPr>
          <w:noProof w:val="0"/>
        </w:rPr>
      </w:pPr>
      <w:r>
        <w:rPr>
          <w:noProof w:val="0"/>
        </w:rPr>
        <w:t>Charleston, WV 25301</w:t>
      </w:r>
    </w:p>
    <w:p w14:paraId="6140CBA3" w14:textId="77777777" w:rsidR="00C7558C" w:rsidRDefault="00C7558C" w:rsidP="00257641">
      <w:pPr>
        <w:keepNext/>
        <w:keepLines/>
        <w:tabs>
          <w:tab w:val="left" w:pos="360"/>
          <w:tab w:val="left" w:pos="720"/>
          <w:tab w:val="left" w:pos="2880"/>
          <w:tab w:val="right" w:pos="3665"/>
        </w:tabs>
        <w:spacing w:after="0"/>
        <w:ind w:left="720"/>
        <w:rPr>
          <w:noProof w:val="0"/>
        </w:rPr>
      </w:pPr>
      <w:r>
        <w:rPr>
          <w:noProof w:val="0"/>
        </w:rPr>
        <w:t>304-558-6052 (office phone)</w:t>
      </w:r>
    </w:p>
    <w:p w14:paraId="7808EE67" w14:textId="77777777" w:rsidR="001C39F8" w:rsidRDefault="001C39F8" w:rsidP="00257641">
      <w:pPr>
        <w:keepNext/>
        <w:keepLines/>
        <w:tabs>
          <w:tab w:val="left" w:pos="360"/>
          <w:tab w:val="left" w:pos="720"/>
          <w:tab w:val="left" w:pos="2880"/>
          <w:tab w:val="right" w:pos="3665"/>
        </w:tabs>
        <w:spacing w:after="0"/>
        <w:ind w:left="720"/>
      </w:pPr>
    </w:p>
    <w:p w14:paraId="2138CEA6" w14:textId="77777777" w:rsidR="001C39F8" w:rsidRDefault="00821FDF" w:rsidP="00257641">
      <w:pPr>
        <w:keepNext/>
        <w:keepLines/>
        <w:tabs>
          <w:tab w:val="left" w:pos="360"/>
          <w:tab w:val="left" w:pos="720"/>
          <w:tab w:val="right" w:pos="3665"/>
        </w:tabs>
        <w:ind w:left="720"/>
        <w:rPr>
          <w:noProof w:val="0"/>
        </w:rPr>
      </w:pPr>
      <w:hyperlink r:id="rId17" w:history="1">
        <w:r w:rsidR="001C39F8" w:rsidRPr="000B7676">
          <w:rPr>
            <w:rStyle w:val="Hyperlink"/>
            <w:noProof w:val="0"/>
          </w:rPr>
          <w:t>Jeff.A.Wiseman@wv.gov</w:t>
        </w:r>
      </w:hyperlink>
    </w:p>
    <w:p w14:paraId="6A2A8341" w14:textId="53D859E2" w:rsidR="00CD4383" w:rsidRDefault="001F3B0D" w:rsidP="00257641">
      <w:r>
        <w:t>Said notices will</w:t>
      </w:r>
      <w:r w:rsidR="00CD4383" w:rsidRPr="00DF1D1C">
        <w:t xml:space="preserve"> become effective on the date of receipt or the date specified within the notice, whichever comes later</w:t>
      </w:r>
      <w:r w:rsidR="0078080B" w:rsidRPr="00DF1D1C">
        <w:t xml:space="preserve">. </w:t>
      </w:r>
      <w:r>
        <w:t>Either party will</w:t>
      </w:r>
      <w:r w:rsidR="00CD4383" w:rsidRPr="00DF1D1C">
        <w:t xml:space="preserve"> be notified of an address change in writing.</w:t>
      </w:r>
    </w:p>
    <w:p w14:paraId="7BFA3AE3" w14:textId="7BFEEB7C" w:rsidR="00957EA5" w:rsidRPr="00DF1D1C" w:rsidRDefault="00957EA5" w:rsidP="00257641">
      <w:pPr>
        <w:pStyle w:val="normal6"/>
      </w:pPr>
      <w:r w:rsidRPr="00DF1D1C">
        <w:t>All questions, requests, and other matters related to the administration o</w:t>
      </w:r>
      <w:r w:rsidR="003A2AE7" w:rsidRPr="00DF1D1C">
        <w:t>f</w:t>
      </w:r>
      <w:r w:rsidRPr="00DF1D1C">
        <w:t xml:space="preserve"> this </w:t>
      </w:r>
      <w:r w:rsidR="002467B0">
        <w:t>C</w:t>
      </w:r>
      <w:r w:rsidRPr="00DF1D1C">
        <w:t xml:space="preserve">ontract must be addressed </w:t>
      </w:r>
      <w:r w:rsidR="008131ED" w:rsidRPr="00DF1D1C">
        <w:t>with</w:t>
      </w:r>
      <w:r w:rsidR="00843C8D">
        <w:t xml:space="preserve"> </w:t>
      </w:r>
      <w:r w:rsidR="0031734B" w:rsidRPr="0031734B">
        <w:t>Jeff Wiseman</w:t>
      </w:r>
      <w:r w:rsidR="0031734B">
        <w:t xml:space="preserve"> </w:t>
      </w:r>
      <w:r w:rsidRPr="00DF1D1C">
        <w:t>to be considered.</w:t>
      </w:r>
    </w:p>
    <w:p w14:paraId="2D6439FA" w14:textId="77777777" w:rsidR="00A81AAA" w:rsidRPr="00A81AAA" w:rsidRDefault="00A81AAA" w:rsidP="00257641">
      <w:pPr>
        <w:pStyle w:val="Heading1"/>
      </w:pPr>
      <w:r>
        <w:rPr>
          <w:noProof w:val="0"/>
        </w:rPr>
        <w:br w:type="page"/>
      </w:r>
      <w:bookmarkStart w:id="7" w:name="_Toc8128938"/>
      <w:r w:rsidR="00CD4383" w:rsidRPr="00A81AAA">
        <w:lastRenderedPageBreak/>
        <w:t xml:space="preserve">ARTICLE II: GENERAL </w:t>
      </w:r>
      <w:r w:rsidR="009B19C2">
        <w:t xml:space="preserve">CONTRACT </w:t>
      </w:r>
      <w:r w:rsidR="00CD4383" w:rsidRPr="00A81AAA">
        <w:t>TERMS FOR</w:t>
      </w:r>
      <w:bookmarkStart w:id="8" w:name="_Toc454183904"/>
      <w:r w:rsidR="00CD4383" w:rsidRPr="00A81AAA">
        <w:t xml:space="preserve"> MANAGED CARE ORGANIZATIONS</w:t>
      </w:r>
      <w:bookmarkEnd w:id="7"/>
      <w:bookmarkEnd w:id="8"/>
    </w:p>
    <w:p w14:paraId="7910FF5D" w14:textId="1F3AADE1" w:rsidR="00CD4383" w:rsidRPr="00942881" w:rsidRDefault="00D032B3" w:rsidP="007610FD">
      <w:pPr>
        <w:pStyle w:val="Heading2"/>
      </w:pPr>
      <w:bookmarkStart w:id="9" w:name="_Toc8128939"/>
      <w:r>
        <w:t xml:space="preserve">1. </w:t>
      </w:r>
      <w:r w:rsidR="00CD4383" w:rsidRPr="00942881">
        <w:t>DEFINITIONS</w:t>
      </w:r>
      <w:bookmarkEnd w:id="9"/>
    </w:p>
    <w:p w14:paraId="1C2180EF" w14:textId="77777777" w:rsidR="00CD4383" w:rsidRPr="00DF1D1C" w:rsidRDefault="00CD4383" w:rsidP="00257641">
      <w:r w:rsidRPr="00DF1D1C">
        <w:t xml:space="preserve">As used throughout this </w:t>
      </w:r>
      <w:r w:rsidR="004F4CD7">
        <w:t>C</w:t>
      </w:r>
      <w:r w:rsidRPr="00DF1D1C">
        <w:t>on</w:t>
      </w:r>
      <w:r w:rsidR="001F3B0D">
        <w:t>tract, the following terms will</w:t>
      </w:r>
      <w:r w:rsidRPr="00DF1D1C">
        <w:t xml:space="preserve"> have the meanings set forth below.</w:t>
      </w:r>
    </w:p>
    <w:p w14:paraId="164C241A" w14:textId="77777777" w:rsidR="00C76F59" w:rsidRDefault="001517F1" w:rsidP="00257641">
      <w:r w:rsidRPr="00DF1D1C">
        <w:rPr>
          <w:u w:val="single"/>
        </w:rPr>
        <w:t>Abuse</w:t>
      </w:r>
      <w:r w:rsidR="00F85A1C" w:rsidRPr="00DF1D1C">
        <w:t xml:space="preserve"> – </w:t>
      </w:r>
      <w:r w:rsidRPr="00DF1D1C">
        <w:t>provider practices that are inconsistent with sound fiscal, business, or medical practices, and result in an unnecessary cost to the Medicaid program, or in reimburse</w:t>
      </w:r>
      <w:r w:rsidR="0094043B">
        <w:t>ment for services that are not Medically N</w:t>
      </w:r>
      <w:r w:rsidRPr="00DF1D1C">
        <w:t>ecessary or that fail to meet professionally recognized standards for health care</w:t>
      </w:r>
      <w:r w:rsidR="0078080B" w:rsidRPr="00DF1D1C">
        <w:t xml:space="preserve">. </w:t>
      </w:r>
      <w:r w:rsidRPr="00DF1D1C">
        <w:t>It also includes beneficiary practices that result in unnecessary cost to the Medicaid program.</w:t>
      </w:r>
    </w:p>
    <w:p w14:paraId="61E71574" w14:textId="7E7B75C6" w:rsidR="00B22D1D" w:rsidRDefault="00B22D1D" w:rsidP="00257641">
      <w:r w:rsidRPr="00B22D1D">
        <w:rPr>
          <w:u w:val="single"/>
        </w:rPr>
        <w:t>Actuary</w:t>
      </w:r>
      <w:r w:rsidR="00B74EDE">
        <w:t xml:space="preserve"> – </w:t>
      </w:r>
      <w:r>
        <w:t xml:space="preserve">an individual who meets the qualification standards established by the American Academy of Actuaries for an actuary and follows the practice standards established by the Actuarial Standards Board. In this </w:t>
      </w:r>
      <w:r w:rsidR="00893995">
        <w:t>Contract</w:t>
      </w:r>
      <w:r>
        <w:t>, Actuary refers to an individual who is acting on behalf of the State when used in reference to the development and certification of capitation rates.</w:t>
      </w:r>
    </w:p>
    <w:p w14:paraId="6D829F6C" w14:textId="61622F61" w:rsidR="00865B99" w:rsidRPr="00DF1D1C" w:rsidRDefault="00865B99" w:rsidP="00257641">
      <w:r w:rsidRPr="006E61D4">
        <w:rPr>
          <w:u w:val="single"/>
        </w:rPr>
        <w:t>Administration for Children and Families (ACF)</w:t>
      </w:r>
      <w:r>
        <w:t xml:space="preserve"> – a division within the federal Department of Health and Human Services </w:t>
      </w:r>
      <w:r w:rsidR="00B74EDE">
        <w:t xml:space="preserve">(DHHS) </w:t>
      </w:r>
      <w:r>
        <w:t>responsible for promoting</w:t>
      </w:r>
      <w:r w:rsidRPr="00F87AD4">
        <w:t xml:space="preserve"> the economic and social well-being of families, childr</w:t>
      </w:r>
      <w:r>
        <w:t>en, individuals and communities.</w:t>
      </w:r>
    </w:p>
    <w:p w14:paraId="22719AB7" w14:textId="0C987D3E" w:rsidR="00AF7424" w:rsidRDefault="00AF7424" w:rsidP="00257641">
      <w:r w:rsidRPr="00C80E18">
        <w:rPr>
          <w:u w:val="single"/>
        </w:rPr>
        <w:t>Adoption Assistance</w:t>
      </w:r>
      <w:r w:rsidR="00B74EDE">
        <w:t xml:space="preserve"> – a </w:t>
      </w:r>
      <w:r w:rsidRPr="00AF7424">
        <w:t>social services program, under Title XX of the Social Security Act</w:t>
      </w:r>
      <w:r w:rsidR="00B74EDE">
        <w:t xml:space="preserve"> (SSA)</w:t>
      </w:r>
      <w:r w:rsidRPr="00AF7424">
        <w:t xml:space="preserve">, that provides cash assistance and/or social services to adoptive parents who adopt "hard to place" foster care children who were in the custody of a local department of </w:t>
      </w:r>
      <w:r w:rsidR="003D5328">
        <w:t xml:space="preserve">health and human resources </w:t>
      </w:r>
      <w:r w:rsidRPr="00AF7424">
        <w:t>or a child</w:t>
      </w:r>
      <w:r>
        <w:t xml:space="preserve"> placing agency licensed by West </w:t>
      </w:r>
      <w:r w:rsidRPr="00AF7424">
        <w:t>Virginia.</w:t>
      </w:r>
    </w:p>
    <w:p w14:paraId="792EFAB9" w14:textId="3293D81B" w:rsidR="00264737" w:rsidRDefault="00990060" w:rsidP="00257641">
      <w:r w:rsidRPr="007B2BA4">
        <w:rPr>
          <w:u w:val="single"/>
        </w:rPr>
        <w:t>Advance</w:t>
      </w:r>
      <w:r w:rsidR="00264737" w:rsidRPr="007B2BA4">
        <w:rPr>
          <w:u w:val="single"/>
        </w:rPr>
        <w:t xml:space="preserve"> Directive</w:t>
      </w:r>
      <w:r w:rsidR="00B74EDE">
        <w:t xml:space="preserve"> – </w:t>
      </w:r>
      <w:r w:rsidR="00627248" w:rsidRPr="00627248">
        <w:t>a written instruction, such as a living will or durable power of attorney for health care, recognized under State law (whether statutory or as recognized by the courts of the State), relating to the provision of health care when the individual is incapacitated.</w:t>
      </w:r>
    </w:p>
    <w:p w14:paraId="03C45B61" w14:textId="77777777" w:rsidR="00F92438" w:rsidRDefault="00F92438" w:rsidP="00F92438">
      <w:r>
        <w:rPr>
          <w:u w:val="single"/>
        </w:rPr>
        <w:t xml:space="preserve">Adverse Benefit Determination </w:t>
      </w:r>
      <w:r>
        <w:t xml:space="preserve"> – the MCO’s decision to deny or limit authorization or payment (in whole or in part) for health care services, including new authorizations and previously authorized services; the MCO’s reduction, suspension, or termination of a previously authorized service; the MCO’s failure to provide services as required by the Contract; the MCO’s failure to resolve grievances or appeals within the timeframes specified in this Contract; or the MCO’s denial of a request by an enrollee who resides in a rural area with only one (1) MCO to receive out-of-network services; or the denial of an enrollee’s request to dispute a finnancial liability, including copayments. </w:t>
      </w:r>
    </w:p>
    <w:p w14:paraId="525617A5" w14:textId="6CD6630A" w:rsidR="00283853" w:rsidRDefault="00283853" w:rsidP="00257641">
      <w:r w:rsidRPr="006E61D4">
        <w:rPr>
          <w:u w:val="single"/>
        </w:rPr>
        <w:t>Adverse Childhood Experiences (ACEs)</w:t>
      </w:r>
      <w:r w:rsidR="00B74EDE">
        <w:t xml:space="preserve"> – </w:t>
      </w:r>
      <w:r w:rsidRPr="00283853">
        <w:t>stressful or traumatic events, including abuse and neglect. They may also include household dysfunction such as witnessing domestic violence or growing up with family members who have substance use disorders. ACEs are strongly related to the development and prevalence of a wide range of health problems throughout a person’s lifespan, including those associated with substance misuse.</w:t>
      </w:r>
    </w:p>
    <w:p w14:paraId="19468A5A" w14:textId="77A271A9" w:rsidR="00865B99" w:rsidRDefault="00865B99" w:rsidP="00257641">
      <w:r w:rsidRPr="006E61D4">
        <w:rPr>
          <w:u w:val="single"/>
        </w:rPr>
        <w:lastRenderedPageBreak/>
        <w:t>Agency for Healthcare Research and Quality (AHRQ)</w:t>
      </w:r>
      <w:r w:rsidR="00B74EDE">
        <w:t xml:space="preserve"> – </w:t>
      </w:r>
      <w:r w:rsidRPr="00865B99">
        <w:t>the lead Federal agency charged with improving the safety and quality of America's health care system. AHRQ develops the knowledge, tools, and data needed to improve the health care system and help Americans, health care professionals, and policymakers make informed health decisions.</w:t>
      </w:r>
    </w:p>
    <w:p w14:paraId="1A5592FB" w14:textId="333E6950" w:rsidR="0023175C" w:rsidRPr="00DF1D1C" w:rsidRDefault="0023175C" w:rsidP="00257641">
      <w:r w:rsidRPr="00DF1D1C">
        <w:rPr>
          <w:u w:val="single"/>
        </w:rPr>
        <w:t>Appeal</w:t>
      </w:r>
      <w:r w:rsidRPr="00DF1D1C">
        <w:t xml:space="preserve"> – a request for a review of the MCO</w:t>
      </w:r>
      <w:r w:rsidR="00FA1C0C" w:rsidRPr="00DF1D1C">
        <w:t>’</w:t>
      </w:r>
      <w:r w:rsidRPr="00DF1D1C">
        <w:t xml:space="preserve">s </w:t>
      </w:r>
      <w:r w:rsidR="009F2A80">
        <w:t xml:space="preserve">adverse benefit determination </w:t>
      </w:r>
      <w:r w:rsidR="004F4CD7">
        <w:t xml:space="preserve"> as defined in this </w:t>
      </w:r>
      <w:r w:rsidR="009B19C2">
        <w:t xml:space="preserve">Contract </w:t>
      </w:r>
      <w:r w:rsidR="000A372E" w:rsidRPr="00DF1D1C">
        <w:t>and 42 CFR 438.400(b) (1-</w:t>
      </w:r>
      <w:r w:rsidR="009F2A80">
        <w:t>7</w:t>
      </w:r>
      <w:r w:rsidR="000A372E" w:rsidRPr="00DF1D1C">
        <w:t>)</w:t>
      </w:r>
      <w:r w:rsidR="0078080B" w:rsidRPr="00DF1D1C">
        <w:t xml:space="preserve">. </w:t>
      </w:r>
    </w:p>
    <w:p w14:paraId="5FF45FC1" w14:textId="7C5AE891" w:rsidR="00CD4383" w:rsidRDefault="00CD4383" w:rsidP="00257641">
      <w:r w:rsidRPr="00DF1D1C">
        <w:rPr>
          <w:u w:val="single"/>
        </w:rPr>
        <w:t>Authorized Agent</w:t>
      </w:r>
      <w:r w:rsidR="002D5B25">
        <w:t xml:space="preserve"> – </w:t>
      </w:r>
      <w:r w:rsidRPr="00DF1D1C">
        <w:t>any corporation, company, organization</w:t>
      </w:r>
      <w:r w:rsidR="0013569B" w:rsidRPr="00DF1D1C">
        <w:t>,</w:t>
      </w:r>
      <w:r w:rsidRPr="00DF1D1C">
        <w:t xml:space="preserve"> or person or their affiliates, not in competition with the </w:t>
      </w:r>
      <w:r w:rsidR="00497A97">
        <w:t>MCO</w:t>
      </w:r>
      <w:r w:rsidRPr="00DF1D1C">
        <w:t xml:space="preserve"> for the provision of managed care services, retained by the Department to provide assistance </w:t>
      </w:r>
      <w:r w:rsidR="009F2A80">
        <w:t>with administering its MCO program or any other matter</w:t>
      </w:r>
      <w:r w:rsidRPr="00DF1D1C">
        <w:t>.</w:t>
      </w:r>
    </w:p>
    <w:p w14:paraId="5F0E5D33" w14:textId="770B7FCD" w:rsidR="000B3066" w:rsidRDefault="000B3066" w:rsidP="00257641">
      <w:r>
        <w:rPr>
          <w:u w:val="single"/>
        </w:rPr>
        <w:t>Authorized Representative</w:t>
      </w:r>
      <w:r w:rsidRPr="00203E0A">
        <w:t xml:space="preserve"> </w:t>
      </w:r>
      <w:r>
        <w:t xml:space="preserve">– </w:t>
      </w:r>
      <w:r w:rsidR="002D5B25">
        <w:t>a</w:t>
      </w:r>
      <w:r w:rsidRPr="000B3066">
        <w:t xml:space="preserve"> person authorized by the </w:t>
      </w:r>
      <w:r w:rsidR="00F5699C">
        <w:t>enrollee</w:t>
      </w:r>
      <w:r w:rsidR="00F5699C" w:rsidRPr="000B3066">
        <w:t xml:space="preserve"> </w:t>
      </w:r>
      <w:r w:rsidRPr="000B3066">
        <w:t>in writing to make health-related decisions on behalf of a</w:t>
      </w:r>
      <w:r w:rsidR="00F5699C">
        <w:t>n</w:t>
      </w:r>
      <w:r w:rsidRPr="000B3066">
        <w:t xml:space="preserve"> </w:t>
      </w:r>
      <w:r w:rsidR="00F5699C">
        <w:t>enrollee</w:t>
      </w:r>
      <w:r w:rsidRPr="000B3066">
        <w:t xml:space="preserve">, including, but not limited to Enrollment and Disenrollment decisions, filing Appeals and Grievances with the Contractor, and choice of a Primary Care Physician (PCP). The Authorized Representative is the Parent, Adoptive Parent or legal guardian for a child. For an adult, this person is the legal guardian (guardianship action), health care power of attorney, other person that has power of attorney, or another signed HIPAA compliant document indicating who can make decisions on behalf of the </w:t>
      </w:r>
      <w:r w:rsidR="00F5699C">
        <w:t>enrollee</w:t>
      </w:r>
      <w:r w:rsidRPr="000B3066">
        <w:t xml:space="preserve">. For Foster Care </w:t>
      </w:r>
      <w:r w:rsidR="00F5699C">
        <w:t>enrollee</w:t>
      </w:r>
      <w:r w:rsidR="00F5699C" w:rsidRPr="000B3066">
        <w:t>s</w:t>
      </w:r>
      <w:r w:rsidRPr="000B3066">
        <w:t xml:space="preserve">, the Authorized Representative is </w:t>
      </w:r>
      <w:r w:rsidR="00752091">
        <w:t>BCF</w:t>
      </w:r>
      <w:r w:rsidRPr="000B3066">
        <w:t>.</w:t>
      </w:r>
    </w:p>
    <w:p w14:paraId="3D0A4E46" w14:textId="77777777" w:rsidR="00EC35AC" w:rsidRPr="00605B84" w:rsidRDefault="00EC35AC" w:rsidP="00257641">
      <w:r w:rsidRPr="00DD729F">
        <w:rPr>
          <w:u w:val="single"/>
        </w:rPr>
        <w:t>Behavioral Health Services</w:t>
      </w:r>
      <w:r w:rsidRPr="00605B84">
        <w:t xml:space="preserve"> –</w:t>
      </w:r>
      <w:r w:rsidR="001806FC">
        <w:t xml:space="preserve"> </w:t>
      </w:r>
      <w:r w:rsidRPr="00605B84">
        <w:t>services used to treat a mental illness, behavioral disorder and/or substance use disorder which necessitates therapeutic and/or supportive treatment</w:t>
      </w:r>
      <w:r w:rsidR="004A7B86">
        <w:t>, such services include but not limited to psyc</w:t>
      </w:r>
      <w:r w:rsidR="000A7454">
        <w:t>hological</w:t>
      </w:r>
      <w:r w:rsidR="004A7B86">
        <w:t xml:space="preserve"> and psychiatric services</w:t>
      </w:r>
      <w:r w:rsidRPr="00605B84">
        <w:t>.</w:t>
      </w:r>
    </w:p>
    <w:p w14:paraId="587B0C2C" w14:textId="01461E7C" w:rsidR="00CD1BF9" w:rsidRDefault="00CD1BF9" w:rsidP="00257641">
      <w:pPr>
        <w:rPr>
          <w:u w:val="single"/>
        </w:rPr>
      </w:pPr>
      <w:r w:rsidRPr="00CD1BF9">
        <w:rPr>
          <w:u w:val="single"/>
        </w:rPr>
        <w:t>Bureau for Children and Families</w:t>
      </w:r>
      <w:r>
        <w:rPr>
          <w:u w:val="single"/>
        </w:rPr>
        <w:t xml:space="preserve"> (BCF)</w:t>
      </w:r>
      <w:r w:rsidR="002D5B25">
        <w:t xml:space="preserve"> – </w:t>
      </w:r>
      <w:r w:rsidR="00677F82" w:rsidRPr="006E61D4">
        <w:t xml:space="preserve">a </w:t>
      </w:r>
      <w:r w:rsidRPr="006E61D4">
        <w:t>division within the</w:t>
      </w:r>
      <w:r>
        <w:t xml:space="preserve"> West Virginia </w:t>
      </w:r>
      <w:r w:rsidR="002D5B25">
        <w:t>DHHR</w:t>
      </w:r>
      <w:r>
        <w:t xml:space="preserve"> responsible for</w:t>
      </w:r>
      <w:r w:rsidRPr="00CD1BF9">
        <w:t xml:space="preserve"> the operation of a number of programs that affect families and children, including day care centers, adult care providers, early childhood services and the fostering and adoption of West Virginia children</w:t>
      </w:r>
      <w:r w:rsidR="00C941B6">
        <w:t xml:space="preserve">. </w:t>
      </w:r>
      <w:r w:rsidR="00C941B6" w:rsidRPr="00C941B6">
        <w:t>Bureau staff located in the county offices are responsible for the day</w:t>
      </w:r>
      <w:r w:rsidR="008F7061">
        <w:t>-</w:t>
      </w:r>
      <w:r w:rsidR="00C941B6" w:rsidRPr="00C941B6">
        <w:t>to</w:t>
      </w:r>
      <w:r w:rsidR="008F7061">
        <w:t>-</w:t>
      </w:r>
      <w:r w:rsidR="00C941B6" w:rsidRPr="00C941B6">
        <w:t>day delivery of services such as child and adult protective services, foster care, adoption, financial assistance, and food stamps.</w:t>
      </w:r>
    </w:p>
    <w:p w14:paraId="544B4B57" w14:textId="7A0C3AF5" w:rsidR="00CD1BF9" w:rsidRDefault="00CD1BF9" w:rsidP="00257641">
      <w:r w:rsidRPr="00CD1BF9">
        <w:rPr>
          <w:u w:val="single"/>
        </w:rPr>
        <w:t>Bureau for Medical Services (BMS)</w:t>
      </w:r>
      <w:r w:rsidRPr="006E61D4">
        <w:t xml:space="preserve"> – </w:t>
      </w:r>
      <w:r w:rsidR="00677F82" w:rsidRPr="006E61D4">
        <w:t>a</w:t>
      </w:r>
      <w:r w:rsidRPr="006E61D4">
        <w:t xml:space="preserve"> division within the</w:t>
      </w:r>
      <w:r w:rsidRPr="00124580">
        <w:t xml:space="preserve"> </w:t>
      </w:r>
      <w:r>
        <w:t xml:space="preserve">West Virginia </w:t>
      </w:r>
      <w:r w:rsidR="002D5B25">
        <w:t>DHHR</w:t>
      </w:r>
      <w:r>
        <w:t xml:space="preserve"> </w:t>
      </w:r>
      <w:r w:rsidR="00C941B6">
        <w:t xml:space="preserve">that serves as </w:t>
      </w:r>
      <w:r w:rsidR="00C941B6" w:rsidRPr="00C941B6">
        <w:t xml:space="preserve">is the designated single state agency responsible for the administration </w:t>
      </w:r>
      <w:r w:rsidR="00C941B6">
        <w:t xml:space="preserve">of the State's Medicaid program and providing </w:t>
      </w:r>
      <w:r w:rsidR="00C941B6" w:rsidRPr="00C941B6">
        <w:t>access to appropriate health care for Medicaid-eligible individuals.</w:t>
      </w:r>
    </w:p>
    <w:p w14:paraId="01EAF071" w14:textId="7D60B778" w:rsidR="006108F3" w:rsidRDefault="006108F3" w:rsidP="00257641">
      <w:pPr>
        <w:rPr>
          <w:u w:val="single"/>
        </w:rPr>
      </w:pPr>
      <w:r w:rsidRPr="00B656EA">
        <w:rPr>
          <w:u w:val="single"/>
        </w:rPr>
        <w:t>Bureau for Public Health (BPH)</w:t>
      </w:r>
      <w:r w:rsidR="00124044" w:rsidRPr="006507E0">
        <w:t xml:space="preserve"> – </w:t>
      </w:r>
      <w:r w:rsidR="00677F82" w:rsidRPr="006507E0">
        <w:t>a</w:t>
      </w:r>
      <w:r w:rsidRPr="006507E0">
        <w:t xml:space="preserve"> division within the West Virginia </w:t>
      </w:r>
      <w:r w:rsidR="002D5B25" w:rsidRPr="006507E0">
        <w:t>DHHR</w:t>
      </w:r>
      <w:r w:rsidRPr="006507E0">
        <w:t xml:space="preserve"> that</w:t>
      </w:r>
      <w:r w:rsidR="000C08DE" w:rsidRPr="006507E0">
        <w:t xml:space="preserve"> directs public health activities at all levels within the state to fulfill the core functions of public health: the assessment of community health status and available resources; policy development resulting in proposals to support and encourage better health; and assurance that needed services are available, accessible, and of acceptable quality.</w:t>
      </w:r>
    </w:p>
    <w:p w14:paraId="4F69A121" w14:textId="1BBDF59C" w:rsidR="003750EB" w:rsidRPr="0043672A" w:rsidRDefault="003750EB" w:rsidP="00257641">
      <w:r w:rsidRPr="000A5858">
        <w:rPr>
          <w:u w:val="single"/>
        </w:rPr>
        <w:t>Business Continuity Plan (BCP)</w:t>
      </w:r>
      <w:r w:rsidR="00F85A1C" w:rsidRPr="00DF1D1C">
        <w:t xml:space="preserve"> – </w:t>
      </w:r>
      <w:r w:rsidRPr="000A5858">
        <w:t>a plan that provides for a quick and smooth restoration of the MCO information system after a disruptive event. BCP includes business impact analysis, BCP development, testing, awareness, training, and maintenance.</w:t>
      </w:r>
      <w:r w:rsidR="00F24820">
        <w:t xml:space="preserve"> </w:t>
      </w:r>
      <w:r w:rsidRPr="000A5858">
        <w:t>This is</w:t>
      </w:r>
      <w:r w:rsidRPr="0097069C">
        <w:t xml:space="preserve"> a day-to-day plan.</w:t>
      </w:r>
    </w:p>
    <w:p w14:paraId="0BA586C4" w14:textId="0F32DE00" w:rsidR="00CD4383" w:rsidRPr="00410355" w:rsidRDefault="00CD4383" w:rsidP="00257641">
      <w:pPr>
        <w:rPr>
          <w:szCs w:val="24"/>
        </w:rPr>
      </w:pPr>
      <w:r w:rsidRPr="00DF1D1C">
        <w:rPr>
          <w:u w:val="single"/>
        </w:rPr>
        <w:t>Capitation Payment</w:t>
      </w:r>
      <w:r w:rsidR="00F85A1C" w:rsidRPr="00DF1D1C">
        <w:t xml:space="preserve"> – </w:t>
      </w:r>
      <w:r w:rsidR="00CA629D" w:rsidRPr="00772DED">
        <w:rPr>
          <w:szCs w:val="24"/>
        </w:rPr>
        <w:t xml:space="preserve">a payment the State makes periodically to </w:t>
      </w:r>
      <w:r w:rsidR="00E00441" w:rsidRPr="00772DED">
        <w:rPr>
          <w:szCs w:val="24"/>
        </w:rPr>
        <w:t xml:space="preserve">the </w:t>
      </w:r>
      <w:r w:rsidR="00CA629D" w:rsidRPr="00772DED">
        <w:rPr>
          <w:szCs w:val="24"/>
        </w:rPr>
        <w:t xml:space="preserve">MCO on behalf of each beneficiary enrolled under this </w:t>
      </w:r>
      <w:r w:rsidR="009B19C2" w:rsidRPr="00410355">
        <w:rPr>
          <w:szCs w:val="24"/>
        </w:rPr>
        <w:t xml:space="preserve">Contract </w:t>
      </w:r>
      <w:r w:rsidR="00CA629D" w:rsidRPr="00410355">
        <w:rPr>
          <w:szCs w:val="24"/>
        </w:rPr>
        <w:t xml:space="preserve">and based on the actuarially sound capitation rate for the </w:t>
      </w:r>
      <w:r w:rsidR="00CA629D" w:rsidRPr="00410355">
        <w:rPr>
          <w:szCs w:val="24"/>
        </w:rPr>
        <w:lastRenderedPageBreak/>
        <w:t xml:space="preserve">provision of </w:t>
      </w:r>
      <w:r w:rsidR="00B1357F">
        <w:rPr>
          <w:szCs w:val="24"/>
        </w:rPr>
        <w:t xml:space="preserve">covered </w:t>
      </w:r>
      <w:r w:rsidR="00CA629D" w:rsidRPr="00410355">
        <w:rPr>
          <w:szCs w:val="24"/>
        </w:rPr>
        <w:t xml:space="preserve">services. </w:t>
      </w:r>
      <w:r w:rsidR="00EB416A" w:rsidRPr="00203E0A">
        <w:rPr>
          <w:szCs w:val="24"/>
        </w:rPr>
        <w:t xml:space="preserve">Reimbursement for this contract will be designed using a braided funding stream, with Medicaid and </w:t>
      </w:r>
      <w:r w:rsidR="00D23EDC" w:rsidRPr="00203E0A">
        <w:rPr>
          <w:szCs w:val="24"/>
        </w:rPr>
        <w:t xml:space="preserve">BCF </w:t>
      </w:r>
      <w:r w:rsidR="00EB416A" w:rsidRPr="00203E0A">
        <w:rPr>
          <w:szCs w:val="24"/>
        </w:rPr>
        <w:t xml:space="preserve">dollars being </w:t>
      </w:r>
      <w:r w:rsidR="00D23EDC" w:rsidRPr="00203E0A">
        <w:rPr>
          <w:szCs w:val="24"/>
        </w:rPr>
        <w:t xml:space="preserve">braided </w:t>
      </w:r>
      <w:r w:rsidR="00EB416A" w:rsidRPr="00203E0A">
        <w:rPr>
          <w:szCs w:val="24"/>
        </w:rPr>
        <w:t>to develop a monthly capitation payment for holistic care.</w:t>
      </w:r>
      <w:r w:rsidR="00841853" w:rsidRPr="00772DED">
        <w:rPr>
          <w:szCs w:val="24"/>
        </w:rPr>
        <w:t xml:space="preserve"> </w:t>
      </w:r>
      <w:r w:rsidR="00CA629D" w:rsidRPr="00772DED">
        <w:rPr>
          <w:szCs w:val="24"/>
        </w:rPr>
        <w:t>The State makes the payment regardless of whether the particular beneficiary receives services during the period covered by the payment.</w:t>
      </w:r>
    </w:p>
    <w:p w14:paraId="682FC519" w14:textId="2D7B69A9" w:rsidR="007241FD" w:rsidRDefault="007241FD" w:rsidP="00257641">
      <w:pPr>
        <w:rPr>
          <w:rFonts w:eastAsia="Calibri"/>
        </w:rPr>
      </w:pPr>
      <w:r w:rsidRPr="008361E0">
        <w:rPr>
          <w:rFonts w:eastAsia="Calibri"/>
          <w:u w:val="single"/>
        </w:rPr>
        <w:t>Cardiac Rehabilitation</w:t>
      </w:r>
      <w:r w:rsidR="006507E0">
        <w:t xml:space="preserve"> – </w:t>
      </w:r>
      <w:r w:rsidR="007B2BA4">
        <w:rPr>
          <w:rFonts w:eastAsia="Calibri"/>
        </w:rPr>
        <w:t>a</w:t>
      </w:r>
      <w:r w:rsidRPr="00AB742E">
        <w:rPr>
          <w:rFonts w:eastAsia="Calibri"/>
        </w:rPr>
        <w:t xml:space="preserve"> comprehensive outpatient program of medical evaluation, prescribed exercise, cardiac risk factor modification, and education and counseling that is designed to restore </w:t>
      </w:r>
      <w:r w:rsidR="00F5699C">
        <w:rPr>
          <w:rFonts w:eastAsia="Calibri"/>
        </w:rPr>
        <w:t>enrollee</w:t>
      </w:r>
      <w:r w:rsidR="00F5699C" w:rsidRPr="00AB742E">
        <w:rPr>
          <w:rFonts w:eastAsia="Calibri"/>
        </w:rPr>
        <w:t xml:space="preserve">s </w:t>
      </w:r>
      <w:r w:rsidRPr="00AB742E">
        <w:rPr>
          <w:rFonts w:eastAsia="Calibri"/>
        </w:rPr>
        <w:t>with heart disease to active, productive lives.</w:t>
      </w:r>
    </w:p>
    <w:p w14:paraId="1D7040D4" w14:textId="4C2C380C" w:rsidR="007E2FCA" w:rsidRDefault="007E2FCA" w:rsidP="00257641">
      <w:pPr>
        <w:rPr>
          <w:rFonts w:eastAsia="Calibri"/>
          <w:u w:val="single"/>
        </w:rPr>
      </w:pPr>
      <w:r>
        <w:rPr>
          <w:rFonts w:eastAsia="Calibri"/>
          <w:u w:val="single"/>
        </w:rPr>
        <w:t>Care Coordination</w:t>
      </w:r>
      <w:r w:rsidRPr="007E2FCA">
        <w:rPr>
          <w:rFonts w:eastAsia="Calibri"/>
        </w:rPr>
        <w:t xml:space="preserve"> – organizing patient care activities and sharing information among all the participants concerned with a</w:t>
      </w:r>
      <w:r w:rsidR="00F5699C">
        <w:rPr>
          <w:rFonts w:eastAsia="Calibri"/>
        </w:rPr>
        <w:t>n</w:t>
      </w:r>
      <w:r w:rsidRPr="007E2FCA">
        <w:rPr>
          <w:rFonts w:eastAsia="Calibri"/>
        </w:rPr>
        <w:t xml:space="preserve"> </w:t>
      </w:r>
      <w:r w:rsidR="00F5699C">
        <w:rPr>
          <w:rFonts w:eastAsia="Calibri"/>
        </w:rPr>
        <w:t>enrollee</w:t>
      </w:r>
      <w:r w:rsidR="00F5699C" w:rsidRPr="007E2FCA">
        <w:rPr>
          <w:rFonts w:eastAsia="Calibri"/>
        </w:rPr>
        <w:t xml:space="preserve">’s </w:t>
      </w:r>
      <w:r w:rsidRPr="007E2FCA">
        <w:rPr>
          <w:rFonts w:eastAsia="Calibri"/>
        </w:rPr>
        <w:t xml:space="preserve">care to achieve safer and more effective care. Through organized care coordination, </w:t>
      </w:r>
      <w:r w:rsidR="00F5699C">
        <w:rPr>
          <w:rFonts w:eastAsia="Calibri"/>
        </w:rPr>
        <w:t>an enrollee</w:t>
      </w:r>
      <w:r w:rsidR="00F5699C" w:rsidRPr="007E2FCA">
        <w:rPr>
          <w:rFonts w:eastAsia="Calibri"/>
        </w:rPr>
        <w:t>’</w:t>
      </w:r>
      <w:r w:rsidR="00F5699C">
        <w:rPr>
          <w:rFonts w:eastAsia="Calibri"/>
        </w:rPr>
        <w:t>s</w:t>
      </w:r>
      <w:r w:rsidR="00F5699C" w:rsidRPr="007E2FCA">
        <w:rPr>
          <w:rFonts w:eastAsia="Calibri"/>
        </w:rPr>
        <w:t xml:space="preserve"> </w:t>
      </w:r>
      <w:r w:rsidRPr="007E2FCA">
        <w:rPr>
          <w:rFonts w:eastAsia="Calibri"/>
        </w:rPr>
        <w:t>needs and preferences are known ahead of time and communicated at the right time to the right people to provide safe, appropriate, and effective care.</w:t>
      </w:r>
    </w:p>
    <w:p w14:paraId="0EE680DF" w14:textId="720CA355" w:rsidR="000B3066" w:rsidRDefault="000B3066" w:rsidP="00257641">
      <w:pPr>
        <w:rPr>
          <w:rFonts w:eastAsia="Calibri"/>
        </w:rPr>
      </w:pPr>
      <w:r w:rsidRPr="006E61D4">
        <w:rPr>
          <w:rFonts w:eastAsia="Calibri"/>
          <w:u w:val="single"/>
        </w:rPr>
        <w:t>Caregiver</w:t>
      </w:r>
      <w:r w:rsidR="006507E0">
        <w:rPr>
          <w:rFonts w:eastAsia="Calibri"/>
        </w:rPr>
        <w:t xml:space="preserve"> – t</w:t>
      </w:r>
      <w:r w:rsidRPr="000B3066">
        <w:rPr>
          <w:rFonts w:eastAsia="Calibri"/>
        </w:rPr>
        <w:t xml:space="preserve">he </w:t>
      </w:r>
      <w:r w:rsidR="00677F82">
        <w:rPr>
          <w:rFonts w:eastAsia="Calibri"/>
        </w:rPr>
        <w:t>BCF</w:t>
      </w:r>
      <w:r w:rsidRPr="000B3066">
        <w:rPr>
          <w:rFonts w:eastAsia="Calibri"/>
        </w:rPr>
        <w:t xml:space="preserve">-authorized caretaker for a </w:t>
      </w:r>
      <w:r w:rsidR="00677F82">
        <w:rPr>
          <w:rFonts w:eastAsia="Calibri"/>
        </w:rPr>
        <w:t xml:space="preserve">child in </w:t>
      </w:r>
      <w:r w:rsidRPr="000B3066">
        <w:rPr>
          <w:rFonts w:eastAsia="Calibri"/>
        </w:rPr>
        <w:t>F</w:t>
      </w:r>
      <w:r w:rsidR="00677F82">
        <w:rPr>
          <w:rFonts w:eastAsia="Calibri"/>
        </w:rPr>
        <w:t xml:space="preserve">oster </w:t>
      </w:r>
      <w:r w:rsidRPr="000B3066">
        <w:rPr>
          <w:rFonts w:eastAsia="Calibri"/>
        </w:rPr>
        <w:t>C</w:t>
      </w:r>
      <w:r w:rsidR="00677F82">
        <w:rPr>
          <w:rFonts w:eastAsia="Calibri"/>
        </w:rPr>
        <w:t>are</w:t>
      </w:r>
      <w:r w:rsidRPr="000B3066">
        <w:rPr>
          <w:rFonts w:eastAsia="Calibri"/>
        </w:rPr>
        <w:t xml:space="preserve"> </w:t>
      </w:r>
      <w:r w:rsidR="00677F82">
        <w:rPr>
          <w:rFonts w:eastAsia="Calibri"/>
        </w:rPr>
        <w:t xml:space="preserve">and </w:t>
      </w:r>
      <w:r w:rsidRPr="000B3066">
        <w:rPr>
          <w:rFonts w:eastAsia="Calibri"/>
        </w:rPr>
        <w:t xml:space="preserve">may be </w:t>
      </w:r>
      <w:r w:rsidR="00677F82">
        <w:rPr>
          <w:rFonts w:eastAsia="Calibri"/>
        </w:rPr>
        <w:t xml:space="preserve">a </w:t>
      </w:r>
      <w:r w:rsidRPr="000B3066">
        <w:rPr>
          <w:rFonts w:eastAsia="Calibri"/>
        </w:rPr>
        <w:t xml:space="preserve">Foster Parent(s), relative(s), or </w:t>
      </w:r>
      <w:r w:rsidR="001379F1">
        <w:rPr>
          <w:rFonts w:eastAsia="Calibri"/>
        </w:rPr>
        <w:t xml:space="preserve">staff of a </w:t>
      </w:r>
      <w:r w:rsidRPr="000B3066">
        <w:rPr>
          <w:rFonts w:eastAsia="Calibri"/>
        </w:rPr>
        <w:t>twenty-four (24)-hour childcare facility.</w:t>
      </w:r>
    </w:p>
    <w:p w14:paraId="033480A1" w14:textId="576EF6DB" w:rsidR="007E2FCA" w:rsidRPr="007E2FCA" w:rsidRDefault="007E2FCA" w:rsidP="00257641">
      <w:pPr>
        <w:pStyle w:val="normal6"/>
      </w:pPr>
      <w:r>
        <w:rPr>
          <w:u w:val="single"/>
        </w:rPr>
        <w:t>Care Management</w:t>
      </w:r>
      <w:r w:rsidRPr="007E2FCA">
        <w:t xml:space="preserve"> – a Defined as a team-based, person centered approach to effectively managing patients’ medical, social and behavioral conditions. Care Management </w:t>
      </w:r>
      <w:r w:rsidR="00040C70">
        <w:t>must</w:t>
      </w:r>
      <w:r w:rsidR="00040C70" w:rsidRPr="007E2FCA">
        <w:t xml:space="preserve"> </w:t>
      </w:r>
      <w:r w:rsidRPr="007E2FCA">
        <w:t xml:space="preserve">include, at a minimum, the following: </w:t>
      </w:r>
    </w:p>
    <w:p w14:paraId="0EE3712A" w14:textId="77777777" w:rsidR="007E2FCA" w:rsidRP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High-risk care management (e.g., high utilizers / high-cost beneficiaries); </w:t>
      </w:r>
    </w:p>
    <w:p w14:paraId="378B6629" w14:textId="4679206A" w:rsidR="007E2FCA" w:rsidRP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Care Needs Screening; </w:t>
      </w:r>
    </w:p>
    <w:p w14:paraId="79DB1100" w14:textId="570108DF" w:rsidR="007E2FCA" w:rsidRP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Identification of </w:t>
      </w:r>
      <w:r w:rsidR="00F5699C">
        <w:rPr>
          <w:rFonts w:ascii="Times New Roman" w:hAnsi="Times New Roman"/>
        </w:rPr>
        <w:t>enrollee</w:t>
      </w:r>
      <w:r w:rsidR="00F5699C" w:rsidRPr="007E2FCA">
        <w:rPr>
          <w:rFonts w:ascii="Times New Roman" w:hAnsi="Times New Roman"/>
        </w:rPr>
        <w:t xml:space="preserve">s </w:t>
      </w:r>
      <w:r w:rsidRPr="007E2FCA">
        <w:rPr>
          <w:rFonts w:ascii="Times New Roman" w:hAnsi="Times New Roman"/>
        </w:rPr>
        <w:t xml:space="preserve">in need of care management; </w:t>
      </w:r>
    </w:p>
    <w:p w14:paraId="64283298" w14:textId="59B6B94E" w:rsidR="007E2FCA" w:rsidRP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Development of Care Plans (across priority populations); </w:t>
      </w:r>
    </w:p>
    <w:p w14:paraId="7529EC53" w14:textId="51EFCE3C" w:rsidR="007E2FCA" w:rsidRP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Development of comprehensive assessments (across priority populations); </w:t>
      </w:r>
    </w:p>
    <w:p w14:paraId="645C16B3" w14:textId="66C256B9" w:rsidR="007E2FCA" w:rsidRP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Transitional care management: </w:t>
      </w:r>
      <w:r w:rsidR="003874FC">
        <w:rPr>
          <w:rFonts w:ascii="Times New Roman" w:hAnsi="Times New Roman"/>
        </w:rPr>
        <w:t>m</w:t>
      </w:r>
      <w:r w:rsidRPr="007E2FCA">
        <w:rPr>
          <w:rFonts w:ascii="Times New Roman" w:hAnsi="Times New Roman"/>
        </w:rPr>
        <w:t xml:space="preserve">anagement of </w:t>
      </w:r>
      <w:r w:rsidR="003874FC">
        <w:rPr>
          <w:rFonts w:ascii="Times New Roman" w:hAnsi="Times New Roman"/>
        </w:rPr>
        <w:t>enrollee</w:t>
      </w:r>
      <w:r w:rsidRPr="007E2FCA">
        <w:rPr>
          <w:rFonts w:ascii="Times New Roman" w:hAnsi="Times New Roman"/>
        </w:rPr>
        <w:t xml:space="preserve"> needs during transitions of care (e.g., from hospital to home); </w:t>
      </w:r>
    </w:p>
    <w:p w14:paraId="3BDFB642" w14:textId="4412043B" w:rsidR="007E2FCA" w:rsidRP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Care Management for special populations (including pregnant women and children at-risk of physical, development, or socio-emotional delay); </w:t>
      </w:r>
    </w:p>
    <w:p w14:paraId="105FC4AA" w14:textId="02391864" w:rsidR="007E2FCA" w:rsidRP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Chronic care management (e.g., management of multiple chronic conditions); </w:t>
      </w:r>
    </w:p>
    <w:p w14:paraId="45087A8F" w14:textId="63695658" w:rsidR="007E2FCA" w:rsidRP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Coordination of services (e.g., appointment/wellness reminders and social services coordination/referrals); </w:t>
      </w:r>
    </w:p>
    <w:p w14:paraId="7152A0C1" w14:textId="5B2259A4" w:rsidR="007E2FCA" w:rsidRP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Management of unmet health-related resource needs and high-risk social environments; </w:t>
      </w:r>
    </w:p>
    <w:p w14:paraId="09EE0008" w14:textId="4FD5DA18" w:rsidR="007E2FCA" w:rsidRP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Management of high-cost procedures (e.g., transplant, specialty drugs); </w:t>
      </w:r>
    </w:p>
    <w:p w14:paraId="7048F195" w14:textId="77777777" w:rsid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Management of rare diseases (e.g., transplant, specialty drugs); </w:t>
      </w:r>
    </w:p>
    <w:p w14:paraId="012A0F47" w14:textId="3968C575" w:rsidR="007E2FCA" w:rsidRP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 xml:space="preserve">Management of medication-related clinical services which promote appropriate medication use and adherence, drug therapy monitoring for effectiveness, medication related adverse effects; and </w:t>
      </w:r>
    </w:p>
    <w:p w14:paraId="46D8D423" w14:textId="087AEDA9" w:rsidR="007E2FCA" w:rsidRDefault="007E2FCA" w:rsidP="00257641">
      <w:pPr>
        <w:pStyle w:val="ListParagraph"/>
        <w:numPr>
          <w:ilvl w:val="0"/>
          <w:numId w:val="1019"/>
        </w:numPr>
        <w:spacing w:line="240" w:lineRule="auto"/>
        <w:rPr>
          <w:rFonts w:ascii="Times New Roman" w:hAnsi="Times New Roman"/>
        </w:rPr>
      </w:pPr>
      <w:r w:rsidRPr="007E2FCA">
        <w:rPr>
          <w:rFonts w:ascii="Times New Roman" w:hAnsi="Times New Roman"/>
        </w:rPr>
        <w:t>Development and deployment of population health programs.</w:t>
      </w:r>
    </w:p>
    <w:p w14:paraId="147D9821" w14:textId="7AC0BC16" w:rsidR="00E10CBE" w:rsidRPr="00E10CBE" w:rsidRDefault="00E10CBE" w:rsidP="00257641">
      <w:r w:rsidRPr="00C37F99">
        <w:rPr>
          <w:rFonts w:eastAsia="Calibri"/>
          <w:u w:val="single"/>
        </w:rPr>
        <w:t>Case Management</w:t>
      </w:r>
      <w:r w:rsidRPr="00E10CBE">
        <w:rPr>
          <w:rFonts w:eastAsia="Calibri"/>
        </w:rPr>
        <w:t xml:space="preserve"> – </w:t>
      </w:r>
      <w:r>
        <w:rPr>
          <w:rFonts w:eastAsia="Calibri"/>
        </w:rPr>
        <w:t>a p</w:t>
      </w:r>
      <w:r w:rsidRPr="00E10CBE">
        <w:rPr>
          <w:rFonts w:eastAsia="Calibri"/>
        </w:rPr>
        <w:t>erson-centric, collaborative process of assessment, planning, facilitation, and advocacy for options and services to meet an individual’s health needs through</w:t>
      </w:r>
      <w:r w:rsidRPr="00E10CBE">
        <w:t xml:space="preserve"> communication and available resources to promote Quality cost-effective outcomes. Case Management serves as a means for achieving </w:t>
      </w:r>
      <w:r w:rsidR="003874FC">
        <w:t>enrollee</w:t>
      </w:r>
      <w:r w:rsidR="003874FC" w:rsidRPr="00E10CBE">
        <w:t xml:space="preserve"> </w:t>
      </w:r>
      <w:r w:rsidRPr="00E10CBE">
        <w:t xml:space="preserve">wellness and autonomy through advocacy, communication, education, and identification of services and resources. Interventions are </w:t>
      </w:r>
      <w:r w:rsidRPr="00E10CBE">
        <w:lastRenderedPageBreak/>
        <w:t xml:space="preserve">undertaken with the purpose of helping </w:t>
      </w:r>
      <w:r w:rsidR="003874FC">
        <w:t>enrollee</w:t>
      </w:r>
      <w:r w:rsidR="003874FC" w:rsidRPr="00E10CBE">
        <w:t xml:space="preserve">s </w:t>
      </w:r>
      <w:r w:rsidRPr="00E10CBE">
        <w:t xml:space="preserve">receive appropriate care. Case Management is distinguished from Utilization Management in that it is voluntary and it is distinguished from Disease Management by its intensity and focus on any disease(s) or condition(s) </w:t>
      </w:r>
      <w:r>
        <w:t xml:space="preserve">of the </w:t>
      </w:r>
      <w:r w:rsidR="003874FC">
        <w:t>enrollee</w:t>
      </w:r>
      <w:r w:rsidRPr="00E10CBE">
        <w:t>.</w:t>
      </w:r>
    </w:p>
    <w:p w14:paraId="21405394" w14:textId="395E9B38" w:rsidR="00F87AD4" w:rsidRDefault="00F87AD4" w:rsidP="00257641">
      <w:r w:rsidRPr="006E61D4">
        <w:rPr>
          <w:u w:val="single"/>
        </w:rPr>
        <w:t>Centers for Medicare and Medicaid Services</w:t>
      </w:r>
      <w:r w:rsidRPr="00533CCF">
        <w:rPr>
          <w:u w:val="single"/>
        </w:rPr>
        <w:t xml:space="preserve"> </w:t>
      </w:r>
      <w:r>
        <w:rPr>
          <w:u w:val="single"/>
        </w:rPr>
        <w:t>(</w:t>
      </w:r>
      <w:r w:rsidRPr="00533CCF">
        <w:rPr>
          <w:u w:val="single"/>
        </w:rPr>
        <w:t>CMS</w:t>
      </w:r>
      <w:r>
        <w:rPr>
          <w:u w:val="single"/>
        </w:rPr>
        <w:t>)</w:t>
      </w:r>
      <w:r w:rsidRPr="00203E0A">
        <w:t xml:space="preserve"> </w:t>
      </w:r>
      <w:r>
        <w:t xml:space="preserve">– </w:t>
      </w:r>
      <w:r w:rsidRPr="00F24470">
        <w:t>a division within the federal Department of Health and Human Services</w:t>
      </w:r>
      <w:r>
        <w:t xml:space="preserve"> responsible for </w:t>
      </w:r>
      <w:r w:rsidRPr="00F87AD4">
        <w:t>the oversight of the Medicare program, the federal portion of the Medicaid program and Children's Health Insurance Program, the Health Insurance Marketplace, and related quality assurance activities</w:t>
      </w:r>
      <w:r w:rsidRPr="00F24470">
        <w:t>.</w:t>
      </w:r>
    </w:p>
    <w:p w14:paraId="7380C6A9" w14:textId="69E2D9C7" w:rsidR="00124580" w:rsidRDefault="00124580" w:rsidP="00257641">
      <w:r w:rsidRPr="00041AA6">
        <w:rPr>
          <w:u w:val="single"/>
        </w:rPr>
        <w:t>Child Protective Services (CPS) Worker</w:t>
      </w:r>
      <w:r w:rsidR="006507E0">
        <w:t xml:space="preserve"> – a</w:t>
      </w:r>
      <w:r>
        <w:t xml:space="preserve"> professional social worker who provides assistance to children and families by helping them address psychological and social problems related to child abuse and neglect. CPS Workers provide interventions, prepare treatment plans and case plans, and perform duties related to various social services program areas such as Child Protective Services (CPS), Foster Care, and Adoption Assistance.</w:t>
      </w:r>
    </w:p>
    <w:p w14:paraId="538B7C97" w14:textId="52B441EA" w:rsidR="00247257" w:rsidRDefault="00247257" w:rsidP="00257641">
      <w:pPr>
        <w:rPr>
          <w:u w:val="single"/>
        </w:rPr>
      </w:pPr>
      <w:r>
        <w:rPr>
          <w:u w:val="single"/>
        </w:rPr>
        <w:t>Children and Youth with Special Health Care Needs (CYSHCN)</w:t>
      </w:r>
      <w:r w:rsidRPr="00203E0A">
        <w:t xml:space="preserve"> – those who have or are at increased risk for a chronic physical, developmental, behavioral, or emotional condition and who also require health and related services of a type or amount beyond that required by children generally.</w:t>
      </w:r>
    </w:p>
    <w:p w14:paraId="22F127A7" w14:textId="0E5BAC75" w:rsidR="00C76F59" w:rsidRDefault="00C76F59" w:rsidP="00257641">
      <w:pPr>
        <w:rPr>
          <w:rFonts w:eastAsia="Calibri"/>
          <w:u w:val="single"/>
        </w:rPr>
      </w:pPr>
      <w:r w:rsidRPr="00D23EDC">
        <w:rPr>
          <w:u w:val="single"/>
        </w:rPr>
        <w:t>Children’s Bureau (CB)</w:t>
      </w:r>
      <w:r w:rsidR="006507E0" w:rsidRPr="00203E0A">
        <w:t xml:space="preserve"> – </w:t>
      </w:r>
      <w:r>
        <w:t>the ACF office providing federal oversight for child welfare</w:t>
      </w:r>
      <w:r w:rsidR="00D23EDC">
        <w:t>;</w:t>
      </w:r>
      <w:r>
        <w:t xml:space="preserve"> </w:t>
      </w:r>
      <w:r>
        <w:rPr>
          <w:lang w:val="en"/>
        </w:rPr>
        <w:t>focusing</w:t>
      </w:r>
      <w:r w:rsidRPr="00572170">
        <w:rPr>
          <w:lang w:val="en"/>
        </w:rPr>
        <w:t xml:space="preserve"> on improving the lives of children and families through programs that reduce child abuse and neglect, increase the number of adoptions, and strengthen foster care</w:t>
      </w:r>
      <w:r w:rsidR="00D23EDC">
        <w:rPr>
          <w:lang w:val="en"/>
        </w:rPr>
        <w:t>.</w:t>
      </w:r>
    </w:p>
    <w:p w14:paraId="0BA93D42" w14:textId="595982BD" w:rsidR="00940663" w:rsidRDefault="00C60FB1" w:rsidP="00257641">
      <w:r w:rsidRPr="00C60FB1">
        <w:rPr>
          <w:rFonts w:eastAsia="Calibri"/>
          <w:u w:val="single"/>
        </w:rPr>
        <w:t xml:space="preserve">Choice </w:t>
      </w:r>
      <w:r w:rsidR="00C3267A">
        <w:rPr>
          <w:rFonts w:eastAsia="Calibri"/>
          <w:u w:val="single"/>
        </w:rPr>
        <w:t>C</w:t>
      </w:r>
      <w:r w:rsidRPr="00C60FB1">
        <w:rPr>
          <w:rFonts w:eastAsia="Calibri"/>
          <w:u w:val="single"/>
        </w:rPr>
        <w:t>ounseling</w:t>
      </w:r>
      <w:r w:rsidR="006507E0">
        <w:rPr>
          <w:rFonts w:eastAsia="Calibri"/>
        </w:rPr>
        <w:t xml:space="preserve"> – </w:t>
      </w:r>
      <w:r w:rsidRPr="00C60FB1">
        <w:rPr>
          <w:rFonts w:eastAsia="Calibri"/>
        </w:rPr>
        <w:t>the provision of information and services designed to assist</w:t>
      </w:r>
      <w:r>
        <w:rPr>
          <w:rFonts w:eastAsia="Calibri"/>
        </w:rPr>
        <w:t xml:space="preserve"> </w:t>
      </w:r>
      <w:r w:rsidRPr="00C60FB1">
        <w:rPr>
          <w:rFonts w:eastAsia="Calibri"/>
        </w:rPr>
        <w:t>beneficiaries in making enrollment decisions; it includes answering questions and identifying</w:t>
      </w:r>
      <w:r>
        <w:rPr>
          <w:rFonts w:eastAsia="Calibri"/>
        </w:rPr>
        <w:t xml:space="preserve"> </w:t>
      </w:r>
      <w:r w:rsidRPr="00C60FB1">
        <w:rPr>
          <w:rFonts w:eastAsia="Calibri"/>
        </w:rPr>
        <w:t>factors to consider when choosing among managed care plans. Choice</w:t>
      </w:r>
      <w:r>
        <w:rPr>
          <w:rFonts w:eastAsia="Calibri"/>
        </w:rPr>
        <w:t xml:space="preserve"> </w:t>
      </w:r>
      <w:r w:rsidRPr="00C60FB1">
        <w:rPr>
          <w:rFonts w:eastAsia="Calibri"/>
        </w:rPr>
        <w:t>counseling does not include making recommendations for or against enrollment into a specific</w:t>
      </w:r>
      <w:r>
        <w:rPr>
          <w:rFonts w:eastAsia="Calibri"/>
        </w:rPr>
        <w:t xml:space="preserve"> </w:t>
      </w:r>
      <w:r w:rsidRPr="00C60FB1">
        <w:rPr>
          <w:rFonts w:eastAsia="Calibri"/>
        </w:rPr>
        <w:t>MCO.</w:t>
      </w:r>
    </w:p>
    <w:p w14:paraId="769FB30A" w14:textId="799134BA" w:rsidR="00FC3DBF" w:rsidRDefault="00AA27F4" w:rsidP="00257641">
      <w:pPr>
        <w:pStyle w:val="normal6"/>
      </w:pPr>
      <w:r w:rsidRPr="00DF1D1C">
        <w:rPr>
          <w:u w:val="single"/>
        </w:rPr>
        <w:t>Cold-</w:t>
      </w:r>
      <w:r w:rsidR="004767A2" w:rsidRPr="00DF1D1C">
        <w:rPr>
          <w:u w:val="single"/>
        </w:rPr>
        <w:t xml:space="preserve">Call </w:t>
      </w:r>
      <w:r w:rsidR="009A0060" w:rsidRPr="00DF1D1C">
        <w:rPr>
          <w:u w:val="single"/>
        </w:rPr>
        <w:t>M</w:t>
      </w:r>
      <w:r w:rsidRPr="00DF1D1C">
        <w:rPr>
          <w:u w:val="single"/>
        </w:rPr>
        <w:t>arketing</w:t>
      </w:r>
      <w:r w:rsidR="00F85A1C" w:rsidRPr="00DF1D1C">
        <w:t xml:space="preserve"> – </w:t>
      </w:r>
      <w:r w:rsidRPr="00DF1D1C">
        <w:t xml:space="preserve">any unsolicited personal contact by the MCO with a potential </w:t>
      </w:r>
      <w:r w:rsidR="003874FC">
        <w:t xml:space="preserve">enrollee </w:t>
      </w:r>
      <w:r w:rsidRPr="00DF1D1C">
        <w:t xml:space="preserve">for the purpose of influencing the potential </w:t>
      </w:r>
      <w:r w:rsidR="003874FC">
        <w:t>enrollee</w:t>
      </w:r>
      <w:r w:rsidR="003874FC" w:rsidRPr="00DF1D1C">
        <w:t xml:space="preserve"> </w:t>
      </w:r>
      <w:r w:rsidRPr="00DF1D1C">
        <w:t>to enroll in that particular MCO.</w:t>
      </w:r>
      <w:r w:rsidR="00FC3DBF">
        <w:t xml:space="preserve"> Cold Call Marketing includes, without limitation:</w:t>
      </w:r>
    </w:p>
    <w:p w14:paraId="67A46AF6" w14:textId="52A0B7EF" w:rsidR="00FC3DBF" w:rsidRDefault="00FC3DBF" w:rsidP="00257641">
      <w:pPr>
        <w:pStyle w:val="bullet1"/>
        <w:tabs>
          <w:tab w:val="clear" w:pos="1440"/>
        </w:tabs>
      </w:pPr>
      <w:r>
        <w:t xml:space="preserve">Unsolicited personal contact with a potential </w:t>
      </w:r>
      <w:r w:rsidR="003874FC">
        <w:t xml:space="preserve">enrollee </w:t>
      </w:r>
      <w:r>
        <w:t xml:space="preserve">outside of an </w:t>
      </w:r>
      <w:r w:rsidR="00DF280E">
        <w:t>e</w:t>
      </w:r>
      <w:r>
        <w:t xml:space="preserve">nrollment </w:t>
      </w:r>
      <w:r w:rsidR="00DF280E">
        <w:t>e</w:t>
      </w:r>
      <w:r>
        <w:t xml:space="preserve">vent, such as door-to-door or telephone </w:t>
      </w:r>
      <w:r w:rsidR="009D0E3E">
        <w:t>m</w:t>
      </w:r>
      <w:r>
        <w:t>arketing.</w:t>
      </w:r>
    </w:p>
    <w:p w14:paraId="29A8419A" w14:textId="77777777" w:rsidR="00FC3DBF" w:rsidRDefault="004711E2" w:rsidP="00257641">
      <w:pPr>
        <w:pStyle w:val="bullet1"/>
        <w:tabs>
          <w:tab w:val="clear" w:pos="1440"/>
        </w:tabs>
      </w:pPr>
      <w:r>
        <w:t>Any m</w:t>
      </w:r>
      <w:r w:rsidR="00FC3DBF">
        <w:t xml:space="preserve">arketing activities at </w:t>
      </w:r>
      <w:r>
        <w:t>the e</w:t>
      </w:r>
      <w:r w:rsidR="00FC3DBF">
        <w:t xml:space="preserve">nrollment </w:t>
      </w:r>
      <w:r>
        <w:t>e</w:t>
      </w:r>
      <w:r w:rsidR="00FC3DBF">
        <w:t>vent</w:t>
      </w:r>
      <w:r>
        <w:t>s</w:t>
      </w:r>
      <w:r w:rsidR="00FC3DBF">
        <w:t xml:space="preserve"> where participation is mandat</w:t>
      </w:r>
      <w:r>
        <w:t>ory</w:t>
      </w:r>
      <w:r w:rsidR="00FC3DBF">
        <w:t>.</w:t>
      </w:r>
    </w:p>
    <w:p w14:paraId="36E96971" w14:textId="45DEF67B" w:rsidR="00AA27F4" w:rsidRDefault="00FC3DBF" w:rsidP="00257641">
      <w:pPr>
        <w:pStyle w:val="bullet1"/>
        <w:spacing w:after="240"/>
      </w:pPr>
      <w:r>
        <w:t xml:space="preserve">Any other personal contact with a potential </w:t>
      </w:r>
      <w:r w:rsidR="003874FC">
        <w:t xml:space="preserve">enrollee </w:t>
      </w:r>
      <w:r>
        <w:t xml:space="preserve">if the potential </w:t>
      </w:r>
      <w:r w:rsidR="003874FC">
        <w:t xml:space="preserve">enrollee </w:t>
      </w:r>
      <w:r>
        <w:t>has not initiated the contact with the MCO.</w:t>
      </w:r>
    </w:p>
    <w:p w14:paraId="337EEC3E" w14:textId="77777777" w:rsidR="00176E2A" w:rsidRPr="00DF1D1C" w:rsidRDefault="00176E2A" w:rsidP="00257641">
      <w:r w:rsidRPr="00DD729F">
        <w:rPr>
          <w:u w:val="single"/>
        </w:rPr>
        <w:t xml:space="preserve">Common </w:t>
      </w:r>
      <w:r w:rsidR="00C3267A">
        <w:rPr>
          <w:u w:val="single"/>
        </w:rPr>
        <w:t>A</w:t>
      </w:r>
      <w:r w:rsidRPr="00DD729F">
        <w:rPr>
          <w:u w:val="single"/>
        </w:rPr>
        <w:t>rea</w:t>
      </w:r>
      <w:r w:rsidR="00077664" w:rsidRPr="00DD729F">
        <w:rPr>
          <w:u w:val="single"/>
        </w:rPr>
        <w:t xml:space="preserve"> (Marketing)</w:t>
      </w:r>
      <w:r w:rsidR="00DD729F">
        <w:t xml:space="preserve"> </w:t>
      </w:r>
      <w:r>
        <w:t>– a</w:t>
      </w:r>
      <w:r w:rsidRPr="00176E2A">
        <w:t>ny area in a provider’s facilities that is accessible</w:t>
      </w:r>
      <w:r>
        <w:t xml:space="preserve"> to the general public. Common a</w:t>
      </w:r>
      <w:r w:rsidRPr="00176E2A">
        <w:t>reas include, without limitation: reception areas, waiting rooms, hallways, etc.</w:t>
      </w:r>
    </w:p>
    <w:p w14:paraId="2739D859" w14:textId="77777777" w:rsidR="0071482A" w:rsidRDefault="0071482A" w:rsidP="00257641">
      <w:r w:rsidRPr="00DF1D1C">
        <w:rPr>
          <w:u w:val="single"/>
        </w:rPr>
        <w:t>Complaint</w:t>
      </w:r>
      <w:r w:rsidRPr="00203E0A">
        <w:t xml:space="preserve"> </w:t>
      </w:r>
      <w:r w:rsidRPr="00DF1D1C">
        <w:t xml:space="preserve">– </w:t>
      </w:r>
      <w:r w:rsidR="00AA27F4" w:rsidRPr="00DF1D1C">
        <w:t>an expression of dissatisfaction made about an MCO decision or services received from the MCO when an informal grievance is filed; some complaints may be subject to appeal.</w:t>
      </w:r>
    </w:p>
    <w:p w14:paraId="712D8F4B" w14:textId="68E2B507" w:rsidR="00E94E10" w:rsidRDefault="00CD4383" w:rsidP="00257641">
      <w:r w:rsidRPr="00DF1D1C">
        <w:rPr>
          <w:u w:val="single"/>
        </w:rPr>
        <w:lastRenderedPageBreak/>
        <w:t>Consultant/Consultant Affiliates</w:t>
      </w:r>
      <w:r w:rsidR="00F85A1C" w:rsidRPr="00DF1D1C">
        <w:t xml:space="preserve"> – </w:t>
      </w:r>
      <w:r w:rsidRPr="00DF1D1C">
        <w:t>any corporation, company, organization</w:t>
      </w:r>
      <w:r w:rsidR="0013569B" w:rsidRPr="00DF1D1C">
        <w:t>,</w:t>
      </w:r>
      <w:r w:rsidRPr="00DF1D1C">
        <w:t xml:space="preserve"> or person or their affiliates retained by the Department to provide assistance in this project or any other project; not the </w:t>
      </w:r>
      <w:r w:rsidR="00497A97">
        <w:t>MCO</w:t>
      </w:r>
      <w:r w:rsidRPr="00DF1D1C">
        <w:t xml:space="preserve"> or </w:t>
      </w:r>
      <w:r w:rsidR="00642406">
        <w:t>S</w:t>
      </w:r>
      <w:r w:rsidRPr="00DF1D1C">
        <w:t>ubcontractor.</w:t>
      </w:r>
    </w:p>
    <w:p w14:paraId="2ADB8134" w14:textId="15A2A853" w:rsidR="004862DC" w:rsidRPr="004862DC" w:rsidRDefault="004862DC" w:rsidP="00257641">
      <w:r w:rsidRPr="006E61D4">
        <w:rPr>
          <w:u w:val="single"/>
        </w:rPr>
        <w:t>Consumer Assessment of Healthcare Providers and Systems (CAHPS)</w:t>
      </w:r>
      <w:r w:rsidRPr="004862DC">
        <w:t xml:space="preserve"> – a</w:t>
      </w:r>
      <w:r w:rsidR="003874FC">
        <w:t>n</w:t>
      </w:r>
      <w:r w:rsidRPr="004862DC">
        <w:t xml:space="preserve"> </w:t>
      </w:r>
      <w:r w:rsidR="003874FC">
        <w:t>enrollee</w:t>
      </w:r>
      <w:r w:rsidR="003874FC" w:rsidRPr="004862DC">
        <w:t xml:space="preserve"> </w:t>
      </w:r>
      <w:r w:rsidRPr="004862DC">
        <w:t xml:space="preserve">survey program of AHRQ measure patient experience with health plans, providers, and health care facilities. This survey is conducted annually by the </w:t>
      </w:r>
      <w:r w:rsidR="004F097D">
        <w:t>MCO and results are</w:t>
      </w:r>
      <w:r w:rsidR="004F097D" w:rsidRPr="004F097D">
        <w:t xml:space="preserve"> </w:t>
      </w:r>
      <w:r w:rsidR="004F097D">
        <w:t xml:space="preserve">submitted to the </w:t>
      </w:r>
      <w:r w:rsidR="00641793" w:rsidRPr="00203E0A">
        <w:t>External Quality Review Organization (</w:t>
      </w:r>
      <w:r w:rsidRPr="004862DC">
        <w:t>EQRO</w:t>
      </w:r>
      <w:r w:rsidR="00641793">
        <w:t>)</w:t>
      </w:r>
      <w:r w:rsidRPr="004862DC">
        <w:t>.</w:t>
      </w:r>
    </w:p>
    <w:p w14:paraId="2C99FF15" w14:textId="1C203140" w:rsidR="004862DC" w:rsidRDefault="004862DC" w:rsidP="00257641">
      <w:r w:rsidRPr="006E61D4">
        <w:rPr>
          <w:u w:val="single"/>
        </w:rPr>
        <w:t>Co-payment</w:t>
      </w:r>
      <w:r w:rsidRPr="004862DC">
        <w:t xml:space="preserve"> – a required payment made by an MCO </w:t>
      </w:r>
      <w:r w:rsidR="003874FC">
        <w:t>enrollee</w:t>
      </w:r>
      <w:r w:rsidR="003874FC" w:rsidRPr="004862DC">
        <w:t xml:space="preserve"> </w:t>
      </w:r>
      <w:r w:rsidRPr="004862DC">
        <w:t>for certain covered services or medical supplies in addition to a payment made by the MCO for that same covered service or medical supply.</w:t>
      </w:r>
    </w:p>
    <w:p w14:paraId="7BDF1C97" w14:textId="77777777" w:rsidR="001517F1" w:rsidRDefault="00F24470" w:rsidP="00257641">
      <w:r w:rsidRPr="00F24470">
        <w:rPr>
          <w:u w:val="single"/>
        </w:rPr>
        <w:t>Corrective Action</w:t>
      </w:r>
      <w:r w:rsidRPr="00F24470">
        <w:t xml:space="preserve"> – an improvement in a business process that may be required by the Department to correct or resolve a deficiency in the MCO’s processes or actions.</w:t>
      </w:r>
    </w:p>
    <w:p w14:paraId="64BCB3C3" w14:textId="67F1188D" w:rsidR="00DC1A07" w:rsidRPr="002E29D6" w:rsidRDefault="00DC1A07" w:rsidP="00257641">
      <w:r w:rsidRPr="002E29D6">
        <w:rPr>
          <w:u w:val="single"/>
        </w:rPr>
        <w:t>Corrective Action Plan</w:t>
      </w:r>
      <w:r w:rsidR="00AC350C">
        <w:rPr>
          <w:u w:val="single"/>
        </w:rPr>
        <w:t xml:space="preserve"> (CAP)</w:t>
      </w:r>
      <w:r w:rsidRPr="002E29D6">
        <w:t xml:space="preserve"> – a detailed written plan that may be required by the Department to correct or resolve a deficiency in the MCO’s processes or actions.</w:t>
      </w:r>
    </w:p>
    <w:p w14:paraId="36493B19" w14:textId="1A0E2777" w:rsidR="007241FD" w:rsidRDefault="007241FD" w:rsidP="00257641">
      <w:r w:rsidRPr="007241FD">
        <w:rPr>
          <w:u w:val="single"/>
        </w:rPr>
        <w:t>Cost-Sharing</w:t>
      </w:r>
      <w:r w:rsidR="006507E0">
        <w:t xml:space="preserve"> – </w:t>
      </w:r>
      <w:r w:rsidR="007B2BA4">
        <w:t>c</w:t>
      </w:r>
      <w:r w:rsidRPr="009A3507">
        <w:t xml:space="preserve">opays that the MCO enrollee is billed at the time of service. Copays are determined by the Department based on the </w:t>
      </w:r>
      <w:r w:rsidR="003874FC">
        <w:t>enrollee</w:t>
      </w:r>
      <w:r w:rsidR="003874FC" w:rsidRPr="009A3507">
        <w:t xml:space="preserve">’s </w:t>
      </w:r>
      <w:r w:rsidRPr="009A3507">
        <w:t>famil</w:t>
      </w:r>
      <w:r w:rsidR="00F13843">
        <w:t>y income. There are no premiums</w:t>
      </w:r>
      <w:r w:rsidRPr="009A3507">
        <w:t xml:space="preserve"> </w:t>
      </w:r>
      <w:r w:rsidR="00F13843">
        <w:t xml:space="preserve">or </w:t>
      </w:r>
      <w:r w:rsidRPr="009A3507">
        <w:t>deductibles under the West Virginia Medicaid program.</w:t>
      </w:r>
    </w:p>
    <w:p w14:paraId="13598430" w14:textId="2C0CB116" w:rsidR="004862DC" w:rsidRDefault="004862DC" w:rsidP="00257641">
      <w:r w:rsidRPr="00041AA6">
        <w:rPr>
          <w:u w:val="single"/>
        </w:rPr>
        <w:t>Covered Services (Contract Services)</w:t>
      </w:r>
      <w:r w:rsidR="006507E0">
        <w:t xml:space="preserve"> – </w:t>
      </w:r>
      <w:r w:rsidRPr="004862DC">
        <w:t xml:space="preserve">health care services the MCO must arrange to provide to Medicaid </w:t>
      </w:r>
      <w:r w:rsidR="003874FC">
        <w:t>enrollee</w:t>
      </w:r>
      <w:r w:rsidR="003874FC" w:rsidRPr="004862DC">
        <w:t>s</w:t>
      </w:r>
      <w:r w:rsidRPr="004862DC">
        <w:t>, including all services required by this Contract and state and federal law, and all Value-Added Services negotiated by the MCO and the Department.</w:t>
      </w:r>
    </w:p>
    <w:p w14:paraId="326D0034" w14:textId="2DDA337D" w:rsidR="00AA2A0B" w:rsidRDefault="00AA2A0B" w:rsidP="00257641">
      <w:r w:rsidRPr="00DF1D1C">
        <w:rPr>
          <w:u w:val="single"/>
        </w:rPr>
        <w:t>Day</w:t>
      </w:r>
      <w:r w:rsidRPr="00DF1D1C">
        <w:t xml:space="preserve"> – </w:t>
      </w:r>
      <w:r w:rsidR="007B2BA4">
        <w:t>e</w:t>
      </w:r>
      <w:r w:rsidRPr="00DF1D1C">
        <w:t>xcept where the term “</w:t>
      </w:r>
      <w:r w:rsidR="00F3479E">
        <w:t>business</w:t>
      </w:r>
      <w:r w:rsidR="00F3479E" w:rsidRPr="00DF1D1C">
        <w:t xml:space="preserve"> </w:t>
      </w:r>
      <w:r w:rsidRPr="00DF1D1C">
        <w:t>days” is expressl</w:t>
      </w:r>
      <w:r w:rsidR="004F4CD7">
        <w:t xml:space="preserve">y used, all references in this </w:t>
      </w:r>
      <w:r w:rsidR="009B19C2">
        <w:t xml:space="preserve">Contract </w:t>
      </w:r>
      <w:r w:rsidRPr="00DF1D1C">
        <w:t>will</w:t>
      </w:r>
      <w:r>
        <w:t xml:space="preserve"> be construed as calendar days.</w:t>
      </w:r>
    </w:p>
    <w:p w14:paraId="1AADA7BB" w14:textId="623BD6D2" w:rsidR="0006114C" w:rsidRDefault="0006114C" w:rsidP="00257641">
      <w:r w:rsidRPr="00C43612">
        <w:rPr>
          <w:u w:val="single"/>
        </w:rPr>
        <w:t>Default Enrollment (Assignment)</w:t>
      </w:r>
      <w:r>
        <w:t xml:space="preserve"> </w:t>
      </w:r>
      <w:r w:rsidR="002425EF">
        <w:t>–</w:t>
      </w:r>
      <w:r w:rsidRPr="0006114C">
        <w:t xml:space="preserve"> </w:t>
      </w:r>
      <w:r w:rsidR="002425EF">
        <w:t xml:space="preserve">a </w:t>
      </w:r>
      <w:r w:rsidRPr="0006114C">
        <w:t xml:space="preserve">process established by </w:t>
      </w:r>
      <w:r>
        <w:t>the Department through the CMS waiver authority</w:t>
      </w:r>
      <w:r w:rsidRPr="0006114C">
        <w:t xml:space="preserve"> to assign an enrollee who has not selected an MCO to an MCO.</w:t>
      </w:r>
    </w:p>
    <w:p w14:paraId="1308666F" w14:textId="37BB6AB0" w:rsidR="00CD4383" w:rsidRDefault="00CD4383" w:rsidP="00257641">
      <w:r w:rsidRPr="00DF1D1C">
        <w:rPr>
          <w:u w:val="single"/>
        </w:rPr>
        <w:t>Department</w:t>
      </w:r>
      <w:r w:rsidR="00DE331A" w:rsidRPr="00203E0A">
        <w:t xml:space="preserve"> </w:t>
      </w:r>
      <w:r w:rsidR="00F85A1C" w:rsidRPr="00DF1D1C">
        <w:t xml:space="preserve">– </w:t>
      </w:r>
      <w:r w:rsidRPr="00DF1D1C">
        <w:t xml:space="preserve">the </w:t>
      </w:r>
      <w:r w:rsidR="00CA5ACA">
        <w:t xml:space="preserve">West Virginia </w:t>
      </w:r>
      <w:r w:rsidRPr="00DF1D1C">
        <w:t>Department of Health and Human Resources</w:t>
      </w:r>
      <w:r w:rsidR="004862DC">
        <w:t xml:space="preserve"> (DHHR)</w:t>
      </w:r>
      <w:r w:rsidRPr="00DF1D1C">
        <w:t>.</w:t>
      </w:r>
    </w:p>
    <w:p w14:paraId="1A745FC7" w14:textId="77777777" w:rsidR="00EA0462" w:rsidRDefault="004862DC" w:rsidP="00257641">
      <w:r w:rsidRPr="006E61D4">
        <w:rPr>
          <w:u w:val="single"/>
        </w:rPr>
        <w:t>Department of Administration (DOA) Purchasing Division</w:t>
      </w:r>
      <w:r w:rsidRPr="004862DC">
        <w:t xml:space="preserve"> – the West Virginia agency responsible for the timely, responsive, and efficient procurement of goods and services for state government.</w:t>
      </w:r>
      <w:r>
        <w:t xml:space="preserve"> </w:t>
      </w:r>
    </w:p>
    <w:p w14:paraId="444E7E53" w14:textId="3C58CC9E" w:rsidR="00CD4383" w:rsidRDefault="00C941B6" w:rsidP="00257641">
      <w:r w:rsidRPr="00203E0A">
        <w:rPr>
          <w:u w:val="single"/>
        </w:rPr>
        <w:t>Department of Health and Human Services (</w:t>
      </w:r>
      <w:r w:rsidR="00CD4383" w:rsidRPr="00203E0A">
        <w:rPr>
          <w:u w:val="single"/>
        </w:rPr>
        <w:t>DHHS</w:t>
      </w:r>
      <w:r w:rsidRPr="00203E0A">
        <w:rPr>
          <w:u w:val="single"/>
        </w:rPr>
        <w:t>)</w:t>
      </w:r>
      <w:r w:rsidR="00F85A1C" w:rsidRPr="00DF1D1C">
        <w:t xml:space="preserve"> – </w:t>
      </w:r>
      <w:r w:rsidR="00CD4383" w:rsidRPr="00DF1D1C">
        <w:t xml:space="preserve">the </w:t>
      </w:r>
      <w:r w:rsidR="00256690">
        <w:t>federal department</w:t>
      </w:r>
      <w:r w:rsidR="00256690" w:rsidRPr="00256690">
        <w:t xml:space="preserve"> </w:t>
      </w:r>
      <w:r w:rsidR="004862DC">
        <w:t>dedicated to enhancing</w:t>
      </w:r>
      <w:r w:rsidR="004862DC" w:rsidRPr="00A0256E">
        <w:t xml:space="preserve"> and protect</w:t>
      </w:r>
      <w:r w:rsidR="004862DC">
        <w:t>ing</w:t>
      </w:r>
      <w:r w:rsidR="004862DC" w:rsidRPr="00A0256E">
        <w:t xml:space="preserve"> the health and well-being of all Americans by providing for effective health and human services and fostering advances in medicine, public health, and social services</w:t>
      </w:r>
      <w:r w:rsidR="004862DC">
        <w:t xml:space="preserve">. It </w:t>
      </w:r>
      <w:r w:rsidR="00256690">
        <w:t>oversees CMS</w:t>
      </w:r>
      <w:r w:rsidR="00F152BD">
        <w:t>\</w:t>
      </w:r>
      <w:r w:rsidR="00256690">
        <w:t>and ACF federal agencies.</w:t>
      </w:r>
    </w:p>
    <w:p w14:paraId="1251135E" w14:textId="7DF25CF3" w:rsidR="001B5FEE" w:rsidRDefault="001B5FEE" w:rsidP="00257641">
      <w:r w:rsidRPr="00DD729F">
        <w:rPr>
          <w:u w:val="single"/>
        </w:rPr>
        <w:t>Direct Mail Marketing</w:t>
      </w:r>
      <w:r>
        <w:t xml:space="preserve"> – a</w:t>
      </w:r>
      <w:r w:rsidRPr="001B5FEE">
        <w:t>ny materials sent to potentia</w:t>
      </w:r>
      <w:r>
        <w:t xml:space="preserve">l </w:t>
      </w:r>
      <w:r w:rsidR="003874FC">
        <w:t xml:space="preserve">enrollees </w:t>
      </w:r>
      <w:r>
        <w:t>by the MCOs or their a</w:t>
      </w:r>
      <w:r w:rsidRPr="001B5FEE">
        <w:t>gents through U.S. mail or any other direct</w:t>
      </w:r>
      <w:r w:rsidR="00E92E5F">
        <w:t xml:space="preserve"> or </w:t>
      </w:r>
      <w:r w:rsidRPr="001B5FEE">
        <w:t>indirect delivery method.</w:t>
      </w:r>
      <w:r w:rsidR="00F13B42">
        <w:t xml:space="preserve"> </w:t>
      </w:r>
    </w:p>
    <w:p w14:paraId="5E7E0077" w14:textId="35AEA7E2" w:rsidR="004862DC" w:rsidRDefault="004862DC" w:rsidP="00257641">
      <w:r w:rsidRPr="00041AA6">
        <w:rPr>
          <w:u w:val="single"/>
        </w:rPr>
        <w:lastRenderedPageBreak/>
        <w:t>Disability</w:t>
      </w:r>
      <w:r w:rsidR="006507E0">
        <w:t xml:space="preserve"> – </w:t>
      </w:r>
      <w:r w:rsidRPr="004862DC">
        <w:t>a physical or mental impairment that substantially limits one (1) or more of an individual’s major life activities, such as caring for oneself, performing manual tasks, walking, seeing, hearing, speaking, breathing, learning, and/or working.</w:t>
      </w:r>
    </w:p>
    <w:p w14:paraId="4B60AF20" w14:textId="05E0805E" w:rsidR="003E0706" w:rsidRDefault="003E0706" w:rsidP="00257641">
      <w:r w:rsidRPr="00A66DC9">
        <w:rPr>
          <w:u w:val="single"/>
        </w:rPr>
        <w:t>Disabled Person or Person with Disability</w:t>
      </w:r>
      <w:r w:rsidR="006507E0">
        <w:t xml:space="preserve"> – </w:t>
      </w:r>
      <w:r w:rsidRPr="003E0706">
        <w:t xml:space="preserve">a person under </w:t>
      </w:r>
      <w:r w:rsidR="00390F58">
        <w:t>sixty-five (</w:t>
      </w:r>
      <w:r w:rsidRPr="003E0706">
        <w:t>65</w:t>
      </w:r>
      <w:r w:rsidR="00390F58">
        <w:t>)</w:t>
      </w:r>
      <w:r w:rsidRPr="003E0706">
        <w:t xml:space="preserve"> years of age, including a child, who qualifies for Medicaid services because of a disability.</w:t>
      </w:r>
    </w:p>
    <w:p w14:paraId="2CE81767" w14:textId="55E4CCD0" w:rsidR="004862DC" w:rsidRDefault="004862DC" w:rsidP="00257641">
      <w:r w:rsidRPr="00041AA6">
        <w:rPr>
          <w:u w:val="single"/>
        </w:rPr>
        <w:t>Durable Medical Equipment (DME)</w:t>
      </w:r>
      <w:r w:rsidRPr="004862DC">
        <w:t xml:space="preserve"> – certain medical equipment or supplies a provider orders for a</w:t>
      </w:r>
      <w:r w:rsidR="003874FC">
        <w:t>n</w:t>
      </w:r>
      <w:r w:rsidRPr="004862DC">
        <w:t xml:space="preserve"> </w:t>
      </w:r>
      <w:r w:rsidR="003874FC">
        <w:t>enrollee</w:t>
      </w:r>
      <w:r w:rsidR="003874FC" w:rsidRPr="004862DC">
        <w:t xml:space="preserve">’s </w:t>
      </w:r>
      <w:r w:rsidRPr="004862DC">
        <w:t>use such as wheelchairs, crutches, diabetic supplies, hospital beds, oxygen equipment and supplies, nebulizers, and walkers.</w:t>
      </w:r>
    </w:p>
    <w:p w14:paraId="2AF76AAC" w14:textId="45922F30" w:rsidR="003709C0" w:rsidRDefault="003709C0" w:rsidP="00257641">
      <w:r w:rsidRPr="00DF1D1C">
        <w:rPr>
          <w:u w:val="single"/>
        </w:rPr>
        <w:t>Early and Periodic Screening, Diagnosis, and Treatment (EPSDT)</w:t>
      </w:r>
      <w:r w:rsidR="009622B6">
        <w:t xml:space="preserve"> – M</w:t>
      </w:r>
      <w:r w:rsidRPr="00DF1D1C">
        <w:t>edic</w:t>
      </w:r>
      <w:r w:rsidR="009622B6">
        <w:t>ally N</w:t>
      </w:r>
      <w:r w:rsidRPr="00DF1D1C">
        <w:t xml:space="preserve">ecessary services, including interperiodic and </w:t>
      </w:r>
      <w:r w:rsidR="005A0F48">
        <w:t>periodic screenings, listed in S</w:t>
      </w:r>
      <w:r w:rsidRPr="00DF1D1C">
        <w:t xml:space="preserve">ection 1905(a) of the Social Security Act. </w:t>
      </w:r>
      <w:r w:rsidR="005A0F48" w:rsidRPr="00A5615D">
        <w:t xml:space="preserve">EPSDT entitles </w:t>
      </w:r>
      <w:r w:rsidR="005A0F48">
        <w:t xml:space="preserve">Medicaid-eligible </w:t>
      </w:r>
      <w:r w:rsidR="005A0F48" w:rsidRPr="00A5615D">
        <w:t>infants, children</w:t>
      </w:r>
      <w:r w:rsidR="00EB2194">
        <w:t>,</w:t>
      </w:r>
      <w:r w:rsidR="005A0F48" w:rsidRPr="00A5615D">
        <w:t xml:space="preserve"> and </w:t>
      </w:r>
      <w:r w:rsidR="00B1357F">
        <w:t xml:space="preserve">and other Medicaid enrollees </w:t>
      </w:r>
      <w:r w:rsidR="005A0F48" w:rsidRPr="00A5615D">
        <w:t xml:space="preserve"> </w:t>
      </w:r>
      <w:r w:rsidR="00810552">
        <w:t xml:space="preserve">under age </w:t>
      </w:r>
      <w:r w:rsidR="007257D9">
        <w:t>twenty-one (</w:t>
      </w:r>
      <w:r w:rsidR="00810552">
        <w:t>21</w:t>
      </w:r>
      <w:r w:rsidR="007257D9">
        <w:t>)</w:t>
      </w:r>
      <w:r w:rsidR="00810552">
        <w:t xml:space="preserve"> </w:t>
      </w:r>
      <w:r w:rsidR="005A0F48" w:rsidRPr="00A5615D">
        <w:t xml:space="preserve">to any treatment or procedure that fits within any of the categories of Medicaid-covered services listed in Section 1905(a) of the </w:t>
      </w:r>
      <w:r w:rsidR="005A0F48">
        <w:t xml:space="preserve">Social Security </w:t>
      </w:r>
      <w:r w:rsidR="005A0F48" w:rsidRPr="00A5615D">
        <w:t>Act if that treatment or service is necessary to “correct or ameliorate” defects and physical and mental illnesses or conditions</w:t>
      </w:r>
      <w:r w:rsidR="005A0F48">
        <w:t>.</w:t>
      </w:r>
      <w:r w:rsidR="005A0F48">
        <w:rPr>
          <w:rStyle w:val="FootnoteReference"/>
        </w:rPr>
        <w:footnoteReference w:id="1"/>
      </w:r>
    </w:p>
    <w:p w14:paraId="70C40DF1" w14:textId="5603DA02" w:rsidR="0071482A" w:rsidRDefault="0071482A" w:rsidP="00257641">
      <w:r w:rsidRPr="00DF1D1C">
        <w:rPr>
          <w:u w:val="single"/>
        </w:rPr>
        <w:t>Emergency Care</w:t>
      </w:r>
      <w:r w:rsidR="00F85A1C" w:rsidRPr="00DF1D1C">
        <w:t xml:space="preserve"> – </w:t>
      </w:r>
      <w:r w:rsidRPr="00DF1D1C">
        <w:t xml:space="preserve">includes inpatient and outpatient services needed immediately and provided by a qualified Medicaid provider for </w:t>
      </w:r>
      <w:r w:rsidR="00D3035C" w:rsidRPr="00DF1D1C">
        <w:t>emergency medical</w:t>
      </w:r>
      <w:r w:rsidR="0073457D">
        <w:t>, behavioral health,</w:t>
      </w:r>
      <w:r w:rsidR="00D3035C" w:rsidRPr="00DF1D1C">
        <w:t xml:space="preserve"> </w:t>
      </w:r>
      <w:r w:rsidR="007241FD">
        <w:t xml:space="preserve">or dental </w:t>
      </w:r>
      <w:r w:rsidRPr="00DF1D1C">
        <w:t>conditions where the presenting symptoms are of sufficient severity that a person with average knowledge of health and medicine would r</w:t>
      </w:r>
      <w:r w:rsidR="001D0C14">
        <w:t>easonably expect the absence of</w:t>
      </w:r>
      <w:r w:rsidR="00737F8F">
        <w:t xml:space="preserve"> </w:t>
      </w:r>
      <w:r w:rsidRPr="00DF1D1C">
        <w:t>immediate medical attention to result in placing their health or the health of an unborn child in immediate jeopardy, serious impairment of bodily functions, or serious dysfunction o</w:t>
      </w:r>
      <w:r w:rsidR="009A0060" w:rsidRPr="00DF1D1C">
        <w:t>f any bodily organ or part; and</w:t>
      </w:r>
      <w:r w:rsidR="0013569B" w:rsidRPr="00DF1D1C">
        <w:t xml:space="preserve"> t</w:t>
      </w:r>
      <w:r w:rsidRPr="00DF1D1C">
        <w:t xml:space="preserve">hat </w:t>
      </w:r>
      <w:r w:rsidR="009A0060" w:rsidRPr="00DF1D1C">
        <w:t xml:space="preserve">are </w:t>
      </w:r>
      <w:r w:rsidRPr="00DF1D1C">
        <w:t>needed to evaluate or stabilize an emergency medical condition</w:t>
      </w:r>
      <w:r w:rsidR="0078080B" w:rsidRPr="00DF1D1C">
        <w:t xml:space="preserve">. </w:t>
      </w:r>
      <w:r w:rsidRPr="00DF1D1C">
        <w:t xml:space="preserve">These include accidental injury and poison related problems and complaints that may be indicative of serious, life threatening medical problems, </w:t>
      </w:r>
      <w:r w:rsidR="0013569B" w:rsidRPr="00DF1D1C">
        <w:t>such as</w:t>
      </w:r>
      <w:r w:rsidRPr="00DF1D1C">
        <w:t xml:space="preserve"> chest or abdominal pain, difficulty breathing or swallowing, or loss of consciousness</w:t>
      </w:r>
      <w:r w:rsidR="0078080B" w:rsidRPr="00DF1D1C">
        <w:t xml:space="preserve">. </w:t>
      </w:r>
      <w:r w:rsidRPr="00DF1D1C">
        <w:t>If the patient presents at the hospital emergency department and requests an examination, a nurse triage screening is always allowed.</w:t>
      </w:r>
      <w:r w:rsidR="0073457D">
        <w:t xml:space="preserve"> </w:t>
      </w:r>
      <w:r w:rsidR="0073457D" w:rsidRPr="0073457D">
        <w:t>In the case of behavioral health services, emergency care means those clinical, rehabilitative, or supportive behavioral health services provided for behavioral health conditions or disorders for which a prudent layperson with an average knowledge of health and medicine, could reasonably expect to result in risk of danger to a person’s self or others if not immediately treated.</w:t>
      </w:r>
      <w:r w:rsidR="002425EF">
        <w:t xml:space="preserve"> </w:t>
      </w:r>
      <w:r w:rsidR="0073457D" w:rsidRPr="0073457D">
        <w:t>These include, but are not limited to, crisis stabilization treatment services.</w:t>
      </w:r>
      <w:r w:rsidR="0073457D">
        <w:t xml:space="preserve"> </w:t>
      </w:r>
    </w:p>
    <w:p w14:paraId="2C57BF01" w14:textId="0BE4E807" w:rsidR="007241FD" w:rsidRPr="00DF1D1C" w:rsidRDefault="007241FD" w:rsidP="00257641">
      <w:r w:rsidRPr="00AB742E">
        <w:rPr>
          <w:u w:val="single"/>
        </w:rPr>
        <w:t>Emergency Dental Condition</w:t>
      </w:r>
      <w:r w:rsidR="006507E0">
        <w:t xml:space="preserve"> – </w:t>
      </w:r>
      <w:r w:rsidR="007B2BA4">
        <w:t>a</w:t>
      </w:r>
      <w:r w:rsidRPr="007241FD">
        <w:t xml:space="preserve"> dental or oral condition, without regard to the nature or cause of the condition, which in the opinion of a prudent layperson possessing an average knowledge of health and medicine requires immediate servi</w:t>
      </w:r>
      <w:r w:rsidRPr="001F16C3">
        <w:t>ces for relief of symptoms and stabilization of the condition; such conditions may include severe pain, hemorrhage, acute infection, traumatic injury to the teeth and surrounding tissue, or unusual swelling of the face or gums.</w:t>
      </w:r>
    </w:p>
    <w:p w14:paraId="3D4744EF" w14:textId="77777777" w:rsidR="002425EF" w:rsidRDefault="0071482A" w:rsidP="00257641">
      <w:r w:rsidRPr="00DF1D1C">
        <w:rPr>
          <w:u w:val="single"/>
        </w:rPr>
        <w:t>Emergency Medical Condition</w:t>
      </w:r>
      <w:r w:rsidRPr="00DF1D1C">
        <w:t xml:space="preserve"> – conditions where the presenting symptoms are of sufficient severity that a person with average knowledge of health and medicine would reasonably expect the absence of immediate medical attention to result in placing the individual</w:t>
      </w:r>
      <w:r w:rsidR="00FA1C0C" w:rsidRPr="00DF1D1C">
        <w:t>’</w:t>
      </w:r>
      <w:r w:rsidRPr="00DF1D1C">
        <w:t xml:space="preserve">s health or the </w:t>
      </w:r>
      <w:r w:rsidRPr="00DF1D1C">
        <w:lastRenderedPageBreak/>
        <w:t>health of an unborn child in immediate jeopardy, serious impairment of bodily functions, or serious dysfunction of any bodily organ or part.</w:t>
      </w:r>
      <w:r w:rsidR="00D3035C" w:rsidRPr="00DF1D1C">
        <w:t xml:space="preserve"> </w:t>
      </w:r>
    </w:p>
    <w:p w14:paraId="5F70406C" w14:textId="77777777" w:rsidR="004862DC" w:rsidRDefault="004862DC" w:rsidP="00257641">
      <w:r w:rsidRPr="00041AA6">
        <w:rPr>
          <w:u w:val="single"/>
        </w:rPr>
        <w:t>Emergency Medical Transportation</w:t>
      </w:r>
      <w:r>
        <w:t xml:space="preserve"> – ambulance services for an emergency medical condition.</w:t>
      </w:r>
    </w:p>
    <w:p w14:paraId="70646086" w14:textId="0A3C2D57" w:rsidR="004862DC" w:rsidRDefault="004862DC" w:rsidP="00257641">
      <w:r w:rsidRPr="00041AA6">
        <w:rPr>
          <w:u w:val="single"/>
        </w:rPr>
        <w:t>Emergency Room Care</w:t>
      </w:r>
      <w:r>
        <w:t xml:space="preserve"> – emergency services a</w:t>
      </w:r>
      <w:r w:rsidR="00DF28D8">
        <w:t>n</w:t>
      </w:r>
      <w:r>
        <w:t xml:space="preserve"> </w:t>
      </w:r>
      <w:r w:rsidR="00DF28D8">
        <w:t xml:space="preserve">enrollee </w:t>
      </w:r>
      <w:r>
        <w:t>receives in an emergency room.</w:t>
      </w:r>
    </w:p>
    <w:p w14:paraId="37BBC2A9" w14:textId="55D7E718" w:rsidR="004862DC" w:rsidRDefault="004862DC" w:rsidP="00257641">
      <w:r w:rsidRPr="00041AA6">
        <w:rPr>
          <w:u w:val="single"/>
        </w:rPr>
        <w:t>Emergency Services</w:t>
      </w:r>
      <w:r>
        <w:t xml:space="preserve"> – covered inpatient and outpatient services that are: given by a qualified provider; and are needed to evaluate or stabilize an emergency medical condition.</w:t>
      </w:r>
    </w:p>
    <w:p w14:paraId="722C47CF" w14:textId="77777777" w:rsidR="00CD4383" w:rsidRPr="00DF1D1C" w:rsidRDefault="00CD4383" w:rsidP="00257641">
      <w:r w:rsidRPr="00DF1D1C">
        <w:rPr>
          <w:u w:val="single"/>
        </w:rPr>
        <w:t>Encounter Data</w:t>
      </w:r>
      <w:r w:rsidR="00F85A1C" w:rsidRPr="00DF1D1C">
        <w:t xml:space="preserve"> – </w:t>
      </w:r>
      <w:r w:rsidRPr="00DF1D1C">
        <w:t xml:space="preserve">procedure-level data on each contact between an enrolled individual and the health care system for a health care service or set of services included in </w:t>
      </w:r>
      <w:r w:rsidR="004F4CD7">
        <w:t>the covered services under the C</w:t>
      </w:r>
      <w:r w:rsidRPr="00DF1D1C">
        <w:t>ontract.</w:t>
      </w:r>
    </w:p>
    <w:p w14:paraId="27CBB8E0" w14:textId="4D7D25FC" w:rsidR="005655CE" w:rsidRDefault="00CD4383" w:rsidP="00257641">
      <w:r w:rsidRPr="00DF1D1C">
        <w:rPr>
          <w:u w:val="single"/>
        </w:rPr>
        <w:t>Enrollee</w:t>
      </w:r>
      <w:r w:rsidR="00F85A1C" w:rsidRPr="00DF1D1C">
        <w:t xml:space="preserve"> – </w:t>
      </w:r>
      <w:r w:rsidRPr="00DF1D1C">
        <w:t>a recipient</w:t>
      </w:r>
      <w:r w:rsidR="00831234">
        <w:t>/member</w:t>
      </w:r>
      <w:r w:rsidRPr="00DF1D1C">
        <w:t xml:space="preserve"> who has been certified by the State as</w:t>
      </w:r>
      <w:r w:rsidR="004F4CD7">
        <w:t xml:space="preserve"> eligible to enroll under this C</w:t>
      </w:r>
      <w:r w:rsidRPr="00DF1D1C">
        <w:t xml:space="preserve">ontract, and whose name appears on the </w:t>
      </w:r>
      <w:r w:rsidR="00497A97">
        <w:t>MCO</w:t>
      </w:r>
      <w:r w:rsidRPr="00DF1D1C">
        <w:t xml:space="preserve"> enrollment information which the Department will transmit to the </w:t>
      </w:r>
      <w:r w:rsidR="00497A97">
        <w:t>MCO</w:t>
      </w:r>
      <w:r w:rsidRPr="00DF1D1C">
        <w:t xml:space="preserve"> every month in accordance with an established notification schedule</w:t>
      </w:r>
      <w:r w:rsidR="0078080B" w:rsidRPr="00DF1D1C">
        <w:t xml:space="preserve">. </w:t>
      </w:r>
      <w:r w:rsidR="00A160DB" w:rsidRPr="00DF1D1C">
        <w:t xml:space="preserve">An enrollee </w:t>
      </w:r>
      <w:r w:rsidR="00831234">
        <w:t>may also refer to an indidivual who has been deemed eligible for Medicaid, but not yet enrolled with a specific MCO.</w:t>
      </w:r>
      <w:r w:rsidR="00A160DB" w:rsidRPr="00DF1D1C">
        <w:t>.</w:t>
      </w:r>
      <w:r w:rsidR="00831234" w:rsidRPr="00831234">
        <w:t xml:space="preserve"> </w:t>
      </w:r>
    </w:p>
    <w:p w14:paraId="15A1B101" w14:textId="3ABC644C" w:rsidR="006F4AF4" w:rsidRPr="00DF1D1C" w:rsidRDefault="00253159" w:rsidP="00257641">
      <w:r w:rsidRPr="00DF1D1C">
        <w:rPr>
          <w:u w:val="single"/>
        </w:rPr>
        <w:t>Enrollment Broker</w:t>
      </w:r>
      <w:r w:rsidRPr="00DF1D1C">
        <w:t xml:space="preserve"> – the entity contracted by the Department to conduct outreach and enrollment of eligible West Virginia Medicaid managed care enrollees.</w:t>
      </w:r>
      <w:r w:rsidR="006F4AF4" w:rsidRPr="006F4AF4">
        <w:t xml:space="preserve"> </w:t>
      </w:r>
      <w:r w:rsidR="006F4AF4">
        <w:t>The enrollment broker is not applicable under this contract as a single MCO contract.</w:t>
      </w:r>
    </w:p>
    <w:p w14:paraId="3EDC62D1" w14:textId="34097840" w:rsidR="0067161B" w:rsidRPr="00A66DC9" w:rsidRDefault="0067161B" w:rsidP="00257641">
      <w:r w:rsidRPr="009F3CB6">
        <w:rPr>
          <w:u w:val="single"/>
        </w:rPr>
        <w:t>Excluded Services</w:t>
      </w:r>
      <w:r>
        <w:t xml:space="preserve"> – </w:t>
      </w:r>
      <w:r w:rsidRPr="009F3CB6">
        <w:t>h</w:t>
      </w:r>
      <w:r w:rsidRPr="00B13F19">
        <w:t>ealth</w:t>
      </w:r>
      <w:r>
        <w:t xml:space="preserve"> </w:t>
      </w:r>
      <w:r w:rsidRPr="00B13F19">
        <w:t>care services that the MCO does not pay for or cover.</w:t>
      </w:r>
    </w:p>
    <w:p w14:paraId="4D8039C6" w14:textId="68F5C952" w:rsidR="00CA3340" w:rsidRPr="00DF1D1C" w:rsidRDefault="00CA3340" w:rsidP="00257641">
      <w:r w:rsidRPr="00CA3340">
        <w:rPr>
          <w:u w:val="single"/>
        </w:rPr>
        <w:t xml:space="preserve">External </w:t>
      </w:r>
      <w:r w:rsidR="00C3267A">
        <w:rPr>
          <w:u w:val="single"/>
        </w:rPr>
        <w:t>Q</w:t>
      </w:r>
      <w:r w:rsidRPr="00CA3340">
        <w:rPr>
          <w:u w:val="single"/>
        </w:rPr>
        <w:t xml:space="preserve">uality </w:t>
      </w:r>
      <w:r w:rsidR="00C3267A">
        <w:rPr>
          <w:u w:val="single"/>
        </w:rPr>
        <w:t>R</w:t>
      </w:r>
      <w:r w:rsidRPr="00CA3340">
        <w:rPr>
          <w:u w:val="single"/>
        </w:rPr>
        <w:t>eview</w:t>
      </w:r>
      <w:r w:rsidR="006507E0">
        <w:t xml:space="preserve"> – </w:t>
      </w:r>
      <w:r>
        <w:t xml:space="preserve">the analysis and evaluation by an EQRO, of aggregated information on quality, timeliness, and access to the health care services that the </w:t>
      </w:r>
      <w:r w:rsidR="00EF6102">
        <w:t>MCO</w:t>
      </w:r>
      <w:r>
        <w:t xml:space="preserve"> or </w:t>
      </w:r>
      <w:r w:rsidR="005F2A89">
        <w:t xml:space="preserve">its </w:t>
      </w:r>
      <w:r w:rsidR="00642406">
        <w:t>Su</w:t>
      </w:r>
      <w:r>
        <w:t>bcontractors furnish to Medicaid beneficiaries.</w:t>
      </w:r>
    </w:p>
    <w:p w14:paraId="4B3536F2" w14:textId="77777777" w:rsidR="00CD4383" w:rsidRPr="00DF1D1C" w:rsidRDefault="00CD4383" w:rsidP="00257641">
      <w:r w:rsidRPr="00DF1D1C">
        <w:rPr>
          <w:u w:val="single"/>
        </w:rPr>
        <w:t>External Quality Review Organization (EQRO)</w:t>
      </w:r>
      <w:r w:rsidR="00F85A1C" w:rsidRPr="00DF1D1C">
        <w:t xml:space="preserve"> – </w:t>
      </w:r>
      <w:r w:rsidRPr="00DF1D1C">
        <w:t xml:space="preserve">the entity contracted by the Department to conduct periodic independent studies regarding the quality of care delivered to </w:t>
      </w:r>
      <w:r w:rsidR="00861E17" w:rsidRPr="00DF1D1C">
        <w:t xml:space="preserve">West Virginia Medicaid managed care </w:t>
      </w:r>
      <w:r w:rsidRPr="00DF1D1C">
        <w:t>enrollees.</w:t>
      </w:r>
      <w:r w:rsidR="00855562">
        <w:t xml:space="preserve"> EQRO must meet the competence and independence requirements set forth in </w:t>
      </w:r>
      <w:r w:rsidR="00A168AB">
        <w:t xml:space="preserve">42 CFR </w:t>
      </w:r>
      <w:r w:rsidR="00855562">
        <w:t xml:space="preserve">438.354, and perform external quality review, other EQR-related activities as set forth in </w:t>
      </w:r>
      <w:r w:rsidR="00A168AB">
        <w:t xml:space="preserve">42 CFR </w:t>
      </w:r>
      <w:r w:rsidR="00855562">
        <w:t>438.358, or both.</w:t>
      </w:r>
    </w:p>
    <w:p w14:paraId="2EA9521F" w14:textId="0711750C" w:rsidR="0064356A" w:rsidRPr="00002441" w:rsidRDefault="0064356A" w:rsidP="00257641">
      <w:r w:rsidRPr="0064356A">
        <w:rPr>
          <w:u w:val="single"/>
        </w:rPr>
        <w:t>Family First Prevention Services Act</w:t>
      </w:r>
      <w:r w:rsidR="00002441">
        <w:rPr>
          <w:u w:val="single"/>
        </w:rPr>
        <w:t xml:space="preserve"> </w:t>
      </w:r>
      <w:r w:rsidR="00002441" w:rsidRPr="00002441">
        <w:rPr>
          <w:u w:val="single"/>
        </w:rPr>
        <w:t>(FFPSA)</w:t>
      </w:r>
      <w:r w:rsidR="006507E0">
        <w:t xml:space="preserve"> – t</w:t>
      </w:r>
      <w:r w:rsidRPr="00002441">
        <w:t xml:space="preserve">he </w:t>
      </w:r>
      <w:r w:rsidR="00002441">
        <w:t>law that</w:t>
      </w:r>
      <w:r w:rsidRPr="00002441">
        <w:t xml:space="preserve"> reforms Title IV-E and Title I</w:t>
      </w:r>
      <w:r w:rsidR="00002441" w:rsidRPr="00002441">
        <w:t xml:space="preserve">V-B of the Social Security Act and </w:t>
      </w:r>
      <w:r w:rsidRPr="00002441">
        <w:t xml:space="preserve">federal child welfare financing </w:t>
      </w:r>
      <w:r w:rsidR="00002441" w:rsidRPr="00002441">
        <w:t>providing</w:t>
      </w:r>
      <w:r w:rsidRPr="00002441">
        <w:t xml:space="preserve"> services to families at risk of entering the child welfare system.</w:t>
      </w:r>
    </w:p>
    <w:p w14:paraId="68F70A20" w14:textId="77777777" w:rsidR="00CD4383" w:rsidRDefault="0071482A" w:rsidP="00257641">
      <w:r w:rsidRPr="00DF1D1C">
        <w:rPr>
          <w:u w:val="single"/>
        </w:rPr>
        <w:t>Family Planning Services</w:t>
      </w:r>
      <w:r w:rsidR="00F85A1C" w:rsidRPr="00DF1D1C">
        <w:t xml:space="preserve"> – </w:t>
      </w:r>
      <w:r w:rsidRPr="00DF1D1C">
        <w:t>those services provided to individuals of childbearing age to temporarily or permanently prevent or delay pregnancy</w:t>
      </w:r>
      <w:r w:rsidR="0078080B" w:rsidRPr="00DF1D1C">
        <w:t xml:space="preserve">. </w:t>
      </w:r>
      <w:r w:rsidRPr="00DF1D1C">
        <w:t xml:space="preserve">These services include: </w:t>
      </w:r>
      <w:r w:rsidR="0013569B" w:rsidRPr="00DF1D1C">
        <w:t>h</w:t>
      </w:r>
      <w:r w:rsidRPr="00DF1D1C">
        <w:t xml:space="preserve">ealth education and counseling necessary to make informed choices and understand contraceptive methods; limited history and physical examination; laboratory tests if medically indicated as part of decision making process for choice of contraceptive methods; diagnosis and treatment of sexually transmitted diseases (STDs) if medically indicated; screening, testing, and counseling of at-risk individuals for human immunodeficiency virus (HIV) and referral for treatment; follow-up care for complications associated with contraceptive methods issued by the family planning </w:t>
      </w:r>
      <w:r w:rsidRPr="00DF1D1C">
        <w:lastRenderedPageBreak/>
        <w:t>provider; provision of contraceptive pills /devices/supplies; tubal ligation; vasectomies; and pregnancy testing and counseling.</w:t>
      </w:r>
    </w:p>
    <w:p w14:paraId="08B79194" w14:textId="7FF8FB3E" w:rsidR="006F3966" w:rsidRDefault="006F3966" w:rsidP="00257641">
      <w:r w:rsidRPr="00041AA6">
        <w:rPr>
          <w:u w:val="single"/>
        </w:rPr>
        <w:t>Family Service Plan (FSP)</w:t>
      </w:r>
      <w:r>
        <w:t xml:space="preserve"> </w:t>
      </w:r>
      <w:r w:rsidR="00EF3B84">
        <w:t>–</w:t>
      </w:r>
      <w:r>
        <w:t xml:space="preserve"> </w:t>
      </w:r>
      <w:r w:rsidR="00EF3B84">
        <w:t>a plan developed for and in consultation with the family to document the strategy to reduce the risk, needs, and contributing influences which require Youth Services intervention.</w:t>
      </w:r>
    </w:p>
    <w:p w14:paraId="684C4F1B" w14:textId="55270877" w:rsidR="0049609B" w:rsidRPr="00DF1D1C" w:rsidRDefault="0049609B" w:rsidP="00257641">
      <w:r w:rsidRPr="00A66DC9">
        <w:rPr>
          <w:u w:val="single"/>
        </w:rPr>
        <w:t>Fiscal Agent</w:t>
      </w:r>
      <w:r w:rsidR="006507E0">
        <w:t xml:space="preserve"> – </w:t>
      </w:r>
      <w:r w:rsidR="00C762B7" w:rsidRPr="00C762B7">
        <w:t>an entity performing administrative service functions, including</w:t>
      </w:r>
      <w:r w:rsidR="00831234" w:rsidRPr="00831234">
        <w:t xml:space="preserve"> </w:t>
      </w:r>
      <w:r w:rsidR="00831234">
        <w:t>provider payment,</w:t>
      </w:r>
      <w:r w:rsidR="00C762B7" w:rsidRPr="00C762B7">
        <w:t xml:space="preserve"> </w:t>
      </w:r>
      <w:r w:rsidR="00DF28D8">
        <w:t>enrollee</w:t>
      </w:r>
      <w:r w:rsidR="00DF28D8" w:rsidRPr="00C762B7">
        <w:t xml:space="preserve"> </w:t>
      </w:r>
      <w:r w:rsidR="00C762B7" w:rsidRPr="00C762B7">
        <w:t>eligibility</w:t>
      </w:r>
      <w:r w:rsidR="00831234">
        <w:t>,</w:t>
      </w:r>
      <w:r w:rsidR="00AC4896">
        <w:t xml:space="preserve"> and capitation payment functions</w:t>
      </w:r>
      <w:r w:rsidR="00C762B7" w:rsidRPr="00C762B7">
        <w:t xml:space="preserve">, for the </w:t>
      </w:r>
      <w:r w:rsidR="00C762B7">
        <w:t xml:space="preserve">managed care program </w:t>
      </w:r>
      <w:r w:rsidR="00C762B7" w:rsidRPr="00C762B7">
        <w:t xml:space="preserve">under a separate </w:t>
      </w:r>
      <w:r w:rsidR="009B19C2">
        <w:t xml:space="preserve">Contract </w:t>
      </w:r>
      <w:r w:rsidR="00C762B7" w:rsidRPr="00C762B7">
        <w:t xml:space="preserve">with </w:t>
      </w:r>
      <w:r w:rsidR="00C762B7">
        <w:t xml:space="preserve">the Department. </w:t>
      </w:r>
    </w:p>
    <w:p w14:paraId="5283A4B6" w14:textId="0FC77807" w:rsidR="009C046A" w:rsidRPr="00DF1D1C" w:rsidRDefault="009C046A" w:rsidP="00257641">
      <w:r w:rsidRPr="00DF1D1C">
        <w:rPr>
          <w:u w:val="single"/>
        </w:rPr>
        <w:t>Formal Grievance</w:t>
      </w:r>
      <w:r w:rsidR="00F85A1C" w:rsidRPr="00DF1D1C">
        <w:t xml:space="preserve"> – </w:t>
      </w:r>
      <w:r w:rsidRPr="00DF1D1C">
        <w:t xml:space="preserve">a written expression of dissatisfaction </w:t>
      </w:r>
      <w:r w:rsidR="00831234">
        <w:t>with the conduct or action of an MCO</w:t>
      </w:r>
      <w:r w:rsidR="00831234" w:rsidRPr="00DF1D1C">
        <w:t xml:space="preserve"> </w:t>
      </w:r>
      <w:r w:rsidR="000A372E" w:rsidRPr="00DF1D1C">
        <w:t>other than those subject to appeal</w:t>
      </w:r>
      <w:r w:rsidRPr="00DF1D1C">
        <w:t>.</w:t>
      </w:r>
    </w:p>
    <w:p w14:paraId="256125A7" w14:textId="7E533C5E" w:rsidR="00562BCB" w:rsidRDefault="00562BCB" w:rsidP="00257641">
      <w:r w:rsidRPr="00002441">
        <w:rPr>
          <w:u w:val="single"/>
        </w:rPr>
        <w:t>Foster Care</w:t>
      </w:r>
      <w:r w:rsidR="006507E0">
        <w:t xml:space="preserve"> – a t</w:t>
      </w:r>
      <w:r>
        <w:t>wenty-four (24) hour substitute care for children placed away from their parents or guardians and for whom the Title IV-E agency (</w:t>
      </w:r>
      <w:r w:rsidR="00186AC1">
        <w:t>WV DHHR BCF</w:t>
      </w:r>
      <w:r>
        <w:t>) has placement and care responsibility. This includes, but is not limited to, placements in foster family homes, foster homes of relatives, group homes, emergency shelters, residential facilities, child care institutions, and pre-adoptive homes.</w:t>
      </w:r>
    </w:p>
    <w:p w14:paraId="2D003A13" w14:textId="61AA338B" w:rsidR="00562BCB" w:rsidRDefault="00562BCB" w:rsidP="00257641">
      <w:r w:rsidRPr="00041AA6">
        <w:rPr>
          <w:u w:val="single"/>
        </w:rPr>
        <w:t>Foster Parent</w:t>
      </w:r>
      <w:r w:rsidR="006507E0">
        <w:t xml:space="preserve"> – a </w:t>
      </w:r>
      <w:r>
        <w:t xml:space="preserve">substitute caregiver who assumes the daily caretaking responsibilities for children in </w:t>
      </w:r>
      <w:r w:rsidR="00186AC1">
        <w:t>BCF</w:t>
      </w:r>
      <w:r>
        <w:t xml:space="preserve"> custody who have been placed in their home.</w:t>
      </w:r>
    </w:p>
    <w:p w14:paraId="2F1FB953" w14:textId="77777777" w:rsidR="007257D9" w:rsidRDefault="007257D9" w:rsidP="00257641">
      <w:r w:rsidRPr="00DF1D1C">
        <w:rPr>
          <w:u w:val="single"/>
        </w:rPr>
        <w:t>Fraud</w:t>
      </w:r>
      <w:r w:rsidRPr="00DF1D1C">
        <w:t xml:space="preserve"> – an intentional deception or misrepresentation made by a person with the knowledge that the deception could result in some unauthorized benefit to himself or some other person. It includes any act that constitutes fraud under applicable Federal or State law.</w:t>
      </w:r>
    </w:p>
    <w:p w14:paraId="42FC8D9B" w14:textId="7E3A1B83" w:rsidR="001C697F" w:rsidRPr="00DF1D1C" w:rsidRDefault="001C697F" w:rsidP="00257641">
      <w:r w:rsidRPr="002C6951">
        <w:rPr>
          <w:u w:val="single"/>
        </w:rPr>
        <w:t>Gift (Marketing)</w:t>
      </w:r>
      <w:r>
        <w:t xml:space="preserve"> – a</w:t>
      </w:r>
      <w:r w:rsidRPr="001C697F">
        <w:t>ny promoti</w:t>
      </w:r>
      <w:r>
        <w:t xml:space="preserve">onal item </w:t>
      </w:r>
      <w:r w:rsidR="00077664">
        <w:t xml:space="preserve">or incentive </w:t>
      </w:r>
      <w:r>
        <w:t xml:space="preserve">offered by an MCO to </w:t>
      </w:r>
      <w:r w:rsidR="00DF28D8">
        <w:t xml:space="preserve">enrollees </w:t>
      </w:r>
      <w:r>
        <w:t xml:space="preserve">or potential </w:t>
      </w:r>
      <w:r w:rsidR="00DF28D8">
        <w:t>enrollee</w:t>
      </w:r>
      <w:r w:rsidR="00DF28D8" w:rsidRPr="001C697F">
        <w:t>s</w:t>
      </w:r>
      <w:r w:rsidRPr="001C697F">
        <w:t>.</w:t>
      </w:r>
    </w:p>
    <w:p w14:paraId="6DD1577C" w14:textId="163E6C60" w:rsidR="00F27D3A" w:rsidRPr="00DF1D1C" w:rsidRDefault="00F27D3A" w:rsidP="00257641">
      <w:r w:rsidRPr="00DF1D1C">
        <w:rPr>
          <w:u w:val="single"/>
        </w:rPr>
        <w:t>Grievance</w:t>
      </w:r>
      <w:r w:rsidR="00BF08AB" w:rsidRPr="00DF1D1C">
        <w:t xml:space="preserve"> – a</w:t>
      </w:r>
      <w:r w:rsidR="00507ADA" w:rsidRPr="00DF1D1C">
        <w:t>n</w:t>
      </w:r>
      <w:r w:rsidR="00BF08AB" w:rsidRPr="00DF1D1C">
        <w:t xml:space="preserve"> </w:t>
      </w:r>
      <w:r w:rsidRPr="00DF1D1C">
        <w:t>expression of dissatisfaction</w:t>
      </w:r>
      <w:r w:rsidR="00BF08AB" w:rsidRPr="00DF1D1C">
        <w:t>, either in writing</w:t>
      </w:r>
      <w:r w:rsidR="001D7091" w:rsidRPr="00DF1D1C">
        <w:t xml:space="preserve"> (forma</w:t>
      </w:r>
      <w:r w:rsidR="000615E8" w:rsidRPr="00DF1D1C">
        <w:t>l</w:t>
      </w:r>
      <w:r w:rsidR="001D7091" w:rsidRPr="00DF1D1C">
        <w:t>)</w:t>
      </w:r>
      <w:r w:rsidR="00BF08AB" w:rsidRPr="00DF1D1C">
        <w:t xml:space="preserve"> or orally</w:t>
      </w:r>
      <w:r w:rsidR="001D7091" w:rsidRPr="00DF1D1C">
        <w:t xml:space="preserve"> (informal)</w:t>
      </w:r>
      <w:r w:rsidR="00BF08AB" w:rsidRPr="00DF1D1C">
        <w:t>,</w:t>
      </w:r>
      <w:r w:rsidRPr="00DF1D1C">
        <w:t xml:space="preserve"> </w:t>
      </w:r>
      <w:r w:rsidR="00F93829" w:rsidRPr="00DF1D1C">
        <w:t>regarding any aspect of service delivery provided or paid for by the MCO</w:t>
      </w:r>
      <w:r w:rsidR="00182FDE" w:rsidRPr="00DF1D1C">
        <w:t>, other than those</w:t>
      </w:r>
      <w:r w:rsidR="009C5F25" w:rsidRPr="00DF1D1C">
        <w:t xml:space="preserve"> MCO</w:t>
      </w:r>
      <w:r w:rsidR="00182FDE" w:rsidRPr="00DF1D1C">
        <w:t xml:space="preserve"> </w:t>
      </w:r>
      <w:r w:rsidR="00831234">
        <w:t>adverse benefit determinations</w:t>
      </w:r>
      <w:r w:rsidR="00182FDE" w:rsidRPr="00DF1D1C">
        <w:t xml:space="preserve"> that are subject to appeal</w:t>
      </w:r>
      <w:r w:rsidR="0078080B" w:rsidRPr="00DF1D1C">
        <w:t xml:space="preserve">. </w:t>
      </w:r>
      <w:r w:rsidR="00182FDE" w:rsidRPr="00DF1D1C">
        <w:t>The term grievance also refers to the overall system that includes grievances and appeals handled at the MCO level and access to the State fair hearing process.</w:t>
      </w:r>
    </w:p>
    <w:p w14:paraId="13162AA2" w14:textId="77777777" w:rsidR="002C01C7" w:rsidRPr="00DF1D1C" w:rsidRDefault="002C01C7" w:rsidP="00257641">
      <w:r w:rsidRPr="00DF1D1C">
        <w:rPr>
          <w:u w:val="single"/>
        </w:rPr>
        <w:t xml:space="preserve">Grievance </w:t>
      </w:r>
      <w:r w:rsidR="009A0060" w:rsidRPr="00DF1D1C">
        <w:rPr>
          <w:u w:val="single"/>
        </w:rPr>
        <w:t>P</w:t>
      </w:r>
      <w:r w:rsidRPr="00DF1D1C">
        <w:rPr>
          <w:u w:val="single"/>
        </w:rPr>
        <w:t>rocess</w:t>
      </w:r>
      <w:r w:rsidRPr="00DF1D1C">
        <w:t xml:space="preserve"> – the procedure for addressing </w:t>
      </w:r>
      <w:r w:rsidR="0013569B" w:rsidRPr="00DF1D1C">
        <w:t xml:space="preserve">an </w:t>
      </w:r>
      <w:r w:rsidRPr="00DF1D1C">
        <w:t>enrollee</w:t>
      </w:r>
      <w:r w:rsidR="00FA1C0C" w:rsidRPr="00DF1D1C">
        <w:t>’</w:t>
      </w:r>
      <w:r w:rsidRPr="00DF1D1C">
        <w:t>s grievances and complaints</w:t>
      </w:r>
      <w:r w:rsidR="006E458B" w:rsidRPr="00DF1D1C">
        <w:t>.</w:t>
      </w:r>
    </w:p>
    <w:p w14:paraId="546E429F" w14:textId="77777777" w:rsidR="003F7F01" w:rsidRDefault="002C01C7" w:rsidP="00257641">
      <w:r w:rsidRPr="00DF1D1C">
        <w:rPr>
          <w:u w:val="single"/>
        </w:rPr>
        <w:t xml:space="preserve">Grievance </w:t>
      </w:r>
      <w:r w:rsidR="009A0060" w:rsidRPr="00DF1D1C">
        <w:rPr>
          <w:u w:val="single"/>
        </w:rPr>
        <w:t>S</w:t>
      </w:r>
      <w:r w:rsidRPr="00DF1D1C">
        <w:rPr>
          <w:u w:val="single"/>
        </w:rPr>
        <w:t xml:space="preserve">ystem </w:t>
      </w:r>
      <w:r w:rsidRPr="00DF1D1C">
        <w:t>– includes a grievance process, an appeals process, and access to the State</w:t>
      </w:r>
      <w:r w:rsidR="00FA1C0C" w:rsidRPr="00DF1D1C">
        <w:t>’</w:t>
      </w:r>
      <w:r w:rsidRPr="00DF1D1C">
        <w:t>s fair hearing system.</w:t>
      </w:r>
    </w:p>
    <w:p w14:paraId="478AC054" w14:textId="77777777" w:rsidR="001C39F8" w:rsidRDefault="001C39F8" w:rsidP="00257641">
      <w:r w:rsidRPr="009F3CB6">
        <w:rPr>
          <w:u w:val="single"/>
        </w:rPr>
        <w:t>Habilitation Services and Devices</w:t>
      </w:r>
      <w:r w:rsidRPr="00B13F19">
        <w:t xml:space="preserve"> –</w:t>
      </w:r>
      <w:r>
        <w:rPr>
          <w:u w:val="single"/>
        </w:rPr>
        <w:t xml:space="preserve"> </w:t>
      </w:r>
      <w:r w:rsidRPr="009F3CB6">
        <w:t>h</w:t>
      </w:r>
      <w:r w:rsidRPr="00B13F19">
        <w:t>ealth</w:t>
      </w:r>
      <w:r>
        <w:t xml:space="preserve"> </w:t>
      </w:r>
      <w:r w:rsidRPr="00B13F19">
        <w:t xml:space="preserve">care services and devices that help </w:t>
      </w:r>
      <w:r>
        <w:t>an individual</w:t>
      </w:r>
      <w:r w:rsidRPr="00B13F19">
        <w:t xml:space="preserve"> keep, learn, or improve skills and functioning for daily living</w:t>
      </w:r>
      <w:r>
        <w:t xml:space="preserve"> such as</w:t>
      </w:r>
      <w:r w:rsidRPr="00B13F19">
        <w:t xml:space="preserve"> occupational ther</w:t>
      </w:r>
      <w:r>
        <w:t>ap</w:t>
      </w:r>
      <w:r w:rsidRPr="00B13F19">
        <w:t>y, speech therapy, and other services for people with disabilities in inpatient and/ or outpatient settings.</w:t>
      </w:r>
    </w:p>
    <w:p w14:paraId="59BC5A46" w14:textId="59884FEF" w:rsidR="00E31191" w:rsidRPr="001B502B" w:rsidRDefault="00E31191" w:rsidP="00257641">
      <w:r w:rsidRPr="005C5556">
        <w:rPr>
          <w:u w:val="single"/>
        </w:rPr>
        <w:t>Health Home</w:t>
      </w:r>
      <w:r w:rsidR="006507E0">
        <w:t xml:space="preserve"> – a</w:t>
      </w:r>
      <w:r w:rsidRPr="001B502B">
        <w:t xml:space="preserve"> designated provider (</w:t>
      </w:r>
      <w:r w:rsidR="00D9753E" w:rsidRPr="001B502B">
        <w:t>including provider</w:t>
      </w:r>
      <w:r w:rsidRPr="001B502B">
        <w:t xml:space="preserve"> that operates in coordination with a team of health care professionals) or a health team selected by an eligible individual to provide health home services as defined in Section 1945 of the Social Security Act. Chronic condition </w:t>
      </w:r>
      <w:r w:rsidRPr="001B502B">
        <w:lastRenderedPageBreak/>
        <w:t>health homes are available for eligible individuals with certain chronic conditions. West Virginia’s requirements for health homes are defined in the Medicaid State Plan.</w:t>
      </w:r>
    </w:p>
    <w:p w14:paraId="127EA4EE" w14:textId="53AF9078" w:rsidR="00253159" w:rsidRDefault="00253159" w:rsidP="00257641">
      <w:r w:rsidRPr="00041AA6">
        <w:rPr>
          <w:u w:val="single"/>
        </w:rPr>
        <w:t>Health Plan</w:t>
      </w:r>
      <w:r w:rsidRPr="00253159">
        <w:t xml:space="preserve"> – another term used to refer to an MCO. Also referred to as a Plan.</w:t>
      </w:r>
    </w:p>
    <w:p w14:paraId="02912F11" w14:textId="77777777" w:rsidR="00253159" w:rsidRDefault="00253159" w:rsidP="00257641">
      <w:r w:rsidRPr="00041AA6">
        <w:rPr>
          <w:u w:val="single"/>
        </w:rPr>
        <w:t>Home Health Care</w:t>
      </w:r>
      <w:r>
        <w:t xml:space="preserve"> – health care services a person receives at home, including limited part-time or intermittent skilled nursing care, home health aide services, occupational therapy, speech therapy, medical social services, DME, medical supplies, and other services. </w:t>
      </w:r>
    </w:p>
    <w:p w14:paraId="3AE39C00" w14:textId="77777777" w:rsidR="007257D9" w:rsidRDefault="007257D9" w:rsidP="00257641">
      <w:r w:rsidRPr="000C08DE">
        <w:rPr>
          <w:u w:val="single"/>
        </w:rPr>
        <w:t>Home Visitation Program</w:t>
      </w:r>
      <w:r>
        <w:t xml:space="preserve"> – a program of DHHR’s BCF </w:t>
      </w:r>
      <w:r w:rsidRPr="000C08DE">
        <w:t>within the Office of Mat</w:t>
      </w:r>
      <w:r>
        <w:t xml:space="preserve">ernal, Child and Family Health that </w:t>
      </w:r>
      <w:r w:rsidRPr="000C08DE">
        <w:t>involves partnerships at federal, state and community levels to assist families in meeting their parenting goals. Programs are available at no cost to families across the state. Programs are delivered by local home visitors who have received extensive training in evidence-based curriculums.</w:t>
      </w:r>
      <w:r>
        <w:t xml:space="preserve"> These in-home visits </w:t>
      </w:r>
      <w:r w:rsidRPr="0017769A">
        <w:t>can be initiated during pregnancy and continue to age three to five. Using a family-centered, asset-building approach, families determine what issues they want to address. The intent of the program is to partner with families so children grow up healthy, strong and ready to learn.</w:t>
      </w:r>
    </w:p>
    <w:p w14:paraId="16C74FF5" w14:textId="6730E25F" w:rsidR="00253159" w:rsidRDefault="00253159" w:rsidP="00257641">
      <w:r w:rsidRPr="00041AA6">
        <w:rPr>
          <w:u w:val="single"/>
        </w:rPr>
        <w:t>Hospice Services</w:t>
      </w:r>
      <w:r>
        <w:t xml:space="preserve"> – services to help people who have a terminal prognosis live comfortably. A terminal prognosis means that a person has a terminal illness and is expected to have six</w:t>
      </w:r>
      <w:r w:rsidR="00BD78F7">
        <w:t xml:space="preserve"> (6)</w:t>
      </w:r>
      <w:r>
        <w:t xml:space="preserve"> months or less to live. A specially trained team of professionals and caregivers provide care for the whole person, including physical, emotional, social, and spiritual needs.</w:t>
      </w:r>
    </w:p>
    <w:p w14:paraId="775326FF" w14:textId="77777777" w:rsidR="00253159" w:rsidRDefault="00253159" w:rsidP="00257641">
      <w:r w:rsidRPr="00041AA6">
        <w:rPr>
          <w:u w:val="single"/>
        </w:rPr>
        <w:t>Hospitalization</w:t>
      </w:r>
      <w:r>
        <w:t xml:space="preserve"> – care in a hospital that requires admission as an inpatient and usually requires an overnight stay. An overnight stay for observation could be outpatient care.</w:t>
      </w:r>
    </w:p>
    <w:p w14:paraId="28485774" w14:textId="5D6F6800" w:rsidR="00253159" w:rsidRDefault="00253159" w:rsidP="00257641">
      <w:r w:rsidRPr="00041AA6">
        <w:rPr>
          <w:u w:val="single"/>
        </w:rPr>
        <w:t>Hospital Outpatient Care</w:t>
      </w:r>
      <w:r w:rsidR="006507E0">
        <w:t xml:space="preserve"> – </w:t>
      </w:r>
      <w:r>
        <w:t>care in a hospital that usually does not require an overnight stay.</w:t>
      </w:r>
    </w:p>
    <w:p w14:paraId="6409240E" w14:textId="77777777" w:rsidR="007257D9" w:rsidRPr="00A66DC9" w:rsidRDefault="007257D9" w:rsidP="00257641">
      <w:r w:rsidRPr="006E61D4">
        <w:rPr>
          <w:u w:val="single"/>
        </w:rPr>
        <w:t>Individualized Service Plan (ISP)</w:t>
      </w:r>
      <w:r>
        <w:t xml:space="preserve"> – a plan developed by a </w:t>
      </w:r>
      <w:r w:rsidRPr="00153577">
        <w:t>Multidi</w:t>
      </w:r>
      <w:r>
        <w:t>sciplinary Treatment Team (MDT</w:t>
      </w:r>
      <w:r w:rsidRPr="00153577">
        <w:t xml:space="preserve">) </w:t>
      </w:r>
      <w:r>
        <w:t>for a child who is involved in court proceedings either because of child abuse and neglect, status offense, or delinquency proceedings.</w:t>
      </w:r>
    </w:p>
    <w:p w14:paraId="11CDD61C" w14:textId="60491B68" w:rsidR="00253159" w:rsidRPr="00DF1D1C" w:rsidRDefault="00253159" w:rsidP="00257641">
      <w:pPr>
        <w:rPr>
          <w:u w:val="single"/>
        </w:rPr>
      </w:pPr>
      <w:r w:rsidRPr="00DF1D1C">
        <w:rPr>
          <w:u w:val="single"/>
        </w:rPr>
        <w:t>Informal Grievance</w:t>
      </w:r>
      <w:r w:rsidRPr="00DF1D1C">
        <w:t xml:space="preserve"> – an oral expression of dissatisfaction other than those subject to</w:t>
      </w:r>
      <w:r w:rsidR="001543F3">
        <w:t xml:space="preserve"> </w:t>
      </w:r>
      <w:r w:rsidRPr="00DF1D1C">
        <w:t>appeal.</w:t>
      </w:r>
    </w:p>
    <w:p w14:paraId="209BBD33" w14:textId="77777777" w:rsidR="00253159" w:rsidRDefault="00253159" w:rsidP="00257641">
      <w:r w:rsidRPr="005C5556">
        <w:rPr>
          <w:u w:val="single"/>
        </w:rPr>
        <w:t>Information Security Plan</w:t>
      </w:r>
      <w:r w:rsidRPr="003C3A22">
        <w:t xml:space="preserve"> </w:t>
      </w:r>
      <w:r w:rsidRPr="00DF1D1C">
        <w:t xml:space="preserve">– </w:t>
      </w:r>
      <w:r w:rsidRPr="00533CCF">
        <w:t>a written MCO compliance plan with the Health Insurance Portability and Accountability Act of 1996 (HIPAA) and The Health Information Technology for Economic and Clinical Health Act (HITECH Act).</w:t>
      </w:r>
    </w:p>
    <w:p w14:paraId="125D72EA" w14:textId="43E34569" w:rsidR="00CD4383" w:rsidRDefault="00CD4383" w:rsidP="00257641">
      <w:r w:rsidRPr="00DF1D1C">
        <w:rPr>
          <w:u w:val="single"/>
        </w:rPr>
        <w:t>Key Personnel</w:t>
      </w:r>
      <w:r w:rsidR="00F85A1C" w:rsidRPr="00DF1D1C">
        <w:t xml:space="preserve"> – </w:t>
      </w:r>
      <w:r w:rsidR="006F4AF4">
        <w:t>those staff as outlined within Article II, Section 5.10</w:t>
      </w:r>
      <w:r w:rsidRPr="00DF1D1C">
        <w:t>.</w:t>
      </w:r>
    </w:p>
    <w:p w14:paraId="260E396D" w14:textId="67D42451" w:rsidR="00870DCD" w:rsidRDefault="00870DCD" w:rsidP="00257641">
      <w:r w:rsidRPr="00D8463E">
        <w:rPr>
          <w:u w:val="single"/>
        </w:rPr>
        <w:t>Liquidated Damages</w:t>
      </w:r>
      <w:r>
        <w:t xml:space="preserve"> – reasonable estimates of the Department’s projected financial loss</w:t>
      </w:r>
      <w:r w:rsidR="001543F3">
        <w:t xml:space="preserve"> </w:t>
      </w:r>
      <w:r>
        <w:t>and</w:t>
      </w:r>
      <w:r w:rsidR="00EA3E7A">
        <w:t xml:space="preserve"> </w:t>
      </w:r>
      <w:r>
        <w:t>damage resulting from the MCO’s non-performance</w:t>
      </w:r>
      <w:r w:rsidR="006C4F10">
        <w:t>.</w:t>
      </w:r>
    </w:p>
    <w:p w14:paraId="2BF47472" w14:textId="00EA947B" w:rsidR="001F319F" w:rsidRPr="00DF1D1C" w:rsidRDefault="001F319F" w:rsidP="00096A5D">
      <w:pPr>
        <w:pStyle w:val="BodyText"/>
      </w:pPr>
      <w:r w:rsidRPr="00041AA6">
        <w:rPr>
          <w:u w:val="single"/>
        </w:rPr>
        <w:t>Long-acting Reversible Contraceptives (LARC)</w:t>
      </w:r>
      <w:r w:rsidR="006507E0">
        <w:t xml:space="preserve"> – </w:t>
      </w:r>
      <w:r w:rsidR="00EF7A2C" w:rsidRPr="00EF7A2C">
        <w:t>nonpermanent methods</w:t>
      </w:r>
      <w:r w:rsidR="00EF7A2C">
        <w:t xml:space="preserve"> to prevent pregnancy lasting more than one cycle. </w:t>
      </w:r>
      <w:r>
        <w:t>LARC includes intrauterine devices (IUDs) and contraceptive</w:t>
      </w:r>
      <w:r w:rsidR="00EF7A2C">
        <w:t xml:space="preserve"> injections and</w:t>
      </w:r>
      <w:r>
        <w:t xml:space="preserve"> implants.</w:t>
      </w:r>
    </w:p>
    <w:p w14:paraId="0ABDC9D7" w14:textId="77777777" w:rsidR="00CD4383" w:rsidRPr="00DF1D1C" w:rsidRDefault="00CD4383" w:rsidP="00257641">
      <w:r w:rsidRPr="00DF1D1C">
        <w:rPr>
          <w:u w:val="single"/>
        </w:rPr>
        <w:lastRenderedPageBreak/>
        <w:t>Managed Care Initiative</w:t>
      </w:r>
      <w:r w:rsidRPr="00DF1D1C">
        <w:t xml:space="preserve"> – West Virginia</w:t>
      </w:r>
      <w:r w:rsidR="00FA1C0C" w:rsidRPr="00DF1D1C">
        <w:t>’</w:t>
      </w:r>
      <w:r w:rsidRPr="00DF1D1C">
        <w:t>s Medicaid managed care program, as described in the current state plan and federal waiver and amendments, and approved by CMS</w:t>
      </w:r>
      <w:r w:rsidR="0078080B" w:rsidRPr="00DF1D1C">
        <w:t xml:space="preserve">. </w:t>
      </w:r>
      <w:r w:rsidRPr="00DF1D1C">
        <w:t xml:space="preserve">This may include one or more </w:t>
      </w:r>
      <w:r w:rsidR="00497A97">
        <w:t>MCO</w:t>
      </w:r>
      <w:r w:rsidRPr="00DF1D1C">
        <w:t>s and voluntary or mandatory enrollment options in a given geographic area.</w:t>
      </w:r>
    </w:p>
    <w:p w14:paraId="2DF4FC45" w14:textId="2E4990E9" w:rsidR="00F37827" w:rsidRDefault="00CD4383" w:rsidP="00257641">
      <w:pPr>
        <w:pStyle w:val="normal6"/>
      </w:pPr>
      <w:r w:rsidRPr="00DF1D1C">
        <w:rPr>
          <w:u w:val="single"/>
        </w:rPr>
        <w:t>Managed Care Organization (MCO)</w:t>
      </w:r>
      <w:r w:rsidRPr="00DF1D1C">
        <w:t xml:space="preserve"> </w:t>
      </w:r>
      <w:r w:rsidR="0013569B" w:rsidRPr="00DF1D1C">
        <w:t xml:space="preserve">– </w:t>
      </w:r>
      <w:r w:rsidRPr="00DF1D1C">
        <w:t>a</w:t>
      </w:r>
      <w:r w:rsidR="00194A45">
        <w:t xml:space="preserve">n Health Maintenance Organization (HMO) entity </w:t>
      </w:r>
      <w:r w:rsidRPr="00DF1D1C">
        <w:t>licensed to do business in the State of West Virginia</w:t>
      </w:r>
      <w:r w:rsidR="00194A45">
        <w:t xml:space="preserve">, </w:t>
      </w:r>
      <w:r w:rsidR="00194A45" w:rsidRPr="00194A45">
        <w:t xml:space="preserve">that has, or is seeking to qualify for, </w:t>
      </w:r>
      <w:r w:rsidR="00194A45">
        <w:t>comprehensive risk contract, and that is</w:t>
      </w:r>
      <w:r w:rsidR="00253159">
        <w:t>:</w:t>
      </w:r>
      <w:r w:rsidR="00194A45">
        <w:t xml:space="preserve"> </w:t>
      </w:r>
    </w:p>
    <w:p w14:paraId="2A7EC1A1" w14:textId="1372A54D" w:rsidR="00F37827" w:rsidRDefault="00194A45" w:rsidP="00257641">
      <w:pPr>
        <w:pStyle w:val="bullet1"/>
        <w:numPr>
          <w:ilvl w:val="0"/>
          <w:numId w:val="126"/>
        </w:numPr>
        <w:tabs>
          <w:tab w:val="clear" w:pos="720"/>
        </w:tabs>
      </w:pPr>
      <w:r>
        <w:t xml:space="preserve">A Federally qualified HMO that meets the advance directives requirements of </w:t>
      </w:r>
      <w:r w:rsidR="000723F6">
        <w:t xml:space="preserve">42 CFR </w:t>
      </w:r>
      <w:r>
        <w:t>489</w:t>
      </w:r>
      <w:r w:rsidR="00DF1950">
        <w:t>, Subpart I</w:t>
      </w:r>
      <w:r>
        <w:t xml:space="preserve">; </w:t>
      </w:r>
      <w:r w:rsidR="00253159">
        <w:t>or</w:t>
      </w:r>
    </w:p>
    <w:p w14:paraId="5BD6F9CE" w14:textId="2A3C03DE" w:rsidR="00F37827" w:rsidRDefault="00194A45" w:rsidP="00257641">
      <w:pPr>
        <w:pStyle w:val="bullet1"/>
        <w:numPr>
          <w:ilvl w:val="0"/>
          <w:numId w:val="126"/>
        </w:numPr>
        <w:tabs>
          <w:tab w:val="clear" w:pos="720"/>
        </w:tabs>
      </w:pPr>
      <w:r>
        <w:t>Any public or private entity that meets the advance directives requirements and is</w:t>
      </w:r>
      <w:r w:rsidR="000225E4">
        <w:t xml:space="preserve"> </w:t>
      </w:r>
      <w:r>
        <w:t>determined to also meet the following conditions:</w:t>
      </w:r>
    </w:p>
    <w:p w14:paraId="613A3624" w14:textId="77777777" w:rsidR="00F37827" w:rsidRDefault="00194A45" w:rsidP="00257641">
      <w:pPr>
        <w:pStyle w:val="bullet1"/>
        <w:numPr>
          <w:ilvl w:val="0"/>
          <w:numId w:val="212"/>
        </w:numPr>
      </w:pPr>
      <w:r w:rsidRPr="00F37827">
        <w:t>Makes the services it provides to its Medicaid enrollees as accessible (in terms of</w:t>
      </w:r>
      <w:r w:rsidR="000225E4" w:rsidRPr="00F37827">
        <w:t xml:space="preserve"> </w:t>
      </w:r>
      <w:r w:rsidRPr="00F37827">
        <w:t>timeliness, amount, duration, and scope) as those services are to other Medicaid beneficiaries</w:t>
      </w:r>
      <w:r w:rsidR="000225E4" w:rsidRPr="00F37827">
        <w:t xml:space="preserve"> </w:t>
      </w:r>
      <w:r w:rsidRPr="00F37827">
        <w:t>within the area served by the entity</w:t>
      </w:r>
      <w:r w:rsidR="00B15669" w:rsidRPr="00F37827">
        <w:t>;</w:t>
      </w:r>
      <w:r w:rsidR="00460C52" w:rsidRPr="00F37827">
        <w:t xml:space="preserve"> </w:t>
      </w:r>
      <w:r w:rsidR="005437B9">
        <w:t>and</w:t>
      </w:r>
    </w:p>
    <w:p w14:paraId="113BE8E9" w14:textId="77777777" w:rsidR="00F37827" w:rsidRDefault="00194A45" w:rsidP="00257641">
      <w:pPr>
        <w:pStyle w:val="bullet1"/>
        <w:numPr>
          <w:ilvl w:val="0"/>
          <w:numId w:val="212"/>
        </w:numPr>
        <w:spacing w:after="240"/>
      </w:pPr>
      <w:r w:rsidRPr="00F37827">
        <w:t xml:space="preserve">Meets the solvency standards of </w:t>
      </w:r>
      <w:r w:rsidR="00542835" w:rsidRPr="00F37827">
        <w:t xml:space="preserve">42 CFR </w:t>
      </w:r>
      <w:r w:rsidRPr="00F37827">
        <w:t>438.116.</w:t>
      </w:r>
    </w:p>
    <w:p w14:paraId="6645AEE4" w14:textId="77777777" w:rsidR="005B6C58" w:rsidRDefault="005B6C58" w:rsidP="00257641">
      <w:r>
        <w:rPr>
          <w:u w:val="single"/>
        </w:rPr>
        <w:t>Managing Employee</w:t>
      </w:r>
      <w:r>
        <w:t xml:space="preserve"> – a </w:t>
      </w:r>
      <w:r w:rsidRPr="005B6C58">
        <w:t>general manager, business manager, administrator, director, or other individual who exercises operational or managerial control over, or who directly or indirectly conducts the day-to-day operation of an institution, organization, or agency</w:t>
      </w:r>
      <w:r>
        <w:t>, in accordance with 42 CFR 455.101</w:t>
      </w:r>
      <w:r w:rsidRPr="005B6C58">
        <w:t>.</w:t>
      </w:r>
    </w:p>
    <w:p w14:paraId="1A5344A3" w14:textId="77777777" w:rsidR="00F65324" w:rsidRDefault="001B5FEE" w:rsidP="00257641">
      <w:r w:rsidRPr="00DD729F">
        <w:rPr>
          <w:u w:val="single"/>
        </w:rPr>
        <w:t>Marketing</w:t>
      </w:r>
      <w:r>
        <w:t xml:space="preserve"> – a</w:t>
      </w:r>
      <w:r w:rsidRPr="001B5FEE">
        <w:t xml:space="preserve">ny communication, from </w:t>
      </w:r>
      <w:r w:rsidR="004A42D9">
        <w:t xml:space="preserve">the </w:t>
      </w:r>
      <w:r w:rsidRPr="001B5FEE">
        <w:t>MCO to a Medicaid</w:t>
      </w:r>
      <w:r w:rsidR="009D0E3E">
        <w:t>-</w:t>
      </w:r>
      <w:r>
        <w:t xml:space="preserve">eligible person </w:t>
      </w:r>
      <w:r w:rsidRPr="001B5FEE">
        <w:t xml:space="preserve">who is not enrolled in the </w:t>
      </w:r>
      <w:r w:rsidR="00461F62">
        <w:t>MCO</w:t>
      </w:r>
      <w:r w:rsidRPr="001B5FEE">
        <w:t>, that can reasonably be interpret</w:t>
      </w:r>
      <w:r>
        <w:t xml:space="preserve">ed as intended to influence such person </w:t>
      </w:r>
      <w:r w:rsidRPr="001B5FEE">
        <w:t xml:space="preserve">to enroll in that particular MCO’s </w:t>
      </w:r>
      <w:r>
        <w:t>M</w:t>
      </w:r>
      <w:r w:rsidR="008F3F98">
        <w:t>edicaid</w:t>
      </w:r>
      <w:r>
        <w:t xml:space="preserve"> program</w:t>
      </w:r>
      <w:r w:rsidRPr="001B5FEE">
        <w:t xml:space="preserve">, or either to not enroll in, or to disenroll from, another MCO’s </w:t>
      </w:r>
      <w:r w:rsidR="008F3F98">
        <w:t>Medicaid</w:t>
      </w:r>
      <w:r>
        <w:t xml:space="preserve"> program</w:t>
      </w:r>
      <w:r w:rsidRPr="001B5FEE">
        <w:t>.</w:t>
      </w:r>
      <w:r w:rsidR="00460C52">
        <w:t xml:space="preserve"> Marketing does not include communication to a Medicaid beneficiary from the issuer of a qualified health plan, as defined in 45 CFR 155.20, about the qualified health plan.</w:t>
      </w:r>
    </w:p>
    <w:p w14:paraId="774B64B1" w14:textId="424EE32A" w:rsidR="006B1CBE" w:rsidRDefault="006B1CBE" w:rsidP="00257641">
      <w:r w:rsidRPr="006E61D4">
        <w:rPr>
          <w:u w:val="single"/>
        </w:rPr>
        <w:t>MCO Readiness Review</w:t>
      </w:r>
      <w:r w:rsidR="006507E0">
        <w:t xml:space="preserve"> – </w:t>
      </w:r>
      <w:r w:rsidRPr="006B1CBE">
        <w:t>the assurances made by a selected MCO and the examination conducted by the Department, or its agents, of MCO’s ability, preparedness, and availability to fulfill its obligations under this Contract, State Plan, and federal waiver.</w:t>
      </w:r>
    </w:p>
    <w:p w14:paraId="41F4FCDD" w14:textId="676D89BD" w:rsidR="006B1CBE" w:rsidRPr="00DF1D1C" w:rsidRDefault="006B1CBE" w:rsidP="00257641">
      <w:r w:rsidRPr="004D584E">
        <w:rPr>
          <w:u w:val="single"/>
        </w:rPr>
        <w:t>MCO Service Area</w:t>
      </w:r>
      <w:r w:rsidR="006507E0" w:rsidRPr="00203E0A">
        <w:t xml:space="preserve"> – </w:t>
      </w:r>
      <w:r w:rsidRPr="004D584E">
        <w:t>all t</w:t>
      </w:r>
      <w:r>
        <w:t xml:space="preserve">he counties included in any Department’s defined service area </w:t>
      </w:r>
      <w:r w:rsidRPr="004D584E">
        <w:t xml:space="preserve">within which the MCO has been </w:t>
      </w:r>
      <w:r>
        <w:t xml:space="preserve">contracted </w:t>
      </w:r>
      <w:r w:rsidRPr="004D584E">
        <w:t>to provide MCO services.</w:t>
      </w:r>
    </w:p>
    <w:p w14:paraId="5AA7DF98" w14:textId="77777777" w:rsidR="00CD4383" w:rsidRDefault="00CD4383" w:rsidP="00257641">
      <w:r w:rsidRPr="00DF1D1C">
        <w:rPr>
          <w:u w:val="single"/>
        </w:rPr>
        <w:t>Medicaid</w:t>
      </w:r>
      <w:r w:rsidR="00F85A1C" w:rsidRPr="00DF1D1C">
        <w:t xml:space="preserve"> – </w:t>
      </w:r>
      <w:r w:rsidRPr="00DF1D1C">
        <w:t xml:space="preserve">the West Virginia Medical Assistance Program operated </w:t>
      </w:r>
      <w:r w:rsidR="00F70078">
        <w:t>and funded</w:t>
      </w:r>
      <w:r w:rsidR="00736E7A">
        <w:t xml:space="preserve"> </w:t>
      </w:r>
      <w:r w:rsidR="00F70078">
        <w:t xml:space="preserve">by the Department </w:t>
      </w:r>
      <w:r w:rsidR="00F70078" w:rsidRPr="00F70078">
        <w:t>pursuant to Title XIX, Social Security Act (42 U.S.C. §1396 et seq.)</w:t>
      </w:r>
      <w:r w:rsidRPr="00DF1D1C">
        <w:t>, and related State and Federal rules and regulations (same as Medical Assistance).</w:t>
      </w:r>
    </w:p>
    <w:p w14:paraId="6B196FC4" w14:textId="704A07E6" w:rsidR="000D1AB8" w:rsidRDefault="000D1AB8" w:rsidP="00257641">
      <w:r w:rsidRPr="000D1AB8">
        <w:rPr>
          <w:u w:val="single"/>
        </w:rPr>
        <w:t>Medicaid Management Information System (MMIS)</w:t>
      </w:r>
      <w:r w:rsidR="006507E0">
        <w:t xml:space="preserve"> – </w:t>
      </w:r>
      <w:r w:rsidR="000910DB" w:rsidRPr="000910DB">
        <w:t xml:space="preserve">an integrated group of subsystems </w:t>
      </w:r>
      <w:r>
        <w:t>used for the processing, collecti</w:t>
      </w:r>
      <w:r w:rsidR="000910DB">
        <w:t>ng, analysis, and reporting of i</w:t>
      </w:r>
      <w:r>
        <w:t xml:space="preserve">nformation needed to support Medicaid and </w:t>
      </w:r>
      <w:r w:rsidR="00AF6385" w:rsidRPr="00AF6385">
        <w:t>Children's Health Insurance Program</w:t>
      </w:r>
      <w:r w:rsidR="00AF6385">
        <w:t xml:space="preserve"> </w:t>
      </w:r>
      <w:r w:rsidR="00AF6385" w:rsidRPr="00AF6385">
        <w:t>(</w:t>
      </w:r>
      <w:r w:rsidR="000910DB" w:rsidRPr="00AF6385">
        <w:t>CHIP</w:t>
      </w:r>
      <w:r w:rsidR="00AF6385" w:rsidRPr="00AF6385">
        <w:t>)</w:t>
      </w:r>
      <w:r w:rsidR="000910DB" w:rsidRPr="00AF6385">
        <w:t xml:space="preserve"> f</w:t>
      </w:r>
      <w:r w:rsidR="000910DB">
        <w:t>unctions including claims and payments.</w:t>
      </w:r>
      <w:r>
        <w:t xml:space="preserve"> </w:t>
      </w:r>
    </w:p>
    <w:p w14:paraId="7539A3E8" w14:textId="77777777" w:rsidR="00116961" w:rsidRPr="00116961" w:rsidRDefault="00116961" w:rsidP="00257641">
      <w:r w:rsidRPr="00A15F3C">
        <w:rPr>
          <w:u w:val="single"/>
        </w:rPr>
        <w:t>Medicaid Policy</w:t>
      </w:r>
      <w:r w:rsidR="00F85A1C" w:rsidRPr="00DF1D1C">
        <w:t xml:space="preserve"> – </w:t>
      </w:r>
      <w:r w:rsidRPr="00116961">
        <w:t>collectively refers to documents and other written materials including the State Medicaid plan, program instructions, attendant provider manuals, program bulletins, and all published policy decisions issued by BMS. These materials are available through BMS.</w:t>
      </w:r>
    </w:p>
    <w:p w14:paraId="3F51E561" w14:textId="77777777" w:rsidR="00CD4383" w:rsidRDefault="00CD4383" w:rsidP="00257641">
      <w:r w:rsidRPr="00DF1D1C">
        <w:rPr>
          <w:u w:val="single"/>
        </w:rPr>
        <w:lastRenderedPageBreak/>
        <w:t>Medicaid Program Provider Manuals</w:t>
      </w:r>
      <w:r w:rsidRPr="00203E0A">
        <w:t xml:space="preserve"> </w:t>
      </w:r>
      <w:r w:rsidR="0029620F" w:rsidRPr="00DF1D1C">
        <w:t>–</w:t>
      </w:r>
      <w:r w:rsidRPr="00DF1D1C">
        <w:t xml:space="preserve"> service</w:t>
      </w:r>
      <w:r w:rsidR="0029620F" w:rsidRPr="00DF1D1C">
        <w:t>-</w:t>
      </w:r>
      <w:r w:rsidRPr="00DF1D1C">
        <w:t>specific documents created by the Bureau for Medical Services to describe policies and procedures applicable to the program generally and that service specifically.</w:t>
      </w:r>
    </w:p>
    <w:p w14:paraId="23987D3A" w14:textId="73D0550C" w:rsidR="007257D9" w:rsidRDefault="007257D9" w:rsidP="00257641">
      <w:r w:rsidRPr="006E61D4">
        <w:rPr>
          <w:u w:val="single"/>
        </w:rPr>
        <w:t>Medical Assessment</w:t>
      </w:r>
      <w:r w:rsidR="006507E0">
        <w:t xml:space="preserve"> – a</w:t>
      </w:r>
      <w:r w:rsidRPr="005F12A2">
        <w:t xml:space="preserve">n initial medical evaluation completed for </w:t>
      </w:r>
      <w:r w:rsidR="00DF28D8">
        <w:t xml:space="preserve">enrollees </w:t>
      </w:r>
      <w:r>
        <w:t xml:space="preserve">in </w:t>
      </w:r>
      <w:r w:rsidRPr="005F12A2">
        <w:t>F</w:t>
      </w:r>
      <w:r>
        <w:t xml:space="preserve">oster </w:t>
      </w:r>
      <w:r w:rsidRPr="005F12A2">
        <w:t>C</w:t>
      </w:r>
      <w:r>
        <w:t>are when they have</w:t>
      </w:r>
      <w:r w:rsidRPr="005F12A2">
        <w:t xml:space="preserve"> newly enter</w:t>
      </w:r>
      <w:r>
        <w:t>ed</w:t>
      </w:r>
      <w:r w:rsidRPr="005F12A2">
        <w:t xml:space="preserve"> or</w:t>
      </w:r>
      <w:r>
        <w:t xml:space="preserve"> are</w:t>
      </w:r>
      <w:r w:rsidRPr="005F12A2">
        <w:t xml:space="preserve"> re-entering Foster Care</w:t>
      </w:r>
      <w:r>
        <w:t xml:space="preserve">. The </w:t>
      </w:r>
      <w:r w:rsidRPr="005F12A2">
        <w:t>Medical Assessment must follow the requirements set forth in Medicaid EPSDT program, and include dental, hearing</w:t>
      </w:r>
      <w:r>
        <w:t>,</w:t>
      </w:r>
      <w:r w:rsidRPr="005F12A2">
        <w:t xml:space="preserve"> and developmental</w:t>
      </w:r>
      <w:r>
        <w:t xml:space="preserve"> </w:t>
      </w:r>
      <w:r w:rsidRPr="005F12A2">
        <w:t xml:space="preserve">screenings. </w:t>
      </w:r>
      <w:r>
        <w:t>A trauma assessment</w:t>
      </w:r>
      <w:r w:rsidRPr="005F12A2" w:rsidDel="000878D1">
        <w:t xml:space="preserve"> </w:t>
      </w:r>
      <w:r>
        <w:t xml:space="preserve">must also be performed at this time. </w:t>
      </w:r>
      <w:r w:rsidRPr="001C2E59">
        <w:t xml:space="preserve">Assessments must be completed within </w:t>
      </w:r>
      <w:r>
        <w:t>thirty (</w:t>
      </w:r>
      <w:r w:rsidRPr="001C2E59">
        <w:t>30</w:t>
      </w:r>
      <w:r>
        <w:t>) calendar</w:t>
      </w:r>
      <w:r w:rsidRPr="001C2E59">
        <w:t xml:space="preserve"> days.</w:t>
      </w:r>
    </w:p>
    <w:p w14:paraId="43D99BDF" w14:textId="2E373A43" w:rsidR="005E4604" w:rsidRDefault="006411EB" w:rsidP="00257641">
      <w:r w:rsidRPr="00012EFE">
        <w:rPr>
          <w:u w:val="single"/>
        </w:rPr>
        <w:t>Medical Loss Ratio</w:t>
      </w:r>
      <w:r w:rsidR="006B1CBE">
        <w:rPr>
          <w:u w:val="single"/>
        </w:rPr>
        <w:t xml:space="preserve"> (MLR)</w:t>
      </w:r>
      <w:r w:rsidR="006507E0">
        <w:t xml:space="preserve"> – </w:t>
      </w:r>
      <w:r w:rsidRPr="006411EB">
        <w:t>the</w:t>
      </w:r>
      <w:r w:rsidR="00A41795">
        <w:t xml:space="preserve"> </w:t>
      </w:r>
      <w:r w:rsidR="00A41795" w:rsidRPr="0026572E">
        <w:t xml:space="preserve">ratio </w:t>
      </w:r>
      <w:r w:rsidR="00603217">
        <w:t>of</w:t>
      </w:r>
      <w:r w:rsidR="00A41795" w:rsidRPr="0026572E">
        <w:t xml:space="preserve"> the </w:t>
      </w:r>
      <w:r w:rsidR="006821BE" w:rsidRPr="008F3AA1">
        <w:t>numerator (as defined in accordance with 42 CFR 438.8(e)) to the denominator (as defined in accordance with 42 CFR 438.8(f))</w:t>
      </w:r>
      <w:r w:rsidR="00F16F14">
        <w:t xml:space="preserve"> </w:t>
      </w:r>
      <w:r w:rsidR="00180926">
        <w:t xml:space="preserve">and </w:t>
      </w:r>
      <w:r w:rsidR="00F6501D" w:rsidRPr="00F6501D">
        <w:t>subject to an</w:t>
      </w:r>
      <w:r w:rsidR="00DF280E">
        <w:t>y</w:t>
      </w:r>
      <w:r w:rsidR="00F6501D" w:rsidRPr="00F6501D">
        <w:t xml:space="preserve"> applicable adjustment</w:t>
      </w:r>
      <w:r w:rsidR="00F569B7">
        <w:t>s</w:t>
      </w:r>
      <w:r w:rsidR="00F6501D" w:rsidRPr="00F6501D">
        <w:t>, as provided</w:t>
      </w:r>
      <w:r w:rsidR="00F16F14">
        <w:t xml:space="preserve"> under this </w:t>
      </w:r>
      <w:r w:rsidR="009B19C2">
        <w:t xml:space="preserve">Contract </w:t>
      </w:r>
      <w:r w:rsidR="00DF280E">
        <w:t xml:space="preserve">and </w:t>
      </w:r>
      <w:r w:rsidR="00F33B38">
        <w:t>Appendix</w:t>
      </w:r>
      <w:r w:rsidR="00DF280E">
        <w:t xml:space="preserve"> </w:t>
      </w:r>
      <w:r w:rsidR="005241E8">
        <w:t>G</w:t>
      </w:r>
      <w:r w:rsidR="009F1947">
        <w:t>.</w:t>
      </w:r>
      <w:r>
        <w:t xml:space="preserve"> </w:t>
      </w:r>
    </w:p>
    <w:p w14:paraId="2840B89C" w14:textId="4BF88CA5" w:rsidR="006B1CBE" w:rsidRDefault="006B1CBE" w:rsidP="00257641">
      <w:r w:rsidRPr="006B1CBE">
        <w:rPr>
          <w:u w:val="single"/>
        </w:rPr>
        <w:t>Medically Necessary</w:t>
      </w:r>
      <w:r w:rsidRPr="006B1CBE">
        <w:t xml:space="preserve"> – refers to items or services furnished or to be furnished to a patient for diagnosing, evaluating, treating, or preventing an injury, illness, condition, or disease, based on evidence-based clinical standards of care. Medically necessary services are accepted health care services and supplies that are reasonable and necessary for the diagnosis or treatment of illness or injury; to improve the functioning of a malformed body member; to attain, maintain, or regain functional capacity; for the prevention of illness; or to achieve age-appropriate growth and development. Determination of medical necessity is based on specific criteria.</w:t>
      </w:r>
    </w:p>
    <w:p w14:paraId="0E3D877E" w14:textId="2CDCEC5C" w:rsidR="007241FD" w:rsidRDefault="007241FD" w:rsidP="00257641">
      <w:r w:rsidRPr="00AB742E">
        <w:rPr>
          <w:u w:val="single"/>
        </w:rPr>
        <w:t>Mountain Health Trust</w:t>
      </w:r>
      <w:r w:rsidR="00941618">
        <w:rPr>
          <w:u w:val="single"/>
        </w:rPr>
        <w:t xml:space="preserve"> (MHT)</w:t>
      </w:r>
      <w:r w:rsidR="009F6F15">
        <w:t xml:space="preserve"> – t</w:t>
      </w:r>
      <w:r w:rsidRPr="007241FD">
        <w:t xml:space="preserve">he name of West Virginia’s Medicaid mandatory managed care program for </w:t>
      </w:r>
      <w:r w:rsidR="00AE37C5" w:rsidRPr="00203E0A">
        <w:t>Temporary Assistance to Needy Families (</w:t>
      </w:r>
      <w:r w:rsidRPr="007241FD">
        <w:t>TANF</w:t>
      </w:r>
      <w:r w:rsidR="00AE37C5">
        <w:t>)</w:t>
      </w:r>
      <w:r w:rsidRPr="007241FD">
        <w:t xml:space="preserve"> and TANF-related children and adults who are eligible to participate in managed care.</w:t>
      </w:r>
    </w:p>
    <w:p w14:paraId="73057AEC" w14:textId="31F4DD3E" w:rsidR="005F12A2" w:rsidRPr="00DF1D1C" w:rsidRDefault="005F12A2" w:rsidP="00257641">
      <w:r w:rsidRPr="005E31FC">
        <w:rPr>
          <w:u w:val="single"/>
        </w:rPr>
        <w:t>Multidisciplinary Team (MDT)</w:t>
      </w:r>
      <w:r w:rsidR="006507E0">
        <w:t xml:space="preserve"> – </w:t>
      </w:r>
      <w:r w:rsidRPr="005F12A2">
        <w:t xml:space="preserve">team consisting of persons representing various disciplines associated with key components of the Foster Care assessment process. The purpose of the MDT meetings is to review the outcome and recommendations of the </w:t>
      </w:r>
      <w:r w:rsidR="005E31FC">
        <w:t>p</w:t>
      </w:r>
      <w:r w:rsidRPr="005F12A2">
        <w:t>rovider related to the assessment of the F</w:t>
      </w:r>
      <w:r w:rsidR="005E31FC">
        <w:t xml:space="preserve">oster </w:t>
      </w:r>
      <w:r w:rsidRPr="005F12A2">
        <w:t>C</w:t>
      </w:r>
      <w:r w:rsidR="005E31FC">
        <w:t>are</w:t>
      </w:r>
      <w:r w:rsidRPr="005F12A2">
        <w:t xml:space="preserve"> </w:t>
      </w:r>
      <w:r w:rsidR="00DF28D8">
        <w:t>enrollee</w:t>
      </w:r>
      <w:r w:rsidR="00DF28D8" w:rsidRPr="005F12A2">
        <w:t xml:space="preserve"> </w:t>
      </w:r>
      <w:r w:rsidRPr="005F12A2">
        <w:t xml:space="preserve">and the </w:t>
      </w:r>
      <w:r w:rsidR="00DF28D8">
        <w:t>enrollee</w:t>
      </w:r>
      <w:r w:rsidR="00DF28D8" w:rsidRPr="005F12A2">
        <w:t xml:space="preserve">’s </w:t>
      </w:r>
      <w:r w:rsidRPr="005F12A2">
        <w:t>family.</w:t>
      </w:r>
    </w:p>
    <w:p w14:paraId="69839934" w14:textId="77777777" w:rsidR="00967C85" w:rsidRDefault="000A5858" w:rsidP="00257641">
      <w:r w:rsidRPr="000A5858">
        <w:rPr>
          <w:u w:val="single"/>
        </w:rPr>
        <w:t>National Committee for Quality Assurance (NCQA)</w:t>
      </w:r>
      <w:r w:rsidR="00F85A1C" w:rsidRPr="00DF1D1C">
        <w:t xml:space="preserve"> – </w:t>
      </w:r>
      <w:r w:rsidRPr="00533CCF">
        <w:t>the independent organization that accredits MCOs, managed behavioral health organizations, and accredits and certifies Disease Management programs.</w:t>
      </w:r>
    </w:p>
    <w:p w14:paraId="74378393" w14:textId="19D8535D" w:rsidR="006B1CBE" w:rsidRPr="00A66DC9" w:rsidRDefault="006B1CBE" w:rsidP="00257641">
      <w:r w:rsidRPr="00041AA6">
        <w:rPr>
          <w:u w:val="single"/>
        </w:rPr>
        <w:t>Network</w:t>
      </w:r>
      <w:r w:rsidRPr="006B1CBE">
        <w:t xml:space="preserve"> – doctors, hospitals, facilities, and other licensed health care professionals who contract with an MCO to give care to its </w:t>
      </w:r>
      <w:r w:rsidR="00DF28D8">
        <w:t>enrollee</w:t>
      </w:r>
      <w:r w:rsidR="00DF28D8" w:rsidRPr="006B1CBE">
        <w:t>s</w:t>
      </w:r>
      <w:r w:rsidRPr="006B1CBE">
        <w:t>.</w:t>
      </w:r>
    </w:p>
    <w:p w14:paraId="78995513" w14:textId="17BAAA39" w:rsidR="00967C85" w:rsidRDefault="007241FD" w:rsidP="00257641">
      <w:r w:rsidRPr="007241FD">
        <w:rPr>
          <w:u w:val="single"/>
        </w:rPr>
        <w:t>Non-Emergency Services</w:t>
      </w:r>
      <w:r w:rsidR="006507E0">
        <w:t xml:space="preserve"> – </w:t>
      </w:r>
      <w:r w:rsidR="00E70E51">
        <w:t>a</w:t>
      </w:r>
      <w:r w:rsidRPr="00AB742E">
        <w:t>ny care or services that are not considered emergency services as defined in this Contract. This does not include any services furnished in a hospital emergency department that are required to be provided as an appropriate medical screening examination or stabilizing examination and treatment under section 1867 of the Social Security Act.</w:t>
      </w:r>
    </w:p>
    <w:p w14:paraId="7FE4BA1D" w14:textId="1B02E756" w:rsidR="00B9444F" w:rsidRPr="00A66DC9" w:rsidRDefault="00B9444F" w:rsidP="00257641">
      <w:r w:rsidRPr="00FB7E1F">
        <w:rPr>
          <w:u w:val="single"/>
        </w:rPr>
        <w:t>Non</w:t>
      </w:r>
      <w:r w:rsidRPr="00C80322">
        <w:rPr>
          <w:u w:val="single"/>
        </w:rPr>
        <w:t>-Participating Provider</w:t>
      </w:r>
      <w:r w:rsidR="006507E0">
        <w:t xml:space="preserve"> – </w:t>
      </w:r>
      <w:r>
        <w:t>a</w:t>
      </w:r>
      <w:r w:rsidRPr="00B9444F">
        <w:t xml:space="preserve"> doctor, hospital,</w:t>
      </w:r>
      <w:r w:rsidR="000B3C69">
        <w:t xml:space="preserve"> facility,</w:t>
      </w:r>
      <w:r w:rsidRPr="00B9444F">
        <w:t xml:space="preserve"> or other licensed health care professional who has not signed a contract</w:t>
      </w:r>
      <w:r w:rsidR="00340FEA">
        <w:t xml:space="preserve"> or had a contract signed on his/her behalf</w:t>
      </w:r>
      <w:r w:rsidRPr="00B9444F">
        <w:t xml:space="preserve"> agreeing to provide services to </w:t>
      </w:r>
      <w:r>
        <w:t>the MCO’s</w:t>
      </w:r>
      <w:r w:rsidRPr="00B9444F">
        <w:t xml:space="preserve"> </w:t>
      </w:r>
      <w:r w:rsidR="00DF28D8">
        <w:t>enrollee</w:t>
      </w:r>
      <w:r w:rsidR="00DF28D8" w:rsidRPr="00B9444F">
        <w:t>s</w:t>
      </w:r>
      <w:r w:rsidRPr="00B9444F">
        <w:t xml:space="preserve">. </w:t>
      </w:r>
    </w:p>
    <w:p w14:paraId="2D61BD67" w14:textId="7CCF807F" w:rsidR="00BF3EFF" w:rsidRDefault="00ED0736" w:rsidP="00257641">
      <w:r w:rsidRPr="00C43612">
        <w:rPr>
          <w:u w:val="single"/>
        </w:rPr>
        <w:t>Open Panel</w:t>
      </w:r>
      <w:r w:rsidR="006507E0">
        <w:t xml:space="preserve"> – </w:t>
      </w:r>
      <w:r w:rsidRPr="00ED0736">
        <w:t>PCPs who are acce</w:t>
      </w:r>
      <w:r>
        <w:t>pting new patients for the MCO</w:t>
      </w:r>
      <w:r w:rsidRPr="00ED0736">
        <w:t>.</w:t>
      </w:r>
    </w:p>
    <w:p w14:paraId="5F74582A" w14:textId="12E8D94E" w:rsidR="00770875" w:rsidRDefault="00770875" w:rsidP="00257641">
      <w:r>
        <w:rPr>
          <w:u w:val="single"/>
        </w:rPr>
        <w:lastRenderedPageBreak/>
        <w:t>Overpayment</w:t>
      </w:r>
      <w:r w:rsidR="006507E0">
        <w:t xml:space="preserve"> – </w:t>
      </w:r>
      <w:r w:rsidRPr="00770875">
        <w:t>money paid to a Provider by an MCO for a claim or claims, which exceeds the amount which should have been paid by the MCO.</w:t>
      </w:r>
    </w:p>
    <w:p w14:paraId="78596702" w14:textId="59718BD5" w:rsidR="006B1CBE" w:rsidRPr="00A66DC9" w:rsidRDefault="006B1CBE" w:rsidP="00257641">
      <w:r w:rsidRPr="00041AA6">
        <w:rPr>
          <w:u w:val="single"/>
        </w:rPr>
        <w:t>Participating Provider</w:t>
      </w:r>
      <w:r w:rsidRPr="006B1CBE">
        <w:t xml:space="preserve"> – a doctor, hospital, facility, or other licensed health care professional who has signed a contract or had a contract signed on his/her behalf agreeing to provide services to the MCO’s </w:t>
      </w:r>
      <w:r w:rsidR="00DF28D8">
        <w:t>enrollee</w:t>
      </w:r>
      <w:r w:rsidR="00DF28D8" w:rsidRPr="006B1CBE">
        <w:t>s</w:t>
      </w:r>
      <w:r w:rsidRPr="006B1CBE">
        <w:t>.</w:t>
      </w:r>
    </w:p>
    <w:p w14:paraId="19ABE9DE" w14:textId="7CFE979E" w:rsidR="001935B1" w:rsidRDefault="001935B1" w:rsidP="00257641">
      <w:r w:rsidRPr="001935B1">
        <w:rPr>
          <w:u w:val="single"/>
        </w:rPr>
        <w:t>Patient-Centered Medical Home</w:t>
      </w:r>
      <w:r w:rsidRPr="001935B1">
        <w:t xml:space="preserve"> – </w:t>
      </w:r>
      <w:r>
        <w:t>“</w:t>
      </w:r>
      <w:r w:rsidRPr="001935B1">
        <w:t xml:space="preserve">a health care setting that facilitates partnerships between individual patients and their personal physicians and, when appropriate, the patients’ families and communities. A patient-centered medical home integrates patients as active participants in their own health and well-being. Patients are cared for by a physician or physician practice that leads a multidisciplinary health team, which may include, but is not limited to, nurse practitioners, nurses, physician’s assistants, behavioral health providers, pharmacists, social workers, physical therapists, dental and eye care providers and dieticians to meet the needs of the patient in all aspects of preventive, acute, chronic care and end-of-life care using evidence-based medicine and technology. At the point in time that </w:t>
      </w:r>
      <w:r w:rsidR="007257D9">
        <w:t>CMS</w:t>
      </w:r>
      <w:r w:rsidR="007911CC">
        <w:t xml:space="preserve"> </w:t>
      </w:r>
      <w:r w:rsidRPr="001935B1">
        <w:t xml:space="preserve">includes the nurse practitioner </w:t>
      </w:r>
      <w:r w:rsidR="006821BE">
        <w:t xml:space="preserve">(NP) </w:t>
      </w:r>
      <w:r w:rsidRPr="001935B1">
        <w:t>as a leader of the multidisciplinary health team, this state will autom</w:t>
      </w:r>
      <w:r>
        <w:t>atically implement this change (</w:t>
      </w:r>
      <w:r w:rsidRPr="00DF1D1C">
        <w:rPr>
          <w:bCs/>
        </w:rPr>
        <w:t>§</w:t>
      </w:r>
      <w:r>
        <w:rPr>
          <w:bCs/>
        </w:rPr>
        <w:t>16</w:t>
      </w:r>
      <w:r w:rsidRPr="00DF1D1C">
        <w:rPr>
          <w:bCs/>
        </w:rPr>
        <w:t>-</w:t>
      </w:r>
      <w:r>
        <w:rPr>
          <w:bCs/>
        </w:rPr>
        <w:t>29 H-9</w:t>
      </w:r>
      <w:r w:rsidRPr="00DF1D1C">
        <w:rPr>
          <w:bCs/>
        </w:rPr>
        <w:t xml:space="preserve"> of the West Virginia State Code</w:t>
      </w:r>
      <w:r>
        <w:rPr>
          <w:bCs/>
        </w:rPr>
        <w:t>)</w:t>
      </w:r>
      <w:r>
        <w:t>.”</w:t>
      </w:r>
    </w:p>
    <w:p w14:paraId="2EF6CDE7" w14:textId="4D45ED03" w:rsidR="006B1CBE" w:rsidRDefault="006B1CBE" w:rsidP="00257641">
      <w:r w:rsidRPr="00415887">
        <w:rPr>
          <w:u w:val="single"/>
        </w:rPr>
        <w:t>Patient Protection and Affordable Care Act (</w:t>
      </w:r>
      <w:r w:rsidRPr="00A66DC9">
        <w:rPr>
          <w:u w:val="single"/>
        </w:rPr>
        <w:t>PPACA</w:t>
      </w:r>
      <w:r>
        <w:rPr>
          <w:u w:val="single"/>
        </w:rPr>
        <w:t>)</w:t>
      </w:r>
      <w:r w:rsidRPr="0014370C">
        <w:t xml:space="preserve"> –</w:t>
      </w:r>
      <w:r>
        <w:t xml:space="preserve"> </w:t>
      </w:r>
      <w:r w:rsidRPr="0014370C">
        <w:t>the Patient Protection and Affordable Care Act of 2010 (P.L. 111-148), as amended by the Health Care and Education Reconciliation Act of 2010 (Public Law 111-152), together known as the Affordable Care Act (ACA).</w:t>
      </w:r>
    </w:p>
    <w:p w14:paraId="3A2028F1" w14:textId="740E500E" w:rsidR="00FD2BD0" w:rsidRDefault="00FD2BD0" w:rsidP="00257641">
      <w:r w:rsidRPr="00DD729F">
        <w:rPr>
          <w:u w:val="single"/>
        </w:rPr>
        <w:t xml:space="preserve">Periodicity </w:t>
      </w:r>
      <w:r w:rsidR="00D46065" w:rsidRPr="00DD729F">
        <w:rPr>
          <w:u w:val="single"/>
        </w:rPr>
        <w:t>S</w:t>
      </w:r>
      <w:r w:rsidRPr="00DD729F">
        <w:rPr>
          <w:u w:val="single"/>
        </w:rPr>
        <w:t>chedule</w:t>
      </w:r>
      <w:r w:rsidRPr="00203E0A">
        <w:t xml:space="preserve"> </w:t>
      </w:r>
      <w:r w:rsidRPr="003B0FBA">
        <w:t>– the requirements and frequency by which periodic screening services are provided and covered.</w:t>
      </w:r>
      <w:r w:rsidR="00F24820">
        <w:t xml:space="preserve"> </w:t>
      </w:r>
      <w:r w:rsidRPr="003B0FBA">
        <w:t xml:space="preserve">Schedule must meet current standards of pediatric medical and dental practice and specify screening services applicable at each stage of the </w:t>
      </w:r>
      <w:r w:rsidR="00AC0524">
        <w:t>enrollee</w:t>
      </w:r>
      <w:r w:rsidR="00AC0524" w:rsidRPr="003B0FBA">
        <w:t xml:space="preserve">'s </w:t>
      </w:r>
      <w:r w:rsidRPr="003B0FBA">
        <w:t>life, beginning with a neonatal examination, up to the age at which an individual is no longer eligible for EPSDT services</w:t>
      </w:r>
      <w:r w:rsidR="00D46065">
        <w:t>.</w:t>
      </w:r>
    </w:p>
    <w:p w14:paraId="091312B5" w14:textId="77D9DA47" w:rsidR="00874F29" w:rsidRDefault="00874F29" w:rsidP="00257641">
      <w:r w:rsidRPr="00E60603">
        <w:rPr>
          <w:u w:val="single"/>
        </w:rPr>
        <w:t>Persons with Special Health Care Needs</w:t>
      </w:r>
      <w:r w:rsidR="00AE37C5">
        <w:rPr>
          <w:u w:val="single"/>
        </w:rPr>
        <w:t xml:space="preserve"> (SHCN)</w:t>
      </w:r>
      <w:r w:rsidR="00E60603">
        <w:t xml:space="preserve"> – individuals </w:t>
      </w:r>
      <w:r w:rsidR="00E60603" w:rsidRPr="00E60603">
        <w:t xml:space="preserve">who have chronic physical, developmental, behavioral or emotional conditions. Such needs are of a type or amount beyond that </w:t>
      </w:r>
      <w:r w:rsidR="00E60603">
        <w:t xml:space="preserve">generally </w:t>
      </w:r>
      <w:r w:rsidR="00E60603" w:rsidRPr="00E60603">
        <w:t xml:space="preserve">required by </w:t>
      </w:r>
      <w:r w:rsidR="00E60603">
        <w:t>individuals in that age range</w:t>
      </w:r>
      <w:r w:rsidR="00E60603" w:rsidRPr="00E60603">
        <w:t>.</w:t>
      </w:r>
    </w:p>
    <w:p w14:paraId="52755F7F" w14:textId="1BA025C1" w:rsidR="006B1CBE" w:rsidRPr="00FD2BD0" w:rsidRDefault="006B1CBE" w:rsidP="00257641">
      <w:r w:rsidRPr="00041AA6">
        <w:rPr>
          <w:u w:val="single"/>
        </w:rPr>
        <w:t>Physician Services</w:t>
      </w:r>
      <w:r w:rsidRPr="006B1CBE">
        <w:t xml:space="preserve"> – health care services that a licensed medical physician provides or coordinates.</w:t>
      </w:r>
    </w:p>
    <w:p w14:paraId="7ECF7040" w14:textId="77777777" w:rsidR="0071482A" w:rsidRPr="00DF1D1C" w:rsidRDefault="0071482A" w:rsidP="00257641">
      <w:pPr>
        <w:rPr>
          <w:u w:val="single"/>
        </w:rPr>
      </w:pPr>
      <w:r w:rsidRPr="00DF1D1C">
        <w:rPr>
          <w:u w:val="single"/>
        </w:rPr>
        <w:t xml:space="preserve">Post-stabilization </w:t>
      </w:r>
      <w:r w:rsidR="009A0060" w:rsidRPr="00DF1D1C">
        <w:rPr>
          <w:u w:val="single"/>
        </w:rPr>
        <w:t>S</w:t>
      </w:r>
      <w:r w:rsidRPr="00DF1D1C">
        <w:rPr>
          <w:u w:val="single"/>
        </w:rPr>
        <w:t>ervices</w:t>
      </w:r>
      <w:r w:rsidR="00F85A1C" w:rsidRPr="00DF1D1C">
        <w:t xml:space="preserve"> – </w:t>
      </w:r>
      <w:r w:rsidRPr="00DF1D1C">
        <w:t>services subsequent to an emergency medical condition that a</w:t>
      </w:r>
      <w:r w:rsidR="006215B0">
        <w:t xml:space="preserve"> treating physician views as Medically N</w:t>
      </w:r>
      <w:r w:rsidRPr="00DF1D1C">
        <w:t>ecessary after an enrollee</w:t>
      </w:r>
      <w:r w:rsidR="00FA1C0C" w:rsidRPr="00DF1D1C">
        <w:t>’</w:t>
      </w:r>
      <w:r w:rsidRPr="00DF1D1C">
        <w:t>s condition has been stabilized in order to maintain the stabilized condition or to improve or resolve the enrollee</w:t>
      </w:r>
      <w:r w:rsidR="00FA1C0C" w:rsidRPr="00DF1D1C">
        <w:t>’</w:t>
      </w:r>
      <w:r w:rsidRPr="00DF1D1C">
        <w:t>s condition.</w:t>
      </w:r>
    </w:p>
    <w:p w14:paraId="77124B1F" w14:textId="77777777" w:rsidR="00BF3EFF" w:rsidRPr="00A66DC9" w:rsidRDefault="001A36BC" w:rsidP="00257641">
      <w:r w:rsidRPr="00DF1D1C">
        <w:rPr>
          <w:u w:val="single"/>
        </w:rPr>
        <w:t>Potential Enrollee</w:t>
      </w:r>
      <w:r w:rsidR="00F85A1C" w:rsidRPr="00DF1D1C">
        <w:t xml:space="preserve"> – </w:t>
      </w:r>
      <w:r w:rsidRPr="00DF1D1C">
        <w:t>a Medicaid recipient who is subject to mandatory enrollment or may voluntarily elect to enroll in a given managed care program, but is not yet an enrollee of a specific MCO.</w:t>
      </w:r>
    </w:p>
    <w:p w14:paraId="13D8D87B" w14:textId="764AC8D5" w:rsidR="00200E4B" w:rsidRDefault="007241FD" w:rsidP="00257641">
      <w:r w:rsidRPr="00C26F2F">
        <w:rPr>
          <w:u w:val="single"/>
        </w:rPr>
        <w:t>Pregnant Women or Pregnancy-Related Services</w:t>
      </w:r>
      <w:r w:rsidRPr="007241FD">
        <w:t xml:space="preserve"> – </w:t>
      </w:r>
      <w:r w:rsidR="006B1CBE">
        <w:t>a</w:t>
      </w:r>
      <w:r w:rsidRPr="007241FD">
        <w:t xml:space="preserve">ll women receiving related services and services for other conditions that might complicate the pregnancy, unless specifically identified in the </w:t>
      </w:r>
      <w:r w:rsidR="00772DED">
        <w:t xml:space="preserve">Medicaid </w:t>
      </w:r>
      <w:r w:rsidRPr="007241FD">
        <w:t xml:space="preserve">State Plan as not being related to the pregnancy. This includes counseling for cessation of tobacco use and services during the postpartum period. The pregnancy period for </w:t>
      </w:r>
      <w:r w:rsidRPr="007241FD">
        <w:lastRenderedPageBreak/>
        <w:t xml:space="preserve">which these services must be covered includes the prenatal period through the postpartum period (including the </w:t>
      </w:r>
      <w:r w:rsidR="009422F7">
        <w:t>sixty (</w:t>
      </w:r>
      <w:r w:rsidRPr="007241FD">
        <w:t>60</w:t>
      </w:r>
      <w:r w:rsidR="009422F7">
        <w:t>)</w:t>
      </w:r>
      <w:r w:rsidRPr="007241FD">
        <w:t>-day postpartum period following the end of pregnancy; see 42 CFR 440.210(a)(3).</w:t>
      </w:r>
    </w:p>
    <w:p w14:paraId="1FD0D797" w14:textId="64221595" w:rsidR="006B1CBE" w:rsidRDefault="006B1CBE" w:rsidP="00257641">
      <w:r w:rsidRPr="00041AA6">
        <w:rPr>
          <w:u w:val="single"/>
        </w:rPr>
        <w:t>Prescription Drug Coverage</w:t>
      </w:r>
      <w:r>
        <w:t xml:space="preserve"> – health insurance that helps pay for prescription drugs and medications. Prescription drug coverage is not provided by the MCO. </w:t>
      </w:r>
      <w:r w:rsidR="006821BE">
        <w:t xml:space="preserve">The Department </w:t>
      </w:r>
      <w:r>
        <w:t xml:space="preserve">provides </w:t>
      </w:r>
      <w:r w:rsidR="008733DF">
        <w:t xml:space="preserve">outpatient </w:t>
      </w:r>
      <w:r>
        <w:t xml:space="preserve">prescription drug coverage directly to Medicaid </w:t>
      </w:r>
      <w:r w:rsidR="00485C8C">
        <w:t>enrollees</w:t>
      </w:r>
      <w:r>
        <w:t>.</w:t>
      </w:r>
    </w:p>
    <w:p w14:paraId="313D1C40" w14:textId="29EB82F7" w:rsidR="006B1CBE" w:rsidRDefault="006B1CBE" w:rsidP="00257641">
      <w:r w:rsidRPr="00041AA6">
        <w:rPr>
          <w:u w:val="single"/>
        </w:rPr>
        <w:t>Prescription Drugs</w:t>
      </w:r>
      <w:r>
        <w:t xml:space="preserve"> – drugs and medication that, by law, require a prescription.</w:t>
      </w:r>
    </w:p>
    <w:p w14:paraId="265C16F8" w14:textId="0AA2CF92" w:rsidR="006B1CBE" w:rsidRPr="008232A0" w:rsidRDefault="006B1CBE" w:rsidP="00257641">
      <w:r w:rsidRPr="00041AA6">
        <w:rPr>
          <w:u w:val="single"/>
        </w:rPr>
        <w:t>Primary Care Physician</w:t>
      </w:r>
      <w:r w:rsidRPr="006B1CBE">
        <w:t xml:space="preserve"> – a doctor who directly provides and coordinates health care services to MCO </w:t>
      </w:r>
      <w:r w:rsidR="00485C8C">
        <w:t>enrollee</w:t>
      </w:r>
      <w:r w:rsidR="00485C8C" w:rsidRPr="006B1CBE">
        <w:t>s</w:t>
      </w:r>
      <w:r w:rsidRPr="006B1CBE">
        <w:t>.</w:t>
      </w:r>
    </w:p>
    <w:p w14:paraId="00F58FAC" w14:textId="1F12216F" w:rsidR="00CD4383" w:rsidRDefault="00CD4383" w:rsidP="00257641">
      <w:r w:rsidRPr="00DF1D1C">
        <w:rPr>
          <w:u w:val="single"/>
        </w:rPr>
        <w:t>Primary Care Provider (PCP)</w:t>
      </w:r>
      <w:r w:rsidR="00F85A1C" w:rsidRPr="00DF1D1C">
        <w:t xml:space="preserve"> – </w:t>
      </w:r>
      <w:r w:rsidRPr="00DF1D1C">
        <w:t xml:space="preserve">a specific clinician responsible for </w:t>
      </w:r>
      <w:r w:rsidR="006B1CBE">
        <w:t xml:space="preserve">treating and </w:t>
      </w:r>
      <w:r w:rsidRPr="00DF1D1C">
        <w:t>coordinating the health care needs of certain enrollees.</w:t>
      </w:r>
    </w:p>
    <w:p w14:paraId="67957AAB" w14:textId="77777777" w:rsidR="0043672A" w:rsidRDefault="0043672A" w:rsidP="00257641">
      <w:r w:rsidRPr="00533CCF">
        <w:rPr>
          <w:u w:val="single"/>
        </w:rPr>
        <w:t>Primary Services</w:t>
      </w:r>
      <w:r w:rsidR="00F85A1C" w:rsidRPr="00DF1D1C">
        <w:t xml:space="preserve"> – </w:t>
      </w:r>
      <w:r w:rsidRPr="0043672A">
        <w:t>basic or general health services rendered by general practitioners, family practitioners, internists, obstetricians</w:t>
      </w:r>
      <w:r w:rsidR="00295B27">
        <w:t>,</w:t>
      </w:r>
      <w:r w:rsidRPr="0043672A">
        <w:t xml:space="preserve"> and pediatricians.</w:t>
      </w:r>
    </w:p>
    <w:p w14:paraId="36E1EA72" w14:textId="2301D0BC" w:rsidR="006B1CBE" w:rsidRPr="00DF1D1C" w:rsidRDefault="006B1CBE" w:rsidP="00257641">
      <w:r w:rsidRPr="00041AA6">
        <w:rPr>
          <w:u w:val="single"/>
        </w:rPr>
        <w:t>Prior Authorization/Preauthorization</w:t>
      </w:r>
      <w:r w:rsidRPr="006B1CBE">
        <w:t xml:space="preserve"> – approval granted for payment purposes by the MCO for its active, specified enrollees, or the Medicaid Program to a provider to render specified services to a specified </w:t>
      </w:r>
      <w:r w:rsidR="00AC0524">
        <w:t>enrollee</w:t>
      </w:r>
      <w:r w:rsidRPr="006B1CBE">
        <w:t>.</w:t>
      </w:r>
    </w:p>
    <w:p w14:paraId="6C8FF35F" w14:textId="0DD78812" w:rsidR="00CD4383" w:rsidRPr="00DF1D1C" w:rsidRDefault="00CD4383" w:rsidP="00257641">
      <w:r w:rsidRPr="00DF1D1C">
        <w:rPr>
          <w:u w:val="single"/>
        </w:rPr>
        <w:t>Provider</w:t>
      </w:r>
      <w:r w:rsidR="00F85A1C" w:rsidRPr="00DF1D1C">
        <w:t xml:space="preserve"> –</w:t>
      </w:r>
      <w:r w:rsidR="00F24820">
        <w:t xml:space="preserve"> </w:t>
      </w:r>
      <w:r w:rsidR="004349B0">
        <w:t xml:space="preserve">an </w:t>
      </w:r>
      <w:r w:rsidR="004349B0" w:rsidRPr="004349B0">
        <w:t xml:space="preserve">individual or entity that is engaged in the delivery of </w:t>
      </w:r>
      <w:r w:rsidR="004349B0">
        <w:t xml:space="preserve">health </w:t>
      </w:r>
      <w:r w:rsidR="004349B0" w:rsidRPr="004349B0">
        <w:t>services</w:t>
      </w:r>
      <w:r w:rsidR="004349B0">
        <w:t>, or ordering or referring for those services,</w:t>
      </w:r>
      <w:r w:rsidRPr="00DF1D1C">
        <w:t xml:space="preserve"> who meets the requirements of the West Virginia Medicaid Program and is </w:t>
      </w:r>
      <w:r w:rsidR="005E7A68">
        <w:t>enrolled in</w:t>
      </w:r>
      <w:r w:rsidRPr="00DF1D1C">
        <w:t xml:space="preserve"> the </w:t>
      </w:r>
      <w:r w:rsidR="00497A97">
        <w:t>MCO</w:t>
      </w:r>
      <w:r w:rsidR="00FA1C0C" w:rsidRPr="00DF1D1C">
        <w:t>’</w:t>
      </w:r>
      <w:r w:rsidRPr="00DF1D1C">
        <w:t>s network.</w:t>
      </w:r>
    </w:p>
    <w:p w14:paraId="7E523803" w14:textId="3A738D38" w:rsidR="00AF283F" w:rsidRDefault="00AF283F" w:rsidP="00257641">
      <w:r w:rsidRPr="00AF283F">
        <w:rPr>
          <w:u w:val="single"/>
        </w:rPr>
        <w:t>Psychiatric Residential Treatment Facilities (PRTF)</w:t>
      </w:r>
      <w:r w:rsidR="009422F7">
        <w:t xml:space="preserve"> – </w:t>
      </w:r>
      <w:r w:rsidR="00207030">
        <w:t>a</w:t>
      </w:r>
      <w:r>
        <w:t xml:space="preserve"> separate, standalone entity providing a range of comprehensive psychiatric services to treat the psychiatric </w:t>
      </w:r>
      <w:r w:rsidR="001C2E59">
        <w:t>c</w:t>
      </w:r>
      <w:r>
        <w:t xml:space="preserve">ondition of residents under age twenty-one (21) years on an inpatient basis under the direction of a physician. The purpose of such comprehensive services is to improve the resident’s </w:t>
      </w:r>
      <w:r w:rsidR="001C2E59">
        <w:t>c</w:t>
      </w:r>
      <w:r>
        <w:t>ondition or prevent further regression so that the services will no longer be needed. (42 CFR §483.352, subpart D of part 441).</w:t>
      </w:r>
    </w:p>
    <w:p w14:paraId="4D3FADCC" w14:textId="208BCA1F" w:rsidR="00D55332" w:rsidRDefault="007241FD" w:rsidP="00257641">
      <w:r w:rsidRPr="00AB742E">
        <w:rPr>
          <w:u w:val="single"/>
        </w:rPr>
        <w:t>Pulmonary Rehabilitation</w:t>
      </w:r>
      <w:r w:rsidR="009422F7">
        <w:t xml:space="preserve"> – </w:t>
      </w:r>
      <w:r w:rsidR="00E70E51">
        <w:t>i</w:t>
      </w:r>
      <w:r w:rsidRPr="007241FD">
        <w:t xml:space="preserve">ndividually tailored multidisciplinary approach to the rehabilitation of </w:t>
      </w:r>
      <w:r w:rsidR="005E7A68">
        <w:t>enrollee</w:t>
      </w:r>
      <w:r w:rsidR="005E7A68" w:rsidRPr="007241FD">
        <w:t xml:space="preserve">s </w:t>
      </w:r>
      <w:r w:rsidRPr="007241FD">
        <w:t>who have pulmonary disease.</w:t>
      </w:r>
    </w:p>
    <w:p w14:paraId="4B02F032" w14:textId="00070794" w:rsidR="00AC10DB" w:rsidRDefault="005B7E03" w:rsidP="00257641">
      <w:r w:rsidRPr="00203E0A">
        <w:rPr>
          <w:u w:val="single"/>
        </w:rPr>
        <w:t>Qualified Residential Treatment Program (QRTP)</w:t>
      </w:r>
      <w:r w:rsidR="00D865A1" w:rsidRPr="00D865A1">
        <w:t xml:space="preserve"> </w:t>
      </w:r>
      <w:r w:rsidR="00D865A1">
        <w:t xml:space="preserve">– </w:t>
      </w:r>
      <w:r w:rsidR="00D865A1" w:rsidRPr="00D865A1">
        <w:t>a specific category of a</w:t>
      </w:r>
      <w:r w:rsidR="00877B8B">
        <w:t xml:space="preserve"> licensed</w:t>
      </w:r>
      <w:r w:rsidR="00D865A1" w:rsidRPr="00D865A1">
        <w:t xml:space="preserve"> non-foster family home setting</w:t>
      </w:r>
      <w:r w:rsidR="00D865A1">
        <w:t xml:space="preserve"> with a trauma-informed treatment model that is designed to address the needs, including clinical needs as appropriate, of children with serious emotional or behavioral disorders or disturbances and, with respect to a child, is able to implement the treatment identified for the child by the required thirty (30) day assessment of the appropriateness of the the </w:t>
      </w:r>
      <w:r w:rsidR="00D865A1" w:rsidRPr="00D865A1">
        <w:t>placement.</w:t>
      </w:r>
      <w:r w:rsidR="00CD4383" w:rsidRPr="00DF1D1C">
        <w:rPr>
          <w:u w:val="single"/>
        </w:rPr>
        <w:t>Regulation</w:t>
      </w:r>
      <w:r w:rsidR="00F85A1C" w:rsidRPr="00DF1D1C">
        <w:t xml:space="preserve"> – </w:t>
      </w:r>
      <w:r w:rsidR="00CD4383" w:rsidRPr="00DF1D1C">
        <w:t>a Federal or State agency statement of general applicability designed to implement or interpret law, policy</w:t>
      </w:r>
      <w:r w:rsidR="00F9126F" w:rsidRPr="00DF1D1C">
        <w:t>,</w:t>
      </w:r>
      <w:r w:rsidR="00CD4383" w:rsidRPr="00DF1D1C">
        <w:t xml:space="preserve"> or procedure.</w:t>
      </w:r>
    </w:p>
    <w:p w14:paraId="0330C33D" w14:textId="67CAD0E0" w:rsidR="00207030" w:rsidRDefault="00207030" w:rsidP="00257641">
      <w:r w:rsidRPr="00041AA6">
        <w:rPr>
          <w:u w:val="single"/>
        </w:rPr>
        <w:t>Rehabilitation Services and Devices</w:t>
      </w:r>
      <w:r w:rsidRPr="00207030">
        <w:t xml:space="preserve"> – health care services and devices that help an individual keep, get back, or improve skills and functioning for daily living that have been lost or impaired </w:t>
      </w:r>
      <w:r w:rsidRPr="00207030">
        <w:lastRenderedPageBreak/>
        <w:t>because he was sick, hurt, or disabled including occupational therapy, speech therapy, and psychiatric rehabilitation services in inpatient and/ or outpatient settings.</w:t>
      </w:r>
    </w:p>
    <w:p w14:paraId="4AC57891" w14:textId="3F52E07A" w:rsidR="00AF5AAC" w:rsidRDefault="00AF5AAC" w:rsidP="00257641">
      <w:r w:rsidRPr="00865B99">
        <w:rPr>
          <w:u w:val="single"/>
        </w:rPr>
        <w:t xml:space="preserve">Request for </w:t>
      </w:r>
      <w:r w:rsidR="00865B99" w:rsidRPr="00041AA6">
        <w:rPr>
          <w:u w:val="single"/>
        </w:rPr>
        <w:t>Proposals</w:t>
      </w:r>
      <w:r w:rsidR="00865B99" w:rsidRPr="00865B99">
        <w:rPr>
          <w:u w:val="single"/>
        </w:rPr>
        <w:t xml:space="preserve"> </w:t>
      </w:r>
      <w:r w:rsidRPr="00865B99">
        <w:rPr>
          <w:u w:val="single"/>
        </w:rPr>
        <w:t>(RF</w:t>
      </w:r>
      <w:r w:rsidR="00865B99" w:rsidRPr="00041AA6">
        <w:rPr>
          <w:u w:val="single"/>
        </w:rPr>
        <w:t>P</w:t>
      </w:r>
      <w:r w:rsidRPr="00865B99">
        <w:rPr>
          <w:u w:val="single"/>
        </w:rPr>
        <w:t>)</w:t>
      </w:r>
      <w:r w:rsidR="009422F7">
        <w:t xml:space="preserve"> – </w:t>
      </w:r>
      <w:r w:rsidR="00865B99" w:rsidRPr="00041AA6">
        <w:t>a procurement method in which vendors submit proposals in response to the request for proposal</w:t>
      </w:r>
      <w:r w:rsidR="00865B99">
        <w:t>s</w:t>
      </w:r>
      <w:r w:rsidR="00865B99" w:rsidRPr="00041AA6">
        <w:t xml:space="preserve"> published by the Purchasing Division.</w:t>
      </w:r>
      <w:r w:rsidR="003150A4">
        <w:t xml:space="preserve"> </w:t>
      </w:r>
      <w:r w:rsidR="00865B99" w:rsidRPr="00041AA6">
        <w:t>It requires an award to the highest scoring vendor, rather than the lowest cost vendor, based upon a technical evaluation of the vendor’s technical proposal and a cost evaluation.</w:t>
      </w:r>
      <w:r w:rsidR="003150A4">
        <w:t xml:space="preserve"> </w:t>
      </w:r>
      <w:r w:rsidR="00865B99" w:rsidRPr="00041AA6">
        <w:t>This is referred to as a best value procurement.</w:t>
      </w:r>
      <w:r w:rsidR="003150A4">
        <w:t xml:space="preserve"> </w:t>
      </w:r>
      <w:r w:rsidR="00865B99" w:rsidRPr="00041AA6">
        <w:t>Through their proposals, vendors offer a solution to the objectives, problem, or need specified in the RFP, and define how they intend to meet (or exceed) the RFP requirements.</w:t>
      </w:r>
      <w:r w:rsidR="00A052CF" w:rsidRPr="00A052CF">
        <w:t>.</w:t>
      </w:r>
    </w:p>
    <w:p w14:paraId="0B536950" w14:textId="40F0F1FF" w:rsidR="005F12A2" w:rsidRPr="00DF1D1C" w:rsidRDefault="005F12A2" w:rsidP="00257641">
      <w:r w:rsidRPr="00F8412C">
        <w:rPr>
          <w:u w:val="single"/>
        </w:rPr>
        <w:t>Residential Placement</w:t>
      </w:r>
      <w:r w:rsidR="009422F7">
        <w:t xml:space="preserve"> – a</w:t>
      </w:r>
      <w:r w:rsidRPr="005F12A2">
        <w:t xml:space="preserve">n Out of Home Placement setting designed to meet the needs of children and youth with behavioral, emotional and mental health needs that prevent them from being able to reside in a less structured family home setting. A residential treatment facility offers a structured physical environment and a treatment program designed to help children improve their ability to function in multiple areas of life. </w:t>
      </w:r>
    </w:p>
    <w:p w14:paraId="14AF3AAE" w14:textId="77777777" w:rsidR="00CD4383" w:rsidRDefault="00CD4383" w:rsidP="00257641">
      <w:r w:rsidRPr="00DF1D1C">
        <w:rPr>
          <w:u w:val="single"/>
        </w:rPr>
        <w:t>Risk</w:t>
      </w:r>
      <w:r w:rsidR="00F85A1C" w:rsidRPr="00DF1D1C">
        <w:t xml:space="preserve"> – </w:t>
      </w:r>
      <w:r w:rsidRPr="00DF1D1C">
        <w:t xml:space="preserve">the possibility of monetary loss or gain by the </w:t>
      </w:r>
      <w:r w:rsidR="00497A97">
        <w:t>MCO</w:t>
      </w:r>
      <w:r w:rsidRPr="00DF1D1C">
        <w:t xml:space="preserve"> resulting from service costs exceeding or being less than payments made to it by the Department.</w:t>
      </w:r>
    </w:p>
    <w:p w14:paraId="216ADD2F" w14:textId="77777777" w:rsidR="00CA4237" w:rsidRDefault="00CA4237" w:rsidP="00257641">
      <w:r>
        <w:rPr>
          <w:u w:val="single"/>
        </w:rPr>
        <w:t xml:space="preserve">Routine Care </w:t>
      </w:r>
      <w:r w:rsidRPr="001822B4">
        <w:t>– basic primary care services including the diagnosis and treatment of conditions to prevent deterioration to a more severe level, or minimize/reduce risk of development of chronic illness or the need for more complex treatment.</w:t>
      </w:r>
    </w:p>
    <w:p w14:paraId="53A6D132" w14:textId="78A449B2" w:rsidR="00AE37C5" w:rsidRDefault="00AE37C5" w:rsidP="00257641">
      <w:r w:rsidRPr="00203E0A">
        <w:rPr>
          <w:u w:val="single"/>
        </w:rPr>
        <w:t>Serious Emotional Disturbance (SED)</w:t>
      </w:r>
      <w:r w:rsidR="009422F7">
        <w:t xml:space="preserve"> – </w:t>
      </w:r>
      <w:r>
        <w:t>a diagnosable mental, behavioral, or emotional disorder</w:t>
      </w:r>
      <w:r w:rsidR="00F850AC">
        <w:t xml:space="preserve"> at any time during the past year</w:t>
      </w:r>
      <w:r>
        <w:t xml:space="preserve"> of sufficient duration to meet diagnostic criteria </w:t>
      </w:r>
      <w:r w:rsidR="006B61A9">
        <w:t xml:space="preserve">specified within the Diagnostic Statistical Manual (DSM) </w:t>
      </w:r>
      <w:r w:rsidR="00E92684">
        <w:t xml:space="preserve">and </w:t>
      </w:r>
      <w:r>
        <w:t>that resulted in functional impairmen</w:t>
      </w:r>
      <w:r w:rsidR="00E92684">
        <w:t>t which substantially interfered with or limited</w:t>
      </w:r>
      <w:r>
        <w:t xml:space="preserve"> the child’s role or functioning in family, school, or community activities. </w:t>
      </w:r>
    </w:p>
    <w:p w14:paraId="1A23E62B" w14:textId="17282731" w:rsidR="00760A53" w:rsidRDefault="0063409B" w:rsidP="00257641">
      <w:pPr>
        <w:pStyle w:val="outputtextnb1"/>
      </w:pPr>
      <w:r w:rsidRPr="00AC7069">
        <w:rPr>
          <w:u w:val="single"/>
        </w:rPr>
        <w:t>Serious Emotional Disturbance (SED)</w:t>
      </w:r>
      <w:r>
        <w:rPr>
          <w:u w:val="single"/>
        </w:rPr>
        <w:t xml:space="preserve"> Waiver</w:t>
      </w:r>
      <w:r w:rsidRPr="00203E0A">
        <w:t xml:space="preserve"> – a Medicaid </w:t>
      </w:r>
      <w:r w:rsidR="002645B5" w:rsidRPr="00203E0A">
        <w:t xml:space="preserve">home and community-based services waiver </w:t>
      </w:r>
      <w:r w:rsidR="00760A53" w:rsidRPr="004253A4">
        <w:t>authorized under §1915(c) of the Social Security Act</w:t>
      </w:r>
      <w:r w:rsidR="00760A53">
        <w:t xml:space="preserve">. The SED waiver </w:t>
      </w:r>
      <w:r w:rsidR="00760A53" w:rsidRPr="004253A4">
        <w:t xml:space="preserve">provides </w:t>
      </w:r>
      <w:r w:rsidR="00760A53">
        <w:t xml:space="preserve">additional </w:t>
      </w:r>
      <w:r w:rsidR="00760A53" w:rsidRPr="004253A4">
        <w:t xml:space="preserve">services </w:t>
      </w:r>
      <w:r w:rsidR="00760A53">
        <w:t xml:space="preserve">to those provided through the </w:t>
      </w:r>
      <w:r w:rsidR="00760A53" w:rsidRPr="004253A4">
        <w:t>Medicaid State Plan</w:t>
      </w:r>
      <w:r w:rsidR="00760A53">
        <w:t xml:space="preserve"> to</w:t>
      </w:r>
      <w:r w:rsidR="00760A53" w:rsidRPr="004253A4">
        <w:t xml:space="preserve"> children</w:t>
      </w:r>
      <w:r w:rsidR="00760A53">
        <w:t xml:space="preserve"> up to age twenty-one (21)</w:t>
      </w:r>
      <w:r w:rsidR="00760A53" w:rsidRPr="004253A4">
        <w:t xml:space="preserve"> with </w:t>
      </w:r>
      <w:r w:rsidR="00760A53">
        <w:t xml:space="preserve">an </w:t>
      </w:r>
      <w:r w:rsidR="00760A53" w:rsidRPr="004253A4">
        <w:t>SED</w:t>
      </w:r>
      <w:r w:rsidR="00760A53">
        <w:t xml:space="preserve">. It allows the State to </w:t>
      </w:r>
      <w:r w:rsidR="00760A53" w:rsidRPr="004253A4">
        <w:t>provide an array of home</w:t>
      </w:r>
      <w:r w:rsidR="00760A53">
        <w:t>-</w:t>
      </w:r>
      <w:r w:rsidR="00760A53" w:rsidRPr="004253A4">
        <w:t xml:space="preserve"> and community-based services that enable children who would otherwise require institutionalization to remai</w:t>
      </w:r>
      <w:r w:rsidR="00760A53">
        <w:t>n in their home and community.</w:t>
      </w:r>
    </w:p>
    <w:p w14:paraId="1BB421DA" w14:textId="77777777" w:rsidR="00AC10DB" w:rsidRDefault="00CF4A74" w:rsidP="00257641">
      <w:r w:rsidRPr="00DF1D1C">
        <w:rPr>
          <w:u w:val="single"/>
        </w:rPr>
        <w:t>Service Authorization</w:t>
      </w:r>
      <w:r w:rsidR="004B476E">
        <w:t xml:space="preserve"> – (also </w:t>
      </w:r>
      <w:r w:rsidRPr="00DF1D1C">
        <w:t>Prior Authorization</w:t>
      </w:r>
      <w:r w:rsidR="004B476E">
        <w:t>)</w:t>
      </w:r>
      <w:r w:rsidRPr="00DF1D1C">
        <w:t>; includes an enrollee</w:t>
      </w:r>
      <w:r w:rsidR="00FA1C0C" w:rsidRPr="00DF1D1C">
        <w:t>’</w:t>
      </w:r>
      <w:r w:rsidRPr="00DF1D1C">
        <w:t>s request for the provision of a service.</w:t>
      </w:r>
      <w:r w:rsidR="004F0A61" w:rsidRPr="00DF1D1C">
        <w:t xml:space="preserve"> </w:t>
      </w:r>
    </w:p>
    <w:p w14:paraId="0607D145" w14:textId="28BA5E9B" w:rsidR="008F6D91" w:rsidRDefault="008F6D91" w:rsidP="00257641">
      <w:r w:rsidRPr="008351D2">
        <w:rPr>
          <w:u w:val="single"/>
        </w:rPr>
        <w:t>Skilled Nursing Care</w:t>
      </w:r>
      <w:r w:rsidRPr="008F6D91">
        <w:t xml:space="preserve"> – services from licensed nurses in a </w:t>
      </w:r>
      <w:r w:rsidR="005E7A68">
        <w:t>enrollee</w:t>
      </w:r>
      <w:r w:rsidR="005E7A68" w:rsidRPr="008F6D91">
        <w:t xml:space="preserve">’s </w:t>
      </w:r>
      <w:r w:rsidRPr="008F6D91">
        <w:t>own home or in a nursing home.</w:t>
      </w:r>
    </w:p>
    <w:p w14:paraId="3CE95506" w14:textId="77777777" w:rsidR="007A4D9E" w:rsidRPr="007A4D9E" w:rsidRDefault="007A4D9E" w:rsidP="00257641">
      <w:r>
        <w:rPr>
          <w:u w:val="single"/>
        </w:rPr>
        <w:t xml:space="preserve">Socially Necessary Services </w:t>
      </w:r>
      <w:r w:rsidRPr="007A4D9E">
        <w:rPr>
          <w:u w:val="single"/>
        </w:rPr>
        <w:t>(SNS)</w:t>
      </w:r>
      <w:r w:rsidRPr="00C37F99">
        <w:t xml:space="preserve"> </w:t>
      </w:r>
      <w:r w:rsidRPr="007A4D9E">
        <w:t xml:space="preserve">– Services provided to improve relationships and social functioning, with the goal of preserving the individual’s tenure in the community or the integrity of the family or social system. Socially necessary services are interventions designed to maintain or establish safety, permanency and well-being for targeted populations. </w:t>
      </w:r>
    </w:p>
    <w:p w14:paraId="2E455625" w14:textId="5E6F9C5F" w:rsidR="00B9444F" w:rsidRDefault="00B9444F" w:rsidP="00257641">
      <w:r>
        <w:rPr>
          <w:u w:val="single"/>
        </w:rPr>
        <w:lastRenderedPageBreak/>
        <w:t>Specialist</w:t>
      </w:r>
      <w:r w:rsidRPr="00C37F99">
        <w:t xml:space="preserve"> </w:t>
      </w:r>
      <w:r>
        <w:t>– a provider</w:t>
      </w:r>
      <w:r w:rsidRPr="00B9444F">
        <w:t xml:space="preserve"> who focuses on a specific kind of health care</w:t>
      </w:r>
      <w:r w:rsidR="004B757B">
        <w:t>,</w:t>
      </w:r>
      <w:r w:rsidRPr="00B9444F">
        <w:t xml:space="preserve"> such as a surgeon or a cardiologist</w:t>
      </w:r>
      <w:r>
        <w:t xml:space="preserve">. </w:t>
      </w:r>
    </w:p>
    <w:p w14:paraId="68837080" w14:textId="77777777" w:rsidR="007813E1" w:rsidRPr="00DF1D1C" w:rsidRDefault="009F30D6" w:rsidP="00257641">
      <w:r w:rsidRPr="00DF1D1C">
        <w:rPr>
          <w:u w:val="single"/>
        </w:rPr>
        <w:t>Start Date</w:t>
      </w:r>
      <w:r w:rsidRPr="00DF1D1C">
        <w:t xml:space="preserve"> – the date the </w:t>
      </w:r>
      <w:r w:rsidR="009B19C2">
        <w:t xml:space="preserve">Contract </w:t>
      </w:r>
      <w:r>
        <w:t>for services becomes effective.</w:t>
      </w:r>
    </w:p>
    <w:p w14:paraId="61708086" w14:textId="77777777" w:rsidR="00CD4383" w:rsidRPr="00DF1D1C" w:rsidRDefault="00CD4383" w:rsidP="00257641">
      <w:r w:rsidRPr="00DF1D1C">
        <w:rPr>
          <w:u w:val="single"/>
        </w:rPr>
        <w:t>Sub</w:t>
      </w:r>
      <w:r w:rsidR="009B0110">
        <w:rPr>
          <w:u w:val="single"/>
        </w:rPr>
        <w:t>c</w:t>
      </w:r>
      <w:r w:rsidR="009B19C2">
        <w:rPr>
          <w:u w:val="single"/>
        </w:rPr>
        <w:t xml:space="preserve">ontract </w:t>
      </w:r>
      <w:r w:rsidR="00F85A1C" w:rsidRPr="00DF1D1C">
        <w:t xml:space="preserve">– </w:t>
      </w:r>
      <w:r w:rsidRPr="00DF1D1C">
        <w:t xml:space="preserve">any written agreement between the </w:t>
      </w:r>
      <w:r w:rsidR="00497A97">
        <w:t>MCO</w:t>
      </w:r>
      <w:r w:rsidRPr="00DF1D1C">
        <w:t xml:space="preserve"> and another party to fu</w:t>
      </w:r>
      <w:r w:rsidR="004F4CD7">
        <w:t>lfill any requirements of this C</w:t>
      </w:r>
      <w:r w:rsidRPr="00DF1D1C">
        <w:t>ontract.</w:t>
      </w:r>
    </w:p>
    <w:p w14:paraId="33FF7E54" w14:textId="77777777" w:rsidR="00CD4383" w:rsidRPr="00DF1D1C" w:rsidRDefault="00CD4383" w:rsidP="00257641">
      <w:r w:rsidRPr="00DF1D1C">
        <w:rPr>
          <w:u w:val="single"/>
        </w:rPr>
        <w:t>Subcontractor</w:t>
      </w:r>
      <w:r w:rsidR="00F85A1C" w:rsidRPr="00DF1D1C">
        <w:t xml:space="preserve"> – </w:t>
      </w:r>
      <w:r w:rsidRPr="00DF1D1C">
        <w:t xml:space="preserve">party contracting with the </w:t>
      </w:r>
      <w:r w:rsidR="00497A97">
        <w:t>MCO</w:t>
      </w:r>
      <w:r w:rsidRPr="00DF1D1C">
        <w:t xml:space="preserve"> to perform any services relat</w:t>
      </w:r>
      <w:r w:rsidR="004F4CD7">
        <w:t>ed to the requirements of this C</w:t>
      </w:r>
      <w:r w:rsidRPr="00DF1D1C">
        <w:t>ontract.</w:t>
      </w:r>
      <w:r w:rsidR="006025D3">
        <w:t xml:space="preserve"> </w:t>
      </w:r>
      <w:r w:rsidR="006025D3" w:rsidRPr="006025D3">
        <w:t>Subcontractors ma</w:t>
      </w:r>
      <w:r w:rsidR="006025D3">
        <w:t>y include, without limitation, a</w:t>
      </w:r>
      <w:r w:rsidR="006025D3" w:rsidRPr="006025D3">
        <w:t>ffiliates, subsidiaries, and affiliated and unaffiliated third parties.</w:t>
      </w:r>
    </w:p>
    <w:p w14:paraId="6B9E3AB3" w14:textId="77777777" w:rsidR="000D03BA" w:rsidRDefault="00280095" w:rsidP="00257641">
      <w:r w:rsidRPr="00533CCF">
        <w:rPr>
          <w:u w:val="single"/>
        </w:rPr>
        <w:t>Subcontractor M</w:t>
      </w:r>
      <w:r w:rsidR="000D03BA" w:rsidRPr="00533CCF">
        <w:rPr>
          <w:u w:val="single"/>
        </w:rPr>
        <w:t>onitor</w:t>
      </w:r>
      <w:r w:rsidRPr="00533CCF">
        <w:rPr>
          <w:u w:val="single"/>
        </w:rPr>
        <w:t>ing P</w:t>
      </w:r>
      <w:r w:rsidR="000D03BA" w:rsidRPr="00533CCF">
        <w:rPr>
          <w:u w:val="single"/>
        </w:rPr>
        <w:t>lan</w:t>
      </w:r>
      <w:r w:rsidR="00F85A1C" w:rsidRPr="00DF1D1C">
        <w:t xml:space="preserve"> – </w:t>
      </w:r>
      <w:r w:rsidR="000D03BA" w:rsidRPr="000D03BA">
        <w:t>a written plan describ</w:t>
      </w:r>
      <w:r w:rsidR="0078750E">
        <w:t>ing</w:t>
      </w:r>
      <w:r w:rsidR="000D03BA" w:rsidRPr="000D03BA">
        <w:t xml:space="preserve"> how obligations, services, and functions performed by </w:t>
      </w:r>
      <w:r w:rsidR="0078750E">
        <w:t xml:space="preserve">the </w:t>
      </w:r>
      <w:r w:rsidR="000D03BA" w:rsidRPr="000D03BA">
        <w:t xml:space="preserve">MCO's </w:t>
      </w:r>
      <w:r w:rsidR="00642406">
        <w:t>S</w:t>
      </w:r>
      <w:r w:rsidR="000D03BA" w:rsidRPr="000D03BA">
        <w:t xml:space="preserve">ubcontractor will be reviewed to ensure that such obligations, services, and functions </w:t>
      </w:r>
      <w:r w:rsidR="00295B27">
        <w:t xml:space="preserve">are </w:t>
      </w:r>
      <w:r w:rsidR="000D03BA" w:rsidRPr="000D03BA">
        <w:t xml:space="preserve">performed to the same extent </w:t>
      </w:r>
      <w:r w:rsidR="00295B27">
        <w:t>that</w:t>
      </w:r>
      <w:r w:rsidR="000D03BA" w:rsidRPr="000D03BA">
        <w:t xml:space="preserve"> they were performed by MCO.</w:t>
      </w:r>
    </w:p>
    <w:p w14:paraId="303ECB3B" w14:textId="291459D2" w:rsidR="00D55332" w:rsidRDefault="00D55332" w:rsidP="00257641">
      <w:r w:rsidRPr="00A66DC9">
        <w:rPr>
          <w:u w:val="single"/>
        </w:rPr>
        <w:t>Supplemental Security Income (SSI)</w:t>
      </w:r>
      <w:r w:rsidR="009422F7">
        <w:t xml:space="preserve"> – </w:t>
      </w:r>
      <w:r w:rsidRPr="00091AA8">
        <w:t>a Federal income supplement program designed to help aged, blind</w:t>
      </w:r>
      <w:r w:rsidR="006B0D03">
        <w:t>,</w:t>
      </w:r>
      <w:r w:rsidRPr="00091AA8">
        <w:t xml:space="preserve"> and disabled people with little or no income by providing cash to meet basic needs for food, clothing</w:t>
      </w:r>
      <w:r w:rsidR="004B757B">
        <w:t>,</w:t>
      </w:r>
      <w:r w:rsidRPr="00091AA8">
        <w:t xml:space="preserve"> and shelter.</w:t>
      </w:r>
    </w:p>
    <w:p w14:paraId="740766FB" w14:textId="77777777" w:rsidR="00A85C0A" w:rsidRDefault="000E2923" w:rsidP="00257641">
      <w:r w:rsidRPr="00533CCF">
        <w:rPr>
          <w:u w:val="single"/>
        </w:rPr>
        <w:t>Systems Quality Assurance Plan</w:t>
      </w:r>
      <w:r w:rsidR="00F85A1C" w:rsidRPr="00DF1D1C">
        <w:t xml:space="preserve"> – </w:t>
      </w:r>
      <w:r w:rsidRPr="000E2923">
        <w:t xml:space="preserve">a written plan developed by the MCO that describes the processes, techniques, and tools that the MCO will use for assuring that the MCO information systems meet the </w:t>
      </w:r>
      <w:r w:rsidR="009B19C2">
        <w:t xml:space="preserve">Contract </w:t>
      </w:r>
      <w:r w:rsidRPr="000E2923">
        <w:t>requirements</w:t>
      </w:r>
      <w:r w:rsidR="00295B27">
        <w:t>.</w:t>
      </w:r>
    </w:p>
    <w:p w14:paraId="59097CB7" w14:textId="0889CA43" w:rsidR="00E10CBE" w:rsidRPr="00A85C0A" w:rsidRDefault="00E10CBE" w:rsidP="00257641">
      <w:r w:rsidRPr="00332505">
        <w:rPr>
          <w:u w:val="single"/>
        </w:rPr>
        <w:t>Targeted Case Management (TCM)</w:t>
      </w:r>
      <w:r w:rsidRPr="00E10CBE">
        <w:t xml:space="preserve"> – the coordination of services to ensure that eligible Medicaid </w:t>
      </w:r>
      <w:r w:rsidR="005E7A68">
        <w:t>enrollee</w:t>
      </w:r>
      <w:r w:rsidR="005E7A68" w:rsidRPr="00E10CBE">
        <w:t xml:space="preserve">s </w:t>
      </w:r>
      <w:r w:rsidRPr="00E10CBE">
        <w:t>have access to a full array of needed services including the appropriate medical, educational, or other services. TCM is responsible for identifying a</w:t>
      </w:r>
      <w:r w:rsidR="005E7A68">
        <w:t>n</w:t>
      </w:r>
      <w:r w:rsidRPr="00E10CBE">
        <w:t xml:space="preserve"> </w:t>
      </w:r>
      <w:r w:rsidR="005E7A68">
        <w:t>enrollee</w:t>
      </w:r>
      <w:r w:rsidR="005E7A68" w:rsidRPr="00E10CBE">
        <w:t xml:space="preserve">’s </w:t>
      </w:r>
      <w:r w:rsidRPr="00E10CBE">
        <w:t xml:space="preserve">problems, needs, strengths, and resources; coordinating services necessary to meet those needs; and monitoring the provision of necessary and appropriate services. This process is intended to assist </w:t>
      </w:r>
      <w:r w:rsidR="005E7A68">
        <w:t>enrollee</w:t>
      </w:r>
      <w:r w:rsidR="005E7A68" w:rsidRPr="00E10CBE">
        <w:t xml:space="preserve">s </w:t>
      </w:r>
      <w:r w:rsidRPr="00E10CBE">
        <w:t xml:space="preserve">and as appropriate, their families, in accessing services which are supportive, effective and cost efficient. TCM activities ensure that the changing needs of the Medicaid </w:t>
      </w:r>
      <w:r w:rsidR="005E7A68">
        <w:t>enrollee</w:t>
      </w:r>
      <w:r w:rsidR="005E7A68" w:rsidRPr="00E10CBE">
        <w:t xml:space="preserve"> </w:t>
      </w:r>
      <w:r w:rsidRPr="00E10CBE">
        <w:t>are addressed on an ongoing basis and that appropriate choices are provided from the widest array of options for meeting those needs. TCM is not a direct service. TCM is composed of a number of federally designated components: Needs assessment and Reassessment; Development and Revision of TCM Service Plan; Referral and Related Activities; and Monitoring and Follow-up.</w:t>
      </w:r>
    </w:p>
    <w:p w14:paraId="5B068F23" w14:textId="3BB31269" w:rsidR="00A85C0A" w:rsidRDefault="00A85C0A" w:rsidP="00257641">
      <w:r w:rsidRPr="00A85C0A">
        <w:rPr>
          <w:u w:val="single"/>
        </w:rPr>
        <w:t>Temporary Assistance to Needy Families (TANF)</w:t>
      </w:r>
      <w:r w:rsidR="009422F7">
        <w:t xml:space="preserve"> – </w:t>
      </w:r>
      <w:r w:rsidRPr="00A85C0A">
        <w:t xml:space="preserve">the federally funded program that provides assistance to single parent families with children who meet the categorical requirements for aid. </w:t>
      </w:r>
    </w:p>
    <w:p w14:paraId="25AE178B" w14:textId="77777777" w:rsidR="00A85C0A" w:rsidRDefault="004C13D2" w:rsidP="00257641">
      <w:r w:rsidRPr="00533CCF">
        <w:rPr>
          <w:u w:val="single"/>
        </w:rPr>
        <w:t>Tertiary Services</w:t>
      </w:r>
      <w:r w:rsidR="00F85A1C" w:rsidRPr="00DF1D1C">
        <w:t xml:space="preserve"> – </w:t>
      </w:r>
      <w:r w:rsidRPr="004C13D2">
        <w:t>highly specialized medical services administered in a specialized medical facility.</w:t>
      </w:r>
    </w:p>
    <w:p w14:paraId="22CA0391" w14:textId="77777777" w:rsidR="00CD4383" w:rsidRPr="00DF1D1C" w:rsidRDefault="00CD4383" w:rsidP="00257641">
      <w:r w:rsidRPr="00DF1D1C">
        <w:rPr>
          <w:u w:val="single"/>
        </w:rPr>
        <w:t>Third</w:t>
      </w:r>
      <w:r w:rsidR="007D56E3" w:rsidRPr="00DF1D1C">
        <w:rPr>
          <w:u w:val="single"/>
        </w:rPr>
        <w:t xml:space="preserve"> </w:t>
      </w:r>
      <w:r w:rsidRPr="00DF1D1C">
        <w:rPr>
          <w:u w:val="single"/>
        </w:rPr>
        <w:t>Party</w:t>
      </w:r>
      <w:r w:rsidR="00F85A1C" w:rsidRPr="00DF1D1C">
        <w:t xml:space="preserve"> – </w:t>
      </w:r>
      <w:r w:rsidRPr="00DF1D1C">
        <w:t xml:space="preserve">any individual entity or program which is or may be liable to pay all or part of the expenditures for Medicaid furnished under a State </w:t>
      </w:r>
      <w:r w:rsidR="00F9126F" w:rsidRPr="00DF1D1C">
        <w:t>P</w:t>
      </w:r>
      <w:r w:rsidRPr="00DF1D1C">
        <w:t>lan.</w:t>
      </w:r>
    </w:p>
    <w:p w14:paraId="3AF7A3DF" w14:textId="77777777" w:rsidR="00CD4383" w:rsidRDefault="00CD4383" w:rsidP="00257641">
      <w:r w:rsidRPr="00DF1D1C">
        <w:rPr>
          <w:u w:val="single"/>
        </w:rPr>
        <w:lastRenderedPageBreak/>
        <w:t>Title XIX</w:t>
      </w:r>
      <w:r w:rsidR="00F85A1C" w:rsidRPr="00DF1D1C">
        <w:t xml:space="preserve"> – </w:t>
      </w:r>
      <w:r w:rsidRPr="00DF1D1C">
        <w:t>refers to Title XIX of the Social Security Act codified at 42 United States Code Annotated Section 1396 et. seq., including any amendments thereto (see Medicaid).</w:t>
      </w:r>
    </w:p>
    <w:p w14:paraId="74546775" w14:textId="4375906E" w:rsidR="005F12A2" w:rsidRDefault="005F12A2" w:rsidP="00257641">
      <w:r w:rsidRPr="00093A66">
        <w:rPr>
          <w:u w:val="single"/>
        </w:rPr>
        <w:t>Transition of Care</w:t>
      </w:r>
      <w:r w:rsidR="009422F7" w:rsidRPr="00332505">
        <w:t xml:space="preserve"> – </w:t>
      </w:r>
      <w:r w:rsidR="00B74EDE">
        <w:t>t</w:t>
      </w:r>
      <w:r w:rsidRPr="005F12A2">
        <w:t xml:space="preserve">he movement of patients between health care practitioners and/or settings as their condition and care needs change during the course of a chronic or acute illness. For </w:t>
      </w:r>
      <w:r w:rsidR="00DA6E95">
        <w:t xml:space="preserve">Foster Care </w:t>
      </w:r>
      <w:r w:rsidR="005E7A68">
        <w:t>enrollee</w:t>
      </w:r>
      <w:r w:rsidR="005E7A68" w:rsidRPr="005F12A2">
        <w:t>s</w:t>
      </w:r>
      <w:r w:rsidRPr="005F12A2">
        <w:t>, and A</w:t>
      </w:r>
      <w:r w:rsidR="007053A1">
        <w:t xml:space="preserve">doption </w:t>
      </w:r>
      <w:r w:rsidRPr="005F12A2">
        <w:t>A</w:t>
      </w:r>
      <w:r w:rsidR="007053A1">
        <w:t>ssistance</w:t>
      </w:r>
      <w:r w:rsidRPr="005F12A2">
        <w:t xml:space="preserve"> </w:t>
      </w:r>
      <w:r w:rsidR="005E7A68">
        <w:t>enrollee</w:t>
      </w:r>
      <w:r w:rsidR="005E7A68" w:rsidRPr="005F12A2">
        <w:t>s</w:t>
      </w:r>
      <w:r w:rsidRPr="005F12A2">
        <w:t>, Transition of Care planning may involve activities or needs related to a</w:t>
      </w:r>
      <w:r w:rsidR="005E7A68">
        <w:t>n</w:t>
      </w:r>
      <w:r w:rsidRPr="005F12A2">
        <w:t xml:space="preserve"> </w:t>
      </w:r>
      <w:r w:rsidR="005E7A68">
        <w:t>enrollee</w:t>
      </w:r>
      <w:r w:rsidR="005E7A68" w:rsidRPr="005F12A2">
        <w:t xml:space="preserve">’s </w:t>
      </w:r>
      <w:r w:rsidRPr="005F12A2">
        <w:t xml:space="preserve">placement in </w:t>
      </w:r>
      <w:r w:rsidR="00DA6E95">
        <w:t>BC</w:t>
      </w:r>
      <w:r w:rsidR="00093A66">
        <w:t xml:space="preserve">F </w:t>
      </w:r>
      <w:r w:rsidRPr="005F12A2">
        <w:t xml:space="preserve">custody or, transition from </w:t>
      </w:r>
      <w:r w:rsidR="00DA6E95">
        <w:t>MHT</w:t>
      </w:r>
      <w:r w:rsidRPr="005F12A2">
        <w:t xml:space="preserve"> Medicaid or commercial health plans to the </w:t>
      </w:r>
      <w:r w:rsidR="007E0BD9">
        <w:t>Specialized Managed Care Plan for Children and Y</w:t>
      </w:r>
      <w:r w:rsidR="007E0BD9" w:rsidRPr="007E0BD9">
        <w:t>outh</w:t>
      </w:r>
      <w:r w:rsidR="007E0BD9" w:rsidRPr="007E0BD9" w:rsidDel="009422F7">
        <w:t xml:space="preserve"> </w:t>
      </w:r>
      <w:r w:rsidRPr="005F12A2">
        <w:t>program; changes in Residential Placement</w:t>
      </w:r>
      <w:r w:rsidR="00093A66">
        <w:t xml:space="preserve">; </w:t>
      </w:r>
      <w:r w:rsidRPr="005F12A2">
        <w:t>aging out of Foster Care</w:t>
      </w:r>
      <w:r w:rsidR="00093A66">
        <w:t xml:space="preserve">; or transitioning out of </w:t>
      </w:r>
      <w:r w:rsidR="007E0BD9">
        <w:t>Specialized Managed Care Plan for Children and Y</w:t>
      </w:r>
      <w:r w:rsidR="007E0BD9" w:rsidRPr="007E0BD9">
        <w:t>outh</w:t>
      </w:r>
      <w:r w:rsidR="003150A4">
        <w:t xml:space="preserve"> </w:t>
      </w:r>
      <w:r w:rsidR="00093A66">
        <w:t xml:space="preserve">to </w:t>
      </w:r>
      <w:r w:rsidR="00093A66" w:rsidRPr="00B656EA">
        <w:t xml:space="preserve">MHT </w:t>
      </w:r>
      <w:r w:rsidR="009422F7" w:rsidRPr="00B656EA">
        <w:t xml:space="preserve">or </w:t>
      </w:r>
      <w:r w:rsidR="009422F7" w:rsidRPr="007E0BD9">
        <w:t>West Virginia Health Bridge (</w:t>
      </w:r>
      <w:r w:rsidR="009422F7" w:rsidRPr="00B656EA">
        <w:t>WVHB)</w:t>
      </w:r>
      <w:r w:rsidR="009422F7">
        <w:t xml:space="preserve"> </w:t>
      </w:r>
      <w:r w:rsidR="00093A66">
        <w:t xml:space="preserve">Medicaid </w:t>
      </w:r>
      <w:r w:rsidR="009422F7">
        <w:t xml:space="preserve">managed care </w:t>
      </w:r>
      <w:r w:rsidR="00093A66">
        <w:t>or a commercial health plan</w:t>
      </w:r>
      <w:r w:rsidRPr="005F12A2">
        <w:t>.</w:t>
      </w:r>
    </w:p>
    <w:p w14:paraId="3D63B5FD" w14:textId="2E9E74FF" w:rsidR="00DA6E95" w:rsidRPr="00B74EDE" w:rsidRDefault="00DA6E95" w:rsidP="00257641">
      <w:pPr>
        <w:rPr>
          <w:szCs w:val="24"/>
        </w:rPr>
      </w:pPr>
      <w:r w:rsidRPr="00DA6E95">
        <w:rPr>
          <w:u w:val="single"/>
        </w:rPr>
        <w:t>Trauma Assessment</w:t>
      </w:r>
      <w:r>
        <w:t xml:space="preserve"> – </w:t>
      </w:r>
      <w:r w:rsidR="00B74EDE">
        <w:t>a</w:t>
      </w:r>
      <w:r w:rsidRPr="00DA6E95">
        <w:t>n in-depth exploration of the nature</w:t>
      </w:r>
      <w:r>
        <w:t xml:space="preserve"> </w:t>
      </w:r>
      <w:r w:rsidRPr="00DA6E95">
        <w:t>and severity of the traumatic events experienced directly or witnessed by the child, the sequence</w:t>
      </w:r>
      <w:r>
        <w:t xml:space="preserve"> </w:t>
      </w:r>
      <w:r w:rsidRPr="00DA6E95">
        <w:t>of those events, and the current trauma-related symptoms to determine the best type of treatment</w:t>
      </w:r>
      <w:r>
        <w:t xml:space="preserve"> </w:t>
      </w:r>
      <w:r w:rsidRPr="00DA6E95">
        <w:t xml:space="preserve">for that specific child. </w:t>
      </w:r>
      <w:r>
        <w:t xml:space="preserve">The provider must use a BCF approved </w:t>
      </w:r>
      <w:r w:rsidRPr="00DA6E95">
        <w:t>assessment tool to</w:t>
      </w:r>
      <w:r>
        <w:t xml:space="preserve"> </w:t>
      </w:r>
      <w:r w:rsidRPr="00DA6E95">
        <w:t>identify the types and severity of symptoms the child is experiencing. The comprehensive</w:t>
      </w:r>
      <w:r>
        <w:t xml:space="preserve"> </w:t>
      </w:r>
      <w:r w:rsidRPr="00DA6E95">
        <w:t>Trauma Assessment must provide recommendations to coordinate services and meet the child’s</w:t>
      </w:r>
      <w:r>
        <w:t xml:space="preserve"> </w:t>
      </w:r>
      <w:r w:rsidRPr="00B74EDE">
        <w:rPr>
          <w:szCs w:val="24"/>
        </w:rPr>
        <w:t>needs.</w:t>
      </w:r>
    </w:p>
    <w:p w14:paraId="0AB6E60D" w14:textId="7EC6DEF9" w:rsidR="00D2720C" w:rsidRPr="00AF6385" w:rsidRDefault="00D2720C" w:rsidP="00257641">
      <w:pPr>
        <w:rPr>
          <w:szCs w:val="24"/>
        </w:rPr>
      </w:pPr>
      <w:r w:rsidRPr="00203E0A">
        <w:rPr>
          <w:szCs w:val="24"/>
          <w:u w:val="single"/>
        </w:rPr>
        <w:t>Trauma Assessment Screening</w:t>
      </w:r>
      <w:r w:rsidRPr="00203E0A">
        <w:rPr>
          <w:szCs w:val="24"/>
        </w:rPr>
        <w:t xml:space="preserve"> </w:t>
      </w:r>
      <w:r w:rsidR="00040D5E" w:rsidRPr="00203E0A">
        <w:rPr>
          <w:szCs w:val="24"/>
        </w:rPr>
        <w:t>–</w:t>
      </w:r>
      <w:r w:rsidRPr="00203E0A">
        <w:rPr>
          <w:szCs w:val="24"/>
        </w:rPr>
        <w:t xml:space="preserve"> </w:t>
      </w:r>
      <w:r w:rsidR="00040D5E" w:rsidRPr="00203E0A">
        <w:rPr>
          <w:szCs w:val="24"/>
        </w:rPr>
        <w:t>a tool used by providers to ascertain an</w:t>
      </w:r>
      <w:r w:rsidR="00871F19" w:rsidRPr="00203E0A">
        <w:rPr>
          <w:szCs w:val="24"/>
        </w:rPr>
        <w:t xml:space="preserve"> </w:t>
      </w:r>
      <w:r w:rsidR="00040D5E" w:rsidRPr="00203E0A">
        <w:rPr>
          <w:szCs w:val="24"/>
        </w:rPr>
        <w:t xml:space="preserve">individual’s </w:t>
      </w:r>
      <w:r w:rsidR="00040D5E" w:rsidRPr="00B74EDE">
        <w:rPr>
          <w:szCs w:val="24"/>
        </w:rPr>
        <w:t xml:space="preserve">trauma history and trauma </w:t>
      </w:r>
      <w:r w:rsidR="004B1E70" w:rsidRPr="00B74EDE">
        <w:rPr>
          <w:szCs w:val="24"/>
        </w:rPr>
        <w:t xml:space="preserve">related symptoms. This information </w:t>
      </w:r>
      <w:r w:rsidR="00040D5E" w:rsidRPr="00B74EDE">
        <w:rPr>
          <w:szCs w:val="24"/>
        </w:rPr>
        <w:t>can help identify individuals at risk of developing more pervasive and severe symptoms of traumatic stress</w:t>
      </w:r>
      <w:r w:rsidR="004B1E70" w:rsidRPr="00B656EA">
        <w:rPr>
          <w:szCs w:val="24"/>
        </w:rPr>
        <w:t xml:space="preserve"> and inform treatment options</w:t>
      </w:r>
      <w:r w:rsidR="00040D5E" w:rsidRPr="00AF6385">
        <w:rPr>
          <w:szCs w:val="24"/>
        </w:rPr>
        <w:t>.</w:t>
      </w:r>
    </w:p>
    <w:p w14:paraId="495685D1" w14:textId="1032A25B" w:rsidR="006F7109" w:rsidRPr="00D91B00" w:rsidRDefault="00DB7841" w:rsidP="00257641">
      <w:pPr>
        <w:rPr>
          <w:szCs w:val="24"/>
        </w:rPr>
      </w:pPr>
      <w:r w:rsidRPr="00AF6385">
        <w:rPr>
          <w:szCs w:val="24"/>
          <w:u w:val="single"/>
        </w:rPr>
        <w:t>Value-</w:t>
      </w:r>
      <w:r w:rsidR="00603217" w:rsidRPr="00D91B00">
        <w:rPr>
          <w:szCs w:val="24"/>
          <w:u w:val="single"/>
        </w:rPr>
        <w:t>A</w:t>
      </w:r>
      <w:r w:rsidRPr="00D91B00">
        <w:rPr>
          <w:szCs w:val="24"/>
          <w:u w:val="single"/>
        </w:rPr>
        <w:t xml:space="preserve">dded </w:t>
      </w:r>
      <w:r w:rsidR="0045764E" w:rsidRPr="00D91B00">
        <w:rPr>
          <w:szCs w:val="24"/>
          <w:u w:val="single"/>
        </w:rPr>
        <w:t>S</w:t>
      </w:r>
      <w:r w:rsidRPr="00D91B00">
        <w:rPr>
          <w:szCs w:val="24"/>
          <w:u w:val="single"/>
        </w:rPr>
        <w:t>ervices</w:t>
      </w:r>
      <w:r w:rsidR="009422F7">
        <w:rPr>
          <w:szCs w:val="24"/>
        </w:rPr>
        <w:t xml:space="preserve"> – </w:t>
      </w:r>
      <w:r w:rsidRPr="008D372F">
        <w:rPr>
          <w:szCs w:val="24"/>
        </w:rPr>
        <w:t xml:space="preserve">services </w:t>
      </w:r>
      <w:r w:rsidRPr="00AF6385">
        <w:rPr>
          <w:szCs w:val="24"/>
        </w:rPr>
        <w:t xml:space="preserve">that include additional value benefits that are actual health care services, benefits, or positive incentives that will promote healthy lifestyles and improve health outcomes among </w:t>
      </w:r>
      <w:r w:rsidR="005E7A68">
        <w:rPr>
          <w:szCs w:val="24"/>
        </w:rPr>
        <w:t>enrollee</w:t>
      </w:r>
      <w:r w:rsidR="005E7A68" w:rsidRPr="00AF6385">
        <w:rPr>
          <w:szCs w:val="24"/>
        </w:rPr>
        <w:t>s</w:t>
      </w:r>
      <w:r w:rsidRPr="00AF6385">
        <w:rPr>
          <w:szCs w:val="24"/>
        </w:rPr>
        <w:t xml:space="preserve">. </w:t>
      </w:r>
    </w:p>
    <w:p w14:paraId="17587AAB" w14:textId="77777777" w:rsidR="00FA3A78" w:rsidRDefault="00FA3A78" w:rsidP="00257641">
      <w:r w:rsidRPr="00D353E1">
        <w:rPr>
          <w:u w:val="single"/>
        </w:rPr>
        <w:t>West Virginia Health Bridge (WVHB)</w:t>
      </w:r>
      <w:r>
        <w:t xml:space="preserve"> –</w:t>
      </w:r>
      <w:r w:rsidRPr="009F6F15">
        <w:t xml:space="preserve"> </w:t>
      </w:r>
      <w:r>
        <w:t xml:space="preserve">the name </w:t>
      </w:r>
      <w:r w:rsidRPr="007241FD">
        <w:t xml:space="preserve">of West Virginia’s </w:t>
      </w:r>
      <w:r>
        <w:t xml:space="preserve">mandatory managed care program for adults eligible for the </w:t>
      </w:r>
      <w:r w:rsidRPr="007241FD">
        <w:t xml:space="preserve">Medicaid </w:t>
      </w:r>
      <w:r>
        <w:t xml:space="preserve">Alternative Benefit Plan (ABP). </w:t>
      </w:r>
    </w:p>
    <w:p w14:paraId="64DBFCB9" w14:textId="77777777" w:rsidR="006821BE" w:rsidRPr="006821BE" w:rsidRDefault="006821BE" w:rsidP="00257641">
      <w:r w:rsidRPr="006821BE">
        <w:rPr>
          <w:u w:val="single"/>
        </w:rPr>
        <w:t>Withhold Arrangement</w:t>
      </w:r>
      <w:r w:rsidRPr="006821BE">
        <w:t xml:space="preserve"> – a payment mechanism under which a portion of a Capitation Payment is withheld from an MCO and a portion of or all of the withheld amount will be paid to the MCO for meeting measures specified in the Contract. The measures for a Withhold Arrangement are distinct from general operational requirements under the Contract. Arrangements that withhold a portion of a Capitation Payment for noncompliance with general operational requirements are contractual remedies and not a Withhold Arrangement.</w:t>
      </w:r>
    </w:p>
    <w:p w14:paraId="3866C07F" w14:textId="77777777" w:rsidR="00FA3A78" w:rsidRPr="00DF1D1C" w:rsidRDefault="0071482A" w:rsidP="00257641">
      <w:r w:rsidRPr="00DF1D1C">
        <w:rPr>
          <w:u w:val="single"/>
        </w:rPr>
        <w:t>Urgent Care</w:t>
      </w:r>
      <w:r w:rsidRPr="00DF1D1C">
        <w:t xml:space="preserve"> – refers to circumstances in which the individual requires prompt medical attention for the care and management of a significant physical or mental disorder, but there is no immediate threat to the individual</w:t>
      </w:r>
      <w:r w:rsidR="00FA1C0C" w:rsidRPr="00DF1D1C">
        <w:t>’</w:t>
      </w:r>
      <w:r w:rsidRPr="00DF1D1C">
        <w:t>s life.</w:t>
      </w:r>
    </w:p>
    <w:p w14:paraId="58F3A1D3" w14:textId="2E915625" w:rsidR="00CD4383" w:rsidRPr="00BD038C" w:rsidRDefault="00851ED0" w:rsidP="007610FD">
      <w:pPr>
        <w:pStyle w:val="Heading2"/>
      </w:pPr>
      <w:bookmarkStart w:id="10" w:name="_Toc8128940"/>
      <w:r>
        <w:t xml:space="preserve">2. </w:t>
      </w:r>
      <w:r w:rsidR="00CD4383" w:rsidRPr="00BD038C">
        <w:t xml:space="preserve">DELEGATIONS OF </w:t>
      </w:r>
      <w:r w:rsidR="00CD4383" w:rsidRPr="001C500D">
        <w:t>AUTHORITY</w:t>
      </w:r>
      <w:bookmarkEnd w:id="10"/>
    </w:p>
    <w:p w14:paraId="159405C1" w14:textId="018B4119" w:rsidR="00CD4383" w:rsidRPr="00DF1D1C" w:rsidRDefault="00F97327" w:rsidP="00257641">
      <w:r>
        <w:t xml:space="preserve">The West Virginia </w:t>
      </w:r>
      <w:r w:rsidR="00C7558C">
        <w:t>DHHR</w:t>
      </w:r>
      <w:r>
        <w:t xml:space="preserve"> shall be responsible for administering this contract. The </w:t>
      </w:r>
      <w:r w:rsidR="00CD4383" w:rsidRPr="00DF1D1C">
        <w:t xml:space="preserve">West Virginia Bureau for Medical Services within the </w:t>
      </w:r>
      <w:r w:rsidR="00040C70">
        <w:t>DHHR</w:t>
      </w:r>
      <w:r w:rsidR="00CD4383" w:rsidRPr="00DF1D1C">
        <w:t xml:space="preserve"> is the single state agency responsible for administering the Medicaid program</w:t>
      </w:r>
      <w:r w:rsidR="0078080B" w:rsidRPr="00DF1D1C">
        <w:t xml:space="preserve">. </w:t>
      </w:r>
      <w:r w:rsidRPr="00F97327">
        <w:t xml:space="preserve">The West Virginia </w:t>
      </w:r>
      <w:r w:rsidR="00C7558C">
        <w:t xml:space="preserve">BCF </w:t>
      </w:r>
      <w:r w:rsidRPr="00F97327">
        <w:t xml:space="preserve">within </w:t>
      </w:r>
      <w:r w:rsidR="00C7558C">
        <w:t>DHHR</w:t>
      </w:r>
      <w:r w:rsidRPr="00F97327">
        <w:t xml:space="preserve"> is responsible for the oversight of children within the State’s custody, and the administration of </w:t>
      </w:r>
      <w:r w:rsidR="00946B0F">
        <w:t>SNS</w:t>
      </w:r>
      <w:r w:rsidRPr="00F97327">
        <w:t xml:space="preserve">. </w:t>
      </w:r>
      <w:r w:rsidR="00CD4383" w:rsidRPr="00DF1D1C">
        <w:t xml:space="preserve">No </w:t>
      </w:r>
      <w:r w:rsidR="00CD4383" w:rsidRPr="00DF1D1C">
        <w:lastRenderedPageBreak/>
        <w:t>delegation by eith</w:t>
      </w:r>
      <w:r w:rsidR="004F4CD7">
        <w:t xml:space="preserve">er party in administering this </w:t>
      </w:r>
      <w:r w:rsidR="009B19C2">
        <w:t xml:space="preserve">Contract </w:t>
      </w:r>
      <w:r w:rsidR="001F3B0D">
        <w:t>will</w:t>
      </w:r>
      <w:r w:rsidR="00CD4383" w:rsidRPr="00DF1D1C">
        <w:t xml:space="preserve"> relieve either party of responsibility for</w:t>
      </w:r>
      <w:r w:rsidR="004F4CD7">
        <w:t xml:space="preserve"> carrying out the terms of the C</w:t>
      </w:r>
      <w:r w:rsidR="00CD4383" w:rsidRPr="00DF1D1C">
        <w:t>ontract.</w:t>
      </w:r>
    </w:p>
    <w:p w14:paraId="6AAD7861" w14:textId="76A6C473" w:rsidR="00CD4383" w:rsidRPr="00DF1D1C" w:rsidRDefault="00851ED0" w:rsidP="007610FD">
      <w:pPr>
        <w:pStyle w:val="Heading2"/>
      </w:pPr>
      <w:bookmarkStart w:id="11" w:name="_Toc8128941"/>
      <w:r>
        <w:t xml:space="preserve">3. </w:t>
      </w:r>
      <w:r w:rsidR="00CD4383" w:rsidRPr="001C500D">
        <w:t>FUNCTIONS</w:t>
      </w:r>
      <w:r w:rsidR="00CD4383" w:rsidRPr="00DF1D1C">
        <w:t xml:space="preserve"> AND DUTIES OF THE MANAGED CARE ORGANIZATION</w:t>
      </w:r>
      <w:bookmarkEnd w:id="11"/>
    </w:p>
    <w:p w14:paraId="1BF01514" w14:textId="77777777" w:rsidR="00CD4383" w:rsidRPr="00DF1D1C" w:rsidRDefault="00CD4383" w:rsidP="00257641">
      <w:r w:rsidRPr="00DF1D1C">
        <w:t xml:space="preserve">The </w:t>
      </w:r>
      <w:r w:rsidR="0073202A">
        <w:t>MCO</w:t>
      </w:r>
      <w:r w:rsidRPr="00DF1D1C">
        <w:t xml:space="preserve"> agrees to perform the functions and duties and fulfill the responsibilities described in </w:t>
      </w:r>
      <w:r w:rsidR="0071482A" w:rsidRPr="00DF1D1C">
        <w:t>Article III,</w:t>
      </w:r>
      <w:r w:rsidRPr="00DF1D1C">
        <w:t xml:space="preserve"> Statement of Work.</w:t>
      </w:r>
    </w:p>
    <w:p w14:paraId="6465730F" w14:textId="3DDD77A1" w:rsidR="00CD4383" w:rsidRPr="00BD038C" w:rsidRDefault="00851ED0" w:rsidP="007610FD">
      <w:pPr>
        <w:pStyle w:val="Heading2"/>
      </w:pPr>
      <w:bookmarkStart w:id="12" w:name="_Toc8128942"/>
      <w:r>
        <w:t xml:space="preserve">4. </w:t>
      </w:r>
      <w:r w:rsidR="00CD4383" w:rsidRPr="001C500D">
        <w:t>FUNCTIONS</w:t>
      </w:r>
      <w:r w:rsidR="00CD4383" w:rsidRPr="00BD038C">
        <w:t xml:space="preserve"> AND DUTIES OF THE STATE</w:t>
      </w:r>
      <w:bookmarkEnd w:id="12"/>
    </w:p>
    <w:p w14:paraId="22FBFBA4" w14:textId="6D0A4677" w:rsidR="00CD4383" w:rsidRPr="00DF1D1C" w:rsidRDefault="00CD4383" w:rsidP="00257641">
      <w:pPr>
        <w:pStyle w:val="Heading3"/>
      </w:pPr>
      <w:bookmarkStart w:id="13" w:name="_Toc8128943"/>
      <w:r w:rsidRPr="00DF1D1C">
        <w:t xml:space="preserve">4.1 </w:t>
      </w:r>
      <w:r w:rsidRPr="00DF1D1C">
        <w:tab/>
        <w:t>Eligibility Determination</w:t>
      </w:r>
      <w:bookmarkEnd w:id="13"/>
    </w:p>
    <w:p w14:paraId="37F1795A" w14:textId="6A78987A" w:rsidR="00CD4383" w:rsidRPr="00DF1D1C" w:rsidRDefault="00CD4383" w:rsidP="00257641">
      <w:r w:rsidRPr="00DF1D1C">
        <w:t xml:space="preserve">The Department will determine the initial and ongoing eligibility for </w:t>
      </w:r>
      <w:r w:rsidR="00F97327">
        <w:t>services</w:t>
      </w:r>
      <w:r w:rsidRPr="00DF1D1C">
        <w:t xml:space="preserve"> of each </w:t>
      </w:r>
      <w:r w:rsidR="00467135" w:rsidRPr="00DF1D1C">
        <w:t xml:space="preserve">enrollee or potential </w:t>
      </w:r>
      <w:r w:rsidR="00F327F6">
        <w:t>enrollee under this C</w:t>
      </w:r>
      <w:r w:rsidRPr="00DF1D1C">
        <w:t>ontract.</w:t>
      </w:r>
    </w:p>
    <w:p w14:paraId="45C94311" w14:textId="23E61B2D" w:rsidR="00CD4383" w:rsidRPr="00DF1D1C" w:rsidRDefault="00CD4383" w:rsidP="00257641">
      <w:pPr>
        <w:pStyle w:val="Heading3"/>
      </w:pPr>
      <w:bookmarkStart w:id="14" w:name="_Toc8128944"/>
      <w:r w:rsidRPr="00DF1D1C">
        <w:t xml:space="preserve">4.2 </w:t>
      </w:r>
      <w:r w:rsidRPr="00DF1D1C">
        <w:tab/>
        <w:t>Enrollment</w:t>
      </w:r>
      <w:bookmarkEnd w:id="14"/>
    </w:p>
    <w:p w14:paraId="551EC70E" w14:textId="6A0A3E85" w:rsidR="00CD4383" w:rsidRDefault="005F1E8B" w:rsidP="00257641">
      <w:r>
        <w:t xml:space="preserve">The Department will conduct MCO enrollment </w:t>
      </w:r>
      <w:r w:rsidR="00CD4BBA">
        <w:t xml:space="preserve">process </w:t>
      </w:r>
      <w:r>
        <w:t xml:space="preserve">in accordance with 42 CFR 438. 54. </w:t>
      </w:r>
      <w:r w:rsidR="00CD4383" w:rsidRPr="00DF1D1C">
        <w:t xml:space="preserve">The Department, either directly or through its </w:t>
      </w:r>
      <w:r w:rsidR="00030592">
        <w:t>designee</w:t>
      </w:r>
      <w:r w:rsidR="00CD4383" w:rsidRPr="00DF1D1C">
        <w:t xml:space="preserve">, will process all enrollments into the </w:t>
      </w:r>
      <w:r w:rsidR="0073202A">
        <w:t>MCO</w:t>
      </w:r>
      <w:r w:rsidR="00CD4383" w:rsidRPr="00DF1D1C">
        <w:t xml:space="preserve">. The Department will notify the </w:t>
      </w:r>
      <w:r w:rsidR="0073202A">
        <w:t>MCO</w:t>
      </w:r>
      <w:r w:rsidR="00CD4383" w:rsidRPr="00DF1D1C">
        <w:t xml:space="preserve"> of such enrollments by means of a</w:t>
      </w:r>
      <w:r w:rsidR="00650DCF">
        <w:t xml:space="preserve"> daily and</w:t>
      </w:r>
      <w:r w:rsidR="00CD4383" w:rsidRPr="00DF1D1C">
        <w:t xml:space="preserve"> monthly enrollment roster report which explicitly identifies those additions who were not enrolled in the </w:t>
      </w:r>
      <w:r w:rsidR="0073202A">
        <w:t>MCO</w:t>
      </w:r>
      <w:r w:rsidR="00CD4383" w:rsidRPr="00DF1D1C">
        <w:t xml:space="preserve"> during the previous month</w:t>
      </w:r>
      <w:r w:rsidR="0078080B" w:rsidRPr="00DF1D1C">
        <w:t xml:space="preserve">. </w:t>
      </w:r>
      <w:r w:rsidR="00CD4383" w:rsidRPr="00DF1D1C">
        <w:t xml:space="preserve">The roster will be provided via </w:t>
      </w:r>
      <w:r w:rsidR="006552C7">
        <w:t xml:space="preserve">secure File </w:t>
      </w:r>
      <w:r w:rsidR="00805B82">
        <w:t>Transfer</w:t>
      </w:r>
      <w:r w:rsidR="006552C7">
        <w:t xml:space="preserve"> Protocol or </w:t>
      </w:r>
      <w:r w:rsidR="00CD4383" w:rsidRPr="00DF1D1C">
        <w:t xml:space="preserve">electronic media, and will be delivered by the Department to the </w:t>
      </w:r>
      <w:r w:rsidR="0073202A">
        <w:t>MCO</w:t>
      </w:r>
      <w:r w:rsidR="00CD4383" w:rsidRPr="00DF1D1C">
        <w:t xml:space="preserve"> as soon as possible following the MMIS cut</w:t>
      </w:r>
      <w:r w:rsidR="00CD4383" w:rsidRPr="00DF1D1C">
        <w:noBreakHyphen/>
        <w:t xml:space="preserve">off date for the month, but not later than the last </w:t>
      </w:r>
      <w:r w:rsidR="008F7061">
        <w:t>business</w:t>
      </w:r>
      <w:r w:rsidR="008F7061" w:rsidRPr="00DF1D1C">
        <w:t xml:space="preserve"> </w:t>
      </w:r>
      <w:r w:rsidR="00CD4383" w:rsidRPr="00DF1D1C">
        <w:t>day before the end of the month</w:t>
      </w:r>
      <w:r w:rsidR="0078080B" w:rsidRPr="00DF1D1C">
        <w:t>.</w:t>
      </w:r>
    </w:p>
    <w:p w14:paraId="18C742CC" w14:textId="564D0CDC" w:rsidR="00D26F8C" w:rsidRDefault="00D26F8C" w:rsidP="00257641">
      <w:pPr>
        <w:pStyle w:val="Heading3"/>
      </w:pPr>
      <w:bookmarkStart w:id="15" w:name="_Toc8128945"/>
      <w:r>
        <w:t>4.3</w:t>
      </w:r>
      <w:r>
        <w:tab/>
      </w:r>
      <w:r w:rsidR="005E7A68">
        <w:t xml:space="preserve">Enrollee </w:t>
      </w:r>
      <w:r w:rsidRPr="00B32CEF">
        <w:t>Assignment</w:t>
      </w:r>
      <w:bookmarkEnd w:id="15"/>
      <w:r w:rsidR="00F24820">
        <w:t xml:space="preserve"> </w:t>
      </w:r>
    </w:p>
    <w:p w14:paraId="2F5A565D" w14:textId="66345EA8" w:rsidR="00747F51" w:rsidRDefault="00F86225" w:rsidP="00257641">
      <w:r>
        <w:t>All eligible children and youth will be enrolled in a single contracted MCO.</w:t>
      </w:r>
      <w:r w:rsidR="00650DCF">
        <w:t xml:space="preserve"> </w:t>
      </w:r>
      <w:r w:rsidR="001E2F32">
        <w:t>Enrollee</w:t>
      </w:r>
      <w:r w:rsidR="001E2F32" w:rsidRPr="00650DCF">
        <w:t xml:space="preserve">s </w:t>
      </w:r>
      <w:r w:rsidR="00650DCF" w:rsidRPr="00650DCF">
        <w:t xml:space="preserve">may choose to remain in fee-for-service as their alternative delivery system option under this contract. For SNS, the MCO shall have administrative responsibilities for all </w:t>
      </w:r>
      <w:r w:rsidR="001E2F32">
        <w:t>enrollee</w:t>
      </w:r>
      <w:r w:rsidR="001E2F32" w:rsidRPr="00650DCF">
        <w:t xml:space="preserve">s </w:t>
      </w:r>
      <w:r w:rsidR="00650DCF" w:rsidRPr="00650DCF">
        <w:t>eligible for services, independent of their enrollment status with the MCO for Medicaid-covered services.</w:t>
      </w:r>
    </w:p>
    <w:p w14:paraId="37B007DA" w14:textId="5F2B8027" w:rsidR="00CD4383" w:rsidRPr="00DF1D1C" w:rsidRDefault="001010ED" w:rsidP="00257641">
      <w:pPr>
        <w:pStyle w:val="Heading3"/>
      </w:pPr>
      <w:bookmarkStart w:id="16" w:name="_Toc8128946"/>
      <w:r>
        <w:t>4.4</w:t>
      </w:r>
      <w:r w:rsidR="00CD4383" w:rsidRPr="00DF1D1C">
        <w:t xml:space="preserve"> </w:t>
      </w:r>
      <w:r w:rsidR="00CD4383" w:rsidRPr="00DF1D1C">
        <w:tab/>
        <w:t xml:space="preserve">Voluntary and </w:t>
      </w:r>
      <w:r w:rsidR="00CD4383" w:rsidRPr="00737F8F">
        <w:t>Involuntary</w:t>
      </w:r>
      <w:r w:rsidR="00CD4383" w:rsidRPr="00DF1D1C">
        <w:t xml:space="preserve"> Disenrollment</w:t>
      </w:r>
      <w:bookmarkEnd w:id="16"/>
    </w:p>
    <w:p w14:paraId="7729F668" w14:textId="438F7C4A" w:rsidR="00CD4383" w:rsidRDefault="00CD4383" w:rsidP="00257641">
      <w:r w:rsidRPr="00DF1D1C">
        <w:t xml:space="preserve">All </w:t>
      </w:r>
      <w:r w:rsidR="0073202A">
        <w:t>MCO</w:t>
      </w:r>
      <w:r w:rsidRPr="00DF1D1C">
        <w:t xml:space="preserve"> enrollees will remain continuously enroll</w:t>
      </w:r>
      <w:r w:rsidR="00F327F6">
        <w:t>ed throughout the term of this C</w:t>
      </w:r>
      <w:r w:rsidRPr="00DF1D1C">
        <w:t>ontract, except in situations where clients</w:t>
      </w:r>
      <w:r w:rsidR="00767D45">
        <w:t xml:space="preserve"> </w:t>
      </w:r>
      <w:r w:rsidRPr="00DF1D1C">
        <w:t xml:space="preserve">lose their Medicaid eligibility, are admitted to a </w:t>
      </w:r>
      <w:r w:rsidR="007D56E3" w:rsidRPr="00DF1D1C">
        <w:t>skilled nursing facility (</w:t>
      </w:r>
      <w:r w:rsidRPr="00DF1D1C">
        <w:t>SNF</w:t>
      </w:r>
      <w:r w:rsidR="007D56E3" w:rsidRPr="00DF1D1C">
        <w:t>)</w:t>
      </w:r>
      <w:r w:rsidRPr="00DF1D1C">
        <w:t xml:space="preserve"> or nursing facility, </w:t>
      </w:r>
      <w:r w:rsidR="004B5C34">
        <w:t>voluntarily disenroll,</w:t>
      </w:r>
      <w:r w:rsidR="004B5C34" w:rsidRPr="00DF1D1C">
        <w:t xml:space="preserve"> </w:t>
      </w:r>
      <w:r w:rsidRPr="00DF1D1C">
        <w:t>or are re</w:t>
      </w:r>
      <w:r w:rsidR="00767D45">
        <w:t>-</w:t>
      </w:r>
      <w:r w:rsidRPr="00DF1D1C">
        <w:t>categorized into a Medicaid coverage category not include</w:t>
      </w:r>
      <w:r w:rsidR="00BE37F5">
        <w:t>d in the managed care delivery system</w:t>
      </w:r>
      <w:r w:rsidRPr="00DF1D1C">
        <w:t xml:space="preserve">. The Department will notify the </w:t>
      </w:r>
      <w:r w:rsidR="0073202A">
        <w:t>MCO</w:t>
      </w:r>
      <w:r w:rsidRPr="00DF1D1C">
        <w:t xml:space="preserve"> of all disenrollment, by means of a monthly enrollment roster report which explicitly identifies terminations from enrollment and the cause of the disenrollment (e.g. loss of Medicaid eligibility, change in eligibility status to a coverage code not included in the managed care initiative, voluntary switching to </w:t>
      </w:r>
      <w:r w:rsidR="004B5C34">
        <w:t>FFS</w:t>
      </w:r>
      <w:r w:rsidRPr="00DF1D1C">
        <w:t xml:space="preserve"> or other causes).</w:t>
      </w:r>
    </w:p>
    <w:p w14:paraId="45575255" w14:textId="05FF935F" w:rsidR="00CD4383" w:rsidRDefault="001010ED" w:rsidP="00257641">
      <w:pPr>
        <w:pStyle w:val="Heading3"/>
      </w:pPr>
      <w:bookmarkStart w:id="17" w:name="_Toc8128947"/>
      <w:r>
        <w:t>4.5</w:t>
      </w:r>
      <w:r w:rsidR="00CD4383" w:rsidRPr="00DF1D1C">
        <w:t xml:space="preserve"> </w:t>
      </w:r>
      <w:r w:rsidR="00CD4383" w:rsidRPr="00DF1D1C">
        <w:tab/>
        <w:t>Capitation Payments to Managed Care Organization</w:t>
      </w:r>
      <w:bookmarkEnd w:id="17"/>
    </w:p>
    <w:p w14:paraId="7949B75E" w14:textId="2559A64B" w:rsidR="00650DCF" w:rsidRDefault="006B5C9F" w:rsidP="00257641">
      <w:r>
        <w:t>Capitation payments</w:t>
      </w:r>
      <w:r w:rsidRPr="006B5C9F">
        <w:t xml:space="preserve"> for </w:t>
      </w:r>
      <w:r>
        <w:t xml:space="preserve">services under </w:t>
      </w:r>
      <w:r w:rsidRPr="006B5C9F">
        <w:t xml:space="preserve">this contract will be designed using a braided funding stream, with Medicaid and </w:t>
      </w:r>
      <w:r w:rsidR="004730E9">
        <w:t>BCF</w:t>
      </w:r>
      <w:r w:rsidRPr="006B5C9F">
        <w:t xml:space="preserve"> dollars being </w:t>
      </w:r>
      <w:r w:rsidR="004730E9">
        <w:t>braided</w:t>
      </w:r>
      <w:r w:rsidR="004730E9" w:rsidRPr="006B5C9F">
        <w:t xml:space="preserve"> </w:t>
      </w:r>
      <w:r w:rsidRPr="006B5C9F">
        <w:t>to develop a monthly capitation payment for holistic care</w:t>
      </w:r>
      <w:r>
        <w:t xml:space="preserve"> of enrollees. </w:t>
      </w:r>
      <w:r w:rsidR="00CD4383" w:rsidRPr="00DF1D1C">
        <w:t xml:space="preserve">Payment to the </w:t>
      </w:r>
      <w:r w:rsidR="0073202A">
        <w:t>MCO</w:t>
      </w:r>
      <w:r w:rsidR="00CD4383" w:rsidRPr="00DF1D1C">
        <w:t xml:space="preserve"> </w:t>
      </w:r>
      <w:r w:rsidR="00043299">
        <w:t>will</w:t>
      </w:r>
      <w:r w:rsidR="00043299" w:rsidRPr="00DF1D1C">
        <w:t xml:space="preserve"> </w:t>
      </w:r>
      <w:r w:rsidR="00CD4383" w:rsidRPr="00DF1D1C">
        <w:t>be based on the enrollment data transmit</w:t>
      </w:r>
      <w:r w:rsidR="00597B04">
        <w:t>ted from the Department to its Fiscal A</w:t>
      </w:r>
      <w:r w:rsidR="00CD4383" w:rsidRPr="00DF1D1C">
        <w:t xml:space="preserve">gent each month, and upon the monthly claims invoices submitted by the </w:t>
      </w:r>
      <w:r w:rsidR="0073202A">
        <w:t>MCO</w:t>
      </w:r>
      <w:r w:rsidR="00597B04">
        <w:t xml:space="preserve"> to the Fiscal A</w:t>
      </w:r>
      <w:r w:rsidR="00CD4383" w:rsidRPr="00DF1D1C">
        <w:t>gent.</w:t>
      </w:r>
      <w:r w:rsidR="00597B04">
        <w:t xml:space="preserve"> </w:t>
      </w:r>
      <w:r w:rsidR="009251F2">
        <w:t>The Fiscal A</w:t>
      </w:r>
      <w:r w:rsidR="00CD4383" w:rsidRPr="00DF1D1C">
        <w:t xml:space="preserve">gent will reconcile these data, </w:t>
      </w:r>
      <w:r w:rsidR="00CD4383" w:rsidRPr="00DF1D1C">
        <w:lastRenderedPageBreak/>
        <w:t xml:space="preserve">and will not pay a capitation on behalf of </w:t>
      </w:r>
      <w:r w:rsidR="001E2F32">
        <w:t>enrollees</w:t>
      </w:r>
      <w:r w:rsidR="001E2F32" w:rsidRPr="00DF1D1C">
        <w:t xml:space="preserve"> </w:t>
      </w:r>
      <w:r w:rsidR="00CD4383" w:rsidRPr="00DF1D1C">
        <w:t>who appear on only one</w:t>
      </w:r>
      <w:r w:rsidR="00622D1C">
        <w:t xml:space="preserve"> (1)</w:t>
      </w:r>
      <w:r w:rsidR="00CD4383" w:rsidRPr="00DF1D1C">
        <w:t xml:space="preserve"> of the two</w:t>
      </w:r>
      <w:r w:rsidR="00622D1C">
        <w:t xml:space="preserve"> (2)</w:t>
      </w:r>
      <w:r w:rsidR="00CD4383" w:rsidRPr="00DF1D1C">
        <w:t xml:space="preserve"> sources. </w:t>
      </w:r>
    </w:p>
    <w:p w14:paraId="58DF4CD9" w14:textId="63B7FB2A" w:rsidR="00CD4383" w:rsidRPr="00DF1D1C" w:rsidRDefault="00CD4383" w:rsidP="00257641">
      <w:r w:rsidRPr="00DF1D1C">
        <w:t xml:space="preserve">The </w:t>
      </w:r>
      <w:r w:rsidR="0073202A">
        <w:t>MCO</w:t>
      </w:r>
      <w:r w:rsidR="009251F2">
        <w:t xml:space="preserve"> is</w:t>
      </w:r>
      <w:r w:rsidRPr="00DF1D1C">
        <w:t xml:space="preserve"> responsible for detecting the source of the inconsistency</w:t>
      </w:r>
      <w:r w:rsidR="00043299">
        <w:t xml:space="preserve"> between the enrollment data and the MCO monthly claims invoice</w:t>
      </w:r>
      <w:r w:rsidRPr="00DF1D1C">
        <w:t xml:space="preserve">. The </w:t>
      </w:r>
      <w:r w:rsidR="0073202A">
        <w:t>MCO</w:t>
      </w:r>
      <w:r w:rsidRPr="00DF1D1C">
        <w:t xml:space="preserve"> </w:t>
      </w:r>
      <w:r w:rsidR="00043299">
        <w:t xml:space="preserve">must </w:t>
      </w:r>
      <w:r w:rsidR="00043299" w:rsidRPr="00DF1D1C">
        <w:t>notify</w:t>
      </w:r>
      <w:r w:rsidRPr="00DF1D1C">
        <w:t xml:space="preserve"> the Department </w:t>
      </w:r>
      <w:r w:rsidR="00603217">
        <w:t xml:space="preserve">in writing </w:t>
      </w:r>
      <w:r w:rsidRPr="00DF1D1C">
        <w:t>of any inconsistency between enrollment and payment data</w:t>
      </w:r>
      <w:r w:rsidR="00043299">
        <w:t xml:space="preserve"> no later than within </w:t>
      </w:r>
      <w:r w:rsidR="00C8689A">
        <w:t>forty-five (</w:t>
      </w:r>
      <w:r w:rsidR="00043299">
        <w:t>45</w:t>
      </w:r>
      <w:r w:rsidR="00C8689A">
        <w:t>)</w:t>
      </w:r>
      <w:r w:rsidR="00043299">
        <w:t xml:space="preserve"> </w:t>
      </w:r>
      <w:r w:rsidR="008F7061">
        <w:t xml:space="preserve">calendar </w:t>
      </w:r>
      <w:r w:rsidR="00043299">
        <w:t>days from the day inconsistency was determined by the MCO</w:t>
      </w:r>
      <w:r w:rsidRPr="00DF1D1C">
        <w:t xml:space="preserve">. The Department agrees to provide to the </w:t>
      </w:r>
      <w:r w:rsidR="0073202A">
        <w:t>MCO</w:t>
      </w:r>
      <w:r w:rsidRPr="00DF1D1C">
        <w:t xml:space="preserve"> information needed to determine the source of the inconsistency within ten</w:t>
      </w:r>
      <w:r w:rsidR="00F3479E">
        <w:t xml:space="preserve"> (10)</w:t>
      </w:r>
      <w:r w:rsidRPr="00DF1D1C">
        <w:t xml:space="preserve"> </w:t>
      </w:r>
      <w:r w:rsidR="00F3479E">
        <w:t>business</w:t>
      </w:r>
      <w:r w:rsidR="00F3479E" w:rsidRPr="00DF1D1C">
        <w:t xml:space="preserve"> </w:t>
      </w:r>
      <w:r w:rsidRPr="00DF1D1C">
        <w:t>days after receiving written notice of the request to furnish such information. The Department will recoup overpayments or reimburse underpayments</w:t>
      </w:r>
      <w:r w:rsidR="00043299">
        <w:t xml:space="preserve"> as soon as administratively possible</w:t>
      </w:r>
      <w:r w:rsidRPr="00DF1D1C">
        <w:t xml:space="preserve">. The adjusted payment (representing reinstated </w:t>
      </w:r>
      <w:r w:rsidR="001E2F32">
        <w:t>enrollees</w:t>
      </w:r>
      <w:r w:rsidRPr="00DF1D1C">
        <w:t xml:space="preserve">) for each month of coverage </w:t>
      </w:r>
      <w:r w:rsidR="00043299">
        <w:t>will</w:t>
      </w:r>
      <w:r w:rsidR="00043299" w:rsidRPr="00DF1D1C">
        <w:t xml:space="preserve"> </w:t>
      </w:r>
      <w:r w:rsidRPr="00DF1D1C">
        <w:t xml:space="preserve">be included in the next monthly capitation payment, based on updated </w:t>
      </w:r>
      <w:r w:rsidR="0073202A">
        <w:t>MCO</w:t>
      </w:r>
      <w:r w:rsidRPr="00DF1D1C">
        <w:t xml:space="preserve"> enrollment information for that month of coverage.</w:t>
      </w:r>
    </w:p>
    <w:p w14:paraId="09940756" w14:textId="77777777" w:rsidR="00CD4383" w:rsidRPr="00DF1D1C" w:rsidRDefault="00CD4383" w:rsidP="00257641">
      <w:r w:rsidRPr="00DF1D1C">
        <w:t>Any retrospective adjustments to prior capitations will be made in the form of an addition to or subtraction from the current month</w:t>
      </w:r>
      <w:r w:rsidR="00FA1C0C" w:rsidRPr="00DF1D1C">
        <w:t>’</w:t>
      </w:r>
      <w:r w:rsidRPr="00DF1D1C">
        <w:t xml:space="preserve">s capitation payment. Positive adjustments are particularly likely for newborns, where the </w:t>
      </w:r>
      <w:r w:rsidR="0073202A">
        <w:t>MCO</w:t>
      </w:r>
      <w:r w:rsidRPr="00DF1D1C">
        <w:t xml:space="preserve"> may be aware of the birth before the Department.</w:t>
      </w:r>
    </w:p>
    <w:p w14:paraId="0EEA344E" w14:textId="16334898" w:rsidR="00CD4383" w:rsidRPr="00DF1D1C" w:rsidRDefault="009251F2" w:rsidP="00257641">
      <w:r>
        <w:t xml:space="preserve">In full consideration of </w:t>
      </w:r>
      <w:r w:rsidR="009B19C2">
        <w:t xml:space="preserve">Contract </w:t>
      </w:r>
      <w:r w:rsidR="00CD4383" w:rsidRPr="00DF1D1C">
        <w:t xml:space="preserve">services rendered by the </w:t>
      </w:r>
      <w:r w:rsidR="0073202A">
        <w:t>MCO</w:t>
      </w:r>
      <w:r w:rsidR="00CD4383" w:rsidRPr="00DF1D1C">
        <w:t xml:space="preserve">, the Department agrees to pay the </w:t>
      </w:r>
      <w:r w:rsidR="0073202A">
        <w:t>MCO</w:t>
      </w:r>
      <w:r w:rsidR="00CD4383" w:rsidRPr="00DF1D1C">
        <w:t xml:space="preserve"> monthly payments based on the </w:t>
      </w:r>
      <w:r w:rsidR="006E458B" w:rsidRPr="00DF1D1C">
        <w:t xml:space="preserve">methodology </w:t>
      </w:r>
      <w:r w:rsidR="00CD4383" w:rsidRPr="00DF1D1C">
        <w:t xml:space="preserve">specified in </w:t>
      </w:r>
      <w:r w:rsidR="00F33B38">
        <w:t>Appendix</w:t>
      </w:r>
      <w:r w:rsidR="00CD4383" w:rsidRPr="00DF1D1C">
        <w:t xml:space="preserve"> B</w:t>
      </w:r>
      <w:r w:rsidR="0078080B" w:rsidRPr="00DF1D1C">
        <w:t xml:space="preserve">. </w:t>
      </w:r>
      <w:r w:rsidR="00CD4383" w:rsidRPr="00DF1D1C">
        <w:t xml:space="preserve">Department capitation payments to the </w:t>
      </w:r>
      <w:r w:rsidR="0073202A">
        <w:t>MCO</w:t>
      </w:r>
      <w:r w:rsidR="00CD4383" w:rsidRPr="00DF1D1C">
        <w:t xml:space="preserve"> will apply to the time period</w:t>
      </w:r>
      <w:r w:rsidR="00764DE1" w:rsidRPr="00DF1D1C">
        <w:t xml:space="preserve"> </w:t>
      </w:r>
      <w:r w:rsidR="004A0E73">
        <w:t>January</w:t>
      </w:r>
      <w:r w:rsidR="004A0E73" w:rsidRPr="00DF1D1C">
        <w:t xml:space="preserve"> </w:t>
      </w:r>
      <w:r w:rsidR="000862C9" w:rsidRPr="00DF1D1C">
        <w:t xml:space="preserve">1, </w:t>
      </w:r>
      <w:r w:rsidR="004246C5" w:rsidRPr="00DF1D1C">
        <w:t>20</w:t>
      </w:r>
      <w:r w:rsidR="004A0E73">
        <w:t>20</w:t>
      </w:r>
      <w:r w:rsidR="00295B27">
        <w:t>,</w:t>
      </w:r>
      <w:r w:rsidR="004246C5" w:rsidRPr="00DF1D1C">
        <w:t xml:space="preserve"> </w:t>
      </w:r>
      <w:r w:rsidR="00CD4383" w:rsidRPr="00DF1D1C">
        <w:t xml:space="preserve">through </w:t>
      </w:r>
      <w:r w:rsidR="000862C9" w:rsidRPr="00DF1D1C">
        <w:t xml:space="preserve">June 30, </w:t>
      </w:r>
      <w:r w:rsidR="004246C5" w:rsidRPr="00DF1D1C">
        <w:t>20</w:t>
      </w:r>
      <w:r w:rsidR="006B5C9F">
        <w:t>2</w:t>
      </w:r>
      <w:r w:rsidR="004A0E73">
        <w:t>0</w:t>
      </w:r>
      <w:r w:rsidR="004246C5" w:rsidRPr="00DF1D1C">
        <w:t xml:space="preserve"> </w:t>
      </w:r>
      <w:r w:rsidR="00CD4383" w:rsidRPr="00DF1D1C">
        <w:t xml:space="preserve">(State Fiscal Year </w:t>
      </w:r>
      <w:r w:rsidR="004246C5" w:rsidRPr="00DF1D1C">
        <w:t>20</w:t>
      </w:r>
      <w:r w:rsidR="006B5C9F">
        <w:t>2</w:t>
      </w:r>
      <w:r w:rsidR="004A0E73">
        <w:t>0</w:t>
      </w:r>
      <w:r w:rsidR="00CD4383" w:rsidRPr="00DF1D1C">
        <w:t>)</w:t>
      </w:r>
      <w:r w:rsidR="0078080B" w:rsidRPr="00DF1D1C">
        <w:t xml:space="preserve">. </w:t>
      </w:r>
      <w:r w:rsidR="00CD4383" w:rsidRPr="00DF1D1C">
        <w:t xml:space="preserve">State Fiscal Year </w:t>
      </w:r>
      <w:r w:rsidR="00C80322" w:rsidRPr="00DF1D1C">
        <w:t>20</w:t>
      </w:r>
      <w:r w:rsidR="006B5C9F">
        <w:t>20</w:t>
      </w:r>
      <w:r w:rsidR="00864B60">
        <w:t xml:space="preserve"> </w:t>
      </w:r>
      <w:r w:rsidR="00CD4383" w:rsidRPr="00DF1D1C">
        <w:t xml:space="preserve">capitation </w:t>
      </w:r>
      <w:r w:rsidR="00500A31">
        <w:t>rate ranges</w:t>
      </w:r>
      <w:r w:rsidR="00500A31" w:rsidRPr="00DF1D1C">
        <w:t xml:space="preserve"> </w:t>
      </w:r>
      <w:r w:rsidR="00CD4383" w:rsidRPr="00DF1D1C">
        <w:t xml:space="preserve">will be determined by the Department no later than </w:t>
      </w:r>
      <w:r w:rsidR="004A0E73">
        <w:t>May</w:t>
      </w:r>
      <w:r w:rsidR="004A0E73" w:rsidRPr="00DF1D1C">
        <w:t xml:space="preserve"> </w:t>
      </w:r>
      <w:r w:rsidR="00CD4383" w:rsidRPr="00DF1D1C">
        <w:t>1</w:t>
      </w:r>
      <w:r w:rsidR="00D04EC3" w:rsidRPr="00DF1D1C">
        <w:t>5</w:t>
      </w:r>
      <w:r w:rsidR="00CD4383" w:rsidRPr="00DF1D1C">
        <w:t xml:space="preserve">, </w:t>
      </w:r>
      <w:r w:rsidR="004246C5" w:rsidRPr="00DF1D1C">
        <w:t>201</w:t>
      </w:r>
      <w:r w:rsidR="006B5C9F">
        <w:t>9</w:t>
      </w:r>
      <w:r w:rsidR="0045764E">
        <w:t>,</w:t>
      </w:r>
      <w:r w:rsidR="00043299">
        <w:t xml:space="preserve"> or upon CMS approval</w:t>
      </w:r>
      <w:r w:rsidR="00500A31">
        <w:t>,</w:t>
      </w:r>
      <w:r w:rsidR="00043299">
        <w:t xml:space="preserve"> whichever is later</w:t>
      </w:r>
      <w:r w:rsidR="00CD4383" w:rsidRPr="00DF1D1C">
        <w:t>.</w:t>
      </w:r>
      <w:r w:rsidR="0025431B" w:rsidRPr="00DF1D1C">
        <w:t xml:space="preserve"> The </w:t>
      </w:r>
      <w:r w:rsidR="0073202A">
        <w:t>MCO</w:t>
      </w:r>
      <w:r w:rsidR="0025431B" w:rsidRPr="00DF1D1C">
        <w:t xml:space="preserve"> assumes risk for the cost of services covered und</w:t>
      </w:r>
      <w:r w:rsidR="00F327F6">
        <w:t xml:space="preserve">er this </w:t>
      </w:r>
      <w:r w:rsidR="009B19C2">
        <w:t xml:space="preserve">Contract </w:t>
      </w:r>
      <w:r w:rsidR="0025431B" w:rsidRPr="00DF1D1C">
        <w:t xml:space="preserve">and will incur loss if the cost of furnishing the services </w:t>
      </w:r>
      <w:r w:rsidR="00F327F6">
        <w:t>exceeds the payments under the C</w:t>
      </w:r>
      <w:r w:rsidR="0025431B" w:rsidRPr="00DF1D1C">
        <w:t>ontract</w:t>
      </w:r>
      <w:r w:rsidR="0078080B" w:rsidRPr="00DF1D1C">
        <w:t xml:space="preserve">. </w:t>
      </w:r>
      <w:r w:rsidR="0025431B" w:rsidRPr="00DF1D1C">
        <w:t xml:space="preserve">The </w:t>
      </w:r>
      <w:r w:rsidR="0073202A">
        <w:t>MCO</w:t>
      </w:r>
      <w:r w:rsidR="0025431B" w:rsidRPr="00DF1D1C">
        <w:t xml:space="preserve"> must accept as payment in full, the </w:t>
      </w:r>
      <w:r w:rsidR="008E5992" w:rsidRPr="00DF1D1C">
        <w:t>a</w:t>
      </w:r>
      <w:r w:rsidR="0025431B" w:rsidRPr="00DF1D1C">
        <w:t>mount paid by the Department</w:t>
      </w:r>
      <w:r w:rsidR="006E458B" w:rsidRPr="00DF1D1C">
        <w:t xml:space="preserve">. </w:t>
      </w:r>
    </w:p>
    <w:p w14:paraId="49E54171" w14:textId="77777777" w:rsidR="00CD4383" w:rsidRPr="00DF1D1C" w:rsidRDefault="00CD4383" w:rsidP="00257641">
      <w:r w:rsidRPr="00DF1D1C">
        <w:t xml:space="preserve">Except for emergency services, no payment will be made for services furnished by a provider other than the </w:t>
      </w:r>
      <w:r w:rsidR="0073202A">
        <w:t>MCO</w:t>
      </w:r>
      <w:r w:rsidR="00DB5793">
        <w:t xml:space="preserve"> provider</w:t>
      </w:r>
      <w:r w:rsidRPr="00DF1D1C">
        <w:t xml:space="preserve">, if the services were available under the </w:t>
      </w:r>
      <w:r w:rsidR="00DB5793">
        <w:t xml:space="preserve">provider </w:t>
      </w:r>
      <w:r w:rsidR="009B19C2">
        <w:t xml:space="preserve">Contract </w:t>
      </w:r>
      <w:r w:rsidR="005C6BE6">
        <w:t xml:space="preserve">unless </w:t>
      </w:r>
      <w:r w:rsidR="00DB5793">
        <w:t>otherwise authorized by the MCO</w:t>
      </w:r>
      <w:r w:rsidRPr="00DF1D1C">
        <w:t>.</w:t>
      </w:r>
    </w:p>
    <w:p w14:paraId="7B0C7339" w14:textId="45EC6E0F" w:rsidR="00CD4383" w:rsidRPr="00DF1D1C" w:rsidRDefault="00CD4383" w:rsidP="00257641">
      <w:r w:rsidRPr="00DF1D1C">
        <w:t>P</w:t>
      </w:r>
      <w:r w:rsidR="009251F2">
        <w:t xml:space="preserve">ayments </w:t>
      </w:r>
      <w:r w:rsidR="00F9120B">
        <w:t xml:space="preserve">for medical services </w:t>
      </w:r>
      <w:r w:rsidR="009251F2">
        <w:t xml:space="preserve">provided for under the </w:t>
      </w:r>
      <w:r w:rsidR="009B19C2">
        <w:t xml:space="preserve">Contract </w:t>
      </w:r>
      <w:r w:rsidRPr="00DF1D1C">
        <w:t>will be denied for new enrollees when, and for so long as, payment for those enrollees is denied by CMS.</w:t>
      </w:r>
      <w:r w:rsidR="00FC7189">
        <w:t xml:space="preserve"> CMS may deny payment for new enrollees to the State if its determination is not timely contested by the MCO</w:t>
      </w:r>
      <w:r w:rsidR="00D72042">
        <w:t xml:space="preserve"> per 42 CFR 438.726(b) and §438.730</w:t>
      </w:r>
      <w:r w:rsidR="00FC7189">
        <w:t>.</w:t>
      </w:r>
    </w:p>
    <w:p w14:paraId="27AD567B" w14:textId="77777777" w:rsidR="00CD4383" w:rsidRDefault="00CD4383" w:rsidP="00257641">
      <w:r w:rsidRPr="00DF1D1C">
        <w:t xml:space="preserve">The Department is obligated to make payment either by mail or electronic transfer to the </w:t>
      </w:r>
      <w:r w:rsidR="0073202A">
        <w:t>MCO</w:t>
      </w:r>
      <w:r w:rsidRPr="00DF1D1C">
        <w:t>. Capitation payments will be made for the month in which services are being provided according to the payment schedule for the month, as</w:t>
      </w:r>
      <w:r w:rsidR="009A0060" w:rsidRPr="00DF1D1C">
        <w:t xml:space="preserve"> set forth in</w:t>
      </w:r>
      <w:r w:rsidR="00F327F6">
        <w:t xml:space="preserve"> this C</w:t>
      </w:r>
      <w:r w:rsidR="009A0060" w:rsidRPr="00DF1D1C">
        <w:t>ontract.</w:t>
      </w:r>
      <w:r w:rsidRPr="00DF1D1C">
        <w:t xml:space="preserve"> The Department reserves the right to change the payment process, but the payment timing described above will remain the same</w:t>
      </w:r>
      <w:r w:rsidR="00BD78F4" w:rsidRPr="00DF1D1C">
        <w:t>.</w:t>
      </w:r>
    </w:p>
    <w:p w14:paraId="3FDB816E" w14:textId="242B74C5" w:rsidR="00CF2ADD" w:rsidRPr="00697521" w:rsidRDefault="00CF2ADD" w:rsidP="00257641">
      <w:r w:rsidRPr="00890076">
        <w:t>Participant population (</w:t>
      </w:r>
      <w:r w:rsidR="001E2F32">
        <w:t>enrollee</w:t>
      </w:r>
      <w:r w:rsidR="001E2F32" w:rsidRPr="00890076">
        <w:t xml:space="preserve"> </w:t>
      </w:r>
      <w:r w:rsidRPr="00890076">
        <w:t xml:space="preserve">months) were developed based on historical </w:t>
      </w:r>
      <w:r w:rsidR="00F9120B">
        <w:t xml:space="preserve">fee for service </w:t>
      </w:r>
      <w:r w:rsidRPr="00890076">
        <w:t>participation.</w:t>
      </w:r>
      <w:r w:rsidR="00F24820">
        <w:t xml:space="preserve"> </w:t>
      </w:r>
      <w:r w:rsidR="008D372F">
        <w:t>The MCO</w:t>
      </w:r>
      <w:r w:rsidR="008D372F" w:rsidRPr="00890076">
        <w:t xml:space="preserve"> </w:t>
      </w:r>
      <w:r w:rsidRPr="00890076">
        <w:t>will be paid</w:t>
      </w:r>
      <w:r w:rsidR="00F24820">
        <w:t xml:space="preserve"> </w:t>
      </w:r>
      <w:r w:rsidRPr="00890076">
        <w:t>a capitated rate on a</w:t>
      </w:r>
      <w:r w:rsidR="00F24820">
        <w:t xml:space="preserve"> </w:t>
      </w:r>
      <w:r w:rsidR="00AF588A">
        <w:t>PMPM rate</w:t>
      </w:r>
      <w:r w:rsidR="00622D1C">
        <w:t xml:space="preserve"> </w:t>
      </w:r>
      <w:r w:rsidR="00F9120B">
        <w:t>set by the State</w:t>
      </w:r>
      <w:r w:rsidRPr="00890076">
        <w:t>, which s</w:t>
      </w:r>
      <w:r w:rsidRPr="00421119">
        <w:t>hall be firm a</w:t>
      </w:r>
      <w:r w:rsidR="003825D7">
        <w:t>nd fixed for the period of the c</w:t>
      </w:r>
      <w:r w:rsidRPr="00421119">
        <w:t>ontract, subject to any rate adjustments warranted for modifications to State or Federal regulation, waiver amendments, State Plan amendments, etc.</w:t>
      </w:r>
      <w:r w:rsidR="00F24820">
        <w:t xml:space="preserve"> </w:t>
      </w:r>
    </w:p>
    <w:p w14:paraId="63011D25" w14:textId="3F569AFE" w:rsidR="00DE0D80" w:rsidRDefault="001010ED" w:rsidP="00257641">
      <w:pPr>
        <w:pStyle w:val="Heading3"/>
      </w:pPr>
      <w:bookmarkStart w:id="18" w:name="_Toc8128948"/>
      <w:r>
        <w:lastRenderedPageBreak/>
        <w:t>4.6</w:t>
      </w:r>
      <w:r w:rsidR="00DE0D80">
        <w:tab/>
      </w:r>
      <w:r w:rsidR="00D2114B" w:rsidRPr="00DE0D80">
        <w:t>Federal Disallowance</w:t>
      </w:r>
      <w:bookmarkEnd w:id="18"/>
      <w:r w:rsidR="00DE0D80" w:rsidRPr="00DE0D80">
        <w:t xml:space="preserve"> </w:t>
      </w:r>
    </w:p>
    <w:p w14:paraId="3CC7F985" w14:textId="17E9C050" w:rsidR="00DE0D80" w:rsidRPr="00DE0D80" w:rsidRDefault="00D2114B" w:rsidP="00257641">
      <w:r w:rsidRPr="00D2114B">
        <w:t xml:space="preserve">If the federal government recoups money from the </w:t>
      </w:r>
      <w:r w:rsidR="005574BA">
        <w:t>S</w:t>
      </w:r>
      <w:r w:rsidRPr="00D2114B">
        <w:t xml:space="preserve">tate </w:t>
      </w:r>
      <w:r w:rsidR="005574BA">
        <w:t xml:space="preserve">of West Virginia </w:t>
      </w:r>
      <w:r w:rsidRPr="00D2114B">
        <w:t xml:space="preserve">for expenses and/or costs that are deemed unallowable by the federal government, the </w:t>
      </w:r>
      <w:r w:rsidR="005574BA">
        <w:t xml:space="preserve">Department </w:t>
      </w:r>
      <w:r w:rsidRPr="00D2114B">
        <w:t xml:space="preserve">has the right to, in turn, recoup payments made to the MCO for these same expenses and/or costs, even if they had not been previously disallowed by the </w:t>
      </w:r>
      <w:r w:rsidR="005574BA">
        <w:t>Department</w:t>
      </w:r>
      <w:r w:rsidRPr="00D2114B">
        <w:t xml:space="preserve"> and were incurred by the MCO</w:t>
      </w:r>
      <w:r w:rsidR="00D02388">
        <w:t>.</w:t>
      </w:r>
      <w:r w:rsidRPr="00D2114B">
        <w:t xml:space="preserve"> </w:t>
      </w:r>
      <w:r w:rsidR="00D02388">
        <w:t>A</w:t>
      </w:r>
      <w:r w:rsidRPr="00D2114B">
        <w:t xml:space="preserve">ny such expenses and/or costs would then be deemed unallowable by the </w:t>
      </w:r>
      <w:r w:rsidR="005574BA">
        <w:t>Department</w:t>
      </w:r>
      <w:r w:rsidRPr="00D2114B">
        <w:t xml:space="preserve">. If the </w:t>
      </w:r>
      <w:r w:rsidR="005574BA">
        <w:t xml:space="preserve">Department </w:t>
      </w:r>
      <w:r w:rsidRPr="00D2114B">
        <w:t xml:space="preserve">retroactively recoups money from the MCO due to a federal disallowance, the </w:t>
      </w:r>
      <w:r w:rsidR="005574BA">
        <w:t>Department</w:t>
      </w:r>
      <w:r w:rsidR="005574BA" w:rsidRPr="00D2114B">
        <w:t xml:space="preserve"> </w:t>
      </w:r>
      <w:r w:rsidRPr="00D2114B">
        <w:t>will recoup the entire amount paid to the MCO for the federally disallowed expenses and/or costs, not just the federal portion.</w:t>
      </w:r>
    </w:p>
    <w:p w14:paraId="5EBC3E6D" w14:textId="069CE446" w:rsidR="00CD4383" w:rsidRPr="00DF1D1C" w:rsidRDefault="00CD4383" w:rsidP="00257641">
      <w:pPr>
        <w:pStyle w:val="Heading3"/>
      </w:pPr>
      <w:bookmarkStart w:id="19" w:name="_Toc8128949"/>
      <w:r w:rsidRPr="00DF1D1C">
        <w:t>4.</w:t>
      </w:r>
      <w:r w:rsidR="00B32CEF">
        <w:t>7</w:t>
      </w:r>
      <w:r w:rsidR="00F85BA6">
        <w:tab/>
      </w:r>
      <w:r w:rsidR="002719AA">
        <w:t>Enrol</w:t>
      </w:r>
      <w:r w:rsidR="00642FCC">
        <w:t>l</w:t>
      </w:r>
      <w:r w:rsidR="002719AA">
        <w:t>ee Eligibil</w:t>
      </w:r>
      <w:r w:rsidR="006348C0">
        <w:t>i</w:t>
      </w:r>
      <w:r w:rsidR="002719AA">
        <w:t xml:space="preserve">ty </w:t>
      </w:r>
      <w:r w:rsidRPr="00DF1D1C">
        <w:t>Capitation Adjustments</w:t>
      </w:r>
      <w:bookmarkEnd w:id="19"/>
      <w:r w:rsidR="002719AA">
        <w:t xml:space="preserve"> </w:t>
      </w:r>
    </w:p>
    <w:p w14:paraId="76B3D700" w14:textId="77777777" w:rsidR="00537C90" w:rsidRPr="00DF1D1C" w:rsidRDefault="00CD4383" w:rsidP="00257641">
      <w:r w:rsidRPr="00DF1D1C">
        <w:t xml:space="preserve">Changes in </w:t>
      </w:r>
      <w:r w:rsidR="002719AA" w:rsidRPr="00DF1D1C">
        <w:t>enrollee</w:t>
      </w:r>
      <w:r w:rsidR="002719AA">
        <w:t xml:space="preserve"> </w:t>
      </w:r>
      <w:r w:rsidRPr="00DF1D1C">
        <w:t xml:space="preserve">eligibility categories which become known subsequent to payment of a capitation payment </w:t>
      </w:r>
      <w:r w:rsidR="00ED342F">
        <w:t>will</w:t>
      </w:r>
      <w:r w:rsidR="00ED342F" w:rsidRPr="00DF1D1C">
        <w:t xml:space="preserve"> </w:t>
      </w:r>
      <w:r w:rsidRPr="00DF1D1C">
        <w:t xml:space="preserve">not relieve the </w:t>
      </w:r>
      <w:r w:rsidR="0073202A">
        <w:t>MCO</w:t>
      </w:r>
      <w:r w:rsidRPr="00DF1D1C">
        <w:t xml:space="preserve"> of liability for provision of care for the period for which capitation payment has been made.</w:t>
      </w:r>
      <w:r w:rsidR="00537C90">
        <w:t xml:space="preserve"> </w:t>
      </w:r>
    </w:p>
    <w:p w14:paraId="3FAB00FB" w14:textId="448361D5" w:rsidR="00CD4383" w:rsidRPr="00DF1D1C" w:rsidRDefault="00CD4383" w:rsidP="00257641">
      <w:r w:rsidRPr="00DF1D1C">
        <w:t xml:space="preserve">The </w:t>
      </w:r>
      <w:r w:rsidR="0073202A">
        <w:t>MCO</w:t>
      </w:r>
      <w:r w:rsidRPr="00DF1D1C">
        <w:t xml:space="preserve"> </w:t>
      </w:r>
      <w:r w:rsidR="004B268D">
        <w:t>must</w:t>
      </w:r>
      <w:r w:rsidRPr="00DF1D1C">
        <w:t xml:space="preserve"> serve all Medicaid enrollees for whom current payment has been made to the </w:t>
      </w:r>
      <w:r w:rsidR="0073202A">
        <w:t>MCO</w:t>
      </w:r>
      <w:r w:rsidRPr="00DF1D1C">
        <w:t xml:space="preserve"> without regard to disputes about enrollment status and without regard to any other </w:t>
      </w:r>
      <w:r w:rsidR="007D56E3" w:rsidRPr="00DF1D1C">
        <w:t>identification</w:t>
      </w:r>
      <w:r w:rsidRPr="00DF1D1C">
        <w:t xml:space="preserve"> requirements. If such person later is found to be inappropriately enrolled in the </w:t>
      </w:r>
      <w:r w:rsidR="0073202A">
        <w:t>MCO</w:t>
      </w:r>
      <w:r w:rsidRPr="00DF1D1C">
        <w:t xml:space="preserve">, then the </w:t>
      </w:r>
      <w:r w:rsidR="0073202A">
        <w:t>MCO</w:t>
      </w:r>
      <w:r w:rsidRPr="00DF1D1C">
        <w:t xml:space="preserve"> will retain the capitation payment for that month and must provide services for that month. The Department will make every effort to ensure that only those Medicaid </w:t>
      </w:r>
      <w:r w:rsidR="00AC0524">
        <w:t>enrollee</w:t>
      </w:r>
      <w:r w:rsidR="00AC0524" w:rsidRPr="00DF1D1C">
        <w:t xml:space="preserve">s </w:t>
      </w:r>
      <w:r w:rsidRPr="00DF1D1C">
        <w:t>eligible for enrollment are enrolled</w:t>
      </w:r>
      <w:r w:rsidR="00AC0524">
        <w:t xml:space="preserve"> in the MCO</w:t>
      </w:r>
      <w:r w:rsidRPr="00DF1D1C">
        <w:t>.</w:t>
      </w:r>
      <w:r w:rsidR="00FC7189">
        <w:t xml:space="preserve"> </w:t>
      </w:r>
      <w:r w:rsidRPr="00DF1D1C">
        <w:t xml:space="preserve">In instances where enrollment is disputed between two </w:t>
      </w:r>
      <w:r w:rsidR="00320C64">
        <w:t xml:space="preserve">(2) </w:t>
      </w:r>
      <w:r w:rsidR="0073202A">
        <w:t>MCO</w:t>
      </w:r>
      <w:r w:rsidRPr="00DF1D1C">
        <w:t xml:space="preserve">s, the Department will be the final arbitrator of the </w:t>
      </w:r>
      <w:r w:rsidR="0073202A">
        <w:t>MCO</w:t>
      </w:r>
      <w:r w:rsidRPr="00DF1D1C">
        <w:t xml:space="preserve"> membership and reserves the right to recover an inappropriate capitation payment, including but not limited to untimely notice from the </w:t>
      </w:r>
      <w:r w:rsidR="0073202A">
        <w:t>MCO</w:t>
      </w:r>
      <w:r w:rsidRPr="00DF1D1C">
        <w:t xml:space="preserve"> to the Department of an enrollee</w:t>
      </w:r>
      <w:r w:rsidR="00FA1C0C" w:rsidRPr="00DF1D1C">
        <w:t>’</w:t>
      </w:r>
      <w:r w:rsidRPr="00DF1D1C">
        <w:t xml:space="preserve">s request to disenroll, when such requests are submitted to the </w:t>
      </w:r>
      <w:r w:rsidR="0073202A">
        <w:t>MCO</w:t>
      </w:r>
      <w:r w:rsidRPr="00DF1D1C">
        <w:t>.</w:t>
      </w:r>
    </w:p>
    <w:p w14:paraId="24ED4E13" w14:textId="5BC75CC7" w:rsidR="00CD4383" w:rsidRPr="00DF1D1C" w:rsidRDefault="00CD4383" w:rsidP="00257641">
      <w:pPr>
        <w:pStyle w:val="Heading3"/>
      </w:pPr>
      <w:bookmarkStart w:id="20" w:name="_Toc8128950"/>
      <w:r w:rsidRPr="00DF1D1C">
        <w:t>4.</w:t>
      </w:r>
      <w:r w:rsidR="001C500D">
        <w:t>8</w:t>
      </w:r>
      <w:r w:rsidRPr="00DF1D1C">
        <w:t xml:space="preserve"> </w:t>
      </w:r>
      <w:r w:rsidRPr="00DF1D1C">
        <w:tab/>
        <w:t>Information</w:t>
      </w:r>
      <w:bookmarkEnd w:id="20"/>
    </w:p>
    <w:p w14:paraId="26879A54" w14:textId="40A5350C" w:rsidR="001517F1" w:rsidRPr="00DF1D1C" w:rsidRDefault="001517F1" w:rsidP="00257641">
      <w:r w:rsidRPr="00DF1D1C">
        <w:t xml:space="preserve">The Department will </w:t>
      </w:r>
      <w:r w:rsidR="00C61384" w:rsidRPr="00DF1D1C">
        <w:t xml:space="preserve">notify </w:t>
      </w:r>
      <w:r w:rsidR="00C61384">
        <w:t xml:space="preserve">the </w:t>
      </w:r>
      <w:r w:rsidR="0073202A">
        <w:t>MCO</w:t>
      </w:r>
      <w:r w:rsidRPr="00DF1D1C">
        <w:t xml:space="preserve"> </w:t>
      </w:r>
      <w:r w:rsidR="004D0A0C" w:rsidRPr="00DF1D1C">
        <w:t xml:space="preserve">in writing </w:t>
      </w:r>
      <w:r w:rsidRPr="00DF1D1C">
        <w:t xml:space="preserve">of any exclusion initiated by DHHR for a fee-for-service </w:t>
      </w:r>
      <w:r w:rsidR="003400AE">
        <w:t xml:space="preserve">(FFS) </w:t>
      </w:r>
      <w:r w:rsidRPr="00DF1D1C">
        <w:t xml:space="preserve">Medicaid </w:t>
      </w:r>
      <w:r w:rsidR="00320C64">
        <w:t xml:space="preserve">or BCF </w:t>
      </w:r>
      <w:r w:rsidRPr="00DF1D1C">
        <w:t xml:space="preserve">provider so that the </w:t>
      </w:r>
      <w:r w:rsidR="0073202A">
        <w:t>MCO</w:t>
      </w:r>
      <w:r w:rsidRPr="00DF1D1C">
        <w:t xml:space="preserve"> can exclude that provider from its network. </w:t>
      </w:r>
    </w:p>
    <w:p w14:paraId="3B384881" w14:textId="549DBB45" w:rsidR="00CD4383" w:rsidRPr="00DF1D1C" w:rsidRDefault="00CD4383" w:rsidP="00257641">
      <w:pPr>
        <w:pStyle w:val="Heading3"/>
      </w:pPr>
      <w:bookmarkStart w:id="21" w:name="_Toc8128951"/>
      <w:r w:rsidRPr="00DF1D1C">
        <w:t>4.</w:t>
      </w:r>
      <w:r w:rsidR="001C500D">
        <w:t>9</w:t>
      </w:r>
      <w:r w:rsidRPr="00DF1D1C">
        <w:t xml:space="preserve"> </w:t>
      </w:r>
      <w:r w:rsidRPr="00DF1D1C">
        <w:tab/>
        <w:t>Ongoing Managed Care Organization Monitoring</w:t>
      </w:r>
      <w:bookmarkEnd w:id="21"/>
    </w:p>
    <w:p w14:paraId="79425B58" w14:textId="77777777" w:rsidR="001517F1" w:rsidRPr="00DF1D1C" w:rsidRDefault="001517F1" w:rsidP="00257641">
      <w:pPr>
        <w:pStyle w:val="normal6"/>
      </w:pPr>
      <w:r w:rsidRPr="00DF1D1C">
        <w:t>To ensure the quality of care, the Department will undertake the following monitoring activities</w:t>
      </w:r>
      <w:r w:rsidR="005501D2">
        <w:t xml:space="preserve"> </w:t>
      </w:r>
      <w:r w:rsidR="00ED342F">
        <w:t>including</w:t>
      </w:r>
      <w:r w:rsidR="005501D2">
        <w:t xml:space="preserve">, </w:t>
      </w:r>
      <w:r w:rsidR="00ED342F">
        <w:t>but not limited to</w:t>
      </w:r>
      <w:r w:rsidRPr="00DF1D1C">
        <w:t>:</w:t>
      </w:r>
    </w:p>
    <w:p w14:paraId="01B7410C" w14:textId="77777777" w:rsidR="001517F1" w:rsidRPr="00DF1D1C" w:rsidRDefault="001517F1" w:rsidP="00257641">
      <w:pPr>
        <w:numPr>
          <w:ilvl w:val="0"/>
          <w:numId w:val="1"/>
        </w:numPr>
        <w:tabs>
          <w:tab w:val="clear" w:pos="360"/>
        </w:tabs>
        <w:spacing w:after="120"/>
        <w:ind w:left="720"/>
      </w:pPr>
      <w:r w:rsidRPr="00DF1D1C">
        <w:t xml:space="preserve">Analyze the </w:t>
      </w:r>
      <w:r w:rsidR="0073202A">
        <w:t>MCO</w:t>
      </w:r>
      <w:r w:rsidR="00FA1C0C" w:rsidRPr="00DF1D1C">
        <w:t>’</w:t>
      </w:r>
      <w:r w:rsidRPr="00DF1D1C">
        <w:t xml:space="preserve">s access enhancement programs, financial and utilization data, and other reports to monitor the value the </w:t>
      </w:r>
      <w:r w:rsidR="0073202A">
        <w:t>MCO</w:t>
      </w:r>
      <w:r w:rsidRPr="00DF1D1C">
        <w:t xml:space="preserve"> is providing in return for the State</w:t>
      </w:r>
      <w:r w:rsidR="00FA1C0C" w:rsidRPr="00DF1D1C">
        <w:t>’</w:t>
      </w:r>
      <w:r w:rsidRPr="00DF1D1C">
        <w:t xml:space="preserve">s capitation revenues. Such efforts will include audits of the </w:t>
      </w:r>
      <w:r w:rsidR="0073202A">
        <w:t>MCO</w:t>
      </w:r>
      <w:r w:rsidRPr="00DF1D1C">
        <w:t xml:space="preserve"> and its </w:t>
      </w:r>
      <w:r w:rsidR="00642406">
        <w:t>Su</w:t>
      </w:r>
      <w:r w:rsidRPr="00DF1D1C">
        <w:t>bcontra</w:t>
      </w:r>
      <w:r w:rsidR="00ED342F">
        <w:t>ctors</w:t>
      </w:r>
      <w:r w:rsidR="009B2B56">
        <w:t>.</w:t>
      </w:r>
    </w:p>
    <w:p w14:paraId="6E47296C" w14:textId="4E5B743F" w:rsidR="001517F1" w:rsidRPr="00DF1D1C" w:rsidRDefault="001517F1" w:rsidP="00257641">
      <w:pPr>
        <w:numPr>
          <w:ilvl w:val="0"/>
          <w:numId w:val="1"/>
        </w:numPr>
        <w:tabs>
          <w:tab w:val="clear" w:pos="360"/>
        </w:tabs>
        <w:spacing w:after="120"/>
        <w:ind w:left="720"/>
      </w:pPr>
      <w:r w:rsidRPr="00DF1D1C">
        <w:t xml:space="preserve">Conduct regular </w:t>
      </w:r>
      <w:r w:rsidR="00AC0524">
        <w:t>enrollee</w:t>
      </w:r>
      <w:r w:rsidR="00AC0524" w:rsidRPr="00DF1D1C">
        <w:t xml:space="preserve"> </w:t>
      </w:r>
      <w:r w:rsidRPr="00DF1D1C">
        <w:t>surveys addressing issues such as satisfaction and reasons for disenrollment.</w:t>
      </w:r>
    </w:p>
    <w:p w14:paraId="3B0CF9B1" w14:textId="77777777" w:rsidR="001517F1" w:rsidRPr="00DF1D1C" w:rsidRDefault="001517F1" w:rsidP="00257641">
      <w:pPr>
        <w:numPr>
          <w:ilvl w:val="0"/>
          <w:numId w:val="1"/>
        </w:numPr>
        <w:tabs>
          <w:tab w:val="clear" w:pos="360"/>
        </w:tabs>
        <w:spacing w:after="120"/>
        <w:ind w:left="720"/>
      </w:pPr>
      <w:r w:rsidRPr="00DF1D1C">
        <w:t xml:space="preserve">Review </w:t>
      </w:r>
      <w:r w:rsidR="0073202A">
        <w:t>MCO</w:t>
      </w:r>
      <w:r w:rsidRPr="00DF1D1C">
        <w:t xml:space="preserve"> certifications on a regular basis.</w:t>
      </w:r>
    </w:p>
    <w:p w14:paraId="7BD3C39A" w14:textId="1CB6D8F0" w:rsidR="001517F1" w:rsidRPr="00DF1D1C" w:rsidRDefault="001517F1" w:rsidP="00257641">
      <w:pPr>
        <w:numPr>
          <w:ilvl w:val="0"/>
          <w:numId w:val="1"/>
        </w:numPr>
        <w:tabs>
          <w:tab w:val="clear" w:pos="360"/>
        </w:tabs>
        <w:spacing w:after="120"/>
        <w:ind w:left="720"/>
      </w:pPr>
      <w:r w:rsidRPr="00DF1D1C">
        <w:t xml:space="preserve">At </w:t>
      </w:r>
      <w:r w:rsidR="00320C64">
        <w:t>DHHR’s</w:t>
      </w:r>
      <w:r w:rsidR="00320C64" w:rsidRPr="00DF1D1C">
        <w:t xml:space="preserve"> </w:t>
      </w:r>
      <w:r w:rsidRPr="00DF1D1C">
        <w:t xml:space="preserve">discretion, commission or conduct additional objective studies of the effectiveness of the </w:t>
      </w:r>
      <w:r w:rsidR="0073202A">
        <w:t>MCO</w:t>
      </w:r>
      <w:r w:rsidRPr="00DF1D1C">
        <w:t>.</w:t>
      </w:r>
    </w:p>
    <w:p w14:paraId="0603F604" w14:textId="77777777" w:rsidR="001517F1" w:rsidRPr="00DF1D1C" w:rsidRDefault="001517F1" w:rsidP="00257641">
      <w:pPr>
        <w:numPr>
          <w:ilvl w:val="0"/>
          <w:numId w:val="1"/>
        </w:numPr>
        <w:tabs>
          <w:tab w:val="clear" w:pos="360"/>
        </w:tabs>
        <w:spacing w:after="120"/>
        <w:ind w:left="720"/>
      </w:pPr>
      <w:r w:rsidRPr="00DF1D1C">
        <w:t>Monitor the enrollment and termination practices.</w:t>
      </w:r>
    </w:p>
    <w:p w14:paraId="6101AFB9" w14:textId="77777777" w:rsidR="001517F1" w:rsidRPr="00DF1D1C" w:rsidRDefault="001517F1" w:rsidP="00257641">
      <w:pPr>
        <w:numPr>
          <w:ilvl w:val="0"/>
          <w:numId w:val="1"/>
        </w:numPr>
        <w:tabs>
          <w:tab w:val="clear" w:pos="360"/>
        </w:tabs>
        <w:spacing w:after="120"/>
        <w:ind w:left="720"/>
      </w:pPr>
      <w:r w:rsidRPr="00DF1D1C">
        <w:lastRenderedPageBreak/>
        <w:t>Assure the proper implementation of the required grievance procedures.</w:t>
      </w:r>
    </w:p>
    <w:p w14:paraId="18BF35DC" w14:textId="2AAF58B0" w:rsidR="001517F1" w:rsidRPr="00DF1D1C" w:rsidRDefault="001517F1" w:rsidP="00257641">
      <w:pPr>
        <w:numPr>
          <w:ilvl w:val="0"/>
          <w:numId w:val="1"/>
        </w:numPr>
        <w:tabs>
          <w:tab w:val="clear" w:pos="360"/>
        </w:tabs>
        <w:ind w:left="720"/>
      </w:pPr>
      <w:r w:rsidRPr="00DF1D1C">
        <w:t xml:space="preserve">Conduct periodic reviews of the </w:t>
      </w:r>
      <w:r w:rsidR="0073202A">
        <w:t>MCO</w:t>
      </w:r>
      <w:r w:rsidRPr="00DF1D1C">
        <w:t xml:space="preserve"> provider credentialing process and network to ensure that providers excluded from Medicaid </w:t>
      </w:r>
      <w:r w:rsidR="00F9120B">
        <w:t xml:space="preserve">and BCF </w:t>
      </w:r>
      <w:r w:rsidRPr="00DF1D1C">
        <w:t xml:space="preserve">participation are excluded from the </w:t>
      </w:r>
      <w:r w:rsidR="0073202A">
        <w:t>MCO</w:t>
      </w:r>
      <w:r w:rsidRPr="00DF1D1C">
        <w:t xml:space="preserve"> provider network.</w:t>
      </w:r>
    </w:p>
    <w:p w14:paraId="7A81F0BD" w14:textId="77777777" w:rsidR="001517F1" w:rsidRPr="00DF1D1C" w:rsidRDefault="001517F1" w:rsidP="00257641">
      <w:r w:rsidRPr="00DF1D1C">
        <w:t xml:space="preserve">These </w:t>
      </w:r>
      <w:r w:rsidR="00ED342F">
        <w:t>monitoring activities</w:t>
      </w:r>
      <w:r w:rsidR="00ED342F" w:rsidRPr="00DF1D1C">
        <w:t xml:space="preserve"> </w:t>
      </w:r>
      <w:r w:rsidRPr="00DF1D1C">
        <w:t>will take place at least once per year. The Department or its contractors must provi</w:t>
      </w:r>
      <w:r w:rsidRPr="00737F8F">
        <w:t>d</w:t>
      </w:r>
      <w:r w:rsidRPr="00DF1D1C">
        <w:t xml:space="preserve">e to the </w:t>
      </w:r>
      <w:r w:rsidR="0073202A">
        <w:t>MCO</w:t>
      </w:r>
      <w:r w:rsidRPr="00DF1D1C">
        <w:t xml:space="preserve"> summaries, at the Department</w:t>
      </w:r>
      <w:r w:rsidR="00FA1C0C" w:rsidRPr="00DF1D1C">
        <w:t>’</w:t>
      </w:r>
      <w:r w:rsidRPr="00DF1D1C">
        <w:t>s expense, of all monitoring activit</w:t>
      </w:r>
      <w:r w:rsidRPr="00737F8F">
        <w:t>y</w:t>
      </w:r>
      <w:r w:rsidRPr="00DF1D1C">
        <w:t xml:space="preserve"> reports, surveys, audits, studies, reviews</w:t>
      </w:r>
      <w:r w:rsidR="009A5F8B" w:rsidRPr="00DF1D1C">
        <w:t>,</w:t>
      </w:r>
      <w:r w:rsidRPr="00DF1D1C">
        <w:t xml:space="preserve"> and analys</w:t>
      </w:r>
      <w:r w:rsidR="0029620F" w:rsidRPr="00DF1D1C">
        <w:t>e</w:t>
      </w:r>
      <w:r w:rsidRPr="00DF1D1C">
        <w:t>s.</w:t>
      </w:r>
    </w:p>
    <w:p w14:paraId="65FD8F39" w14:textId="4D8B82F8" w:rsidR="00CD4383" w:rsidRPr="00DF1D1C" w:rsidRDefault="00CD4383" w:rsidP="00257641">
      <w:pPr>
        <w:pStyle w:val="Heading3"/>
      </w:pPr>
      <w:bookmarkStart w:id="22" w:name="_Toc8128952"/>
      <w:r w:rsidRPr="00DF1D1C">
        <w:t>4.</w:t>
      </w:r>
      <w:r w:rsidR="00B32CEF">
        <w:t>1</w:t>
      </w:r>
      <w:r w:rsidR="001C500D">
        <w:t>0</w:t>
      </w:r>
      <w:r w:rsidRPr="00DF1D1C">
        <w:t xml:space="preserve"> </w:t>
      </w:r>
      <w:r w:rsidRPr="00DF1D1C">
        <w:tab/>
        <w:t>Utilization Review and Control</w:t>
      </w:r>
      <w:bookmarkEnd w:id="22"/>
    </w:p>
    <w:p w14:paraId="4B6C749E" w14:textId="45BA56F2" w:rsidR="00DB04DF" w:rsidRDefault="00CD4383" w:rsidP="00257641">
      <w:r w:rsidRPr="00DF1D1C">
        <w:t>The</w:t>
      </w:r>
      <w:r w:rsidR="00DB04DF">
        <w:t xml:space="preserve"> MCO may place appropriate limits on </w:t>
      </w:r>
      <w:r w:rsidR="00A47FEB">
        <w:t>the covered</w:t>
      </w:r>
      <w:r w:rsidR="00DB04DF">
        <w:t xml:space="preserve"> service</w:t>
      </w:r>
      <w:r w:rsidR="00A47FEB">
        <w:t xml:space="preserve">s provided under this </w:t>
      </w:r>
      <w:r w:rsidR="009B19C2">
        <w:t xml:space="preserve">Contract </w:t>
      </w:r>
      <w:r w:rsidR="00245127">
        <w:t>o</w:t>
      </w:r>
      <w:r w:rsidR="00DB04DF">
        <w:t xml:space="preserve">n the basis of criteria applied under the </w:t>
      </w:r>
      <w:r w:rsidR="00F9120B" w:rsidRPr="00F9120B">
        <w:t xml:space="preserve">Medicaid or BCF </w:t>
      </w:r>
      <w:r w:rsidR="00DB04DF">
        <w:t xml:space="preserve">State </w:t>
      </w:r>
      <w:r w:rsidR="00772DED">
        <w:t>P</w:t>
      </w:r>
      <w:r w:rsidR="00DB04DF">
        <w:t>lan</w:t>
      </w:r>
      <w:r w:rsidR="00F9120B">
        <w:t>s</w:t>
      </w:r>
      <w:r w:rsidR="00DB04DF">
        <w:t xml:space="preserve">, such as medical necessity or </w:t>
      </w:r>
      <w:r w:rsidR="00972633">
        <w:t>f</w:t>
      </w:r>
      <w:r w:rsidR="00DB04DF">
        <w:t xml:space="preserve">or the purpose of utilization control, provided the </w:t>
      </w:r>
      <w:r w:rsidR="00D13AEE">
        <w:t xml:space="preserve">MCO </w:t>
      </w:r>
      <w:r w:rsidR="00DB04DF">
        <w:t>services can reasonably be expected to achieve the</w:t>
      </w:r>
      <w:r w:rsidR="00655380">
        <w:t xml:space="preserve"> </w:t>
      </w:r>
      <w:r w:rsidR="00DB04DF">
        <w:t>purpose</w:t>
      </w:r>
      <w:r w:rsidR="00E36E8E">
        <w:t xml:space="preserve"> </w:t>
      </w:r>
      <w:r w:rsidR="00E36E8E" w:rsidRPr="00E36E8E">
        <w:t xml:space="preserve">for which </w:t>
      </w:r>
      <w:r w:rsidR="0043491E">
        <w:t xml:space="preserve">such </w:t>
      </w:r>
      <w:r w:rsidR="00E36E8E" w:rsidRPr="00E36E8E">
        <w:t>services are furnished</w:t>
      </w:r>
      <w:r w:rsidR="00DB04DF">
        <w:t xml:space="preserve">. The MCO must </w:t>
      </w:r>
      <w:r w:rsidR="00DB04DF" w:rsidRPr="0031364D">
        <w:t>ensure that services are sufficient in amount, duration, or scope to reasonably be expected to achieve the purpose for which the services are furnished.</w:t>
      </w:r>
      <w:r w:rsidR="00EE56DE">
        <w:t xml:space="preserve"> The MCO is prohibited</w:t>
      </w:r>
      <w:r w:rsidR="00EE56DE" w:rsidRPr="00EE56DE">
        <w:t xml:space="preserve"> from arbitrarily denying or reducing the amount, duration, or scope of a required service solely because of the diagnosis, type of illness, or condition.</w:t>
      </w:r>
      <w:r w:rsidR="00D902A4">
        <w:t xml:space="preserve"> </w:t>
      </w:r>
      <w:r w:rsidR="00D902A4" w:rsidRPr="00D902A4">
        <w:t>Notwithstanding the a</w:t>
      </w:r>
      <w:r w:rsidR="00D902A4">
        <w:t>bove, all covered s</w:t>
      </w:r>
      <w:r w:rsidR="00D902A4" w:rsidRPr="00D902A4">
        <w:t>ervices must be provided in compliance with the Mental Health Parity and Addiction Equity Act of 2008</w:t>
      </w:r>
      <w:r w:rsidR="001A1D3A">
        <w:t>, and with EPSDT requirements</w:t>
      </w:r>
      <w:r w:rsidR="00D902A4" w:rsidRPr="00D902A4">
        <w:t xml:space="preserve"> and</w:t>
      </w:r>
      <w:r w:rsidR="003150A4">
        <w:t xml:space="preserve"> </w:t>
      </w:r>
      <w:r w:rsidR="00D902A4" w:rsidRPr="00D902A4">
        <w:t>respective federal regulations.</w:t>
      </w:r>
    </w:p>
    <w:p w14:paraId="1AC2B55B" w14:textId="59AC705A" w:rsidR="00CD4383" w:rsidRPr="00DF1D1C" w:rsidRDefault="001A467C" w:rsidP="00257641">
      <w:r>
        <w:t xml:space="preserve">The </w:t>
      </w:r>
      <w:r w:rsidR="00256447">
        <w:t>Department</w:t>
      </w:r>
      <w:r>
        <w:t xml:space="preserve"> </w:t>
      </w:r>
      <w:r w:rsidR="00256447">
        <w:t>will</w:t>
      </w:r>
      <w:r>
        <w:t xml:space="preserve"> have the authority to override</w:t>
      </w:r>
      <w:r w:rsidR="00256447">
        <w:t xml:space="preserve"> </w:t>
      </w:r>
      <w:r>
        <w:t>any</w:t>
      </w:r>
      <w:r w:rsidR="00256447">
        <w:t xml:space="preserve"> MCO </w:t>
      </w:r>
      <w:r>
        <w:t>utilization management guideline on a case-by-case basis.</w:t>
      </w:r>
      <w:r w:rsidR="00A106D1">
        <w:t xml:space="preserve"> </w:t>
      </w:r>
      <w:r w:rsidR="00A106D1" w:rsidRPr="00A106D1">
        <w:t xml:space="preserve">The </w:t>
      </w:r>
      <w:r w:rsidR="00F9120B">
        <w:t>DHHR</w:t>
      </w:r>
      <w:r w:rsidR="00F9120B" w:rsidRPr="00A106D1">
        <w:t xml:space="preserve"> </w:t>
      </w:r>
      <w:r w:rsidR="00A106D1" w:rsidRPr="00A106D1">
        <w:t>Medical Directo</w:t>
      </w:r>
      <w:r w:rsidR="00A106D1">
        <w:t xml:space="preserve">r </w:t>
      </w:r>
      <w:r w:rsidR="00184C63" w:rsidRPr="00184C63">
        <w:t xml:space="preserve">or BCF designee </w:t>
      </w:r>
      <w:r w:rsidR="006876E5">
        <w:t xml:space="preserve">must </w:t>
      </w:r>
      <w:r w:rsidR="00A106D1">
        <w:t>coordinate with the</w:t>
      </w:r>
      <w:r w:rsidR="00A106D1" w:rsidRPr="00A106D1">
        <w:t xml:space="preserve"> MCO Medical</w:t>
      </w:r>
      <w:r w:rsidR="00A106D1">
        <w:t xml:space="preserve"> Director in the event an</w:t>
      </w:r>
      <w:r w:rsidR="00A106D1" w:rsidRPr="00A106D1">
        <w:t xml:space="preserve"> override is appropriate based on thorough internal review.</w:t>
      </w:r>
      <w:r w:rsidR="003150A4">
        <w:t xml:space="preserve"> </w:t>
      </w:r>
      <w:r w:rsidR="00A106D1" w:rsidRPr="00A106D1">
        <w:t xml:space="preserve">The MCO </w:t>
      </w:r>
      <w:r w:rsidR="006876E5">
        <w:t>must</w:t>
      </w:r>
      <w:r w:rsidR="006876E5" w:rsidRPr="00A106D1">
        <w:t xml:space="preserve"> </w:t>
      </w:r>
      <w:r w:rsidR="00A106D1" w:rsidRPr="00A106D1">
        <w:t>be responsible for payment sh</w:t>
      </w:r>
      <w:r w:rsidR="00A106D1">
        <w:t>ould a utilization management guideline be overridden</w:t>
      </w:r>
      <w:r w:rsidR="00A106D1" w:rsidRPr="00A106D1">
        <w:t>.</w:t>
      </w:r>
    </w:p>
    <w:p w14:paraId="3AB42360" w14:textId="46BE5D9A" w:rsidR="00CD4383" w:rsidRPr="00DF1D1C" w:rsidRDefault="00CD4383" w:rsidP="00257641">
      <w:pPr>
        <w:pStyle w:val="Heading3"/>
      </w:pPr>
      <w:bookmarkStart w:id="23" w:name="_Toc8128953"/>
      <w:r w:rsidRPr="00DF1D1C">
        <w:t>4.1</w:t>
      </w:r>
      <w:r w:rsidR="001C500D">
        <w:t>1</w:t>
      </w:r>
      <w:r w:rsidRPr="00DF1D1C">
        <w:tab/>
        <w:t>Force Majeure</w:t>
      </w:r>
      <w:bookmarkEnd w:id="23"/>
    </w:p>
    <w:p w14:paraId="2BBDE002" w14:textId="77777777" w:rsidR="00C652AC" w:rsidRPr="00DF1D1C" w:rsidRDefault="00CD4383" w:rsidP="00257641">
      <w:r w:rsidRPr="00DF1D1C">
        <w:t xml:space="preserve">The </w:t>
      </w:r>
      <w:r w:rsidR="0073202A">
        <w:t>MCO</w:t>
      </w:r>
      <w:r w:rsidRPr="00DF1D1C">
        <w:t xml:space="preserve"> </w:t>
      </w:r>
      <w:r w:rsidR="001F3B0D">
        <w:t>will</w:t>
      </w:r>
      <w:r w:rsidRPr="00DF1D1C">
        <w:t xml:space="preserve"> be excused from performance hereunder for any period that it is prevented from providing, arranging for, or paying for services as a result of a catastrophic occurrence or natural disaster including but not limited to an act of war, and excluding labor disputes.</w:t>
      </w:r>
    </w:p>
    <w:p w14:paraId="2E47872B" w14:textId="45B40C9F" w:rsidR="00C652AC" w:rsidRDefault="00DE0D80" w:rsidP="00257641">
      <w:pPr>
        <w:pStyle w:val="Heading3"/>
      </w:pPr>
      <w:bookmarkStart w:id="24" w:name="_Toc8128954"/>
      <w:r>
        <w:t>4.1</w:t>
      </w:r>
      <w:r w:rsidR="001C500D">
        <w:t>2</w:t>
      </w:r>
      <w:r w:rsidR="00C652AC">
        <w:t xml:space="preserve"> </w:t>
      </w:r>
      <w:r w:rsidR="00F85BA6">
        <w:tab/>
      </w:r>
      <w:r w:rsidR="00C652AC">
        <w:t>Time</w:t>
      </w:r>
      <w:r w:rsidR="00CB67A8">
        <w:t xml:space="preserve"> Is</w:t>
      </w:r>
      <w:r w:rsidR="00C652AC">
        <w:t xml:space="preserve"> of the </w:t>
      </w:r>
      <w:r w:rsidR="00CB67A8">
        <w:t>E</w:t>
      </w:r>
      <w:r w:rsidR="00C652AC">
        <w:t>ssence</w:t>
      </w:r>
      <w:bookmarkEnd w:id="24"/>
    </w:p>
    <w:p w14:paraId="09193951" w14:textId="77777777" w:rsidR="00CD4383" w:rsidRDefault="00C652AC" w:rsidP="00257641">
      <w:r>
        <w:t>In consideration of the need to ensure uninterrupted and continuous MCO performance</w:t>
      </w:r>
      <w:r w:rsidR="00A506EA">
        <w:t xml:space="preserve"> and service delivery</w:t>
      </w:r>
      <w:r>
        <w:t>, time is of the essence in the per</w:t>
      </w:r>
      <w:r w:rsidR="00A506EA">
        <w:t>formance of the obligat</w:t>
      </w:r>
      <w:r w:rsidR="00D27364">
        <w:t>i</w:t>
      </w:r>
      <w:r w:rsidR="00A506EA">
        <w:t>ons</w:t>
      </w:r>
      <w:r>
        <w:t xml:space="preserve"> </w:t>
      </w:r>
      <w:r w:rsidR="00F327F6">
        <w:t>under this C</w:t>
      </w:r>
      <w:r>
        <w:t>ontract.</w:t>
      </w:r>
    </w:p>
    <w:p w14:paraId="27B890D9" w14:textId="05EAD8C6" w:rsidR="00C60A67" w:rsidRPr="00DF1D1C" w:rsidRDefault="00DE0D80" w:rsidP="00257641">
      <w:pPr>
        <w:pStyle w:val="Heading3"/>
        <w:rPr>
          <w:noProof w:val="0"/>
        </w:rPr>
      </w:pPr>
      <w:bookmarkStart w:id="25" w:name="_Toc8128955"/>
      <w:r>
        <w:rPr>
          <w:noProof w:val="0"/>
        </w:rPr>
        <w:t>4.1</w:t>
      </w:r>
      <w:r w:rsidR="001C500D">
        <w:rPr>
          <w:noProof w:val="0"/>
        </w:rPr>
        <w:t>3</w:t>
      </w:r>
      <w:r w:rsidR="00C60A67">
        <w:rPr>
          <w:noProof w:val="0"/>
        </w:rPr>
        <w:t xml:space="preserve"> </w:t>
      </w:r>
      <w:r w:rsidR="00C60A67">
        <w:rPr>
          <w:noProof w:val="0"/>
        </w:rPr>
        <w:tab/>
        <w:t>MCO Response Time</w:t>
      </w:r>
      <w:r w:rsidR="00012EFE">
        <w:rPr>
          <w:noProof w:val="0"/>
        </w:rPr>
        <w:t xml:space="preserve"> F</w:t>
      </w:r>
      <w:r w:rsidR="00C60A67">
        <w:rPr>
          <w:noProof w:val="0"/>
        </w:rPr>
        <w:t>rames</w:t>
      </w:r>
      <w:bookmarkEnd w:id="25"/>
      <w:r w:rsidR="00C60A67">
        <w:rPr>
          <w:noProof w:val="0"/>
        </w:rPr>
        <w:t xml:space="preserve"> </w:t>
      </w:r>
    </w:p>
    <w:p w14:paraId="6E99A60D" w14:textId="475F058F" w:rsidR="00C60A67" w:rsidRDefault="00E92793" w:rsidP="00257641">
      <w:r>
        <w:t>The</w:t>
      </w:r>
      <w:r w:rsidR="00C60A67">
        <w:t xml:space="preserve"> MCO must submit required reports, </w:t>
      </w:r>
      <w:r w:rsidR="00DE0D80">
        <w:t xml:space="preserve">requests for information, </w:t>
      </w:r>
      <w:r w:rsidR="00C60A67">
        <w:t xml:space="preserve">documentation, ad hoc reports, data certification forms, </w:t>
      </w:r>
      <w:r w:rsidR="003400AE">
        <w:t xml:space="preserve">overpayment remittances, </w:t>
      </w:r>
      <w:r w:rsidR="00C60A67">
        <w:t xml:space="preserve">or any other </w:t>
      </w:r>
      <w:r w:rsidR="003400AE">
        <w:t xml:space="preserve">item </w:t>
      </w:r>
      <w:r w:rsidR="00C60A67">
        <w:t>required within th</w:t>
      </w:r>
      <w:r w:rsidR="00F327F6">
        <w:t xml:space="preserve">e time frames provided by this </w:t>
      </w:r>
      <w:r w:rsidR="009B19C2">
        <w:t xml:space="preserve">Contract </w:t>
      </w:r>
      <w:r w:rsidR="00C60A67">
        <w:t xml:space="preserve">or by the Department. </w:t>
      </w:r>
      <w:r w:rsidR="00C60A67" w:rsidRPr="00DF1D1C">
        <w:t>If a</w:t>
      </w:r>
      <w:r w:rsidR="00C60A67">
        <w:t>n</w:t>
      </w:r>
      <w:r w:rsidR="00C60A67" w:rsidRPr="00DF1D1C">
        <w:t xml:space="preserve"> </w:t>
      </w:r>
      <w:r w:rsidR="00C60A67">
        <w:t>MCO</w:t>
      </w:r>
      <w:r w:rsidR="00C60A67" w:rsidRPr="00DF1D1C">
        <w:t xml:space="preserve"> does not submit a required </w:t>
      </w:r>
      <w:r w:rsidR="00C60A67">
        <w:t xml:space="preserve">or ad hoc </w:t>
      </w:r>
      <w:r w:rsidR="00C60A67" w:rsidRPr="00DF1D1C">
        <w:t>report</w:t>
      </w:r>
      <w:r w:rsidR="00C60A67">
        <w:t xml:space="preserve">, </w:t>
      </w:r>
      <w:r w:rsidR="00DE0D80">
        <w:t xml:space="preserve">requests for information, </w:t>
      </w:r>
      <w:r w:rsidR="00C60A67">
        <w:t>documenta</w:t>
      </w:r>
      <w:r w:rsidR="00C60A67" w:rsidRPr="00737F8F">
        <w:t>t</w:t>
      </w:r>
      <w:r w:rsidR="00C60A67">
        <w:t xml:space="preserve">ion, </w:t>
      </w:r>
      <w:r w:rsidR="00C60A67" w:rsidRPr="00DF1D1C">
        <w:t>data certification form</w:t>
      </w:r>
      <w:r w:rsidR="00C60A67">
        <w:t xml:space="preserve">, </w:t>
      </w:r>
      <w:r w:rsidR="003400AE">
        <w:t xml:space="preserve">overpayment remittance, </w:t>
      </w:r>
      <w:r w:rsidR="00C60A67">
        <w:t xml:space="preserve">or </w:t>
      </w:r>
      <w:r w:rsidR="003400AE">
        <w:t xml:space="preserve">item </w:t>
      </w:r>
      <w:r w:rsidR="00C60A67">
        <w:t xml:space="preserve">required to meet any State or </w:t>
      </w:r>
      <w:r w:rsidR="003E42B2">
        <w:t>F</w:t>
      </w:r>
      <w:r w:rsidR="00C60A67">
        <w:t xml:space="preserve">ederal reporting requirements (e.g., provider-preventable conditions) </w:t>
      </w:r>
      <w:r w:rsidR="00C60A67" w:rsidRPr="00DF1D1C">
        <w:t>to the Department within the tim</w:t>
      </w:r>
      <w:r w:rsidR="003825D7">
        <w:t xml:space="preserve">eframes outlined in this </w:t>
      </w:r>
      <w:r w:rsidR="009B19C2">
        <w:t xml:space="preserve">Contract </w:t>
      </w:r>
      <w:r w:rsidR="00C60A67">
        <w:t xml:space="preserve">or in the </w:t>
      </w:r>
      <w:r>
        <w:t xml:space="preserve">Department’s </w:t>
      </w:r>
      <w:r w:rsidR="00C60A67">
        <w:t>request</w:t>
      </w:r>
      <w:r w:rsidR="00C60A67" w:rsidRPr="00DF1D1C">
        <w:t xml:space="preserve">, the Department may </w:t>
      </w:r>
      <w:r w:rsidR="00C60A67">
        <w:t>assess</w:t>
      </w:r>
      <w:r w:rsidR="00C60A67" w:rsidRPr="00DF1D1C">
        <w:t xml:space="preserve"> </w:t>
      </w:r>
      <w:r w:rsidR="003400AE">
        <w:t xml:space="preserve">liquidated </w:t>
      </w:r>
      <w:r w:rsidR="00C60A67">
        <w:t xml:space="preserve">damages </w:t>
      </w:r>
      <w:r w:rsidR="00C60A67" w:rsidRPr="00DF1D1C">
        <w:t xml:space="preserve">on the </w:t>
      </w:r>
      <w:r w:rsidR="00C60A67">
        <w:t>MCO</w:t>
      </w:r>
      <w:r w:rsidR="00C60A67" w:rsidRPr="00DF1D1C">
        <w:t xml:space="preserve">. The </w:t>
      </w:r>
      <w:r w:rsidR="00C60A67">
        <w:t>MCO</w:t>
      </w:r>
      <w:r w:rsidR="00C60A67" w:rsidRPr="00DF1D1C">
        <w:t xml:space="preserve"> </w:t>
      </w:r>
      <w:r w:rsidR="00177A9F">
        <w:t xml:space="preserve">will </w:t>
      </w:r>
      <w:r w:rsidR="00C60A67" w:rsidRPr="00DF1D1C">
        <w:t xml:space="preserve">have a one </w:t>
      </w:r>
      <w:r w:rsidR="008F7061">
        <w:t xml:space="preserve">(1) </w:t>
      </w:r>
      <w:r w:rsidR="00C60A67" w:rsidRPr="00DF1D1C">
        <w:t>business day grace period following the</w:t>
      </w:r>
      <w:r w:rsidR="00C60A67">
        <w:t xml:space="preserve"> </w:t>
      </w:r>
      <w:r w:rsidR="00C60A67" w:rsidRPr="00DF1D1C">
        <w:t>due date</w:t>
      </w:r>
      <w:r w:rsidR="00C60A67">
        <w:t xml:space="preserve"> of the data, report, </w:t>
      </w:r>
      <w:r w:rsidR="00DE0D80">
        <w:lastRenderedPageBreak/>
        <w:t xml:space="preserve">requests for information, </w:t>
      </w:r>
      <w:r w:rsidR="00C60A67">
        <w:t>documentation</w:t>
      </w:r>
      <w:r w:rsidR="00603217">
        <w:t>,</w:t>
      </w:r>
      <w:r w:rsidR="00C60A67">
        <w:t xml:space="preserve"> </w:t>
      </w:r>
      <w:r w:rsidR="003400AE" w:rsidRPr="003400AE">
        <w:t xml:space="preserve">overpayment remittance, </w:t>
      </w:r>
      <w:r w:rsidR="00C60A67">
        <w:t xml:space="preserve">or </w:t>
      </w:r>
      <w:r>
        <w:t xml:space="preserve">data certification </w:t>
      </w:r>
      <w:r w:rsidR="00C60A67">
        <w:t>form</w:t>
      </w:r>
      <w:r w:rsidR="00C60A67" w:rsidRPr="00DF1D1C">
        <w:t xml:space="preserve">. However, for each additional </w:t>
      </w:r>
      <w:r w:rsidR="008F7061">
        <w:t xml:space="preserve">calendar </w:t>
      </w:r>
      <w:r w:rsidR="00C60A67" w:rsidRPr="00DF1D1C">
        <w:t xml:space="preserve">day </w:t>
      </w:r>
      <w:r w:rsidR="00C60A67">
        <w:t xml:space="preserve">an item is </w:t>
      </w:r>
      <w:r w:rsidR="00C60A67" w:rsidRPr="00DF1D1C">
        <w:t>overdue</w:t>
      </w:r>
      <w:r w:rsidR="00932A18">
        <w:t xml:space="preserve"> </w:t>
      </w:r>
      <w:r w:rsidR="00932A18" w:rsidRPr="00932A18">
        <w:t>beyond the grace period</w:t>
      </w:r>
      <w:r w:rsidR="00C60A67" w:rsidRPr="00DF1D1C">
        <w:t xml:space="preserve">, the Department may </w:t>
      </w:r>
      <w:r w:rsidR="00C60A67">
        <w:t xml:space="preserve">assess </w:t>
      </w:r>
      <w:r w:rsidR="003400AE">
        <w:t xml:space="preserve">liquidated </w:t>
      </w:r>
      <w:r w:rsidR="00C60A67">
        <w:t xml:space="preserve">damages on the MCO as outlined in </w:t>
      </w:r>
      <w:r w:rsidR="00540C4A">
        <w:t xml:space="preserve">Article II, Section 6 and </w:t>
      </w:r>
      <w:r w:rsidR="00F33B38">
        <w:t>Appendix</w:t>
      </w:r>
      <w:r w:rsidR="00C60A67">
        <w:t xml:space="preserve"> </w:t>
      </w:r>
      <w:r w:rsidR="005241E8">
        <w:t>F</w:t>
      </w:r>
      <w:r>
        <w:t>.</w:t>
      </w:r>
    </w:p>
    <w:p w14:paraId="17843D08" w14:textId="776431BC" w:rsidR="00CD4383" w:rsidRPr="00DF1D1C" w:rsidRDefault="00851ED0" w:rsidP="007610FD">
      <w:pPr>
        <w:pStyle w:val="Heading2"/>
      </w:pPr>
      <w:bookmarkStart w:id="26" w:name="_Toc8128956"/>
      <w:r>
        <w:t xml:space="preserve">5. </w:t>
      </w:r>
      <w:r w:rsidR="00CD4383" w:rsidRPr="00DF1D1C">
        <w:t>DECLARATIONS AND MISCELLANEOUS PROVISIONS</w:t>
      </w:r>
      <w:bookmarkEnd w:id="26"/>
    </w:p>
    <w:p w14:paraId="47261C92" w14:textId="10C45F5A" w:rsidR="00CD4383" w:rsidRPr="00DF1D1C" w:rsidRDefault="00CD4383" w:rsidP="00257641">
      <w:pPr>
        <w:pStyle w:val="Heading3"/>
      </w:pPr>
      <w:bookmarkStart w:id="27" w:name="_Toc8128957"/>
      <w:r w:rsidRPr="00DF1D1C">
        <w:t xml:space="preserve">5.1 </w:t>
      </w:r>
      <w:r w:rsidRPr="00DF1D1C">
        <w:tab/>
        <w:t>Competition Not Restricted</w:t>
      </w:r>
      <w:bookmarkEnd w:id="27"/>
    </w:p>
    <w:p w14:paraId="1C22DD84" w14:textId="450CE949" w:rsidR="00CD4383" w:rsidRPr="00DF1D1C" w:rsidRDefault="00CD4383" w:rsidP="00257641">
      <w:r w:rsidRPr="00DF1D1C">
        <w:t xml:space="preserve">In signing this </w:t>
      </w:r>
      <w:r w:rsidR="00F327F6">
        <w:t>C</w:t>
      </w:r>
      <w:r w:rsidR="001737C7">
        <w:t>ontract</w:t>
      </w:r>
      <w:r w:rsidRPr="00DF1D1C">
        <w:t xml:space="preserve">, the </w:t>
      </w:r>
      <w:r w:rsidR="0073202A">
        <w:t>MCO</w:t>
      </w:r>
      <w:r w:rsidRPr="00DF1D1C">
        <w:t xml:space="preserve"> asserts that </w:t>
      </w:r>
      <w:r w:rsidR="006C2572">
        <w:t>no attempt has been made or can</w:t>
      </w:r>
      <w:r w:rsidRPr="00DF1D1C">
        <w:t xml:space="preserve"> be made by the </w:t>
      </w:r>
      <w:r w:rsidR="0073202A">
        <w:t>MCO</w:t>
      </w:r>
      <w:r w:rsidRPr="00DF1D1C">
        <w:t xml:space="preserve"> to induce any other person or firm to submit or not to submit a proposal </w:t>
      </w:r>
      <w:r w:rsidR="00177A9F">
        <w:t>for the provision of services covered by this Agreement</w:t>
      </w:r>
      <w:r w:rsidR="00177A9F" w:rsidRPr="00DF1D1C">
        <w:t xml:space="preserve"> </w:t>
      </w:r>
      <w:r w:rsidRPr="00DF1D1C">
        <w:t>for the purpose of restricting competition.</w:t>
      </w:r>
    </w:p>
    <w:p w14:paraId="0098C794" w14:textId="4652ED65" w:rsidR="00CD4383" w:rsidRPr="00DF1D1C" w:rsidRDefault="00CD4383" w:rsidP="00257641">
      <w:pPr>
        <w:pStyle w:val="Heading3"/>
      </w:pPr>
      <w:bookmarkStart w:id="28" w:name="_Toc8128958"/>
      <w:r w:rsidRPr="00DF1D1C">
        <w:t xml:space="preserve">5.2 </w:t>
      </w:r>
      <w:r w:rsidRPr="00DF1D1C">
        <w:tab/>
        <w:t>Binding Authority</w:t>
      </w:r>
      <w:bookmarkEnd w:id="28"/>
    </w:p>
    <w:p w14:paraId="002D3C35" w14:textId="77777777" w:rsidR="00CD4383" w:rsidRPr="00DF1D1C" w:rsidRDefault="00CD4383" w:rsidP="00096A5D">
      <w:pPr>
        <w:pStyle w:val="BodyText"/>
      </w:pPr>
      <w:r w:rsidRPr="00DF1D1C">
        <w:t xml:space="preserve">Each </w:t>
      </w:r>
      <w:r w:rsidR="0073202A">
        <w:t>MCO</w:t>
      </w:r>
      <w:r w:rsidRPr="00DF1D1C">
        <w:t xml:space="preserve"> representative signing the </w:t>
      </w:r>
      <w:r w:rsidR="009B19C2">
        <w:t xml:space="preserve">Contract </w:t>
      </w:r>
      <w:r w:rsidRPr="00DF1D1C">
        <w:t xml:space="preserve">must submit written certification </w:t>
      </w:r>
      <w:r w:rsidR="003825D7">
        <w:t xml:space="preserve">along with the signed </w:t>
      </w:r>
      <w:r w:rsidR="009B19C2">
        <w:t xml:space="preserve">Contract </w:t>
      </w:r>
      <w:r w:rsidRPr="00DF1D1C">
        <w:t>that he/she is the perso</w:t>
      </w:r>
      <w:r w:rsidRPr="00737F8F">
        <w:t>n</w:t>
      </w:r>
      <w:r w:rsidRPr="00DF1D1C">
        <w:t xml:space="preserve"> in the organization responsible for, or authorized to </w:t>
      </w:r>
      <w:r w:rsidR="00B53681">
        <w:t>make, decisions regarding this C</w:t>
      </w:r>
      <w:r w:rsidRPr="00DF1D1C">
        <w:t>ontract.</w:t>
      </w:r>
    </w:p>
    <w:p w14:paraId="626B5CA6" w14:textId="2BC688B3" w:rsidR="00CD4383" w:rsidRPr="00DF1D1C" w:rsidRDefault="00CD4383" w:rsidP="00257641">
      <w:pPr>
        <w:pStyle w:val="Heading3"/>
      </w:pPr>
      <w:bookmarkStart w:id="29" w:name="_Toc8128959"/>
      <w:r w:rsidRPr="00DF1D1C">
        <w:t xml:space="preserve">5.3 </w:t>
      </w:r>
      <w:r w:rsidRPr="00DF1D1C">
        <w:tab/>
        <w:t>Nonsegregated Facilities</w:t>
      </w:r>
      <w:bookmarkEnd w:id="29"/>
    </w:p>
    <w:p w14:paraId="4BCE35C4" w14:textId="77777777" w:rsidR="00CD4383" w:rsidRPr="00DF1D1C" w:rsidRDefault="00CD4383" w:rsidP="00257641">
      <w:r w:rsidRPr="00DF1D1C">
        <w:t xml:space="preserve">The </w:t>
      </w:r>
      <w:r w:rsidR="0073202A">
        <w:t>MCO</w:t>
      </w:r>
      <w:r w:rsidRPr="00DF1D1C">
        <w:t xml:space="preserve"> certifies that it does not and will not maintain or provide for its employees any segregated facilities at any of its establishments</w:t>
      </w:r>
      <w:r w:rsidR="00A96122" w:rsidRPr="00DF1D1C">
        <w:t>,</w:t>
      </w:r>
      <w:r w:rsidRPr="00DF1D1C">
        <w:t xml:space="preserve"> and that it does not permit its employees to perform their services at any location, under its control, where segregated facilities are maintained. The </w:t>
      </w:r>
      <w:r w:rsidR="0073202A">
        <w:t>MCO</w:t>
      </w:r>
      <w:r w:rsidRPr="00DF1D1C">
        <w:t xml:space="preserve"> agrees that a breach of this certification is a violation of Equal Opportunity in Federal employment. In addition, the </w:t>
      </w:r>
      <w:r w:rsidR="0073202A">
        <w:t>MCO</w:t>
      </w:r>
      <w:r w:rsidRPr="00DF1D1C">
        <w:t xml:space="preserve"> must comply with the Federal Executive Order 11246 entitled "Equal Employment Opportunity" as amended by Executive Order 11375 and as supplemented in the United States Department of Labor Regulations (41 CFR Part 30). As used in this certification, the term "segregated facilities" includes any waiting rooms, restaurants and other eating areas, parking lots, drinking fountain, recreation or entertainment areas, transportation, and housing facilities provided for employees which are segregated on the basis of race, color, religion, or national origin, because of habit, local custom, national origin</w:t>
      </w:r>
      <w:r w:rsidR="00A96122" w:rsidRPr="00DF1D1C">
        <w:t>,</w:t>
      </w:r>
      <w:r w:rsidRPr="00DF1D1C">
        <w:t xml:space="preserve"> or otherwise.</w:t>
      </w:r>
    </w:p>
    <w:p w14:paraId="40F16C08" w14:textId="77777777" w:rsidR="00CD4383" w:rsidRPr="00DF1D1C" w:rsidRDefault="00CD4383" w:rsidP="00257641">
      <w:r w:rsidRPr="00DF1D1C">
        <w:t xml:space="preserve">The organization further agrees (except where it has obtained identical certifications from proposed </w:t>
      </w:r>
      <w:r w:rsidR="00642406">
        <w:t>S</w:t>
      </w:r>
      <w:r w:rsidRPr="00DF1D1C">
        <w:t xml:space="preserve">ubcontractors for specific time periods) that it will obtain identical certifications from proposed </w:t>
      </w:r>
      <w:r w:rsidR="00642406">
        <w:t>S</w:t>
      </w:r>
      <w:r w:rsidRPr="00DF1D1C">
        <w:t xml:space="preserve">ubcontractors which are not exempt from the provisions for Equal Employment Opportunity; that it will retain such certifications in its files; and that it will forward a copy of this clause to such proposed </w:t>
      </w:r>
      <w:r w:rsidR="00642406">
        <w:t>S</w:t>
      </w:r>
      <w:r w:rsidRPr="00DF1D1C">
        <w:t xml:space="preserve">ubcontractors (except where the proposed </w:t>
      </w:r>
      <w:r w:rsidR="00642406">
        <w:t>S</w:t>
      </w:r>
      <w:r w:rsidRPr="00DF1D1C">
        <w:t>ubcontractors have submitted identical certifications for specific time periods).</w:t>
      </w:r>
    </w:p>
    <w:p w14:paraId="08CA41DB" w14:textId="0201B3AF" w:rsidR="00CD4383" w:rsidRPr="00DF1D1C" w:rsidRDefault="00CD4383" w:rsidP="00257641">
      <w:pPr>
        <w:pStyle w:val="Heading3"/>
      </w:pPr>
      <w:bookmarkStart w:id="30" w:name="_Toc8128960"/>
      <w:r w:rsidRPr="00DF1D1C">
        <w:t xml:space="preserve">5.4 </w:t>
      </w:r>
      <w:r w:rsidRPr="00DF1D1C">
        <w:tab/>
        <w:t>Offer of Gratuities</w:t>
      </w:r>
      <w:bookmarkEnd w:id="30"/>
    </w:p>
    <w:p w14:paraId="524D24F5" w14:textId="77777777" w:rsidR="00CD4383" w:rsidRPr="00DF1D1C" w:rsidRDefault="00CD4383" w:rsidP="00257641">
      <w:r w:rsidRPr="00DF1D1C">
        <w:t xml:space="preserve">The </w:t>
      </w:r>
      <w:r w:rsidR="0073202A">
        <w:t>MCO</w:t>
      </w:r>
      <w:r w:rsidRPr="00DF1D1C">
        <w:t xml:space="preserve"> warrant</w:t>
      </w:r>
      <w:r w:rsidR="001737C7">
        <w:t>s</w:t>
      </w:r>
      <w:r w:rsidRPr="00DF1D1C">
        <w:t xml:space="preserve"> that it has not employed any company or person other than a bona fide employee working solely for the </w:t>
      </w:r>
      <w:r w:rsidR="0073202A">
        <w:t>MCO</w:t>
      </w:r>
      <w:r w:rsidRPr="00DF1D1C">
        <w:t xml:space="preserve"> or a company regularly employed as its marketing agent to solicit or se</w:t>
      </w:r>
      <w:r w:rsidR="00B53681">
        <w:t xml:space="preserve">cure the </w:t>
      </w:r>
      <w:r w:rsidR="009B19C2">
        <w:t xml:space="preserve">Contract </w:t>
      </w:r>
      <w:r w:rsidRPr="00DF1D1C">
        <w:t>and that it has not paid or agreed to pay any company or person any fee, commission, percentage, brokerage fee, gifts</w:t>
      </w:r>
      <w:r w:rsidR="00A96122" w:rsidRPr="00DF1D1C">
        <w:t>,</w:t>
      </w:r>
      <w:r w:rsidRPr="00DF1D1C">
        <w:t xml:space="preserve"> or any other consideration contingent upon or r</w:t>
      </w:r>
      <w:r w:rsidR="009B19C2">
        <w:t>esulting from the award of the C</w:t>
      </w:r>
      <w:r w:rsidRPr="00DF1D1C">
        <w:t>ontract.</w:t>
      </w:r>
    </w:p>
    <w:p w14:paraId="748F9FE5" w14:textId="1A2BC330" w:rsidR="00CD4383" w:rsidRPr="00DF1D1C" w:rsidRDefault="00CD4383" w:rsidP="00257641">
      <w:r w:rsidRPr="00DF1D1C">
        <w:lastRenderedPageBreak/>
        <w:t xml:space="preserve">For breach or violation of this warranty, the Department </w:t>
      </w:r>
      <w:r w:rsidR="001737C7">
        <w:t>will</w:t>
      </w:r>
      <w:r w:rsidRPr="00DF1D1C">
        <w:t xml:space="preserve"> ha</w:t>
      </w:r>
      <w:r w:rsidR="009B19C2">
        <w:t xml:space="preserve">ve the right to terminate this Contract </w:t>
      </w:r>
      <w:r w:rsidRPr="00DF1D1C">
        <w:t xml:space="preserve">with </w:t>
      </w:r>
      <w:r w:rsidR="008F6D91">
        <w:t xml:space="preserve">a </w:t>
      </w:r>
      <w:r w:rsidR="00A46B93">
        <w:t>thirty (</w:t>
      </w:r>
      <w:r w:rsidRPr="00DF1D1C">
        <w:t>30</w:t>
      </w:r>
      <w:r w:rsidR="00A46B93">
        <w:t>)</w:t>
      </w:r>
      <w:r w:rsidR="008F7061">
        <w:t xml:space="preserve"> calendar</w:t>
      </w:r>
      <w:r w:rsidRPr="00DF1D1C">
        <w:t xml:space="preserve"> day notice without liability or, at its discretion to pursue any other</w:t>
      </w:r>
      <w:r w:rsidR="009B19C2">
        <w:t xml:space="preserve"> remedies available under this Contract </w:t>
      </w:r>
      <w:r w:rsidRPr="00DF1D1C">
        <w:t>or by law.</w:t>
      </w:r>
    </w:p>
    <w:p w14:paraId="44F60CAD" w14:textId="4D5CDB8D" w:rsidR="00CD4383" w:rsidRPr="00DF1D1C" w:rsidRDefault="00CD4383" w:rsidP="00257641">
      <w:pPr>
        <w:pStyle w:val="Heading3"/>
      </w:pPr>
      <w:bookmarkStart w:id="31" w:name="_Toc8128961"/>
      <w:r w:rsidRPr="00DF1D1C">
        <w:t xml:space="preserve">5.5 </w:t>
      </w:r>
      <w:r w:rsidRPr="00DF1D1C">
        <w:tab/>
        <w:t>Employment/Affirmative Action Clause</w:t>
      </w:r>
      <w:bookmarkEnd w:id="31"/>
    </w:p>
    <w:p w14:paraId="2E5125AF" w14:textId="77777777" w:rsidR="00CD4383" w:rsidRPr="00DF1D1C" w:rsidRDefault="00CD4383" w:rsidP="00257641">
      <w:r w:rsidRPr="00DF1D1C">
        <w:t xml:space="preserve">The </w:t>
      </w:r>
      <w:r w:rsidR="0073202A">
        <w:t>MCO</w:t>
      </w:r>
      <w:r w:rsidRPr="00DF1D1C">
        <w:t xml:space="preserve"> agrees to supply employment/affirmative action information as required for agency compliance with Title V</w:t>
      </w:r>
      <w:r w:rsidR="00510A6E" w:rsidRPr="00DF1D1C">
        <w:t>I</w:t>
      </w:r>
      <w:r w:rsidRPr="00DF1D1C">
        <w:t xml:space="preserve"> and </w:t>
      </w:r>
      <w:r w:rsidR="00510A6E" w:rsidRPr="00DF1D1C">
        <w:t xml:space="preserve">VII </w:t>
      </w:r>
      <w:r w:rsidRPr="00DF1D1C">
        <w:t>of the Civil Rights Acts of 1964.</w:t>
      </w:r>
    </w:p>
    <w:p w14:paraId="7A1F866F" w14:textId="17F946D8" w:rsidR="00CD4383" w:rsidRPr="00DF1D1C" w:rsidRDefault="00CD4383" w:rsidP="00257641">
      <w:pPr>
        <w:pStyle w:val="Heading3"/>
      </w:pPr>
      <w:bookmarkStart w:id="32" w:name="_Toc8128962"/>
      <w:r w:rsidRPr="00DF1D1C">
        <w:t xml:space="preserve">5.6 </w:t>
      </w:r>
      <w:r w:rsidRPr="00DF1D1C">
        <w:tab/>
        <w:t>Hold Harmless</w:t>
      </w:r>
      <w:bookmarkEnd w:id="32"/>
    </w:p>
    <w:p w14:paraId="267544B1" w14:textId="77777777" w:rsidR="00CD4383" w:rsidRPr="00DF1D1C" w:rsidRDefault="00CD4383" w:rsidP="00257641">
      <w:pPr>
        <w:pStyle w:val="normal6"/>
      </w:pPr>
      <w:r w:rsidRPr="00DF1D1C">
        <w:t xml:space="preserve">The </w:t>
      </w:r>
      <w:r w:rsidR="0073202A">
        <w:t>MCO</w:t>
      </w:r>
      <w:r w:rsidRPr="00DF1D1C">
        <w:t xml:space="preserve"> agrees to indemnify, defend and hold harmless the State of West Virginia and the Department, its officers and employees from and against:</w:t>
      </w:r>
    </w:p>
    <w:p w14:paraId="7BD8F138" w14:textId="21F3941D" w:rsidR="00CD4383" w:rsidRPr="00DF1D1C" w:rsidRDefault="00CD4383" w:rsidP="00257641">
      <w:pPr>
        <w:numPr>
          <w:ilvl w:val="0"/>
          <w:numId w:val="3"/>
        </w:numPr>
        <w:tabs>
          <w:tab w:val="clear" w:pos="360"/>
        </w:tabs>
        <w:spacing w:after="120"/>
        <w:ind w:left="720"/>
      </w:pPr>
      <w:r w:rsidRPr="00DF1D1C">
        <w:t xml:space="preserve">Any claims or losses for services rendered by any </w:t>
      </w:r>
      <w:r w:rsidR="00642406">
        <w:t>S</w:t>
      </w:r>
      <w:r w:rsidRPr="00DF1D1C">
        <w:t>ubcontractor, person or firm performing or supplying services, materials, or supplies in connecti</w:t>
      </w:r>
      <w:r w:rsidR="009B19C2">
        <w:t>on with the performance of the C</w:t>
      </w:r>
      <w:r w:rsidRPr="00DF1D1C">
        <w:t xml:space="preserve">ontract. The activities of the Fiscal Agent do not constitute the </w:t>
      </w:r>
      <w:r w:rsidR="0073202A">
        <w:t>MCO</w:t>
      </w:r>
      <w:r w:rsidR="00FA1C0C" w:rsidRPr="00DF1D1C">
        <w:t>’</w:t>
      </w:r>
      <w:r w:rsidRPr="00DF1D1C">
        <w:t>s performance;</w:t>
      </w:r>
    </w:p>
    <w:p w14:paraId="4CAAF704" w14:textId="77777777" w:rsidR="00CD4383" w:rsidRPr="00DF1D1C" w:rsidRDefault="00CD4383" w:rsidP="00257641">
      <w:pPr>
        <w:numPr>
          <w:ilvl w:val="0"/>
          <w:numId w:val="3"/>
        </w:numPr>
        <w:tabs>
          <w:tab w:val="clear" w:pos="360"/>
        </w:tabs>
        <w:spacing w:after="120"/>
        <w:ind w:left="720"/>
      </w:pPr>
      <w:r w:rsidRPr="00DF1D1C">
        <w:t xml:space="preserve">Any claims or losses to any person or firm injured or damaged by the erroneous or negligent acts, including without limitation, disregard of Federal or State Medicaid statutes or regulations of the </w:t>
      </w:r>
      <w:r w:rsidR="0073202A">
        <w:t>MCO</w:t>
      </w:r>
      <w:r w:rsidRPr="00DF1D1C">
        <w:t xml:space="preserve">, its officers, employees, or </w:t>
      </w:r>
      <w:r w:rsidR="00642406">
        <w:t>S</w:t>
      </w:r>
      <w:r w:rsidRPr="00DF1D1C">
        <w:t>ubcontractors in the performance of the contract;</w:t>
      </w:r>
    </w:p>
    <w:p w14:paraId="55D33017" w14:textId="77777777" w:rsidR="00CD4383" w:rsidRPr="00DF1D1C" w:rsidRDefault="00CD4383" w:rsidP="00257641">
      <w:pPr>
        <w:numPr>
          <w:ilvl w:val="0"/>
          <w:numId w:val="3"/>
        </w:numPr>
        <w:tabs>
          <w:tab w:val="clear" w:pos="360"/>
        </w:tabs>
        <w:spacing w:after="120"/>
        <w:ind w:left="720"/>
      </w:pPr>
      <w:r w:rsidRPr="00DF1D1C">
        <w:t xml:space="preserve">Any claims or losses resulting to any person or entity injured or damaged by the </w:t>
      </w:r>
      <w:r w:rsidR="0073202A">
        <w:t>MCO</w:t>
      </w:r>
      <w:r w:rsidRPr="00DF1D1C">
        <w:t xml:space="preserve">, its officers, employees, or </w:t>
      </w:r>
      <w:r w:rsidR="00642406">
        <w:t>S</w:t>
      </w:r>
      <w:r w:rsidRPr="00DF1D1C">
        <w:t xml:space="preserve">ubcontractors by the publication, translation, reproduction, delivery, performance, use or disposition of any data used under the </w:t>
      </w:r>
      <w:r w:rsidR="009B19C2">
        <w:t xml:space="preserve">Contract </w:t>
      </w:r>
      <w:r w:rsidRPr="00DF1D1C">
        <w:t>in a manner not authorized by the contract, or by Federal or State statutes or regulations;</w:t>
      </w:r>
    </w:p>
    <w:p w14:paraId="21E8C1D1" w14:textId="77777777" w:rsidR="00CD4383" w:rsidRPr="00DF1D1C" w:rsidRDefault="00CD4383" w:rsidP="00257641">
      <w:pPr>
        <w:numPr>
          <w:ilvl w:val="0"/>
          <w:numId w:val="3"/>
        </w:numPr>
        <w:tabs>
          <w:tab w:val="clear" w:pos="360"/>
        </w:tabs>
        <w:ind w:left="720"/>
      </w:pPr>
      <w:r w:rsidRPr="00DF1D1C">
        <w:t xml:space="preserve">Any failure of the </w:t>
      </w:r>
      <w:r w:rsidR="0073202A">
        <w:t>MCO</w:t>
      </w:r>
      <w:r w:rsidRPr="00DF1D1C">
        <w:t>, its officers, employees</w:t>
      </w:r>
      <w:r w:rsidR="00A96122" w:rsidRPr="00DF1D1C">
        <w:t>,</w:t>
      </w:r>
      <w:r w:rsidRPr="00DF1D1C">
        <w:t xml:space="preserve"> or </w:t>
      </w:r>
      <w:r w:rsidR="00642406">
        <w:t>S</w:t>
      </w:r>
      <w:r w:rsidRPr="00DF1D1C">
        <w:t>ubcontractors to observe State and Federal laws, including but not limited to labor and minimum wage laws.</w:t>
      </w:r>
    </w:p>
    <w:p w14:paraId="79603222" w14:textId="77777777" w:rsidR="00CD4383" w:rsidRPr="00DF1D1C" w:rsidRDefault="00CD4383" w:rsidP="00257641">
      <w:pPr>
        <w:pStyle w:val="Heading3"/>
      </w:pPr>
      <w:bookmarkStart w:id="33" w:name="_Toc8128963"/>
      <w:r w:rsidRPr="00DF1D1C">
        <w:t xml:space="preserve">5.7 </w:t>
      </w:r>
      <w:r w:rsidRPr="00DF1D1C">
        <w:tab/>
        <w:t>Confidentiality</w:t>
      </w:r>
      <w:bookmarkEnd w:id="33"/>
    </w:p>
    <w:p w14:paraId="7A703FEE" w14:textId="64D3E35B" w:rsidR="00CD4383" w:rsidRPr="00DF1D1C" w:rsidRDefault="00CD4383" w:rsidP="00257641">
      <w:r w:rsidRPr="00DF1D1C">
        <w:t xml:space="preserve">The </w:t>
      </w:r>
      <w:r w:rsidR="0073202A">
        <w:t>MCO</w:t>
      </w:r>
      <w:r w:rsidRPr="00DF1D1C">
        <w:t xml:space="preserve"> agrees to comply with applicable </w:t>
      </w:r>
      <w:r w:rsidR="00A96122" w:rsidRPr="00DF1D1C">
        <w:t>s</w:t>
      </w:r>
      <w:r w:rsidRPr="00DF1D1C">
        <w:t xml:space="preserve">tate and </w:t>
      </w:r>
      <w:r w:rsidR="00A96122" w:rsidRPr="00DF1D1C">
        <w:t>f</w:t>
      </w:r>
      <w:r w:rsidRPr="00DF1D1C">
        <w:t>ederal law regarding</w:t>
      </w:r>
      <w:r w:rsidR="008926C2">
        <w:t xml:space="preserve"> </w:t>
      </w:r>
      <w:r w:rsidRPr="00DF1D1C">
        <w:t>confidentiality/privacy including the confidentiality requirements of §1160 and §1902(a)(7) of the Social Security Act</w:t>
      </w:r>
      <w:r w:rsidR="007E0AE9" w:rsidRPr="00DF1D1C">
        <w:t>;</w:t>
      </w:r>
      <w:r w:rsidRPr="00DF1D1C">
        <w:t xml:space="preserve"> the information safeguarding requirements</w:t>
      </w:r>
      <w:r w:rsidR="00754256">
        <w:t xml:space="preserve"> of Title 42, Part 431, Subpart </w:t>
      </w:r>
      <w:r w:rsidRPr="00DF1D1C">
        <w:t>F (42 CFR 431 F)</w:t>
      </w:r>
      <w:r w:rsidR="007E0AE9" w:rsidRPr="00DF1D1C">
        <w:t>; Title 45, Parts 160</w:t>
      </w:r>
      <w:r w:rsidR="00C37F99">
        <w:t>, 162,</w:t>
      </w:r>
      <w:r w:rsidR="007E0AE9" w:rsidRPr="00DF1D1C">
        <w:t xml:space="preserve"> and 164</w:t>
      </w:r>
      <w:r w:rsidR="00C37F99">
        <w:t xml:space="preserve">; and </w:t>
      </w:r>
      <w:r w:rsidR="00C37F99" w:rsidRPr="00C37F99">
        <w:t>the Federal Information Security Management Act (FISMA)</w:t>
      </w:r>
      <w:r w:rsidR="007D56E3" w:rsidRPr="00DF1D1C">
        <w:t>,</w:t>
      </w:r>
      <w:r w:rsidR="007E0AE9" w:rsidRPr="00DF1D1C">
        <w:t xml:space="preserve"> to the extent they apply</w:t>
      </w:r>
      <w:r w:rsidRPr="00DF1D1C">
        <w:t>.</w:t>
      </w:r>
      <w:r w:rsidR="00F24820">
        <w:t xml:space="preserve"> </w:t>
      </w:r>
    </w:p>
    <w:p w14:paraId="3F5177C9" w14:textId="23652920" w:rsidR="00CD4383" w:rsidRPr="00DF1D1C" w:rsidRDefault="00CD4383" w:rsidP="00257641">
      <w:r w:rsidRPr="00DF1D1C">
        <w:t xml:space="preserve">The </w:t>
      </w:r>
      <w:r w:rsidR="0073202A">
        <w:t>MCO</w:t>
      </w:r>
      <w:r w:rsidRPr="00DF1D1C">
        <w:t xml:space="preserve"> agrees that all material and information, and particularly information relative to individual applicants or </w:t>
      </w:r>
      <w:r w:rsidR="00AC0524">
        <w:t>enrollee</w:t>
      </w:r>
      <w:r w:rsidR="00AC0524" w:rsidRPr="00DF1D1C">
        <w:t xml:space="preserve">s </w:t>
      </w:r>
      <w:r w:rsidRPr="00DF1D1C">
        <w:t xml:space="preserve">of assistance through the Department, provided to the </w:t>
      </w:r>
      <w:r w:rsidR="0073202A">
        <w:t>MCO</w:t>
      </w:r>
      <w:r w:rsidRPr="00DF1D1C">
        <w:t xml:space="preserve"> by the State or acquired by the </w:t>
      </w:r>
      <w:r w:rsidR="0073202A">
        <w:t>MCO</w:t>
      </w:r>
      <w:r w:rsidRPr="00DF1D1C">
        <w:t xml:space="preserve"> in performance of the </w:t>
      </w:r>
      <w:r w:rsidR="009B19C2">
        <w:t xml:space="preserve">Contract </w:t>
      </w:r>
      <w:r w:rsidRPr="00DF1D1C">
        <w:t xml:space="preserve">whether verbal, written, recorded magnetic media, cards or otherwise </w:t>
      </w:r>
      <w:r w:rsidR="001F3B0D">
        <w:t>will</w:t>
      </w:r>
      <w:r w:rsidRPr="00DF1D1C">
        <w:t xml:space="preserve"> be regarded as confidential information and all necessary steps </w:t>
      </w:r>
      <w:r w:rsidR="001F3B0D">
        <w:t xml:space="preserve">must </w:t>
      </w:r>
      <w:r w:rsidRPr="00DF1D1C">
        <w:t xml:space="preserve">be taken by the </w:t>
      </w:r>
      <w:r w:rsidR="0073202A">
        <w:t>MCO</w:t>
      </w:r>
      <w:r w:rsidRPr="00DF1D1C">
        <w:t xml:space="preserve"> to safeguard the confidentiality of such material or information in conformance with federal and state statutes and regulations.</w:t>
      </w:r>
    </w:p>
    <w:p w14:paraId="336D2A45" w14:textId="7AE772DC" w:rsidR="00F74C4F" w:rsidRPr="00DF1D1C" w:rsidRDefault="00CD4383" w:rsidP="00257641">
      <w:r w:rsidRPr="00DF1D1C">
        <w:t xml:space="preserve">The </w:t>
      </w:r>
      <w:r w:rsidR="0073202A">
        <w:t>MCO</w:t>
      </w:r>
      <w:r w:rsidRPr="00DF1D1C">
        <w:t xml:space="preserve"> agrees not to release any information provided by the Department or providers or any information generated by the </w:t>
      </w:r>
      <w:r w:rsidR="0073202A">
        <w:t>MCO</w:t>
      </w:r>
      <w:r w:rsidR="009D05EA">
        <w:t xml:space="preserve"> regarding this </w:t>
      </w:r>
      <w:r w:rsidR="009B19C2">
        <w:t xml:space="preserve">Contract </w:t>
      </w:r>
      <w:r w:rsidRPr="00DF1D1C">
        <w:t xml:space="preserve">without the express consent of the Contracting Officer, except as </w:t>
      </w:r>
      <w:r w:rsidR="00177A9F">
        <w:t>otherwise provided</w:t>
      </w:r>
      <w:r w:rsidRPr="00DF1D1C">
        <w:t xml:space="preserve"> in this </w:t>
      </w:r>
      <w:r w:rsidR="009D05EA">
        <w:t>Contract</w:t>
      </w:r>
      <w:r w:rsidRPr="00DF1D1C">
        <w:t>.</w:t>
      </w:r>
    </w:p>
    <w:p w14:paraId="7DFB6125" w14:textId="19817100" w:rsidR="00CD4383" w:rsidRPr="00DF1D1C" w:rsidRDefault="00CD4383" w:rsidP="00257641">
      <w:pPr>
        <w:pStyle w:val="Heading3"/>
      </w:pPr>
      <w:bookmarkStart w:id="34" w:name="_Toc8128964"/>
      <w:r w:rsidRPr="00DF1D1C">
        <w:lastRenderedPageBreak/>
        <w:t xml:space="preserve">5.8 </w:t>
      </w:r>
      <w:r w:rsidRPr="00DF1D1C">
        <w:tab/>
        <w:t xml:space="preserve">Independent </w:t>
      </w:r>
      <w:r w:rsidR="00A96122" w:rsidRPr="00DF1D1C">
        <w:t>C</w:t>
      </w:r>
      <w:r w:rsidRPr="00DF1D1C">
        <w:t>apacity</w:t>
      </w:r>
      <w:bookmarkEnd w:id="34"/>
    </w:p>
    <w:p w14:paraId="2FCABE9B" w14:textId="77777777" w:rsidR="00CD4383" w:rsidRPr="00DF1D1C" w:rsidRDefault="00CD4383" w:rsidP="00257641">
      <w:r w:rsidRPr="00DF1D1C">
        <w:t xml:space="preserve">The </w:t>
      </w:r>
      <w:r w:rsidR="0073202A">
        <w:t>MCO</w:t>
      </w:r>
      <w:r w:rsidRPr="00DF1D1C">
        <w:t xml:space="preserve">, its officers, employees, </w:t>
      </w:r>
      <w:r w:rsidR="00642406">
        <w:t>S</w:t>
      </w:r>
      <w:r w:rsidRPr="00DF1D1C">
        <w:t xml:space="preserve">ubcontractors, or any other agent of the </w:t>
      </w:r>
      <w:r w:rsidR="0073202A">
        <w:t>MCO</w:t>
      </w:r>
      <w:r w:rsidRPr="00DF1D1C">
        <w:t xml:space="preserve"> in pe</w:t>
      </w:r>
      <w:r w:rsidR="006C2572">
        <w:t>rformance of this Agreement must</w:t>
      </w:r>
      <w:r w:rsidRPr="00DF1D1C">
        <w:t xml:space="preserve"> act in an independent capacity and </w:t>
      </w:r>
      <w:r w:rsidR="001F3B0D">
        <w:t>must</w:t>
      </w:r>
      <w:r w:rsidRPr="00DF1D1C">
        <w:t xml:space="preserve"> not hold themselves out to be officers or employees of the State of West Virginia or of the Department.</w:t>
      </w:r>
    </w:p>
    <w:p w14:paraId="0FFF0505" w14:textId="41B1A69C" w:rsidR="00CD4383" w:rsidRPr="00DF1D1C" w:rsidRDefault="00CD4383" w:rsidP="00257641">
      <w:pPr>
        <w:pStyle w:val="Heading3"/>
      </w:pPr>
      <w:bookmarkStart w:id="35" w:name="_Toc8128965"/>
      <w:r w:rsidRPr="00DF1D1C">
        <w:t xml:space="preserve">5.9 </w:t>
      </w:r>
      <w:r w:rsidRPr="00DF1D1C">
        <w:tab/>
      </w:r>
      <w:r w:rsidR="009B19C2">
        <w:t xml:space="preserve">Contract </w:t>
      </w:r>
      <w:r w:rsidRPr="00DF1D1C">
        <w:t>Liaison</w:t>
      </w:r>
      <w:bookmarkEnd w:id="35"/>
    </w:p>
    <w:p w14:paraId="457059F2" w14:textId="6049577B" w:rsidR="00CD4383" w:rsidRPr="00DF1D1C" w:rsidRDefault="00CD4383" w:rsidP="00257641">
      <w:r w:rsidRPr="00DF1D1C">
        <w:t>Both parties agree to have specifically named</w:t>
      </w:r>
      <w:r w:rsidR="00FD6828" w:rsidRPr="00DF1D1C">
        <w:t xml:space="preserve"> </w:t>
      </w:r>
      <w:r w:rsidR="009B19C2">
        <w:t xml:space="preserve">Contract </w:t>
      </w:r>
      <w:r w:rsidRPr="00DF1D1C">
        <w:t xml:space="preserve">liaisons at all times. These representatives of the parties will be the first contacts regarding any questions and problems which arise during implementation and operation of the contract. Both parties agree to immediately notify the other party in writing should they appoint a </w:t>
      </w:r>
      <w:r w:rsidR="009B19C2">
        <w:t xml:space="preserve">Contract </w:t>
      </w:r>
      <w:r w:rsidRPr="00DF1D1C">
        <w:t>liaison other than the liaison named in this contract.</w:t>
      </w:r>
      <w:r w:rsidR="00F01EFD" w:rsidRPr="00DF1D1C">
        <w:t xml:space="preserve"> The </w:t>
      </w:r>
      <w:r w:rsidR="0073202A">
        <w:t>MCO</w:t>
      </w:r>
      <w:r w:rsidR="00FA1C0C" w:rsidRPr="00DF1D1C">
        <w:t>’</w:t>
      </w:r>
      <w:r w:rsidR="00F01EFD" w:rsidRPr="00DF1D1C">
        <w:t xml:space="preserve">s </w:t>
      </w:r>
      <w:r w:rsidR="009B19C2">
        <w:t xml:space="preserve">Contract </w:t>
      </w:r>
      <w:r w:rsidR="00F01EFD" w:rsidRPr="00DF1D1C">
        <w:t xml:space="preserve">liaison </w:t>
      </w:r>
      <w:r w:rsidR="00764B42" w:rsidRPr="00DF1D1C">
        <w:t xml:space="preserve">may </w:t>
      </w:r>
      <w:r w:rsidR="00475BE9" w:rsidRPr="00DF1D1C">
        <w:t xml:space="preserve">also fulfill the duties of the Medicaid Administrator, as </w:t>
      </w:r>
      <w:r w:rsidR="00AD51DF" w:rsidRPr="00DF1D1C">
        <w:t xml:space="preserve">outlined in </w:t>
      </w:r>
      <w:r w:rsidR="006F30B7" w:rsidRPr="00DF1D1C">
        <w:t xml:space="preserve">Article III, Section </w:t>
      </w:r>
      <w:r w:rsidR="00034FF9">
        <w:t>5</w:t>
      </w:r>
      <w:r w:rsidR="00AD51DF" w:rsidRPr="00DF1D1C">
        <w:t xml:space="preserve"> of the contract.</w:t>
      </w:r>
      <w:r w:rsidR="00F01EFD" w:rsidRPr="00DF1D1C">
        <w:t xml:space="preserve"> </w:t>
      </w:r>
    </w:p>
    <w:p w14:paraId="02377D8C" w14:textId="3DDEAD27" w:rsidR="00992D06" w:rsidRDefault="00992D06" w:rsidP="00257641">
      <w:pPr>
        <w:pStyle w:val="Heading3"/>
      </w:pPr>
      <w:bookmarkStart w:id="36" w:name="_Toc8128966"/>
      <w:r>
        <w:t>5.10</w:t>
      </w:r>
      <w:r w:rsidRPr="00DF1D1C">
        <w:t xml:space="preserve"> </w:t>
      </w:r>
      <w:r w:rsidRPr="00DF1D1C">
        <w:tab/>
      </w:r>
      <w:r>
        <w:t>Key Staff Positions</w:t>
      </w:r>
      <w:bookmarkEnd w:id="36"/>
      <w:r>
        <w:t xml:space="preserve"> </w:t>
      </w:r>
    </w:p>
    <w:p w14:paraId="54172FB2" w14:textId="3CA9A603" w:rsidR="008F6D91" w:rsidRDefault="008F6D91" w:rsidP="00257641">
      <w:r w:rsidRPr="00DF1D1C">
        <w:t xml:space="preserve">Key MCO personnel (e.g., owners, directors) must meet state </w:t>
      </w:r>
      <w:r w:rsidR="00564C16">
        <w:t xml:space="preserve">law </w:t>
      </w:r>
      <w:r w:rsidRPr="00DF1D1C">
        <w:t>requirements for experience, licensure, and other ownership requirements</w:t>
      </w:r>
      <w:r>
        <w:t>.</w:t>
      </w:r>
    </w:p>
    <w:p w14:paraId="54417887" w14:textId="77777777" w:rsidR="00410355" w:rsidRDefault="009F7ADC" w:rsidP="00257641">
      <w:pPr>
        <w:pStyle w:val="normal6"/>
      </w:pPr>
      <w:r w:rsidRPr="00DF1D1C">
        <w:t xml:space="preserve">The </w:t>
      </w:r>
      <w:r w:rsidR="0073202A">
        <w:t>MCO</w:t>
      </w:r>
      <w:r w:rsidRPr="00DF1D1C">
        <w:t xml:space="preserve"> </w:t>
      </w:r>
      <w:r w:rsidR="001737C7">
        <w:t>must</w:t>
      </w:r>
      <w:r w:rsidRPr="00DF1D1C">
        <w:t xml:space="preserve"> provide the Department with an organizational chart depicting the key staff positions </w:t>
      </w:r>
      <w:r w:rsidR="00330ADF" w:rsidRPr="00DF1D1C">
        <w:t xml:space="preserve">in the Medicaid line of business </w:t>
      </w:r>
      <w:r w:rsidRPr="00DF1D1C">
        <w:t xml:space="preserve">by </w:t>
      </w:r>
      <w:r w:rsidR="007A212C" w:rsidRPr="00DF1D1C">
        <w:t xml:space="preserve">October </w:t>
      </w:r>
      <w:r w:rsidRPr="00DF1D1C">
        <w:t>1</w:t>
      </w:r>
      <w:r w:rsidR="008F6D91" w:rsidRPr="008351D2">
        <w:rPr>
          <w:vertAlign w:val="superscript"/>
        </w:rPr>
        <w:t>st</w:t>
      </w:r>
      <w:r w:rsidRPr="00DF1D1C">
        <w:t xml:space="preserve"> of each </w:t>
      </w:r>
      <w:r w:rsidR="009B19C2">
        <w:t xml:space="preserve">Contract </w:t>
      </w:r>
      <w:r w:rsidRPr="00DF1D1C">
        <w:t>year</w:t>
      </w:r>
      <w:r w:rsidR="0078080B" w:rsidRPr="00DF1D1C">
        <w:t xml:space="preserve">. </w:t>
      </w:r>
      <w:r w:rsidRPr="00DF1D1C">
        <w:t xml:space="preserve">The organizational chart </w:t>
      </w:r>
      <w:r w:rsidR="001737C7">
        <w:t>must</w:t>
      </w:r>
      <w:r w:rsidRPr="00DF1D1C">
        <w:t xml:space="preserve"> include the names,</w:t>
      </w:r>
      <w:r w:rsidR="00C56D3A" w:rsidRPr="00DF1D1C">
        <w:t xml:space="preserve"> </w:t>
      </w:r>
      <w:r w:rsidRPr="00DF1D1C">
        <w:t xml:space="preserve">titles, and </w:t>
      </w:r>
      <w:r w:rsidR="004E74D5" w:rsidRPr="00DF1D1C">
        <w:t>contact information for</w:t>
      </w:r>
      <w:r w:rsidRPr="00DF1D1C">
        <w:t xml:space="preserve"> the following key staff positions</w:t>
      </w:r>
      <w:r w:rsidR="006D046D" w:rsidRPr="00DF1D1C">
        <w:t xml:space="preserve"> or functions</w:t>
      </w:r>
      <w:r w:rsidRPr="00DF1D1C">
        <w:t xml:space="preserve">: </w:t>
      </w:r>
    </w:p>
    <w:p w14:paraId="2FA7678C" w14:textId="77777777" w:rsidR="00410355" w:rsidRDefault="009B19C2" w:rsidP="00257641">
      <w:pPr>
        <w:pStyle w:val="ListParagraph"/>
        <w:numPr>
          <w:ilvl w:val="0"/>
          <w:numId w:val="913"/>
        </w:numPr>
        <w:spacing w:line="240" w:lineRule="auto"/>
      </w:pPr>
      <w:r w:rsidRPr="00B01265">
        <w:rPr>
          <w:rFonts w:ascii="Times New Roman" w:hAnsi="Times New Roman"/>
        </w:rPr>
        <w:t xml:space="preserve">Contract </w:t>
      </w:r>
      <w:r w:rsidR="009F7ADC" w:rsidRPr="00B01265">
        <w:rPr>
          <w:rFonts w:ascii="Times New Roman" w:hAnsi="Times New Roman"/>
        </w:rPr>
        <w:t>Liaison</w:t>
      </w:r>
      <w:r w:rsidR="00FD6828" w:rsidRPr="00B01265">
        <w:rPr>
          <w:rFonts w:ascii="Times New Roman" w:hAnsi="Times New Roman"/>
        </w:rPr>
        <w:t>/</w:t>
      </w:r>
      <w:r w:rsidR="00387734" w:rsidRPr="00B01265">
        <w:rPr>
          <w:rFonts w:ascii="Times New Roman" w:hAnsi="Times New Roman"/>
        </w:rPr>
        <w:t xml:space="preserve">Medicaid Administrator, </w:t>
      </w:r>
    </w:p>
    <w:p w14:paraId="225171C6" w14:textId="77777777" w:rsidR="00A26212" w:rsidRPr="005D4F7A" w:rsidRDefault="00A26212" w:rsidP="00257641">
      <w:pPr>
        <w:pStyle w:val="ListParagraph"/>
        <w:numPr>
          <w:ilvl w:val="0"/>
          <w:numId w:val="913"/>
        </w:numPr>
        <w:spacing w:line="240" w:lineRule="auto"/>
        <w:rPr>
          <w:rFonts w:ascii="Times New Roman" w:hAnsi="Times New Roman"/>
        </w:rPr>
      </w:pPr>
      <w:r w:rsidRPr="005D4F7A">
        <w:rPr>
          <w:rFonts w:ascii="Times New Roman" w:hAnsi="Times New Roman"/>
        </w:rPr>
        <w:t>Chief Executive Officer (CEO),</w:t>
      </w:r>
    </w:p>
    <w:p w14:paraId="4FB11B10" w14:textId="5DA5511D" w:rsidR="00410355" w:rsidRPr="00D33B7A" w:rsidRDefault="009F7ADC" w:rsidP="00257641">
      <w:pPr>
        <w:pStyle w:val="ListParagraph"/>
        <w:numPr>
          <w:ilvl w:val="0"/>
          <w:numId w:val="913"/>
        </w:numPr>
        <w:spacing w:line="240" w:lineRule="auto"/>
      </w:pPr>
      <w:r w:rsidRPr="00B01265">
        <w:rPr>
          <w:rFonts w:ascii="Times New Roman" w:hAnsi="Times New Roman"/>
        </w:rPr>
        <w:t>Chief Financial Officer</w:t>
      </w:r>
      <w:r w:rsidR="00410355">
        <w:rPr>
          <w:rFonts w:ascii="Times New Roman" w:hAnsi="Times New Roman"/>
        </w:rPr>
        <w:t xml:space="preserve"> (CFO)</w:t>
      </w:r>
      <w:r w:rsidRPr="00B01265">
        <w:rPr>
          <w:rFonts w:ascii="Times New Roman" w:hAnsi="Times New Roman"/>
        </w:rPr>
        <w:t xml:space="preserve">, </w:t>
      </w:r>
    </w:p>
    <w:p w14:paraId="2982DFCD" w14:textId="77777777" w:rsidR="00410355" w:rsidRPr="00D33B7A" w:rsidRDefault="009F7ADC" w:rsidP="00257641">
      <w:pPr>
        <w:pStyle w:val="ListParagraph"/>
        <w:numPr>
          <w:ilvl w:val="0"/>
          <w:numId w:val="913"/>
        </w:numPr>
        <w:spacing w:line="240" w:lineRule="auto"/>
      </w:pPr>
      <w:r w:rsidRPr="00B01265">
        <w:rPr>
          <w:rFonts w:ascii="Times New Roman" w:hAnsi="Times New Roman"/>
        </w:rPr>
        <w:t>Medical Director,</w:t>
      </w:r>
      <w:r w:rsidR="006D046D" w:rsidRPr="00B01265">
        <w:rPr>
          <w:rFonts w:ascii="Times New Roman" w:hAnsi="Times New Roman"/>
        </w:rPr>
        <w:t xml:space="preserve"> </w:t>
      </w:r>
    </w:p>
    <w:p w14:paraId="060EB17E" w14:textId="2A25B51B" w:rsidR="00410355" w:rsidRDefault="006D046D" w:rsidP="00257641">
      <w:pPr>
        <w:pStyle w:val="ListParagraph"/>
        <w:numPr>
          <w:ilvl w:val="0"/>
          <w:numId w:val="913"/>
        </w:numPr>
        <w:spacing w:line="240" w:lineRule="auto"/>
      </w:pPr>
      <w:r w:rsidRPr="00B01265">
        <w:rPr>
          <w:rFonts w:ascii="Times New Roman" w:hAnsi="Times New Roman"/>
        </w:rPr>
        <w:t xml:space="preserve">Medical Management (Utilization Review) Director, </w:t>
      </w:r>
    </w:p>
    <w:p w14:paraId="1B3943B5" w14:textId="31EC9B96" w:rsidR="00410355" w:rsidRDefault="00410355" w:rsidP="00257641">
      <w:pPr>
        <w:pStyle w:val="ListParagraph"/>
        <w:numPr>
          <w:ilvl w:val="0"/>
          <w:numId w:val="913"/>
        </w:numPr>
        <w:spacing w:line="240" w:lineRule="auto"/>
      </w:pPr>
      <w:r>
        <w:rPr>
          <w:rFonts w:ascii="Times New Roman" w:hAnsi="Times New Roman"/>
        </w:rPr>
        <w:t>Care Management Director,</w:t>
      </w:r>
    </w:p>
    <w:p w14:paraId="701D5FAE" w14:textId="1CF8FF0A" w:rsidR="00410355" w:rsidRDefault="00410355" w:rsidP="00257641">
      <w:pPr>
        <w:pStyle w:val="ListParagraph"/>
        <w:numPr>
          <w:ilvl w:val="0"/>
          <w:numId w:val="913"/>
        </w:numPr>
        <w:spacing w:line="240" w:lineRule="auto"/>
      </w:pPr>
      <w:r>
        <w:rPr>
          <w:rFonts w:ascii="Times New Roman" w:hAnsi="Times New Roman"/>
        </w:rPr>
        <w:t>Behavioral Health Medical Director,</w:t>
      </w:r>
    </w:p>
    <w:p w14:paraId="4291EFBA" w14:textId="56B4146C" w:rsidR="00FE49B6" w:rsidRDefault="00FE49B6" w:rsidP="00257641">
      <w:pPr>
        <w:pStyle w:val="ListParagraph"/>
        <w:numPr>
          <w:ilvl w:val="0"/>
          <w:numId w:val="913"/>
        </w:numPr>
        <w:spacing w:line="240" w:lineRule="auto"/>
      </w:pPr>
      <w:r w:rsidRPr="00FE49B6">
        <w:rPr>
          <w:rFonts w:ascii="Times New Roman" w:hAnsi="Times New Roman"/>
        </w:rPr>
        <w:t>Dental Director</w:t>
      </w:r>
      <w:r>
        <w:rPr>
          <w:rFonts w:ascii="Times New Roman" w:hAnsi="Times New Roman"/>
        </w:rPr>
        <w:t>,</w:t>
      </w:r>
      <w:r w:rsidRPr="00FE49B6">
        <w:rPr>
          <w:rFonts w:ascii="Times New Roman" w:hAnsi="Times New Roman"/>
        </w:rPr>
        <w:tab/>
      </w:r>
    </w:p>
    <w:p w14:paraId="59B9E396" w14:textId="760134BE" w:rsidR="00410355" w:rsidRDefault="00410355" w:rsidP="00257641">
      <w:pPr>
        <w:pStyle w:val="ListParagraph"/>
        <w:numPr>
          <w:ilvl w:val="0"/>
          <w:numId w:val="913"/>
        </w:numPr>
        <w:spacing w:line="240" w:lineRule="auto"/>
      </w:pPr>
      <w:r>
        <w:rPr>
          <w:rFonts w:ascii="Times New Roman" w:hAnsi="Times New Roman"/>
        </w:rPr>
        <w:t>Social Services Director,</w:t>
      </w:r>
    </w:p>
    <w:p w14:paraId="4CD1F913" w14:textId="5441C5DC" w:rsidR="00410355" w:rsidRPr="00410355" w:rsidRDefault="00410355" w:rsidP="00257641">
      <w:pPr>
        <w:pStyle w:val="ListParagraph"/>
        <w:numPr>
          <w:ilvl w:val="0"/>
          <w:numId w:val="913"/>
        </w:numPr>
        <w:spacing w:line="240" w:lineRule="auto"/>
        <w:rPr>
          <w:rFonts w:ascii="Times New Roman" w:hAnsi="Times New Roman"/>
        </w:rPr>
      </w:pPr>
      <w:r w:rsidRPr="00410355">
        <w:rPr>
          <w:rFonts w:ascii="Times New Roman" w:hAnsi="Times New Roman"/>
        </w:rPr>
        <w:t xml:space="preserve">SNS Liaison, </w:t>
      </w:r>
    </w:p>
    <w:p w14:paraId="01A83BEB" w14:textId="77777777" w:rsidR="00410355" w:rsidRDefault="006D046D" w:rsidP="00257641">
      <w:pPr>
        <w:pStyle w:val="ListParagraph"/>
        <w:numPr>
          <w:ilvl w:val="0"/>
          <w:numId w:val="913"/>
        </w:numPr>
        <w:spacing w:line="240" w:lineRule="auto"/>
      </w:pPr>
      <w:r w:rsidRPr="00B01265">
        <w:rPr>
          <w:rFonts w:ascii="Times New Roman" w:hAnsi="Times New Roman"/>
        </w:rPr>
        <w:t xml:space="preserve">Quality Director, </w:t>
      </w:r>
    </w:p>
    <w:p w14:paraId="4F08E13D" w14:textId="1C2E51A4" w:rsidR="00410355" w:rsidRPr="00D33B7A" w:rsidRDefault="001E2F32" w:rsidP="00257641">
      <w:pPr>
        <w:pStyle w:val="ListParagraph"/>
        <w:numPr>
          <w:ilvl w:val="0"/>
          <w:numId w:val="913"/>
        </w:numPr>
        <w:spacing w:line="240" w:lineRule="auto"/>
      </w:pPr>
      <w:r>
        <w:rPr>
          <w:rFonts w:ascii="Times New Roman" w:hAnsi="Times New Roman"/>
        </w:rPr>
        <w:t>Enrollee</w:t>
      </w:r>
      <w:r w:rsidRPr="00B01265">
        <w:rPr>
          <w:rFonts w:ascii="Times New Roman" w:hAnsi="Times New Roman"/>
        </w:rPr>
        <w:t xml:space="preserve"> </w:t>
      </w:r>
      <w:r w:rsidR="009F7ADC" w:rsidRPr="00B01265">
        <w:rPr>
          <w:rFonts w:ascii="Times New Roman" w:hAnsi="Times New Roman"/>
        </w:rPr>
        <w:t>Services</w:t>
      </w:r>
      <w:r w:rsidR="006D046D" w:rsidRPr="00B01265">
        <w:rPr>
          <w:rFonts w:ascii="Times New Roman" w:hAnsi="Times New Roman"/>
        </w:rPr>
        <w:t xml:space="preserve"> Director, </w:t>
      </w:r>
    </w:p>
    <w:p w14:paraId="343D995C" w14:textId="77777777" w:rsidR="00410355" w:rsidRDefault="006D046D" w:rsidP="00257641">
      <w:pPr>
        <w:pStyle w:val="ListParagraph"/>
        <w:numPr>
          <w:ilvl w:val="0"/>
          <w:numId w:val="913"/>
        </w:numPr>
        <w:spacing w:line="240" w:lineRule="auto"/>
      </w:pPr>
      <w:r w:rsidRPr="00B01265">
        <w:rPr>
          <w:rFonts w:ascii="Times New Roman" w:hAnsi="Times New Roman"/>
        </w:rPr>
        <w:t xml:space="preserve">Claims Payment Director, </w:t>
      </w:r>
    </w:p>
    <w:p w14:paraId="37B4B230" w14:textId="7BFB4F26" w:rsidR="00410355" w:rsidRPr="00D33B7A" w:rsidRDefault="00410355" w:rsidP="00257641">
      <w:pPr>
        <w:pStyle w:val="ListParagraph"/>
        <w:numPr>
          <w:ilvl w:val="0"/>
          <w:numId w:val="913"/>
        </w:numPr>
        <w:spacing w:line="240" w:lineRule="auto"/>
      </w:pPr>
      <w:r>
        <w:rPr>
          <w:rFonts w:ascii="Times New Roman" w:hAnsi="Times New Roman"/>
        </w:rPr>
        <w:t>Network Development Director,</w:t>
      </w:r>
    </w:p>
    <w:p w14:paraId="0971203F" w14:textId="77777777" w:rsidR="00410355" w:rsidRPr="00D33B7A" w:rsidRDefault="006D046D" w:rsidP="00257641">
      <w:pPr>
        <w:pStyle w:val="ListParagraph"/>
        <w:numPr>
          <w:ilvl w:val="0"/>
          <w:numId w:val="913"/>
        </w:numPr>
        <w:spacing w:line="240" w:lineRule="auto"/>
      </w:pPr>
      <w:r w:rsidRPr="00B01265">
        <w:rPr>
          <w:rFonts w:ascii="Times New Roman" w:hAnsi="Times New Roman"/>
        </w:rPr>
        <w:t>Provider Relations Director</w:t>
      </w:r>
      <w:r w:rsidR="009F7ADC" w:rsidRPr="00B01265">
        <w:rPr>
          <w:rFonts w:ascii="Times New Roman" w:hAnsi="Times New Roman"/>
        </w:rPr>
        <w:t xml:space="preserve">, </w:t>
      </w:r>
    </w:p>
    <w:p w14:paraId="085D8791" w14:textId="28B361CD" w:rsidR="00410355" w:rsidRPr="00D33B7A" w:rsidRDefault="00184C63" w:rsidP="00257641">
      <w:pPr>
        <w:pStyle w:val="ListParagraph"/>
        <w:numPr>
          <w:ilvl w:val="0"/>
          <w:numId w:val="913"/>
        </w:numPr>
        <w:spacing w:line="240" w:lineRule="auto"/>
      </w:pPr>
      <w:r w:rsidRPr="00B01265">
        <w:rPr>
          <w:rFonts w:ascii="Times New Roman" w:hAnsi="Times New Roman"/>
        </w:rPr>
        <w:t>Program Integrity Lead,</w:t>
      </w:r>
      <w:r w:rsidR="003150A4">
        <w:rPr>
          <w:rFonts w:ascii="Times New Roman" w:hAnsi="Times New Roman"/>
        </w:rPr>
        <w:t xml:space="preserve"> </w:t>
      </w:r>
    </w:p>
    <w:p w14:paraId="6A2ADD07" w14:textId="03A1920C" w:rsidR="00410355" w:rsidRPr="00D33B7A" w:rsidRDefault="009F7ADC" w:rsidP="00257641">
      <w:pPr>
        <w:pStyle w:val="ListParagraph"/>
        <w:numPr>
          <w:ilvl w:val="0"/>
          <w:numId w:val="913"/>
        </w:numPr>
        <w:spacing w:line="240" w:lineRule="auto"/>
      </w:pPr>
      <w:r w:rsidRPr="00B01265">
        <w:rPr>
          <w:rFonts w:ascii="Times New Roman" w:hAnsi="Times New Roman"/>
        </w:rPr>
        <w:t xml:space="preserve">Information Technology </w:t>
      </w:r>
      <w:r w:rsidR="001F31CE" w:rsidRPr="00B01265">
        <w:rPr>
          <w:rFonts w:ascii="Times New Roman" w:hAnsi="Times New Roman"/>
        </w:rPr>
        <w:t>D</w:t>
      </w:r>
      <w:r w:rsidR="00AD51DF" w:rsidRPr="00B01265">
        <w:rPr>
          <w:rFonts w:ascii="Times New Roman" w:hAnsi="Times New Roman"/>
        </w:rPr>
        <w:t>i</w:t>
      </w:r>
      <w:r w:rsidR="001F31CE" w:rsidRPr="00B01265">
        <w:rPr>
          <w:rFonts w:ascii="Times New Roman" w:hAnsi="Times New Roman"/>
        </w:rPr>
        <w:t>r</w:t>
      </w:r>
      <w:r w:rsidR="00AD51DF" w:rsidRPr="00B01265">
        <w:rPr>
          <w:rFonts w:ascii="Times New Roman" w:hAnsi="Times New Roman"/>
        </w:rPr>
        <w:t>ector</w:t>
      </w:r>
      <w:r w:rsidR="00184C63" w:rsidRPr="00B01265">
        <w:rPr>
          <w:rFonts w:ascii="Times New Roman" w:hAnsi="Times New Roman"/>
        </w:rPr>
        <w:t xml:space="preserve">, </w:t>
      </w:r>
    </w:p>
    <w:p w14:paraId="51FFCE28" w14:textId="686C838A" w:rsidR="00FE49B6" w:rsidRDefault="00184C63" w:rsidP="00257641">
      <w:pPr>
        <w:pStyle w:val="ListParagraph"/>
        <w:numPr>
          <w:ilvl w:val="0"/>
          <w:numId w:val="913"/>
        </w:numPr>
        <w:spacing w:line="240" w:lineRule="auto"/>
      </w:pPr>
      <w:r w:rsidRPr="00B01265">
        <w:rPr>
          <w:rFonts w:ascii="Times New Roman" w:hAnsi="Times New Roman"/>
        </w:rPr>
        <w:t xml:space="preserve">Community Engagement </w:t>
      </w:r>
      <w:r w:rsidR="00FE49B6">
        <w:rPr>
          <w:rFonts w:ascii="Times New Roman" w:hAnsi="Times New Roman"/>
        </w:rPr>
        <w:t xml:space="preserve">Director, and </w:t>
      </w:r>
    </w:p>
    <w:p w14:paraId="65E57433" w14:textId="37FED3D3" w:rsidR="00410355" w:rsidRPr="00D33B7A" w:rsidRDefault="00FE49B6" w:rsidP="00257641">
      <w:pPr>
        <w:pStyle w:val="ListParagraph"/>
        <w:numPr>
          <w:ilvl w:val="0"/>
          <w:numId w:val="913"/>
        </w:numPr>
        <w:spacing w:line="240" w:lineRule="auto"/>
      </w:pPr>
      <w:r w:rsidRPr="00FE49B6">
        <w:rPr>
          <w:rFonts w:ascii="Times New Roman" w:hAnsi="Times New Roman"/>
        </w:rPr>
        <w:t xml:space="preserve">Medicaid </w:t>
      </w:r>
      <w:r w:rsidR="001E2F32">
        <w:rPr>
          <w:rFonts w:ascii="Times New Roman" w:hAnsi="Times New Roman"/>
        </w:rPr>
        <w:t>Enrollee</w:t>
      </w:r>
      <w:r w:rsidR="001E2F32" w:rsidRPr="00FE49B6">
        <w:rPr>
          <w:rFonts w:ascii="Times New Roman" w:hAnsi="Times New Roman"/>
        </w:rPr>
        <w:t xml:space="preserve"> </w:t>
      </w:r>
      <w:r w:rsidRPr="00FE49B6">
        <w:rPr>
          <w:rFonts w:ascii="Times New Roman" w:hAnsi="Times New Roman"/>
        </w:rPr>
        <w:t>Advocate</w:t>
      </w:r>
      <w:r w:rsidR="009F7ADC" w:rsidRPr="00B01265">
        <w:rPr>
          <w:rFonts w:ascii="Times New Roman" w:hAnsi="Times New Roman"/>
        </w:rPr>
        <w:t xml:space="preserve">. </w:t>
      </w:r>
    </w:p>
    <w:p w14:paraId="25D8152A" w14:textId="2EA7AFB4" w:rsidR="009F7ADC" w:rsidRPr="00DF1D1C" w:rsidRDefault="009F7ADC" w:rsidP="00257641">
      <w:r w:rsidRPr="00DF1D1C">
        <w:t xml:space="preserve">The </w:t>
      </w:r>
      <w:r w:rsidR="0073202A">
        <w:t>MCO</w:t>
      </w:r>
      <w:r w:rsidR="001737C7">
        <w:t xml:space="preserve"> must</w:t>
      </w:r>
      <w:r w:rsidRPr="00DF1D1C">
        <w:t xml:space="preserve"> notify the Department in writing of changes in key staff positions </w:t>
      </w:r>
      <w:r w:rsidR="00726CB3">
        <w:t xml:space="preserve">when individuals either leave or fill these key positions </w:t>
      </w:r>
      <w:r w:rsidRPr="00DF1D1C">
        <w:t xml:space="preserve">within </w:t>
      </w:r>
      <w:r w:rsidR="00C53314">
        <w:t>fourteen (</w:t>
      </w:r>
      <w:r w:rsidRPr="00DF1D1C">
        <w:t>1</w:t>
      </w:r>
      <w:r w:rsidR="006D046D" w:rsidRPr="00DF1D1C">
        <w:t>4</w:t>
      </w:r>
      <w:r w:rsidR="00C53314">
        <w:t>)</w:t>
      </w:r>
      <w:r w:rsidRPr="00DF1D1C">
        <w:t xml:space="preserve"> calendar days of any </w:t>
      </w:r>
      <w:r w:rsidRPr="00DF1D1C">
        <w:lastRenderedPageBreak/>
        <w:t xml:space="preserve">change. The </w:t>
      </w:r>
      <w:r w:rsidR="0073202A">
        <w:t>MCO</w:t>
      </w:r>
      <w:r w:rsidRPr="00DF1D1C">
        <w:t xml:space="preserve"> </w:t>
      </w:r>
      <w:r w:rsidR="001737C7">
        <w:t>must</w:t>
      </w:r>
      <w:r w:rsidRPr="00DF1D1C">
        <w:t xml:space="preserve"> also provide an updated organizational chart within </w:t>
      </w:r>
      <w:r w:rsidR="00C53314">
        <w:t>fourteen (</w:t>
      </w:r>
      <w:r w:rsidR="00726CB3">
        <w:t>14</w:t>
      </w:r>
      <w:r w:rsidR="00C53314">
        <w:t>)</w:t>
      </w:r>
      <w:r w:rsidR="00726CB3">
        <w:t xml:space="preserve"> </w:t>
      </w:r>
      <w:r w:rsidR="00184C63">
        <w:t xml:space="preserve">calendar </w:t>
      </w:r>
      <w:r w:rsidR="00726CB3">
        <w:t>days of request</w:t>
      </w:r>
      <w:r w:rsidRPr="00DF1D1C">
        <w:t>.</w:t>
      </w:r>
      <w:r w:rsidR="00F24820">
        <w:t xml:space="preserve"> </w:t>
      </w:r>
    </w:p>
    <w:p w14:paraId="6DB0B3AA" w14:textId="6AAB7D44" w:rsidR="001C785B" w:rsidRPr="00DF1D1C" w:rsidRDefault="00650DCF" w:rsidP="00257641">
      <w:r>
        <w:t>All key staff</w:t>
      </w:r>
      <w:r w:rsidR="00371FF2" w:rsidRPr="00DF1D1C">
        <w:t xml:space="preserve"> or </w:t>
      </w:r>
      <w:r>
        <w:t xml:space="preserve">his or her </w:t>
      </w:r>
      <w:r w:rsidR="00371FF2" w:rsidRPr="00DF1D1C">
        <w:t>designee</w:t>
      </w:r>
      <w:r w:rsidR="0086457F">
        <w:t xml:space="preserve"> must</w:t>
      </w:r>
      <w:r w:rsidR="001C785B" w:rsidRPr="00DF1D1C">
        <w:t xml:space="preserve"> </w:t>
      </w:r>
      <w:r w:rsidR="005F5399" w:rsidRPr="00DF1D1C">
        <w:t xml:space="preserve">respond to </w:t>
      </w:r>
      <w:r w:rsidR="00822DCF" w:rsidRPr="00DF1D1C">
        <w:t xml:space="preserve">requests of </w:t>
      </w:r>
      <w:r w:rsidR="001C785B" w:rsidRPr="00DF1D1C">
        <w:t>the Department</w:t>
      </w:r>
      <w:r>
        <w:t xml:space="preserve"> </w:t>
      </w:r>
      <w:r w:rsidR="001C785B" w:rsidRPr="00DF1D1C">
        <w:t xml:space="preserve">within </w:t>
      </w:r>
      <w:r w:rsidR="00A3281E" w:rsidRPr="00DF1D1C">
        <w:t>three</w:t>
      </w:r>
      <w:r w:rsidR="00184C63">
        <w:t xml:space="preserve"> (3)</w:t>
      </w:r>
      <w:r w:rsidR="005F5399" w:rsidRPr="00DF1D1C">
        <w:t xml:space="preserve"> business day</w:t>
      </w:r>
      <w:r w:rsidR="00A3281E" w:rsidRPr="00DF1D1C">
        <w:t>s</w:t>
      </w:r>
      <w:r w:rsidR="005F5399" w:rsidRPr="00DF1D1C">
        <w:t xml:space="preserve">. </w:t>
      </w:r>
    </w:p>
    <w:p w14:paraId="2EE97593" w14:textId="3BCE260F" w:rsidR="0082367D" w:rsidRDefault="0082367D" w:rsidP="00257641">
      <w:pPr>
        <w:pStyle w:val="Heading3"/>
      </w:pPr>
      <w:bookmarkStart w:id="37" w:name="_Toc8128967"/>
      <w:r>
        <w:t>5.11</w:t>
      </w:r>
      <w:r w:rsidRPr="00DF1D1C">
        <w:t xml:space="preserve"> </w:t>
      </w:r>
      <w:r w:rsidRPr="00DF1D1C">
        <w:tab/>
      </w:r>
      <w:r>
        <w:t>Location of Operations</w:t>
      </w:r>
      <w:bookmarkEnd w:id="37"/>
    </w:p>
    <w:p w14:paraId="4D5042C5" w14:textId="18CFA383" w:rsidR="00FF5BEF" w:rsidRPr="00DF1D1C" w:rsidRDefault="003A09BF" w:rsidP="00257641">
      <w:r w:rsidRPr="003A09BF">
        <w:t xml:space="preserve">The MCO </w:t>
      </w:r>
      <w:r>
        <w:t>is</w:t>
      </w:r>
      <w:r w:rsidRPr="003A09BF">
        <w:t xml:space="preserve"> required to have a physical presence in West Virginia, including the operation of call </w:t>
      </w:r>
      <w:r>
        <w:t>center</w:t>
      </w:r>
      <w:r w:rsidRPr="003A09BF">
        <w:t xml:space="preserve"> services </w:t>
      </w:r>
      <w:r>
        <w:t xml:space="preserve">in a West Virginia </w:t>
      </w:r>
      <w:r w:rsidRPr="003A09BF">
        <w:t>location.</w:t>
      </w:r>
      <w:r>
        <w:t xml:space="preserve"> </w:t>
      </w:r>
      <w:r w:rsidR="00FF5BEF" w:rsidRPr="00DF1D1C">
        <w:t xml:space="preserve">The </w:t>
      </w:r>
      <w:r w:rsidR="0073202A">
        <w:t>MCO</w:t>
      </w:r>
      <w:r w:rsidR="00FF5BEF" w:rsidRPr="00DF1D1C">
        <w:t xml:space="preserve"> </w:t>
      </w:r>
      <w:r w:rsidR="001737C7">
        <w:t xml:space="preserve">must </w:t>
      </w:r>
      <w:r w:rsidR="00FF5BEF" w:rsidRPr="00DF1D1C">
        <w:t xml:space="preserve">notify the Department </w:t>
      </w:r>
      <w:r w:rsidR="00C8689A">
        <w:t>forty-five (</w:t>
      </w:r>
      <w:r w:rsidR="00FF5BEF" w:rsidRPr="00DF1D1C">
        <w:t>45</w:t>
      </w:r>
      <w:r w:rsidR="00C8689A">
        <w:t>)</w:t>
      </w:r>
      <w:r w:rsidR="008F7061">
        <w:t xml:space="preserve"> calendar</w:t>
      </w:r>
      <w:r w:rsidR="00FF5BEF" w:rsidRPr="00DF1D1C">
        <w:t xml:space="preserve"> days in advance of any proposal to modify claims operations and processing, </w:t>
      </w:r>
      <w:r w:rsidR="001E2F32">
        <w:t>enrollee</w:t>
      </w:r>
      <w:r w:rsidR="001E2F32" w:rsidRPr="00DF1D1C">
        <w:t xml:space="preserve"> </w:t>
      </w:r>
      <w:r w:rsidR="00FF5BEF" w:rsidRPr="00DF1D1C">
        <w:t xml:space="preserve">services, or case management processes that </w:t>
      </w:r>
      <w:r w:rsidR="001737C7">
        <w:t xml:space="preserve">may </w:t>
      </w:r>
      <w:r w:rsidR="00FF5BEF" w:rsidRPr="00DF1D1C">
        <w:t>include the relocation of operations.</w:t>
      </w:r>
      <w:r w:rsidR="00184C63" w:rsidRPr="00184C63">
        <w:t xml:space="preserve"> The MCO </w:t>
      </w:r>
      <w:r w:rsidR="006876E5">
        <w:t>must</w:t>
      </w:r>
      <w:r w:rsidR="006876E5" w:rsidRPr="00184C63">
        <w:t xml:space="preserve"> </w:t>
      </w:r>
      <w:r w:rsidR="00184C63" w:rsidRPr="00184C63">
        <w:t>be responsible for any costs incurred by other contracted vendors of the Department for required updates needed as a result of such change.</w:t>
      </w:r>
    </w:p>
    <w:p w14:paraId="1B1E6C84" w14:textId="1F8DDCAA" w:rsidR="0094765C" w:rsidRPr="00DF1D1C" w:rsidRDefault="0094765C" w:rsidP="00257641">
      <w:pPr>
        <w:pStyle w:val="Heading3"/>
      </w:pPr>
      <w:bookmarkStart w:id="38" w:name="_Toc8128968"/>
      <w:r w:rsidRPr="00DF1D1C">
        <w:t>5.1</w:t>
      </w:r>
      <w:r w:rsidR="00FF5BEF" w:rsidRPr="00DF1D1C">
        <w:t>2</w:t>
      </w:r>
      <w:r w:rsidR="00F24820">
        <w:t xml:space="preserve"> </w:t>
      </w:r>
      <w:r w:rsidR="000848A4">
        <w:t>Communication with</w:t>
      </w:r>
      <w:r w:rsidRPr="00DF1D1C">
        <w:t xml:space="preserve"> the Department</w:t>
      </w:r>
      <w:bookmarkEnd w:id="38"/>
    </w:p>
    <w:p w14:paraId="7935BB79" w14:textId="2E808A01" w:rsidR="00330ADF" w:rsidRPr="00DF1D1C" w:rsidRDefault="00330ADF" w:rsidP="00257641">
      <w:r w:rsidRPr="00DF1D1C">
        <w:t xml:space="preserve">The </w:t>
      </w:r>
      <w:r w:rsidR="0073202A">
        <w:t>MCO</w:t>
      </w:r>
      <w:r w:rsidRPr="00DF1D1C">
        <w:t xml:space="preserve"> </w:t>
      </w:r>
      <w:r w:rsidR="001737C7">
        <w:t>must</w:t>
      </w:r>
      <w:r w:rsidRPr="00DF1D1C">
        <w:t xml:space="preserve"> acknowledge receipt of the Department</w:t>
      </w:r>
      <w:r w:rsidR="00FA1C0C" w:rsidRPr="00DF1D1C">
        <w:t>’</w:t>
      </w:r>
      <w:r w:rsidRPr="00DF1D1C">
        <w:t>s written, electronic, or tel</w:t>
      </w:r>
      <w:r w:rsidR="003446BD">
        <w:t>e</w:t>
      </w:r>
      <w:r w:rsidRPr="00DF1D1C">
        <w:t xml:space="preserve">phonic </w:t>
      </w:r>
      <w:r w:rsidR="0089601C">
        <w:t xml:space="preserve">information </w:t>
      </w:r>
      <w:r w:rsidR="00144A78" w:rsidRPr="00DF1D1C">
        <w:t xml:space="preserve">requests </w:t>
      </w:r>
      <w:r w:rsidRPr="00DF1D1C">
        <w:t>as expedit</w:t>
      </w:r>
      <w:r w:rsidRPr="00737F8F">
        <w:t>i</w:t>
      </w:r>
      <w:r w:rsidRPr="00DF1D1C">
        <w:t xml:space="preserve">ously as </w:t>
      </w:r>
      <w:r w:rsidR="00A57786" w:rsidRPr="00DF1D1C">
        <w:t xml:space="preserve">the matter requires </w:t>
      </w:r>
      <w:r w:rsidRPr="00DF1D1C">
        <w:t xml:space="preserve">or no later than two </w:t>
      </w:r>
      <w:r w:rsidR="008F7061">
        <w:t xml:space="preserve">(2) </w:t>
      </w:r>
      <w:r w:rsidRPr="00DF1D1C">
        <w:t xml:space="preserve">business days </w:t>
      </w:r>
      <w:r w:rsidR="004C3224" w:rsidRPr="00DF1D1C">
        <w:t>after</w:t>
      </w:r>
      <w:r w:rsidRPr="00DF1D1C">
        <w:t xml:space="preserve"> receipt of the request from the Department. The </w:t>
      </w:r>
      <w:r w:rsidR="0073202A">
        <w:t>MCO</w:t>
      </w:r>
      <w:r w:rsidR="00FA1C0C" w:rsidRPr="00DF1D1C">
        <w:t>’</w:t>
      </w:r>
      <w:r w:rsidRPr="00DF1D1C">
        <w:t xml:space="preserve">s </w:t>
      </w:r>
      <w:r w:rsidR="0089601C">
        <w:t xml:space="preserve">information request </w:t>
      </w:r>
      <w:r w:rsidRPr="00DF1D1C">
        <w:t xml:space="preserve">acknowledgment must include a planned date of </w:t>
      </w:r>
      <w:r w:rsidR="005F15CA">
        <w:t xml:space="preserve">information request </w:t>
      </w:r>
      <w:r w:rsidRPr="00DF1D1C">
        <w:t xml:space="preserve">resolution. A detailed resolution summary advising the Department of the </w:t>
      </w:r>
      <w:r w:rsidR="0073202A">
        <w:t>MCO</w:t>
      </w:r>
      <w:r w:rsidR="00FA1C0C" w:rsidRPr="00DF1D1C">
        <w:t>’</w:t>
      </w:r>
      <w:r w:rsidRPr="00DF1D1C">
        <w:t xml:space="preserve">s action and resolution </w:t>
      </w:r>
      <w:r w:rsidR="001F3B0D">
        <w:t>must</w:t>
      </w:r>
      <w:r w:rsidRPr="00DF1D1C">
        <w:t xml:space="preserve"> be rendered to the Department in the format requested. </w:t>
      </w:r>
    </w:p>
    <w:p w14:paraId="1D6601A7" w14:textId="77777777" w:rsidR="00D55474" w:rsidRDefault="00330ADF" w:rsidP="00257641">
      <w:r w:rsidRPr="00DF1D1C">
        <w:t>The Department</w:t>
      </w:r>
      <w:r w:rsidR="00FA1C0C" w:rsidRPr="00DF1D1C">
        <w:t>’</w:t>
      </w:r>
      <w:r w:rsidRPr="00DF1D1C">
        <w:t xml:space="preserve">s urgent </w:t>
      </w:r>
      <w:r w:rsidR="0089601C">
        <w:t xml:space="preserve">information </w:t>
      </w:r>
      <w:r w:rsidRPr="00DF1D1C">
        <w:t>requests such as issues involving legislat</w:t>
      </w:r>
      <w:r w:rsidR="0089601C">
        <w:t>ive inquiries</w:t>
      </w:r>
      <w:r w:rsidRPr="00DF1D1C">
        <w:t xml:space="preserve">, </w:t>
      </w:r>
      <w:r w:rsidR="0089601C">
        <w:t xml:space="preserve">inquiries from </w:t>
      </w:r>
      <w:r w:rsidRPr="00DF1D1C">
        <w:t xml:space="preserve">other governmental bodies, or </w:t>
      </w:r>
      <w:r w:rsidR="0089601C">
        <w:t>urgent inquiries</w:t>
      </w:r>
      <w:r w:rsidRPr="00DF1D1C">
        <w:t xml:space="preserve"> </w:t>
      </w:r>
      <w:r w:rsidR="005F15CA">
        <w:t xml:space="preserve">as </w:t>
      </w:r>
      <w:r w:rsidRPr="00DF1D1C">
        <w:t xml:space="preserve">determined by the Department, must be given priority by the </w:t>
      </w:r>
      <w:r w:rsidR="0073202A">
        <w:t>MCO</w:t>
      </w:r>
      <w:r w:rsidRPr="00DF1D1C">
        <w:t xml:space="preserve"> and comp</w:t>
      </w:r>
      <w:r w:rsidR="00144A78" w:rsidRPr="00DF1D1C">
        <w:t>let</w:t>
      </w:r>
      <w:r w:rsidRPr="00DF1D1C">
        <w:t xml:space="preserve">ed in accordance with the </w:t>
      </w:r>
      <w:r w:rsidR="0089601C">
        <w:t xml:space="preserve">information </w:t>
      </w:r>
      <w:r w:rsidRPr="00DF1D1C">
        <w:t xml:space="preserve">request </w:t>
      </w:r>
      <w:r w:rsidR="0089601C">
        <w:t>or</w:t>
      </w:r>
      <w:r w:rsidRPr="00DF1D1C">
        <w:t xml:space="preserve"> instructions from the Department. The Department </w:t>
      </w:r>
      <w:r w:rsidR="001F3B0D">
        <w:t>will</w:t>
      </w:r>
      <w:r w:rsidRPr="00DF1D1C">
        <w:t xml:space="preserve"> provide guidance with respect to any necessary deadlines or other requirements. A resolution summary, as described by the Department</w:t>
      </w:r>
      <w:r w:rsidR="00BC04D4" w:rsidRPr="00DF1D1C">
        <w:t>,</w:t>
      </w:r>
      <w:r w:rsidR="001F3B0D">
        <w:t xml:space="preserve"> must</w:t>
      </w:r>
      <w:r w:rsidRPr="00DF1D1C">
        <w:t xml:space="preserve"> be submitted to the Department. </w:t>
      </w:r>
    </w:p>
    <w:p w14:paraId="6D5A1E56" w14:textId="091DB1B1" w:rsidR="005209DC" w:rsidRPr="00DF1D1C" w:rsidRDefault="004432E8" w:rsidP="00257641">
      <w:r>
        <w:t xml:space="preserve">MCO’s </w:t>
      </w:r>
      <w:r w:rsidR="005F15CA">
        <w:t xml:space="preserve">failure </w:t>
      </w:r>
      <w:r w:rsidR="00002718">
        <w:t xml:space="preserve">to </w:t>
      </w:r>
      <w:r w:rsidR="005209DC">
        <w:t>communicate</w:t>
      </w:r>
      <w:r w:rsidR="0089601C">
        <w:t xml:space="preserve"> </w:t>
      </w:r>
      <w:r w:rsidR="00CD0152">
        <w:t xml:space="preserve">complete, </w:t>
      </w:r>
      <w:r w:rsidR="00002718">
        <w:t>meanin</w:t>
      </w:r>
      <w:r w:rsidR="0089601C">
        <w:t>gful</w:t>
      </w:r>
      <w:r w:rsidR="000A7FEB">
        <w:t>,</w:t>
      </w:r>
      <w:r w:rsidR="005F15CA">
        <w:t xml:space="preserve"> and timely responses to</w:t>
      </w:r>
      <w:r w:rsidR="007F74BC">
        <w:t xml:space="preserve"> </w:t>
      </w:r>
      <w:r w:rsidR="000E215D">
        <w:t>all</w:t>
      </w:r>
      <w:r w:rsidR="005F15CA">
        <w:t xml:space="preserve"> Department</w:t>
      </w:r>
      <w:r w:rsidR="00894A80">
        <w:t>’s</w:t>
      </w:r>
      <w:r w:rsidR="005F15CA">
        <w:t xml:space="preserve"> information requests may result in</w:t>
      </w:r>
      <w:r w:rsidR="00CD0152">
        <w:t xml:space="preserve"> </w:t>
      </w:r>
      <w:r w:rsidR="0087029C">
        <w:t>remedies</w:t>
      </w:r>
      <w:r w:rsidR="00653D75">
        <w:t xml:space="preserve"> as described in Article II, </w:t>
      </w:r>
      <w:r w:rsidR="006C31D9">
        <w:t xml:space="preserve">Section </w:t>
      </w:r>
      <w:r w:rsidR="00653D75">
        <w:t xml:space="preserve">6 and </w:t>
      </w:r>
      <w:r w:rsidR="00F33B38">
        <w:t>Appendix</w:t>
      </w:r>
      <w:r w:rsidR="00653D75">
        <w:t xml:space="preserve"> </w:t>
      </w:r>
      <w:r w:rsidR="005241E8">
        <w:t>F</w:t>
      </w:r>
      <w:r w:rsidR="0058677E">
        <w:t xml:space="preserve"> </w:t>
      </w:r>
      <w:r w:rsidR="00653D75">
        <w:t xml:space="preserve">of this </w:t>
      </w:r>
      <w:r w:rsidR="006C31D9">
        <w:t>c</w:t>
      </w:r>
      <w:r w:rsidR="00653D75">
        <w:t xml:space="preserve">ontract. </w:t>
      </w:r>
    </w:p>
    <w:p w14:paraId="354AABB3" w14:textId="302A2175" w:rsidR="00CD4383" w:rsidRPr="00DF1D1C" w:rsidRDefault="00CD4383" w:rsidP="00257641">
      <w:pPr>
        <w:pStyle w:val="Heading3"/>
      </w:pPr>
      <w:bookmarkStart w:id="39" w:name="_Toc8128969"/>
      <w:r w:rsidRPr="00DF1D1C">
        <w:t>5.</w:t>
      </w:r>
      <w:r w:rsidR="009F7ADC" w:rsidRPr="00DF1D1C">
        <w:t>1</w:t>
      </w:r>
      <w:r w:rsidR="00563B4F">
        <w:t>3</w:t>
      </w:r>
      <w:r w:rsidR="009F7ADC" w:rsidRPr="00DF1D1C">
        <w:t xml:space="preserve"> </w:t>
      </w:r>
      <w:r w:rsidRPr="00DF1D1C">
        <w:tab/>
        <w:t>Waivers</w:t>
      </w:r>
      <w:bookmarkEnd w:id="39"/>
    </w:p>
    <w:p w14:paraId="0CA9BF95" w14:textId="77777777" w:rsidR="00CD4383" w:rsidRPr="00DF1D1C" w:rsidRDefault="00CD4383" w:rsidP="00257641">
      <w:r w:rsidRPr="00DF1D1C">
        <w:t xml:space="preserve">No covenant, condition, duty or obligation, or undertaking contained in or made a part of this </w:t>
      </w:r>
      <w:r w:rsidR="009B19C2">
        <w:t xml:space="preserve">Contract </w:t>
      </w:r>
      <w:r w:rsidR="001F3B0D">
        <w:t>will</w:t>
      </w:r>
      <w:r w:rsidRPr="00DF1D1C">
        <w:t xml:space="preserve"> be waived except by the written agreement of the parties.</w:t>
      </w:r>
    </w:p>
    <w:p w14:paraId="67276A87" w14:textId="454BD4E3" w:rsidR="00CD4383" w:rsidRPr="00DF1D1C" w:rsidRDefault="00CD4383" w:rsidP="00257641">
      <w:pPr>
        <w:pStyle w:val="Heading3"/>
      </w:pPr>
      <w:bookmarkStart w:id="40" w:name="_Toc8128970"/>
      <w:r w:rsidRPr="00DF1D1C">
        <w:t>5.</w:t>
      </w:r>
      <w:r w:rsidR="009F7ADC" w:rsidRPr="00DF1D1C">
        <w:t>1</w:t>
      </w:r>
      <w:r w:rsidR="00563B4F">
        <w:t>4</w:t>
      </w:r>
      <w:r w:rsidR="009F7ADC" w:rsidRPr="00DF1D1C">
        <w:t xml:space="preserve"> </w:t>
      </w:r>
      <w:r w:rsidRPr="00DF1D1C">
        <w:tab/>
      </w:r>
      <w:r w:rsidRPr="00616903">
        <w:t xml:space="preserve">Compliance </w:t>
      </w:r>
      <w:r w:rsidR="00D27364" w:rsidRPr="00616903">
        <w:t>w</w:t>
      </w:r>
      <w:r w:rsidRPr="00616903">
        <w:t>ith Applicable Laws, Rules</w:t>
      </w:r>
      <w:r w:rsidR="006944D8" w:rsidRPr="00616903">
        <w:t>,</w:t>
      </w:r>
      <w:r w:rsidRPr="00616903">
        <w:t xml:space="preserve"> And Policies</w:t>
      </w:r>
      <w:bookmarkEnd w:id="40"/>
    </w:p>
    <w:p w14:paraId="6E2EAE1B" w14:textId="77777777" w:rsidR="0071482A" w:rsidRPr="00DF1D1C" w:rsidRDefault="00CD4383" w:rsidP="00257641">
      <w:r w:rsidRPr="00DF1D1C">
        <w:t xml:space="preserve">The </w:t>
      </w:r>
      <w:r w:rsidR="0073202A">
        <w:t>MCO</w:t>
      </w:r>
      <w:r w:rsidR="002A7E78">
        <w:t xml:space="preserve"> and its </w:t>
      </w:r>
      <w:r w:rsidR="00642406">
        <w:t>S</w:t>
      </w:r>
      <w:r w:rsidR="002A7E78">
        <w:t>ubcontractors</w:t>
      </w:r>
      <w:r w:rsidR="007D56E3" w:rsidRPr="00DF1D1C">
        <w:t>,</w:t>
      </w:r>
      <w:r w:rsidRPr="00DF1D1C">
        <w:t xml:space="preserve"> in performing this contract</w:t>
      </w:r>
      <w:r w:rsidR="007D56E3" w:rsidRPr="00DF1D1C">
        <w:t>,</w:t>
      </w:r>
      <w:r w:rsidRPr="00DF1D1C">
        <w:t xml:space="preserve"> </w:t>
      </w:r>
      <w:r w:rsidR="006C2572">
        <w:t>must</w:t>
      </w:r>
      <w:r w:rsidRPr="00DF1D1C">
        <w:t xml:space="preserve"> comply with all applicable </w:t>
      </w:r>
      <w:r w:rsidR="00C81335">
        <w:t>Federal and State law</w:t>
      </w:r>
      <w:r w:rsidRPr="00DF1D1C">
        <w:t>s, regulations</w:t>
      </w:r>
      <w:r w:rsidR="006944D8" w:rsidRPr="00DF1D1C">
        <w:t>,</w:t>
      </w:r>
      <w:r w:rsidRPr="00DF1D1C">
        <w:t xml:space="preserve"> and written policies, including those pertaining to licensing</w:t>
      </w:r>
      <w:r w:rsidR="009A0060" w:rsidRPr="00DF1D1C">
        <w:t xml:space="preserve"> and including those affecting the rights of enrollees</w:t>
      </w:r>
      <w:r w:rsidR="0078080B" w:rsidRPr="00DF1D1C">
        <w:t xml:space="preserve">. </w:t>
      </w:r>
      <w:r w:rsidR="0071482A" w:rsidRPr="00DF1D1C">
        <w:t xml:space="preserve">MCOs </w:t>
      </w:r>
      <w:r w:rsidR="001737C7">
        <w:t xml:space="preserve">must </w:t>
      </w:r>
      <w:r w:rsidR="0071482A" w:rsidRPr="00DF1D1C">
        <w:t xml:space="preserve">include provisions relating to compliance with such laws in </w:t>
      </w:r>
      <w:r w:rsidR="00642406">
        <w:t>S</w:t>
      </w:r>
      <w:r w:rsidR="0071482A" w:rsidRPr="00DF1D1C">
        <w:t>ubcontracts with providers</w:t>
      </w:r>
      <w:r w:rsidR="0078080B" w:rsidRPr="00DF1D1C">
        <w:t xml:space="preserve">. </w:t>
      </w:r>
      <w:r w:rsidR="0071482A" w:rsidRPr="00DF1D1C">
        <w:t xml:space="preserve">Assessment of compliance </w:t>
      </w:r>
      <w:r w:rsidR="001737C7">
        <w:t>must</w:t>
      </w:r>
      <w:r w:rsidR="0071482A" w:rsidRPr="00DF1D1C">
        <w:t xml:space="preserve"> be included in the MCOs</w:t>
      </w:r>
      <w:r w:rsidR="00FA1C0C" w:rsidRPr="00DF1D1C">
        <w:t>’</w:t>
      </w:r>
      <w:r w:rsidR="0071482A" w:rsidRPr="00DF1D1C">
        <w:t xml:space="preserve"> credentialing procedures to the extent feasible</w:t>
      </w:r>
      <w:r w:rsidR="0078080B" w:rsidRPr="00DF1D1C">
        <w:t xml:space="preserve">. </w:t>
      </w:r>
    </w:p>
    <w:p w14:paraId="0FDA45B0" w14:textId="77777777" w:rsidR="00CD4383" w:rsidRPr="00DF1D1C" w:rsidRDefault="00CD4383" w:rsidP="00257641">
      <w:pPr>
        <w:pStyle w:val="normal6"/>
      </w:pPr>
      <w:r w:rsidRPr="00DF1D1C">
        <w:lastRenderedPageBreak/>
        <w:t xml:space="preserve">Work performed under this </w:t>
      </w:r>
      <w:r w:rsidR="009B19C2">
        <w:t xml:space="preserve">Contract </w:t>
      </w:r>
      <w:r w:rsidRPr="00DF1D1C">
        <w:t xml:space="preserve">must conform to the federal requirements set forth in Title 45, CFR Part 74 and Title 42, Part 434. The </w:t>
      </w:r>
      <w:r w:rsidR="0073202A">
        <w:t>MCO</w:t>
      </w:r>
      <w:r w:rsidR="001F3B0D">
        <w:t xml:space="preserve"> </w:t>
      </w:r>
      <w:r w:rsidR="006C2572">
        <w:t xml:space="preserve">must </w:t>
      </w:r>
      <w:r w:rsidRPr="00DF1D1C">
        <w:t>also abide by all applicable Federal and State laws and regulations including but not limited to</w:t>
      </w:r>
      <w:r w:rsidR="004268C8" w:rsidRPr="00DF1D1C">
        <w:t>:</w:t>
      </w:r>
    </w:p>
    <w:p w14:paraId="1C5E0B35" w14:textId="55342BE8" w:rsidR="00E01A87" w:rsidRDefault="00E01A87" w:rsidP="00257641">
      <w:pPr>
        <w:pStyle w:val="bullet1"/>
        <w:rPr>
          <w:sz w:val="22"/>
        </w:rPr>
      </w:pPr>
      <w:r>
        <w:t>Chapter 9, Article 5 and Chapter 49, Articles 1, 2, and 4 of the West Virginia Code</w:t>
      </w:r>
      <w:r w:rsidRPr="00E01A87">
        <w:t xml:space="preserve"> </w:t>
      </w:r>
      <w:r w:rsidRPr="003C078A">
        <w:t>pertaining to</w:t>
      </w:r>
      <w:r>
        <w:t xml:space="preserve"> the state’s foster care program and</w:t>
      </w:r>
      <w:r w:rsidRPr="00E01A87">
        <w:t xml:space="preserve"> transitioning the foster care population to </w:t>
      </w:r>
      <w:r>
        <w:t>an MCO</w:t>
      </w:r>
      <w:r w:rsidR="003657D0">
        <w:t xml:space="preserve"> (2019 WV House Bill 2019)</w:t>
      </w:r>
      <w:r w:rsidRPr="00E01A87">
        <w:t>;</w:t>
      </w:r>
    </w:p>
    <w:p w14:paraId="43B0186D" w14:textId="77777777" w:rsidR="004268C8" w:rsidRPr="00DF1D1C" w:rsidRDefault="004268C8" w:rsidP="00257641">
      <w:pPr>
        <w:pStyle w:val="bullet1"/>
        <w:tabs>
          <w:tab w:val="clear" w:pos="1440"/>
        </w:tabs>
      </w:pPr>
      <w:r w:rsidRPr="00DF1D1C">
        <w:t>Section 504 of the Rehabilitation Act of 1973;</w:t>
      </w:r>
    </w:p>
    <w:p w14:paraId="55A5DCDF" w14:textId="77777777" w:rsidR="004268C8" w:rsidRPr="00DF1D1C" w:rsidRDefault="004268C8" w:rsidP="00257641">
      <w:pPr>
        <w:pStyle w:val="bullet1"/>
        <w:tabs>
          <w:tab w:val="clear" w:pos="1440"/>
        </w:tabs>
      </w:pPr>
      <w:r w:rsidRPr="00DF1D1C">
        <w:t>Title IX of the Education Amendments of 1972</w:t>
      </w:r>
      <w:r w:rsidR="006944D8" w:rsidRPr="00DF1D1C">
        <w:t>;</w:t>
      </w:r>
    </w:p>
    <w:p w14:paraId="57173798" w14:textId="77777777" w:rsidR="004268C8" w:rsidRPr="00DF1D1C" w:rsidRDefault="004268C8" w:rsidP="00257641">
      <w:pPr>
        <w:pStyle w:val="bullet1"/>
        <w:tabs>
          <w:tab w:val="clear" w:pos="1440"/>
        </w:tabs>
      </w:pPr>
      <w:r w:rsidRPr="00DF1D1C">
        <w:t>The Age Discrimination Act of 1975;</w:t>
      </w:r>
    </w:p>
    <w:p w14:paraId="30BCA13B" w14:textId="77777777" w:rsidR="004268C8" w:rsidRPr="00DF1D1C" w:rsidRDefault="004268C8" w:rsidP="00257641">
      <w:pPr>
        <w:pStyle w:val="bullet1"/>
        <w:tabs>
          <w:tab w:val="clear" w:pos="1440"/>
        </w:tabs>
      </w:pPr>
      <w:r w:rsidRPr="00DF1D1C">
        <w:t>Titles II and III of the Americans with Disabilities Act;</w:t>
      </w:r>
    </w:p>
    <w:p w14:paraId="4F821432" w14:textId="2DFDB7AF" w:rsidR="004268C8" w:rsidRPr="00DF1D1C" w:rsidRDefault="004268C8" w:rsidP="00257641">
      <w:pPr>
        <w:pStyle w:val="bullet1"/>
        <w:tabs>
          <w:tab w:val="clear" w:pos="1440"/>
        </w:tabs>
      </w:pPr>
      <w:r w:rsidRPr="00DF1D1C">
        <w:t>Section 542 of the Public Health Service Act</w:t>
      </w:r>
      <w:r w:rsidR="0071482A" w:rsidRPr="00DF1D1C">
        <w:t>,</w:t>
      </w:r>
      <w:r w:rsidRPr="00DF1D1C">
        <w:t xml:space="preserve"> pertaining to nondiscrimination against substance users; </w:t>
      </w:r>
    </w:p>
    <w:p w14:paraId="4C4DB21B" w14:textId="77777777" w:rsidR="004268C8" w:rsidRPr="00DF1D1C" w:rsidRDefault="004268C8" w:rsidP="00257641">
      <w:pPr>
        <w:pStyle w:val="bullet1"/>
        <w:tabs>
          <w:tab w:val="clear" w:pos="1440"/>
        </w:tabs>
      </w:pPr>
      <w:r w:rsidRPr="00DF1D1C">
        <w:t xml:space="preserve">Title 45, Part 46 of the Code of Federal Regulations, pertaining to research involving human subjects; </w:t>
      </w:r>
    </w:p>
    <w:p w14:paraId="5BB69DE2" w14:textId="06309ECE" w:rsidR="004268C8" w:rsidRPr="00DF1D1C" w:rsidRDefault="0071482A" w:rsidP="00257641">
      <w:pPr>
        <w:pStyle w:val="bullet1"/>
        <w:tabs>
          <w:tab w:val="clear" w:pos="1440"/>
        </w:tabs>
      </w:pPr>
      <w:r w:rsidRPr="00DF1D1C">
        <w:t>Title 45 Parts 160 and 164 Subparts A and E</w:t>
      </w:r>
      <w:r w:rsidR="0035169D">
        <w:t xml:space="preserve"> and Part 162</w:t>
      </w:r>
      <w:r w:rsidRPr="00DF1D1C">
        <w:t>, pertaining to privacy and confidentiality</w:t>
      </w:r>
      <w:r w:rsidR="00195D06" w:rsidRPr="00DF1D1C">
        <w:t>;</w:t>
      </w:r>
    </w:p>
    <w:p w14:paraId="07D3CC69" w14:textId="77777777" w:rsidR="0071482A" w:rsidRDefault="0071482A" w:rsidP="00257641">
      <w:pPr>
        <w:pStyle w:val="bullet1"/>
      </w:pPr>
      <w:r w:rsidRPr="00DF1D1C">
        <w:t xml:space="preserve">Title 42 </w:t>
      </w:r>
      <w:r w:rsidR="009A0060" w:rsidRPr="00DF1D1C">
        <w:t>Parts 434 and 438</w:t>
      </w:r>
      <w:r w:rsidR="00630CDB">
        <w:t xml:space="preserve"> </w:t>
      </w:r>
      <w:r w:rsidRPr="00DF1D1C">
        <w:t>of the Code of Federal Regulations</w:t>
      </w:r>
      <w:r w:rsidR="009A0060" w:rsidRPr="00DF1D1C">
        <w:t>,</w:t>
      </w:r>
      <w:r w:rsidRPr="00DF1D1C">
        <w:t xml:space="preserve"> pertaining to managed care;</w:t>
      </w:r>
    </w:p>
    <w:p w14:paraId="63557B6F" w14:textId="77777777" w:rsidR="003C078A" w:rsidRPr="00DF1D1C" w:rsidRDefault="003C078A" w:rsidP="00257641">
      <w:pPr>
        <w:pStyle w:val="bullet1"/>
        <w:tabs>
          <w:tab w:val="clear" w:pos="1440"/>
        </w:tabs>
      </w:pPr>
      <w:r w:rsidRPr="003C078A">
        <w:t>Title 42 Parts 438, 440, and 457 of the Code of Federal Regulations, pertaining to mental health parity and addiction equity</w:t>
      </w:r>
      <w:r>
        <w:t>;</w:t>
      </w:r>
    </w:p>
    <w:p w14:paraId="374B3755" w14:textId="77777777" w:rsidR="004268C8" w:rsidRPr="00DF1D1C" w:rsidRDefault="004268C8" w:rsidP="00257641">
      <w:pPr>
        <w:pStyle w:val="bullet1"/>
        <w:tabs>
          <w:tab w:val="clear" w:pos="1440"/>
        </w:tabs>
      </w:pPr>
      <w:r w:rsidRPr="00DF1D1C">
        <w:t>Copeland Anti-Kickback Act;</w:t>
      </w:r>
    </w:p>
    <w:p w14:paraId="5B9681E8" w14:textId="77777777" w:rsidR="004268C8" w:rsidRPr="00DF1D1C" w:rsidRDefault="004268C8" w:rsidP="00257641">
      <w:pPr>
        <w:pStyle w:val="bullet1"/>
        <w:tabs>
          <w:tab w:val="clear" w:pos="1440"/>
        </w:tabs>
      </w:pPr>
      <w:r w:rsidRPr="00DF1D1C">
        <w:t>Davis-Bacon Act;</w:t>
      </w:r>
    </w:p>
    <w:p w14:paraId="38028CCE" w14:textId="77777777" w:rsidR="004268C8" w:rsidRPr="00DF1D1C" w:rsidRDefault="009B19C2" w:rsidP="00257641">
      <w:pPr>
        <w:pStyle w:val="bullet1"/>
        <w:tabs>
          <w:tab w:val="clear" w:pos="1440"/>
        </w:tabs>
      </w:pPr>
      <w:r>
        <w:t xml:space="preserve">Contract </w:t>
      </w:r>
      <w:r w:rsidR="004268C8" w:rsidRPr="00DF1D1C">
        <w:t>Work Hours and Safety Standards;</w:t>
      </w:r>
    </w:p>
    <w:p w14:paraId="54E08769" w14:textId="77777777" w:rsidR="004268C8" w:rsidRPr="00DF1D1C" w:rsidRDefault="004268C8" w:rsidP="00257641">
      <w:pPr>
        <w:pStyle w:val="bullet1"/>
        <w:tabs>
          <w:tab w:val="clear" w:pos="1440"/>
        </w:tabs>
      </w:pPr>
      <w:r w:rsidRPr="00DF1D1C">
        <w:t xml:space="preserve">Right to Inventions Made Under a </w:t>
      </w:r>
      <w:r w:rsidR="009B19C2">
        <w:t xml:space="preserve">Contract </w:t>
      </w:r>
      <w:r w:rsidRPr="00DF1D1C">
        <w:t>or Agreement;</w:t>
      </w:r>
    </w:p>
    <w:p w14:paraId="44B7B969" w14:textId="77777777" w:rsidR="004268C8" w:rsidRPr="00DF1D1C" w:rsidRDefault="004268C8" w:rsidP="00257641">
      <w:pPr>
        <w:pStyle w:val="bullet1"/>
        <w:tabs>
          <w:tab w:val="clear" w:pos="1440"/>
        </w:tabs>
      </w:pPr>
      <w:r w:rsidRPr="00DF1D1C">
        <w:t>Clean Air Act and Federal Water Pollution Control Act;</w:t>
      </w:r>
    </w:p>
    <w:p w14:paraId="5750CB0F" w14:textId="77777777" w:rsidR="004268C8" w:rsidRPr="00DF1D1C" w:rsidRDefault="004268C8" w:rsidP="00257641">
      <w:pPr>
        <w:pStyle w:val="bullet1"/>
        <w:tabs>
          <w:tab w:val="clear" w:pos="1440"/>
        </w:tabs>
      </w:pPr>
      <w:r w:rsidRPr="00DF1D1C">
        <w:t>Byrd Anti-Lobbying Amendment;</w:t>
      </w:r>
    </w:p>
    <w:p w14:paraId="518AD717" w14:textId="77777777" w:rsidR="00DF1D1C" w:rsidRPr="00DF1D1C" w:rsidRDefault="004268C8" w:rsidP="00257641">
      <w:pPr>
        <w:pStyle w:val="bullet1"/>
        <w:tabs>
          <w:tab w:val="clear" w:pos="1440"/>
        </w:tabs>
      </w:pPr>
      <w:r w:rsidRPr="00DF1D1C">
        <w:t>Debarment and Suspension;</w:t>
      </w:r>
      <w:r w:rsidR="006944D8" w:rsidRPr="00DF1D1C">
        <w:t xml:space="preserve"> </w:t>
      </w:r>
    </w:p>
    <w:p w14:paraId="566A629F" w14:textId="77777777" w:rsidR="00630CDB" w:rsidRDefault="00630CDB" w:rsidP="00257641">
      <w:pPr>
        <w:pStyle w:val="bullet1"/>
        <w:tabs>
          <w:tab w:val="clear" w:pos="1440"/>
        </w:tabs>
      </w:pPr>
      <w:r>
        <w:t>American Disabilities Act of 1990 as amended;</w:t>
      </w:r>
    </w:p>
    <w:p w14:paraId="4A5662B9" w14:textId="77777777" w:rsidR="00BF1202" w:rsidRDefault="00BF1202" w:rsidP="00257641">
      <w:pPr>
        <w:pStyle w:val="bullet1"/>
        <w:tabs>
          <w:tab w:val="clear" w:pos="1440"/>
        </w:tabs>
      </w:pPr>
      <w:r w:rsidRPr="00BF1202">
        <w:t>Assisted Suicide Funding Restriction Act of 1997</w:t>
      </w:r>
      <w:r>
        <w:t>;</w:t>
      </w:r>
    </w:p>
    <w:p w14:paraId="6F1641CC" w14:textId="77777777" w:rsidR="00AE2EDD" w:rsidRDefault="00AE2EDD" w:rsidP="00257641">
      <w:pPr>
        <w:pStyle w:val="bullet1"/>
        <w:tabs>
          <w:tab w:val="clear" w:pos="1440"/>
        </w:tabs>
      </w:pPr>
      <w:r>
        <w:t>Patient Protection and Affordable Care Act (PPACA)</w:t>
      </w:r>
      <w:r w:rsidR="00657EAA">
        <w:t xml:space="preserve">; </w:t>
      </w:r>
    </w:p>
    <w:p w14:paraId="43E73335" w14:textId="77777777" w:rsidR="003C078A" w:rsidRDefault="003C078A" w:rsidP="00257641">
      <w:pPr>
        <w:pStyle w:val="bullet1"/>
        <w:tabs>
          <w:tab w:val="clear" w:pos="1440"/>
        </w:tabs>
      </w:pPr>
      <w:r w:rsidRPr="003C078A">
        <w:t>Mental Health Parity and Addiction Equity Act of 2008;</w:t>
      </w:r>
    </w:p>
    <w:p w14:paraId="05A5F4F3" w14:textId="5260B4A1" w:rsidR="00184C63" w:rsidRPr="00C77A0C" w:rsidRDefault="00BF1752" w:rsidP="00257641">
      <w:pPr>
        <w:pStyle w:val="bullet1"/>
        <w:tabs>
          <w:tab w:val="clear" w:pos="1440"/>
        </w:tabs>
      </w:pPr>
      <w:r w:rsidRPr="006E61D4">
        <w:t>Family First Prevention Services Act (FFPSA) of 2018;</w:t>
      </w:r>
    </w:p>
    <w:p w14:paraId="10B328E8" w14:textId="77777777" w:rsidR="0035169D" w:rsidRDefault="00AE2EDD" w:rsidP="00257641">
      <w:pPr>
        <w:pStyle w:val="bullet1"/>
        <w:tabs>
          <w:tab w:val="clear" w:pos="1440"/>
        </w:tabs>
      </w:pPr>
      <w:r>
        <w:t>Health Care and Education Reconciliation Act of 2010 (HCERA)</w:t>
      </w:r>
      <w:r w:rsidR="00657EAA">
        <w:t xml:space="preserve">; </w:t>
      </w:r>
    </w:p>
    <w:p w14:paraId="17A45B16" w14:textId="7B5C0348" w:rsidR="00AE2EDD" w:rsidRDefault="0035169D" w:rsidP="00257641">
      <w:pPr>
        <w:pStyle w:val="bullet1"/>
        <w:tabs>
          <w:tab w:val="clear" w:pos="1440"/>
        </w:tabs>
      </w:pPr>
      <w:r w:rsidRPr="0035169D">
        <w:t>Federal Information Security Management Act (FISMA);</w:t>
      </w:r>
      <w:r>
        <w:t xml:space="preserve"> </w:t>
      </w:r>
      <w:r w:rsidR="00657EAA">
        <w:t>and</w:t>
      </w:r>
    </w:p>
    <w:p w14:paraId="174724E0" w14:textId="77777777" w:rsidR="004268C8" w:rsidRPr="00DF1D1C" w:rsidRDefault="00911E70" w:rsidP="00257641">
      <w:pPr>
        <w:pStyle w:val="bullet1last"/>
      </w:pPr>
      <w:r w:rsidRPr="00DF1D1C">
        <w:lastRenderedPageBreak/>
        <w:t>Any</w:t>
      </w:r>
      <w:r w:rsidR="004268C8" w:rsidRPr="00DF1D1C">
        <w:t xml:space="preserve"> other pertinent Federal, State or local laws, regulations, or policies in the performance of this contract.</w:t>
      </w:r>
    </w:p>
    <w:p w14:paraId="1F5E5C99" w14:textId="77777777" w:rsidR="00BE2776" w:rsidRPr="00DF1D1C" w:rsidRDefault="004E4E44" w:rsidP="00257641">
      <w:r w:rsidRPr="00DF1D1C">
        <w:t xml:space="preserve">The </w:t>
      </w:r>
      <w:r w:rsidR="0073202A">
        <w:t>MCO</w:t>
      </w:r>
      <w:r w:rsidRPr="00DF1D1C">
        <w:t xml:space="preserve"> </w:t>
      </w:r>
      <w:r w:rsidR="006C2572">
        <w:t xml:space="preserve">must </w:t>
      </w:r>
      <w:r w:rsidRPr="00DF1D1C">
        <w:t xml:space="preserve">comply with all applicable </w:t>
      </w:r>
      <w:r w:rsidR="00C81335">
        <w:t>Federal and State law</w:t>
      </w:r>
      <w:r w:rsidRPr="00DF1D1C">
        <w:t xml:space="preserve">s, regulations, policies, or </w:t>
      </w:r>
      <w:r w:rsidR="00BE2776" w:rsidRPr="00DF1D1C">
        <w:t xml:space="preserve">reporting </w:t>
      </w:r>
      <w:r w:rsidRPr="00DF1D1C">
        <w:t>requirements ne</w:t>
      </w:r>
      <w:r w:rsidR="00BE2776" w:rsidRPr="00DF1D1C">
        <w:t>eded</w:t>
      </w:r>
      <w:r w:rsidRPr="00DF1D1C">
        <w:t xml:space="preserve"> to comply with the </w:t>
      </w:r>
      <w:r w:rsidR="00BE2776" w:rsidRPr="00DF1D1C">
        <w:t xml:space="preserve">policies and </w:t>
      </w:r>
      <w:r w:rsidRPr="00DF1D1C">
        <w:t>regulations set forth in the Patient Protection and Affordable Care Act (PPACA), P.L. 111-148, enacted on Mar</w:t>
      </w:r>
      <w:r w:rsidR="00BE2776" w:rsidRPr="00DF1D1C">
        <w:t>ch 23, 2010, and the Health Care and Education Reconciliation Act of 2010 (HCERA), P.L. 111-152, enacted on March 30, 2010</w:t>
      </w:r>
      <w:r w:rsidR="0078080B" w:rsidRPr="00DF1D1C">
        <w:t xml:space="preserve">. </w:t>
      </w:r>
    </w:p>
    <w:p w14:paraId="02132E68" w14:textId="77777777" w:rsidR="00195D06" w:rsidRPr="00DF1D1C" w:rsidRDefault="00195D06" w:rsidP="00257641">
      <w:pPr>
        <w:pStyle w:val="normal6"/>
      </w:pPr>
      <w:r w:rsidRPr="00DF1D1C">
        <w:t xml:space="preserve">The </w:t>
      </w:r>
      <w:r w:rsidR="0073202A">
        <w:t>MCO</w:t>
      </w:r>
      <w:r w:rsidRPr="00DF1D1C">
        <w:t xml:space="preserve"> </w:t>
      </w:r>
      <w:r w:rsidR="006C2572">
        <w:t>must</w:t>
      </w:r>
      <w:r w:rsidRPr="00DF1D1C">
        <w:t xml:space="preserve"> also comply with requirements and regulations pertaining to:</w:t>
      </w:r>
    </w:p>
    <w:p w14:paraId="34E7F092" w14:textId="77777777" w:rsidR="00CD4383" w:rsidRPr="00737F8F" w:rsidRDefault="00195D06" w:rsidP="00257641">
      <w:pPr>
        <w:pStyle w:val="bullet1"/>
      </w:pPr>
      <w:r w:rsidRPr="00DF1D1C">
        <w:t xml:space="preserve">Copyrights, data, and reporting and patent rights under any </w:t>
      </w:r>
      <w:r w:rsidR="009B19C2">
        <w:t xml:space="preserve">Contract </w:t>
      </w:r>
      <w:r w:rsidRPr="00DF1D1C">
        <w:t xml:space="preserve">involving research, </w:t>
      </w:r>
      <w:r w:rsidRPr="00737F8F">
        <w:t>developmental, experimental</w:t>
      </w:r>
      <w:r w:rsidR="006944D8" w:rsidRPr="00737F8F">
        <w:t>,</w:t>
      </w:r>
      <w:r w:rsidRPr="00737F8F">
        <w:t xml:space="preserve"> or demonstration work with respect to any discovery or invention which arises or is develop</w:t>
      </w:r>
      <w:r w:rsidR="006944D8" w:rsidRPr="00737F8F">
        <w:t>ed</w:t>
      </w:r>
      <w:r w:rsidRPr="00737F8F">
        <w:t xml:space="preserve"> in the course of this contract;</w:t>
      </w:r>
    </w:p>
    <w:p w14:paraId="4104F200" w14:textId="77777777" w:rsidR="00195D06" w:rsidRPr="00737F8F" w:rsidRDefault="00195D06" w:rsidP="00257641">
      <w:pPr>
        <w:pStyle w:val="bullet1"/>
      </w:pPr>
      <w:r w:rsidRPr="00737F8F">
        <w:t>Applicable standards, orders or requirements under Section 306 of the Clean Air Act (42 USC 1857(h)), section 508 of the Clean Water Act (33 USC 1368), Executive Order 11738, and Environmental Protection Agency regulations (40 CFR part 15); and</w:t>
      </w:r>
    </w:p>
    <w:p w14:paraId="75C4B620" w14:textId="77777777" w:rsidR="00637D41" w:rsidRPr="00DF1D1C" w:rsidRDefault="00195D06" w:rsidP="00257641">
      <w:pPr>
        <w:pStyle w:val="bullet1last"/>
      </w:pPr>
      <w:r w:rsidRPr="00737F8F">
        <w:t>Energy efficiency which are contained in the State energy conservation plan issued in compliance</w:t>
      </w:r>
      <w:r w:rsidRPr="00DF1D1C">
        <w:t xml:space="preserve"> with the Energy Policy and Conservation Act (P.L. 94-165).</w:t>
      </w:r>
    </w:p>
    <w:p w14:paraId="168BD872" w14:textId="77777777" w:rsidR="00CD4383" w:rsidRPr="00DF1D1C" w:rsidRDefault="00CD4383" w:rsidP="00096A5D">
      <w:pPr>
        <w:pStyle w:val="BodyText"/>
      </w:pPr>
      <w:r w:rsidRPr="00DF1D1C">
        <w:t xml:space="preserve">The </w:t>
      </w:r>
      <w:r w:rsidR="0073202A">
        <w:t>MCO</w:t>
      </w:r>
      <w:r w:rsidRPr="00DF1D1C">
        <w:t xml:space="preserve"> </w:t>
      </w:r>
      <w:r w:rsidR="006C2572">
        <w:t>must</w:t>
      </w:r>
      <w:r w:rsidRPr="00DF1D1C">
        <w:t xml:space="preserve"> procure all necessary permits and licenses and abide by all applicable laws, regulations, and ordinances of the United States, State of West Virginia, and political subdivision in which work under the </w:t>
      </w:r>
      <w:r w:rsidR="009B19C2">
        <w:t xml:space="preserve">Contract </w:t>
      </w:r>
      <w:r w:rsidRPr="00DF1D1C">
        <w:t>is performed.</w:t>
      </w:r>
    </w:p>
    <w:p w14:paraId="0DFB59C5" w14:textId="77777777" w:rsidR="00CD4383" w:rsidRPr="00DF1D1C" w:rsidRDefault="00CD4383" w:rsidP="00257641">
      <w:r w:rsidRPr="00DF1D1C">
        <w:t xml:space="preserve">The </w:t>
      </w:r>
      <w:r w:rsidR="0073202A">
        <w:t>MCO</w:t>
      </w:r>
      <w:r w:rsidRPr="00DF1D1C">
        <w:t xml:space="preserve"> </w:t>
      </w:r>
      <w:r w:rsidR="006C2572">
        <w:t xml:space="preserve">must </w:t>
      </w:r>
      <w:r w:rsidRPr="00DF1D1C">
        <w:t xml:space="preserve">retain at all times during the period of this </w:t>
      </w:r>
      <w:r w:rsidR="009B19C2">
        <w:t xml:space="preserve">Contract </w:t>
      </w:r>
      <w:r w:rsidRPr="00DF1D1C">
        <w:t>a valid Certificate of Authority issued by the State Commissioner of Insurance.</w:t>
      </w:r>
    </w:p>
    <w:p w14:paraId="7EAF918F" w14:textId="23A51EFA" w:rsidR="00CD4383" w:rsidRPr="00DF1D1C" w:rsidRDefault="00CD4383" w:rsidP="00257641">
      <w:r w:rsidRPr="00DF1D1C">
        <w:t xml:space="preserve">The </w:t>
      </w:r>
      <w:r w:rsidR="0073202A">
        <w:t>MCO</w:t>
      </w:r>
      <w:r w:rsidRPr="00DF1D1C">
        <w:t xml:space="preserve"> </w:t>
      </w:r>
      <w:r w:rsidR="006C2572">
        <w:t xml:space="preserve">must </w:t>
      </w:r>
      <w:r w:rsidRPr="00DF1D1C">
        <w:t xml:space="preserve">pay any sales tax, use and personal property taxes arising out of this </w:t>
      </w:r>
      <w:r w:rsidR="009810FA">
        <w:t>C</w:t>
      </w:r>
      <w:r w:rsidRPr="00DF1D1C">
        <w:t>ontract and the transactions contemplated thereby. Any other taxes levied upon this contract, the transaction, or the equipment or services</w:t>
      </w:r>
      <w:r w:rsidR="001F3B0D">
        <w:t xml:space="preserve"> delivered pursuant hereto </w:t>
      </w:r>
      <w:r w:rsidR="00564C16">
        <w:t>will</w:t>
      </w:r>
      <w:r w:rsidR="00564C16" w:rsidRPr="00DF1D1C">
        <w:t xml:space="preserve"> </w:t>
      </w:r>
      <w:r w:rsidRPr="00DF1D1C">
        <w:t>be born</w:t>
      </w:r>
      <w:r w:rsidR="00B52C13">
        <w:t>e</w:t>
      </w:r>
      <w:r w:rsidRPr="00DF1D1C">
        <w:t xml:space="preserve"> by the </w:t>
      </w:r>
      <w:r w:rsidR="0073202A">
        <w:t>MCO</w:t>
      </w:r>
      <w:r w:rsidRPr="00DF1D1C">
        <w:t>.</w:t>
      </w:r>
    </w:p>
    <w:p w14:paraId="30702797" w14:textId="77777777" w:rsidR="002115A8" w:rsidRDefault="00CD4383" w:rsidP="00257641">
      <w:r w:rsidRPr="00DF1D1C">
        <w:t xml:space="preserve">The </w:t>
      </w:r>
      <w:r w:rsidR="0073202A">
        <w:t>MCO</w:t>
      </w:r>
      <w:r w:rsidRPr="00DF1D1C">
        <w:t xml:space="preserve"> </w:t>
      </w:r>
      <w:r w:rsidR="006C2572">
        <w:t>must</w:t>
      </w:r>
      <w:r w:rsidRPr="00DF1D1C">
        <w:t xml:space="preserve"> adhere to the provisions of the Clinical Laboratory Improvement Amendments of 1988 (CLIA) Public Law 100</w:t>
      </w:r>
      <w:r w:rsidRPr="00DF1D1C">
        <w:noBreakHyphen/>
        <w:t>578.</w:t>
      </w:r>
    </w:p>
    <w:p w14:paraId="59ABA372" w14:textId="56889220" w:rsidR="0071482A" w:rsidRPr="00DF1D1C" w:rsidRDefault="0071482A" w:rsidP="00257641">
      <w:pPr>
        <w:pStyle w:val="Heading3"/>
        <w:ind w:left="1170" w:hanging="630"/>
      </w:pPr>
      <w:bookmarkStart w:id="41" w:name="_Toc8128971"/>
      <w:r w:rsidRPr="00DF1D1C">
        <w:t>5.</w:t>
      </w:r>
      <w:r w:rsidR="009F7ADC" w:rsidRPr="00DF1D1C">
        <w:t>1</w:t>
      </w:r>
      <w:r w:rsidR="00452936">
        <w:t>5</w:t>
      </w:r>
      <w:r w:rsidRPr="00DF1D1C">
        <w:tab/>
        <w:t>Non-discrimination</w:t>
      </w:r>
      <w:bookmarkEnd w:id="41"/>
    </w:p>
    <w:p w14:paraId="28AA3338" w14:textId="77777777" w:rsidR="0071482A" w:rsidRDefault="0071482A" w:rsidP="00257641">
      <w:r w:rsidRPr="00DF1D1C">
        <w:t xml:space="preserve">The MCO </w:t>
      </w:r>
      <w:r w:rsidR="006C2572">
        <w:t>must</w:t>
      </w:r>
      <w:r w:rsidRPr="00DF1D1C">
        <w:t xml:space="preserve"> comply with all Federal</w:t>
      </w:r>
      <w:r w:rsidR="006944D8" w:rsidRPr="00DF1D1C">
        <w:t xml:space="preserve"> and State laws relating to non-</w:t>
      </w:r>
      <w:r w:rsidR="00442958" w:rsidRPr="00DF1D1C">
        <w:t>discrimination</w:t>
      </w:r>
      <w:r w:rsidR="00295B27">
        <w:t>,</w:t>
      </w:r>
      <w:r w:rsidR="00442958" w:rsidRPr="00DF1D1C">
        <w:t xml:space="preserve"> </w:t>
      </w:r>
      <w:r w:rsidR="00295B27">
        <w:t>i</w:t>
      </w:r>
      <w:r w:rsidR="00442958" w:rsidRPr="00DF1D1C">
        <w:t>ncluding</w:t>
      </w:r>
      <w:r w:rsidR="00442958">
        <w:t xml:space="preserve"> but not limited to : </w:t>
      </w:r>
      <w:r w:rsidR="00442958" w:rsidRPr="00442958">
        <w:t>Title VI of the Civil Rights Act of 1964, (42 U.S.C. §2000d et seq.) and as applicable 45 CFR Part 80 or 7 CFR Part 15; Section 504 of the Rehabilitation Act of 1973 (29 U.S.C. §794); Americans with Disabilities Act of 1990 (42 U.S.C. §12101 et seq.); Age Discrimination Act of 1975 (42 U.S.C. §§6101-6107); Title IX of the Education Amendments of 1972 (20 U.S.C. §§1681-1688); Food Stamp Act of 1977 (7 U.S.C. §200 et seq.); Executive Order 11246 and its implementing regulations at 41 CFR Part 60; Executive Order 13279, and its implementing regulations at 45 CFR Part 87 or 7 CFR Part 16; The Immigration Reform and Control Act of 1986 (8 U.S.C. §1101 et seq.)</w:t>
      </w:r>
      <w:r w:rsidR="00295B27">
        <w:t>.</w:t>
      </w:r>
      <w:r w:rsidR="00CA2344">
        <w:t xml:space="preserve"> </w:t>
      </w:r>
      <w:r w:rsidRPr="00DF1D1C">
        <w:t xml:space="preserve">The </w:t>
      </w:r>
      <w:r w:rsidR="0073202A">
        <w:t>MCO</w:t>
      </w:r>
      <w:r w:rsidR="006C2572">
        <w:t xml:space="preserve"> may</w:t>
      </w:r>
      <w:r w:rsidRPr="00DF1D1C">
        <w:t xml:space="preserve"> not discriminate in enrollment, delivery of health care, or any other activity against enrollees on the basis of health status, </w:t>
      </w:r>
      <w:r w:rsidRPr="00DF1D1C">
        <w:lastRenderedPageBreak/>
        <w:t>conditions of or type of enrollment in the geographic areas within the managed care initiative, or need for health care services</w:t>
      </w:r>
      <w:r w:rsidR="0078080B" w:rsidRPr="00DF1D1C">
        <w:t xml:space="preserve">. </w:t>
      </w:r>
    </w:p>
    <w:p w14:paraId="7D838909" w14:textId="5BC0549B" w:rsidR="006F7270" w:rsidRPr="00DF1D1C" w:rsidRDefault="006F7270" w:rsidP="00257641">
      <w:r>
        <w:t xml:space="preserve">The Department will deny payments for any new enrollees for whom payment is denied by CMS due </w:t>
      </w:r>
      <w:r w:rsidR="009E5099">
        <w:t>to</w:t>
      </w:r>
      <w:r>
        <w:t xml:space="preserve"> the MCO’s discrimination of enrollees based on their health status or services sought.</w:t>
      </w:r>
    </w:p>
    <w:p w14:paraId="247BA6EA" w14:textId="582DACFC" w:rsidR="00CD4383" w:rsidRPr="00DF1D1C" w:rsidRDefault="00CD4383" w:rsidP="00257641">
      <w:pPr>
        <w:pStyle w:val="Heading3"/>
      </w:pPr>
      <w:bookmarkStart w:id="42" w:name="_Toc8128972"/>
      <w:r w:rsidRPr="00DF1D1C">
        <w:t>5.</w:t>
      </w:r>
      <w:r w:rsidR="009F7ADC" w:rsidRPr="00DF1D1C">
        <w:t>1</w:t>
      </w:r>
      <w:r w:rsidR="00452936">
        <w:t>6</w:t>
      </w:r>
      <w:r w:rsidR="009F7ADC" w:rsidRPr="00DF1D1C">
        <w:t xml:space="preserve"> </w:t>
      </w:r>
      <w:r w:rsidRPr="00DF1D1C">
        <w:tab/>
        <w:t xml:space="preserve">Federal Requirements </w:t>
      </w:r>
      <w:r w:rsidR="006944D8" w:rsidRPr="00DF1D1C">
        <w:t>a</w:t>
      </w:r>
      <w:r w:rsidRPr="00DF1D1C">
        <w:t>nd Assurances</w:t>
      </w:r>
      <w:bookmarkEnd w:id="42"/>
    </w:p>
    <w:p w14:paraId="36BF21FF" w14:textId="10A215D8" w:rsidR="00CD4383" w:rsidRPr="00DF1D1C" w:rsidRDefault="00CD4383" w:rsidP="00257641">
      <w:r w:rsidRPr="00DF1D1C">
        <w:t xml:space="preserve">The </w:t>
      </w:r>
      <w:r w:rsidR="0073202A">
        <w:t>MCO</w:t>
      </w:r>
      <w:r w:rsidRPr="00DF1D1C">
        <w:t xml:space="preserve"> </w:t>
      </w:r>
      <w:r w:rsidR="006C2572">
        <w:t xml:space="preserve">must </w:t>
      </w:r>
      <w:r w:rsidRPr="00DF1D1C">
        <w:t xml:space="preserve">comply with those federal requirements and assurances for </w:t>
      </w:r>
      <w:r w:rsidR="00DB67CB">
        <w:t>enrollee</w:t>
      </w:r>
      <w:r w:rsidR="00DB67CB" w:rsidRPr="00DF1D1C">
        <w:t xml:space="preserve">s </w:t>
      </w:r>
      <w:r w:rsidRPr="00DF1D1C">
        <w:t xml:space="preserve">of federal grants provided in OMB Standard Form 424B which are applicable to the </w:t>
      </w:r>
      <w:r w:rsidR="0073202A">
        <w:t>MCO</w:t>
      </w:r>
      <w:r w:rsidRPr="00DF1D1C">
        <w:t xml:space="preserve">. The </w:t>
      </w:r>
      <w:r w:rsidR="0073202A">
        <w:t>MCO</w:t>
      </w:r>
      <w:r w:rsidRPr="00DF1D1C">
        <w:t xml:space="preserve"> is responsible for determining which requirements and assurances are applicable to the </w:t>
      </w:r>
      <w:r w:rsidR="0073202A">
        <w:t>MCO</w:t>
      </w:r>
      <w:r w:rsidRPr="00DF1D1C">
        <w:t>. Copies of the form are available from the Department.</w:t>
      </w:r>
    </w:p>
    <w:p w14:paraId="5D87F5F2" w14:textId="77777777" w:rsidR="00595170" w:rsidRDefault="00CD4383" w:rsidP="00257641">
      <w:r w:rsidRPr="00DF1D1C">
        <w:t xml:space="preserve">The </w:t>
      </w:r>
      <w:r w:rsidR="0073202A">
        <w:t>MCO</w:t>
      </w:r>
      <w:r w:rsidRPr="00DF1D1C">
        <w:t xml:space="preserve"> </w:t>
      </w:r>
      <w:r w:rsidR="006C2572">
        <w:t>must</w:t>
      </w:r>
      <w:r w:rsidRPr="00DF1D1C">
        <w:t xml:space="preserve"> provide for the compliance of any </w:t>
      </w:r>
      <w:r w:rsidR="00642406">
        <w:t>S</w:t>
      </w:r>
      <w:r w:rsidRPr="00DF1D1C">
        <w:t>ubcontractors with applicable federal requirements and assurances.</w:t>
      </w:r>
    </w:p>
    <w:p w14:paraId="43F33B9A" w14:textId="54AD35E4" w:rsidR="00CD4383" w:rsidRPr="00DF1D1C" w:rsidRDefault="009A0060" w:rsidP="00257641">
      <w:pPr>
        <w:pStyle w:val="StyleHeading3After0pt"/>
      </w:pPr>
      <w:r w:rsidRPr="00DF1D1C">
        <w:t>5.</w:t>
      </w:r>
      <w:r w:rsidR="009F7ADC" w:rsidRPr="00DF1D1C">
        <w:t>1</w:t>
      </w:r>
      <w:r w:rsidR="00452936">
        <w:t>7</w:t>
      </w:r>
      <w:r w:rsidRPr="00DF1D1C">
        <w:tab/>
      </w:r>
      <w:r w:rsidR="00337800">
        <w:t xml:space="preserve"> </w:t>
      </w:r>
      <w:r w:rsidR="00CD4383" w:rsidRPr="00DF1D1C">
        <w:t>Lobbying</w:t>
      </w:r>
    </w:p>
    <w:p w14:paraId="654251FE" w14:textId="77777777" w:rsidR="00CD4383" w:rsidRPr="00DF1D1C" w:rsidRDefault="00CD4383" w:rsidP="00257641">
      <w:r w:rsidRPr="00DF1D1C">
        <w:t xml:space="preserve">The </w:t>
      </w:r>
      <w:r w:rsidR="0073202A">
        <w:t>MCO</w:t>
      </w:r>
      <w:r w:rsidRPr="00DF1D1C">
        <w:t xml:space="preserve">, as provided by 31 U.S.C. 1352 and 45 CFR 93.100 et seq., </w:t>
      </w:r>
      <w:r w:rsidR="001737C7">
        <w:t xml:space="preserve">will </w:t>
      </w:r>
      <w:r w:rsidRPr="00DF1D1C">
        <w:t>not pay federally appropriated funds to any person for influencing or attempting to influence an officer or employee of any agency, a member of the U.S. Congress, an officer or employee of the U.S. Congress</w:t>
      </w:r>
      <w:r w:rsidR="006944D8" w:rsidRPr="00DF1D1C">
        <w:t>,</w:t>
      </w:r>
      <w:r w:rsidRPr="00DF1D1C">
        <w:t xml:space="preserve"> or an employee of a member of the U.S. Congress in connection with the awarding of any federal contract, the making of any cooperative agreement</w:t>
      </w:r>
      <w:r w:rsidR="006944D8" w:rsidRPr="00DF1D1C">
        <w:t>,</w:t>
      </w:r>
      <w:r w:rsidRPr="00DF1D1C">
        <w:t xml:space="preserve"> or the extension, continuation, renewal, amendment</w:t>
      </w:r>
      <w:r w:rsidR="006944D8" w:rsidRPr="00DF1D1C">
        <w:t>,</w:t>
      </w:r>
      <w:r w:rsidRPr="00DF1D1C">
        <w:t xml:space="preserve"> or modification of any federal contract, grant, loan</w:t>
      </w:r>
      <w:r w:rsidR="006944D8" w:rsidRPr="00DF1D1C">
        <w:t>,</w:t>
      </w:r>
      <w:r w:rsidRPr="00DF1D1C">
        <w:t xml:space="preserve"> or cooperative agreement.</w:t>
      </w:r>
    </w:p>
    <w:p w14:paraId="3C506F51" w14:textId="797C8EF0" w:rsidR="00CD4383" w:rsidRPr="00DF1D1C" w:rsidRDefault="00CD4383" w:rsidP="00257641">
      <w:r w:rsidRPr="00DF1D1C">
        <w:t xml:space="preserve">The </w:t>
      </w:r>
      <w:r w:rsidR="0073202A">
        <w:t>MCO</w:t>
      </w:r>
      <w:r w:rsidRPr="00DF1D1C">
        <w:t xml:space="preserve"> </w:t>
      </w:r>
      <w:r w:rsidR="001737C7">
        <w:t xml:space="preserve">must </w:t>
      </w:r>
      <w:r w:rsidRPr="00DF1D1C">
        <w:t>submit to the Department a disclosure form as provided in 45 CFR 93.110, if any funds other than federally appropriated funds have been paid or will be paid to any person for influencing or attempting to influence an officer or employee of any agency, a member of the U.S. Congress, an officer or employee of the U.S. Congress</w:t>
      </w:r>
      <w:r w:rsidR="006944D8" w:rsidRPr="00DF1D1C">
        <w:t>,</w:t>
      </w:r>
      <w:r w:rsidRPr="00DF1D1C">
        <w:t xml:space="preserve"> or an employee of a member of the U.S. Congress in connection with this contract.</w:t>
      </w:r>
    </w:p>
    <w:p w14:paraId="74CB3B6F" w14:textId="77777777" w:rsidR="00CD4383" w:rsidRPr="00DF1D1C" w:rsidRDefault="00CD4383" w:rsidP="00257641">
      <w:r w:rsidRPr="00DF1D1C">
        <w:t xml:space="preserve">The </w:t>
      </w:r>
      <w:r w:rsidR="0073202A">
        <w:t>MCO</w:t>
      </w:r>
      <w:r w:rsidRPr="00DF1D1C">
        <w:t xml:space="preserve"> </w:t>
      </w:r>
      <w:r w:rsidR="001737C7">
        <w:t>must</w:t>
      </w:r>
      <w:r w:rsidRPr="00DF1D1C">
        <w:t xml:space="preserve"> require that the language of this certification be included in the award documents for all sub</w:t>
      </w:r>
      <w:r w:rsidR="007C31FC">
        <w:t>-</w:t>
      </w:r>
      <w:r w:rsidRPr="00DF1D1C">
        <w:t xml:space="preserve">awards at all tiers (including </w:t>
      </w:r>
      <w:r w:rsidR="009B0110">
        <w:t>S</w:t>
      </w:r>
      <w:r w:rsidRPr="00DF1D1C">
        <w:t>ubcontracts, sub</w:t>
      </w:r>
      <w:r w:rsidR="007C31FC">
        <w:t>-</w:t>
      </w:r>
      <w:r w:rsidRPr="00DF1D1C">
        <w:t>grants, and contracts under grants, loans, and cooperative agreements) and that all sub</w:t>
      </w:r>
      <w:r w:rsidR="007C31FC">
        <w:t>-</w:t>
      </w:r>
      <w:r w:rsidRPr="00DF1D1C">
        <w:t xml:space="preserve">recipients </w:t>
      </w:r>
      <w:r w:rsidR="001737C7">
        <w:t>must</w:t>
      </w:r>
      <w:r w:rsidRPr="00DF1D1C">
        <w:t xml:space="preserve"> certify and disclose accordingly.</w:t>
      </w:r>
    </w:p>
    <w:p w14:paraId="33B3F654" w14:textId="77777777" w:rsidR="00CD4383" w:rsidRPr="00DF1D1C" w:rsidRDefault="00CD4383" w:rsidP="00257641">
      <w:r w:rsidRPr="00DF1D1C">
        <w:t xml:space="preserve">This certification is a material representation of fact upon which reliance was placed when this </w:t>
      </w:r>
      <w:r w:rsidR="009B19C2">
        <w:t xml:space="preserve">Contract </w:t>
      </w:r>
      <w:r w:rsidRPr="00DF1D1C">
        <w:t xml:space="preserve">was made and entered into. Submission of this certification is a prerequisite for making and entering into this </w:t>
      </w:r>
      <w:r w:rsidR="009B19C2">
        <w:t xml:space="preserve">Contract </w:t>
      </w:r>
      <w:r w:rsidRPr="00DF1D1C">
        <w:t xml:space="preserve">imposed under Section 1352, Title 31, US Code. Any person who fails to file </w:t>
      </w:r>
      <w:r w:rsidR="001F3B0D">
        <w:t>the required certification will</w:t>
      </w:r>
      <w:r w:rsidRPr="00DF1D1C">
        <w:t xml:space="preserve"> be subject to a civil penalty.</w:t>
      </w:r>
    </w:p>
    <w:p w14:paraId="19FDC8AA" w14:textId="509B9A8F" w:rsidR="00CD4383" w:rsidRPr="00DF1D1C" w:rsidRDefault="00CD4383" w:rsidP="00257641">
      <w:pPr>
        <w:pStyle w:val="Heading3"/>
      </w:pPr>
      <w:bookmarkStart w:id="43" w:name="_Toc8128973"/>
      <w:r w:rsidRPr="00DF1D1C">
        <w:t>5.</w:t>
      </w:r>
      <w:r w:rsidR="009F7ADC" w:rsidRPr="00DF1D1C">
        <w:t>1</w:t>
      </w:r>
      <w:r w:rsidR="00452936">
        <w:t>8</w:t>
      </w:r>
      <w:r w:rsidR="009F7ADC" w:rsidRPr="00DF1D1C">
        <w:t xml:space="preserve"> </w:t>
      </w:r>
      <w:r w:rsidRPr="00DF1D1C">
        <w:tab/>
        <w:t>Disclosure of Interlocking Relationships</w:t>
      </w:r>
      <w:bookmarkEnd w:id="43"/>
    </w:p>
    <w:p w14:paraId="3807D48F" w14:textId="77777777" w:rsidR="00CD4383" w:rsidRPr="00DF1D1C" w:rsidRDefault="00CD4383" w:rsidP="00257641">
      <w:r w:rsidRPr="00DF1D1C">
        <w:t xml:space="preserve">If the </w:t>
      </w:r>
      <w:r w:rsidR="0073202A">
        <w:t>MCO</w:t>
      </w:r>
      <w:r w:rsidRPr="00DF1D1C">
        <w:t xml:space="preserve"> is not also a Federally-Qualified </w:t>
      </w:r>
      <w:r w:rsidR="0073202A">
        <w:t>MCO</w:t>
      </w:r>
      <w:r w:rsidRPr="00DF1D1C">
        <w:t xml:space="preserve"> under the Public Health Service Act, it must report to the State, and on request, to the Secretary, the Inspector General of DHHS, and the Comptroller General, a description of transactions between the </w:t>
      </w:r>
      <w:r w:rsidR="0073202A">
        <w:t>MCO</w:t>
      </w:r>
      <w:r w:rsidRPr="00DF1D1C">
        <w:t xml:space="preserve"> and parties in interest. Transactions that must be reported include: (</w:t>
      </w:r>
      <w:r w:rsidR="006944D8" w:rsidRPr="00DF1D1C">
        <w:t>1</w:t>
      </w:r>
      <w:r w:rsidRPr="00DF1D1C">
        <w:t>) any sale, exchange, or leasing of property; (</w:t>
      </w:r>
      <w:r w:rsidR="006944D8" w:rsidRPr="00DF1D1C">
        <w:t>2</w:t>
      </w:r>
      <w:r w:rsidRPr="00DF1D1C">
        <w:t>) any furnishing for consideration of goods, services</w:t>
      </w:r>
      <w:r w:rsidR="006944D8" w:rsidRPr="00DF1D1C">
        <w:t>,</w:t>
      </w:r>
      <w:r w:rsidRPr="00DF1D1C">
        <w:t xml:space="preserve"> or facilities (but not salaries paid to </w:t>
      </w:r>
      <w:r w:rsidRPr="00DF1D1C">
        <w:lastRenderedPageBreak/>
        <w:t>employees); and (</w:t>
      </w:r>
      <w:r w:rsidR="006944D8" w:rsidRPr="00DF1D1C">
        <w:t>3</w:t>
      </w:r>
      <w:r w:rsidRPr="00DF1D1C">
        <w:t xml:space="preserve">) any loans or extensions of credit. The </w:t>
      </w:r>
      <w:r w:rsidR="0073202A">
        <w:t>MCO</w:t>
      </w:r>
      <w:r w:rsidRPr="00DF1D1C">
        <w:t xml:space="preserve"> </w:t>
      </w:r>
      <w:r w:rsidR="001737C7">
        <w:t>must</w:t>
      </w:r>
      <w:r w:rsidRPr="00DF1D1C">
        <w:t xml:space="preserve"> make the information reported available to its enrollees upon reasonable request.</w:t>
      </w:r>
    </w:p>
    <w:p w14:paraId="1F7251A3" w14:textId="102A1075" w:rsidR="00CD4383" w:rsidRPr="00DF1D1C" w:rsidRDefault="00CD4383" w:rsidP="00257641">
      <w:r w:rsidRPr="00DF1D1C">
        <w:t xml:space="preserve">The </w:t>
      </w:r>
      <w:r w:rsidR="0073202A">
        <w:t>MCO</w:t>
      </w:r>
      <w:r w:rsidRPr="00DF1D1C">
        <w:t xml:space="preserve"> </w:t>
      </w:r>
      <w:r w:rsidR="001737C7">
        <w:t>will</w:t>
      </w:r>
      <w:r w:rsidRPr="00DF1D1C">
        <w:t xml:space="preserve"> covenant that it, its officers or </w:t>
      </w:r>
      <w:r w:rsidR="001E2F32">
        <w:t>enrollee</w:t>
      </w:r>
      <w:r w:rsidR="001E2F32" w:rsidRPr="00DF1D1C">
        <w:t>s</w:t>
      </w:r>
      <w:r w:rsidRPr="00DF1D1C">
        <w:t>, employees</w:t>
      </w:r>
      <w:r w:rsidR="00AC37F1" w:rsidRPr="00DF1D1C">
        <w:t>,</w:t>
      </w:r>
      <w:r w:rsidRPr="00DF1D1C">
        <w:t xml:space="preserve"> or </w:t>
      </w:r>
      <w:r w:rsidR="00642406">
        <w:t>S</w:t>
      </w:r>
      <w:r w:rsidRPr="00DF1D1C">
        <w:t>ubco</w:t>
      </w:r>
      <w:r w:rsidR="001F3B0D">
        <w:t>ntractors will</w:t>
      </w:r>
      <w:r w:rsidRPr="00DF1D1C">
        <w:t xml:space="preserve"> not acquire any interest, direct or indirect which would conflict or compromise in any manner or degree with the performance of its services hereunder. The </w:t>
      </w:r>
      <w:r w:rsidR="0073202A">
        <w:t>MCO</w:t>
      </w:r>
      <w:r w:rsidRPr="00DF1D1C">
        <w:t xml:space="preserve"> further covenants that in the performance of the contract, the </w:t>
      </w:r>
      <w:r w:rsidR="0073202A">
        <w:t>MCO</w:t>
      </w:r>
      <w:r w:rsidR="001F3B0D">
        <w:t xml:space="preserve"> </w:t>
      </w:r>
      <w:r w:rsidR="00212647">
        <w:t>must</w:t>
      </w:r>
      <w:r w:rsidRPr="00DF1D1C">
        <w:t xml:space="preserve"> periodically inquire of its officers, </w:t>
      </w:r>
      <w:r w:rsidR="001E2F32">
        <w:t>enrollee</w:t>
      </w:r>
      <w:r w:rsidR="001E2F32" w:rsidRPr="00DF1D1C">
        <w:t>s</w:t>
      </w:r>
      <w:r w:rsidR="00AC37F1" w:rsidRPr="00DF1D1C">
        <w:t>,</w:t>
      </w:r>
      <w:r w:rsidRPr="00DF1D1C">
        <w:t xml:space="preserve"> and employees concerning such interests. Any such interests discovered </w:t>
      </w:r>
      <w:r w:rsidR="001F3B0D">
        <w:t>must</w:t>
      </w:r>
      <w:r w:rsidRPr="00DF1D1C">
        <w:t xml:space="preserve"> be promptly presented in detail to the Department.</w:t>
      </w:r>
    </w:p>
    <w:p w14:paraId="7FB28BF7" w14:textId="26EA50C1" w:rsidR="00CD4383" w:rsidRPr="00DF1D1C" w:rsidRDefault="00CD4383" w:rsidP="00257641">
      <w:pPr>
        <w:pStyle w:val="Heading3"/>
      </w:pPr>
      <w:bookmarkStart w:id="44" w:name="_Toc8128974"/>
      <w:r w:rsidRPr="00DF1D1C">
        <w:t>5.</w:t>
      </w:r>
      <w:r w:rsidR="00452936">
        <w:t>19</w:t>
      </w:r>
      <w:r w:rsidR="009F7ADC" w:rsidRPr="00DF1D1C">
        <w:t xml:space="preserve"> </w:t>
      </w:r>
      <w:r w:rsidRPr="00DF1D1C">
        <w:tab/>
        <w:t>Department</w:t>
      </w:r>
      <w:r w:rsidR="00FA1C0C" w:rsidRPr="00DF1D1C">
        <w:t>’</w:t>
      </w:r>
      <w:r w:rsidRPr="00DF1D1C">
        <w:t>s Data Files</w:t>
      </w:r>
      <w:bookmarkEnd w:id="44"/>
    </w:p>
    <w:p w14:paraId="7FB073F2" w14:textId="77777777" w:rsidR="00CD4383" w:rsidRPr="00DF1D1C" w:rsidRDefault="00CD4383" w:rsidP="00257641">
      <w:r w:rsidRPr="00DF1D1C">
        <w:t>The Department</w:t>
      </w:r>
      <w:r w:rsidR="00FA1C0C" w:rsidRPr="00DF1D1C">
        <w:t>’</w:t>
      </w:r>
      <w:r w:rsidRPr="00DF1D1C">
        <w:t xml:space="preserve">s data files and data contained therein </w:t>
      </w:r>
      <w:r w:rsidR="001737C7">
        <w:t xml:space="preserve">will </w:t>
      </w:r>
      <w:r w:rsidRPr="00DF1D1C">
        <w:t>be and remain the Department</w:t>
      </w:r>
      <w:r w:rsidR="00FA1C0C" w:rsidRPr="00DF1D1C">
        <w:t>’</w:t>
      </w:r>
      <w:r w:rsidRPr="00DF1D1C">
        <w:t xml:space="preserve">s property and </w:t>
      </w:r>
      <w:r w:rsidR="001737C7">
        <w:t xml:space="preserve">must </w:t>
      </w:r>
      <w:r w:rsidRPr="00DF1D1C">
        <w:t xml:space="preserve">be returned to the Department by the </w:t>
      </w:r>
      <w:r w:rsidR="0073202A">
        <w:t>MCO</w:t>
      </w:r>
      <w:r w:rsidRPr="00DF1D1C">
        <w:t xml:space="preserve"> upon the termination of this </w:t>
      </w:r>
      <w:r w:rsidR="009B19C2">
        <w:t xml:space="preserve">Contract </w:t>
      </w:r>
      <w:r w:rsidRPr="00DF1D1C">
        <w:t>at the Department</w:t>
      </w:r>
      <w:r w:rsidR="00FA1C0C" w:rsidRPr="00DF1D1C">
        <w:t>’</w:t>
      </w:r>
      <w:r w:rsidRPr="00DF1D1C">
        <w:t xml:space="preserve">s request, except that any Department data files no longer required by the </w:t>
      </w:r>
      <w:r w:rsidR="0073202A">
        <w:t>MCO</w:t>
      </w:r>
      <w:r w:rsidRPr="00DF1D1C">
        <w:t xml:space="preserve"> to render services under </w:t>
      </w:r>
      <w:r w:rsidR="001F3B0D">
        <w:t xml:space="preserve">this </w:t>
      </w:r>
      <w:r w:rsidR="009B19C2">
        <w:t xml:space="preserve">Contract </w:t>
      </w:r>
      <w:r w:rsidR="001F3B0D">
        <w:t>must</w:t>
      </w:r>
      <w:r w:rsidRPr="00DF1D1C">
        <w:t xml:space="preserve"> be returned upon such determination at the Department</w:t>
      </w:r>
      <w:r w:rsidR="00FA1C0C" w:rsidRPr="00DF1D1C">
        <w:t>’</w:t>
      </w:r>
      <w:r w:rsidRPr="00DF1D1C">
        <w:t>s request.</w:t>
      </w:r>
    </w:p>
    <w:p w14:paraId="2F5CF670" w14:textId="77777777" w:rsidR="00CD4383" w:rsidRPr="00DF1D1C" w:rsidRDefault="00CD4383" w:rsidP="00257641">
      <w:r w:rsidRPr="00DF1D1C">
        <w:t>The Department</w:t>
      </w:r>
      <w:r w:rsidR="00FA1C0C" w:rsidRPr="00DF1D1C">
        <w:t>’</w:t>
      </w:r>
      <w:r w:rsidRPr="00DF1D1C">
        <w:t xml:space="preserve">s data </w:t>
      </w:r>
      <w:r w:rsidR="001737C7">
        <w:t>will</w:t>
      </w:r>
      <w:r w:rsidRPr="00DF1D1C">
        <w:t xml:space="preserve"> not be utilized by the </w:t>
      </w:r>
      <w:r w:rsidR="0073202A">
        <w:t>MCO</w:t>
      </w:r>
      <w:r w:rsidRPr="00DF1D1C">
        <w:t xml:space="preserve"> for any purpose other than that of rendering services to the Department under this contract, nor </w:t>
      </w:r>
      <w:r w:rsidR="001737C7">
        <w:t>will</w:t>
      </w:r>
      <w:r w:rsidRPr="00DF1D1C">
        <w:t xml:space="preserve"> the Department</w:t>
      </w:r>
      <w:r w:rsidR="00FA1C0C" w:rsidRPr="00DF1D1C">
        <w:t>’</w:t>
      </w:r>
      <w:r w:rsidRPr="00DF1D1C">
        <w:t>s data or any part thereof be disclosed, sold, assigned, leased</w:t>
      </w:r>
      <w:r w:rsidR="00AC37F1" w:rsidRPr="00DF1D1C">
        <w:t>,</w:t>
      </w:r>
      <w:r w:rsidRPr="00DF1D1C">
        <w:t xml:space="preserve"> or otherwise disposed of to third parties by the </w:t>
      </w:r>
      <w:r w:rsidR="0073202A">
        <w:t>MCO</w:t>
      </w:r>
      <w:r w:rsidRPr="00DF1D1C">
        <w:t xml:space="preserve"> unless there has been prior written Department approval.</w:t>
      </w:r>
    </w:p>
    <w:p w14:paraId="1C66F357" w14:textId="77777777" w:rsidR="00CD4383" w:rsidRPr="00DF1D1C" w:rsidRDefault="00CD4383" w:rsidP="00096A5D">
      <w:pPr>
        <w:pStyle w:val="BodyText"/>
      </w:pPr>
      <w:r w:rsidRPr="00DF1D1C">
        <w:t xml:space="preserve">The Department </w:t>
      </w:r>
      <w:r w:rsidR="001737C7">
        <w:t>must</w:t>
      </w:r>
      <w:r w:rsidRPr="00DF1D1C">
        <w:t xml:space="preserve">, upon request to the </w:t>
      </w:r>
      <w:r w:rsidR="0073202A">
        <w:t>MCO</w:t>
      </w:r>
      <w:r w:rsidRPr="00DF1D1C">
        <w:t xml:space="preserve">, have the right of access and use of any data files retained or created by the </w:t>
      </w:r>
      <w:r w:rsidR="0073202A">
        <w:t>MCO</w:t>
      </w:r>
      <w:r w:rsidRPr="00DF1D1C">
        <w:t xml:space="preserve"> for sys</w:t>
      </w:r>
      <w:r w:rsidRPr="00737F8F">
        <w:t>t</w:t>
      </w:r>
      <w:r w:rsidRPr="00DF1D1C">
        <w:t>ems operation under this contract.</w:t>
      </w:r>
    </w:p>
    <w:p w14:paraId="3492237A" w14:textId="77777777" w:rsidR="00CD4383" w:rsidRPr="00DF1D1C" w:rsidRDefault="00CD4383" w:rsidP="00096A5D">
      <w:pPr>
        <w:pStyle w:val="BodyText"/>
      </w:pPr>
      <w:r w:rsidRPr="00DF1D1C">
        <w:t xml:space="preserve">The </w:t>
      </w:r>
      <w:r w:rsidR="0073202A">
        <w:t>MCO</w:t>
      </w:r>
      <w:r w:rsidRPr="00DF1D1C">
        <w:t xml:space="preserve"> </w:t>
      </w:r>
      <w:r w:rsidR="001737C7">
        <w:t>must</w:t>
      </w:r>
      <w:r w:rsidRPr="00DF1D1C">
        <w:t xml:space="preserve"> establish and maintain at all times reasonable safeguards against the destruction, loss</w:t>
      </w:r>
      <w:r w:rsidR="00AC37F1" w:rsidRPr="00DF1D1C">
        <w:t>,</w:t>
      </w:r>
      <w:r w:rsidRPr="00DF1D1C">
        <w:t xml:space="preserve"> or alteration of the Department</w:t>
      </w:r>
      <w:r w:rsidR="00FA1C0C" w:rsidRPr="00DF1D1C">
        <w:t>’</w:t>
      </w:r>
      <w:r w:rsidRPr="00DF1D1C">
        <w:t xml:space="preserve">s data and any other data in the possession of the </w:t>
      </w:r>
      <w:r w:rsidR="0073202A">
        <w:t>MCO</w:t>
      </w:r>
      <w:r w:rsidRPr="00DF1D1C">
        <w:t xml:space="preserve"> necessary to the performance of operations under this contract.</w:t>
      </w:r>
    </w:p>
    <w:p w14:paraId="6567D51C" w14:textId="17D777FB" w:rsidR="00CD4383" w:rsidRPr="00DF1D1C" w:rsidRDefault="00CD4383" w:rsidP="00257641">
      <w:pPr>
        <w:pStyle w:val="Heading3"/>
      </w:pPr>
      <w:bookmarkStart w:id="45" w:name="_Toc8128975"/>
      <w:r w:rsidRPr="00DF1D1C">
        <w:t>5.</w:t>
      </w:r>
      <w:r w:rsidR="0094765C" w:rsidRPr="00DF1D1C">
        <w:t>2</w:t>
      </w:r>
      <w:r w:rsidR="00452936">
        <w:t>0</w:t>
      </w:r>
      <w:r w:rsidR="009F7ADC" w:rsidRPr="00DF1D1C">
        <w:t xml:space="preserve"> </w:t>
      </w:r>
      <w:r w:rsidRPr="00DF1D1C">
        <w:tab/>
        <w:t>Changes Due to a Section 1915(b) Freedom of Choice or 1115 Demonstration Waiver</w:t>
      </w:r>
      <w:bookmarkEnd w:id="45"/>
    </w:p>
    <w:p w14:paraId="5B67928C" w14:textId="77777777" w:rsidR="00CD4383" w:rsidRPr="00DF1D1C" w:rsidRDefault="00CD4383" w:rsidP="00257641">
      <w:r w:rsidRPr="00DF1D1C">
        <w:t>The conditions described in the contract, including but not limited to enrollment and the right to disenrollment, are subject to change as provided in any waiver under section 1915(b) or</w:t>
      </w:r>
      <w:r w:rsidR="000B53AA">
        <w:t xml:space="preserve"> </w:t>
      </w:r>
      <w:r w:rsidRPr="00DF1D1C">
        <w:t>1115 of the Social Security Act (as amended) obtained by the Department.</w:t>
      </w:r>
    </w:p>
    <w:p w14:paraId="2F6DFCF9" w14:textId="5FC8FEE3" w:rsidR="00637D41" w:rsidRPr="00DF1D1C" w:rsidRDefault="00637D41" w:rsidP="00257641">
      <w:pPr>
        <w:pStyle w:val="Heading3"/>
      </w:pPr>
      <w:bookmarkStart w:id="46" w:name="_Toc8128976"/>
      <w:r w:rsidRPr="00DF1D1C">
        <w:t>5.</w:t>
      </w:r>
      <w:r w:rsidR="009F7ADC" w:rsidRPr="00DF1D1C">
        <w:t>2</w:t>
      </w:r>
      <w:r w:rsidR="00452936">
        <w:t>1</w:t>
      </w:r>
      <w:r w:rsidRPr="00DF1D1C">
        <w:tab/>
        <w:t>Contracting Conflict of Interest Safeguards</w:t>
      </w:r>
      <w:bookmarkEnd w:id="46"/>
    </w:p>
    <w:p w14:paraId="298E9674" w14:textId="77777777" w:rsidR="008D6B56" w:rsidRDefault="00637D41" w:rsidP="00257641">
      <w:r w:rsidRPr="00DF1D1C">
        <w:t xml:space="preserve">The </w:t>
      </w:r>
      <w:r w:rsidR="0073202A">
        <w:t>MCO</w:t>
      </w:r>
      <w:r w:rsidRPr="00DF1D1C">
        <w:t xml:space="preserve"> asserts that to the best of its knowledge that the process of procuring this </w:t>
      </w:r>
      <w:r w:rsidR="009B19C2">
        <w:t xml:space="preserve">Contract </w:t>
      </w:r>
      <w:r w:rsidRPr="00DF1D1C">
        <w:t>has been compliant with the federal contracting requirements set forth in 41 U.S.C. 423</w:t>
      </w:r>
      <w:r w:rsidR="00B673B0">
        <w:t xml:space="preserve"> and 42 CFR 438.3</w:t>
      </w:r>
      <w:r w:rsidRPr="00DF1D1C">
        <w:t>.</w:t>
      </w:r>
      <w:r w:rsidR="000E619E">
        <w:t xml:space="preserve"> </w:t>
      </w:r>
    </w:p>
    <w:p w14:paraId="5E2EAA3E" w14:textId="38C61C17" w:rsidR="008D6B56" w:rsidRDefault="008D6B56" w:rsidP="00257641">
      <w:r>
        <w:t xml:space="preserve">The MCO </w:t>
      </w:r>
      <w:r w:rsidR="006876E5">
        <w:t xml:space="preserve">must </w:t>
      </w:r>
      <w:r>
        <w:t xml:space="preserve">not pay, offer to pay, or agree to pay, either directly or indirectly, any fee, commission, compensation, gift, gratuity, or other thing of value to an employee or agent of the State of West Virginia with the intent to influence work related to the </w:t>
      </w:r>
      <w:r w:rsidR="00956642">
        <w:t>C</w:t>
      </w:r>
      <w:r>
        <w:t>ontract.</w:t>
      </w:r>
      <w:r w:rsidR="00CF73FB">
        <w:t xml:space="preserve"> </w:t>
      </w:r>
    </w:p>
    <w:p w14:paraId="3F45FF04" w14:textId="2F05AD44" w:rsidR="004428E4" w:rsidRDefault="004428E4" w:rsidP="00257641">
      <w:pPr>
        <w:pStyle w:val="Heading3"/>
      </w:pPr>
      <w:bookmarkStart w:id="47" w:name="_Toc8128977"/>
      <w:r>
        <w:lastRenderedPageBreak/>
        <w:t>5.22</w:t>
      </w:r>
      <w:r>
        <w:tab/>
      </w:r>
      <w:r w:rsidRPr="004428E4">
        <w:t>Prohibition Against Perfor</w:t>
      </w:r>
      <w:r>
        <w:t>mance Outside the United States</w:t>
      </w:r>
      <w:bookmarkEnd w:id="47"/>
    </w:p>
    <w:p w14:paraId="7B5504E8" w14:textId="77777777" w:rsidR="006F041D" w:rsidRDefault="006F041D" w:rsidP="00257641">
      <w:r>
        <w:t xml:space="preserve">The </w:t>
      </w:r>
      <w:r w:rsidRPr="006F041D">
        <w:t>MCO</w:t>
      </w:r>
      <w:r>
        <w:t xml:space="preserve"> and a Subcontractor</w:t>
      </w:r>
      <w:r w:rsidRPr="006F041D">
        <w:t xml:space="preserve"> must comply with the requirements of Section 6505 of the PPACA, entitled “Prohibition on Payments to Institutions or Entities Located Outside of the United States.” </w:t>
      </w:r>
    </w:p>
    <w:p w14:paraId="07AA2AED" w14:textId="2330720D" w:rsidR="00D84501" w:rsidRDefault="00D84501" w:rsidP="00257641">
      <w:r w:rsidRPr="009718C6">
        <w:t xml:space="preserve">All work performed </w:t>
      </w:r>
      <w:r>
        <w:t>by</w:t>
      </w:r>
      <w:r w:rsidR="003A1021">
        <w:t xml:space="preserve"> </w:t>
      </w:r>
      <w:r w:rsidR="001963D2">
        <w:t xml:space="preserve">the </w:t>
      </w:r>
      <w:r>
        <w:t xml:space="preserve">MCO or a Subcontractor </w:t>
      </w:r>
      <w:r w:rsidRPr="009718C6">
        <w:t xml:space="preserve">under this </w:t>
      </w:r>
      <w:r w:rsidR="009B19C2">
        <w:t xml:space="preserve">Contract </w:t>
      </w:r>
      <w:r w:rsidRPr="009718C6">
        <w:t>must be performed exclu</w:t>
      </w:r>
      <w:r>
        <w:t xml:space="preserve">sively within the United States. </w:t>
      </w:r>
      <w:r w:rsidR="004E10BD">
        <w:t xml:space="preserve">No payments </w:t>
      </w:r>
      <w:r w:rsidR="006876E5">
        <w:t xml:space="preserve">must </w:t>
      </w:r>
      <w:r w:rsidR="004E10BD">
        <w:t xml:space="preserve">be </w:t>
      </w:r>
      <w:r w:rsidR="004E10BD" w:rsidRPr="004E10BD">
        <w:t xml:space="preserve">made for services or items </w:t>
      </w:r>
      <w:r w:rsidR="00184DE8">
        <w:t>by</w:t>
      </w:r>
      <w:r w:rsidR="003A1021">
        <w:t xml:space="preserve"> </w:t>
      </w:r>
      <w:r w:rsidR="001963D2">
        <w:t xml:space="preserve">the </w:t>
      </w:r>
      <w:r w:rsidR="00184DE8">
        <w:t xml:space="preserve">MCO or a Subcontractor </w:t>
      </w:r>
      <w:r w:rsidR="004E10BD" w:rsidRPr="004E10BD">
        <w:t>to any entity or financial institution outside of the U</w:t>
      </w:r>
      <w:r w:rsidR="002D783E">
        <w:t xml:space="preserve">nited States. </w:t>
      </w:r>
    </w:p>
    <w:p w14:paraId="263D7647" w14:textId="77777777" w:rsidR="00D84501" w:rsidRDefault="00D84501" w:rsidP="00257641">
      <w:r w:rsidRPr="009718C6">
        <w:t>All in</w:t>
      </w:r>
      <w:r>
        <w:t xml:space="preserve">formation obtained by </w:t>
      </w:r>
      <w:r w:rsidR="001963D2">
        <w:t xml:space="preserve">the </w:t>
      </w:r>
      <w:r>
        <w:t>MCO or a S</w:t>
      </w:r>
      <w:r w:rsidRPr="009718C6">
        <w:t xml:space="preserve">ubcontractor under this </w:t>
      </w:r>
      <w:r w:rsidR="009B19C2">
        <w:t xml:space="preserve">Contract </w:t>
      </w:r>
      <w:r w:rsidRPr="009718C6">
        <w:t>must be stored and maintained within the United States.</w:t>
      </w:r>
    </w:p>
    <w:p w14:paraId="1EEF53C4" w14:textId="77777777" w:rsidR="00213121" w:rsidRDefault="00D84501" w:rsidP="00257641">
      <w:r>
        <w:t>T</w:t>
      </w:r>
      <w:r w:rsidRPr="00D84501">
        <w:t xml:space="preserve">he term “within the United States” means any location inside the territorial boundaries comprising the United States of America, including of any of the </w:t>
      </w:r>
      <w:r w:rsidR="00C8689A">
        <w:t>forty-eight (</w:t>
      </w:r>
      <w:r w:rsidRPr="00D84501">
        <w:t>48</w:t>
      </w:r>
      <w:r w:rsidR="00C8689A">
        <w:t>)</w:t>
      </w:r>
      <w:r w:rsidRPr="00D84501">
        <w:t xml:space="preserve"> coterminous states in North America, the states of Alaska and Hawaii, and the District of Columbia.</w:t>
      </w:r>
    </w:p>
    <w:p w14:paraId="5E6D551A" w14:textId="23F4E56A" w:rsidR="00213121" w:rsidRDefault="00213121" w:rsidP="00257641">
      <w:pPr>
        <w:pStyle w:val="Heading3"/>
      </w:pPr>
      <w:bookmarkStart w:id="48" w:name="_Toc419998057"/>
      <w:bookmarkStart w:id="49" w:name="_Toc8128978"/>
      <w:r>
        <w:t>5.23</w:t>
      </w:r>
      <w:r w:rsidRPr="00213121">
        <w:t xml:space="preserve"> </w:t>
      </w:r>
      <w:r w:rsidRPr="00213121">
        <w:tab/>
        <w:t>Freedom of Information</w:t>
      </w:r>
      <w:bookmarkEnd w:id="48"/>
      <w:bookmarkEnd w:id="49"/>
    </w:p>
    <w:p w14:paraId="2366AA8D" w14:textId="3ECAF3F3" w:rsidR="003E162A" w:rsidRPr="004428E4" w:rsidRDefault="00213121" w:rsidP="00257641">
      <w:r w:rsidRPr="00213121">
        <w:t xml:space="preserve">Due regard will be given for the protection of proprietary information contained in all </w:t>
      </w:r>
      <w:r w:rsidR="00B14766">
        <w:t xml:space="preserve">procurement-related </w:t>
      </w:r>
      <w:r w:rsidRPr="00213121">
        <w:t xml:space="preserve">documents received; however, </w:t>
      </w:r>
      <w:r w:rsidR="00564C16">
        <w:t xml:space="preserve">the </w:t>
      </w:r>
      <w:r w:rsidRPr="00213121">
        <w:t xml:space="preserve">MCO should be aware that all materials associated with </w:t>
      </w:r>
      <w:r w:rsidR="00564C16">
        <w:t>this</w:t>
      </w:r>
      <w:r w:rsidR="00B14766">
        <w:t xml:space="preserve"> agreement </w:t>
      </w:r>
      <w:r w:rsidRPr="00213121">
        <w:t>are subject to the terms of the Freedom of Information Act, the Privacy Act and all rules, regulations, and interpretations resulting therefrom. It will not be sufficient for the MCO to merely state generally that the material is proprietary in nature and not therefore subject to release to third parties. Those particular pages of sections which MCO applicant believes to be proprietary must be specifically identified as such.</w:t>
      </w:r>
    </w:p>
    <w:p w14:paraId="34A9B07A" w14:textId="249C5CE8" w:rsidR="00CD4383" w:rsidRPr="00DF1D1C" w:rsidRDefault="00851ED0" w:rsidP="007610FD">
      <w:pPr>
        <w:pStyle w:val="Heading2"/>
      </w:pPr>
      <w:bookmarkStart w:id="50" w:name="_Toc8128979"/>
      <w:r>
        <w:t xml:space="preserve">6. </w:t>
      </w:r>
      <w:r w:rsidR="009B19C2">
        <w:t xml:space="preserve">CONTRACT </w:t>
      </w:r>
      <w:r w:rsidR="006C6DDB">
        <w:t>REMEDIES AND DISPUTES</w:t>
      </w:r>
      <w:bookmarkEnd w:id="50"/>
      <w:r w:rsidR="006C6DDB">
        <w:t xml:space="preserve"> </w:t>
      </w:r>
    </w:p>
    <w:p w14:paraId="6CE3F635" w14:textId="279F3B3A" w:rsidR="00CD4383" w:rsidRPr="00DF1D1C" w:rsidRDefault="00CD4383" w:rsidP="00257641">
      <w:pPr>
        <w:pStyle w:val="Heading3"/>
      </w:pPr>
      <w:bookmarkStart w:id="51" w:name="_Toc8128980"/>
      <w:r w:rsidRPr="00DF1D1C">
        <w:t xml:space="preserve">6.1 </w:t>
      </w:r>
      <w:r w:rsidRPr="00DF1D1C">
        <w:tab/>
      </w:r>
      <w:r w:rsidR="006C6DDB">
        <w:t xml:space="preserve">MCO </w:t>
      </w:r>
      <w:r w:rsidRPr="00DF1D1C">
        <w:t>Performance</w:t>
      </w:r>
      <w:bookmarkEnd w:id="51"/>
      <w:r w:rsidRPr="00DF1D1C">
        <w:t xml:space="preserve"> </w:t>
      </w:r>
    </w:p>
    <w:p w14:paraId="006950CF" w14:textId="77777777" w:rsidR="004530DF" w:rsidRDefault="006C6DDB" w:rsidP="00257641">
      <w:r w:rsidRPr="006C6DDB">
        <w:t xml:space="preserve">The MCO is expected to meet or exceed all </w:t>
      </w:r>
      <w:r>
        <w:t xml:space="preserve">the Department’s </w:t>
      </w:r>
      <w:r w:rsidRPr="006C6DDB">
        <w:t>objectives and sta</w:t>
      </w:r>
      <w:r w:rsidR="00433EC3">
        <w:t>ndards, as set forth in the C</w:t>
      </w:r>
      <w:r w:rsidRPr="006C6DDB">
        <w:t>ontract. All a</w:t>
      </w:r>
      <w:r>
        <w:t xml:space="preserve">reas of responsibility and all </w:t>
      </w:r>
      <w:r w:rsidR="009B19C2">
        <w:t xml:space="preserve">Contract </w:t>
      </w:r>
      <w:r w:rsidRPr="006C6DDB">
        <w:t xml:space="preserve">requirements will be subject to performance evaluation by </w:t>
      </w:r>
      <w:r>
        <w:t>the Department. A</w:t>
      </w:r>
      <w:r w:rsidR="00CD4383" w:rsidRPr="00DF1D1C">
        <w:t xml:space="preserve"> designated representative of the </w:t>
      </w:r>
      <w:r w:rsidR="0073202A">
        <w:t>MCO</w:t>
      </w:r>
      <w:r w:rsidR="00CD4383" w:rsidRPr="00DF1D1C">
        <w:t xml:space="preserve"> and a designated representative of the Department </w:t>
      </w:r>
      <w:r>
        <w:t xml:space="preserve">may </w:t>
      </w:r>
      <w:r w:rsidR="00CD4383" w:rsidRPr="00DF1D1C">
        <w:t xml:space="preserve">meet as requested by either party, to review the performance of the </w:t>
      </w:r>
      <w:r w:rsidR="0073202A">
        <w:t>MCO</w:t>
      </w:r>
      <w:r w:rsidR="00CD4383" w:rsidRPr="00DF1D1C">
        <w:t xml:space="preserve"> under this </w:t>
      </w:r>
      <w:r w:rsidR="00433EC3">
        <w:t>C</w:t>
      </w:r>
      <w:r w:rsidR="00CD4383" w:rsidRPr="00DF1D1C">
        <w:t>ontract. Writte</w:t>
      </w:r>
      <w:r w:rsidR="001F3B0D">
        <w:t>n minutes of such meetings will</w:t>
      </w:r>
      <w:r w:rsidR="00CD4383" w:rsidRPr="00DF1D1C">
        <w:t xml:space="preserve"> be kept. In the event of any disagreement regarding the performance of services by the </w:t>
      </w:r>
      <w:r w:rsidR="0073202A">
        <w:t>MCO</w:t>
      </w:r>
      <w:r w:rsidR="00AC45B4">
        <w:t xml:space="preserve"> under this C</w:t>
      </w:r>
      <w:r w:rsidR="00CD4383" w:rsidRPr="00DF1D1C">
        <w:t xml:space="preserve">ontract, the designated representatives </w:t>
      </w:r>
      <w:r>
        <w:t>must</w:t>
      </w:r>
      <w:r w:rsidRPr="00DF1D1C">
        <w:t xml:space="preserve"> </w:t>
      </w:r>
      <w:r w:rsidR="00CD4383" w:rsidRPr="00DF1D1C">
        <w:t xml:space="preserve">discuss the </w:t>
      </w:r>
      <w:r w:rsidR="006079AD">
        <w:t xml:space="preserve">performance </w:t>
      </w:r>
      <w:r w:rsidR="00CD4383" w:rsidRPr="00DF1D1C">
        <w:t>problem and negotiate in good faith in an effort to resolve the disagreement.</w:t>
      </w:r>
    </w:p>
    <w:p w14:paraId="634DCAEC" w14:textId="77777777" w:rsidR="005B1308" w:rsidRDefault="005B1308" w:rsidP="00257641">
      <w:pPr>
        <w:pStyle w:val="normal6"/>
      </w:pPr>
      <w:r w:rsidRPr="005B1308">
        <w:t>For purposes of th</w:t>
      </w:r>
      <w:r w:rsidR="00A909ED">
        <w:t>is</w:t>
      </w:r>
      <w:r w:rsidRPr="005B1308">
        <w:t xml:space="preserve"> </w:t>
      </w:r>
      <w:r w:rsidR="00AC45B4">
        <w:t>C</w:t>
      </w:r>
      <w:r w:rsidRPr="005B1308">
        <w:t>ontract, an item of non</w:t>
      </w:r>
      <w:r>
        <w:t>-</w:t>
      </w:r>
      <w:r w:rsidRPr="005B1308">
        <w:t>compliance</w:t>
      </w:r>
      <w:r w:rsidR="00370043">
        <w:t>/</w:t>
      </w:r>
      <w:r w:rsidRPr="005B1308">
        <w:t>non</w:t>
      </w:r>
      <w:r>
        <w:t>-</w:t>
      </w:r>
      <w:r w:rsidRPr="005B1308">
        <w:t>performance means a specific action of</w:t>
      </w:r>
      <w:r>
        <w:t xml:space="preserve"> </w:t>
      </w:r>
      <w:r w:rsidR="00F4413D">
        <w:t xml:space="preserve">the </w:t>
      </w:r>
      <w:r w:rsidRPr="005B1308">
        <w:t xml:space="preserve">MCO </w:t>
      </w:r>
      <w:r w:rsidR="00433EC3">
        <w:t>or its S</w:t>
      </w:r>
      <w:r w:rsidR="00A909ED">
        <w:t xml:space="preserve">ubcontractor, agent and/or consultant </w:t>
      </w:r>
      <w:r w:rsidRPr="005B1308">
        <w:t xml:space="preserve">that: </w:t>
      </w:r>
    </w:p>
    <w:p w14:paraId="3A6EA2A4" w14:textId="77777777" w:rsidR="005B1308" w:rsidRPr="00C02662" w:rsidRDefault="005B1308" w:rsidP="00257641">
      <w:pPr>
        <w:pStyle w:val="bullet1"/>
      </w:pPr>
      <w:r w:rsidRPr="00C02662">
        <w:t xml:space="preserve">Violates a provision of this </w:t>
      </w:r>
      <w:r w:rsidR="009B19C2">
        <w:t xml:space="preserve">Contract </w:t>
      </w:r>
      <w:r w:rsidRPr="00C02662">
        <w:t xml:space="preserve">including </w:t>
      </w:r>
      <w:r w:rsidR="00F33B38" w:rsidRPr="00C02662">
        <w:t>Appendi</w:t>
      </w:r>
      <w:r w:rsidR="006D4253" w:rsidRPr="00C02662">
        <w:t>ce</w:t>
      </w:r>
      <w:r w:rsidRPr="00C02662">
        <w:t>s;</w:t>
      </w:r>
    </w:p>
    <w:p w14:paraId="41624CD0" w14:textId="77777777" w:rsidR="005B1308" w:rsidRPr="00C02662" w:rsidRDefault="005B1308" w:rsidP="00257641">
      <w:pPr>
        <w:pStyle w:val="bullet1"/>
      </w:pPr>
      <w:r w:rsidRPr="00C02662">
        <w:t>Fails to meet an agreed measure of performance</w:t>
      </w:r>
      <w:r w:rsidR="00A102D6" w:rsidRPr="00C02662">
        <w:t xml:space="preserve"> and/or standard</w:t>
      </w:r>
      <w:r w:rsidRPr="00C02662">
        <w:t>; or</w:t>
      </w:r>
    </w:p>
    <w:p w14:paraId="73299C3B" w14:textId="77777777" w:rsidR="005B1308" w:rsidRPr="00C02662" w:rsidRDefault="005B1308" w:rsidP="00257641">
      <w:pPr>
        <w:pStyle w:val="bullet1"/>
      </w:pPr>
      <w:r w:rsidRPr="00C02662">
        <w:t xml:space="preserve">Represents a failure of </w:t>
      </w:r>
      <w:r w:rsidR="00F4413D" w:rsidRPr="00C02662">
        <w:t xml:space="preserve">the </w:t>
      </w:r>
      <w:r w:rsidRPr="00C02662">
        <w:t>MCO to be reasonably responsive to a reasonable request of the Department for information, assistance, or support within the timeframe specified by the Department.</w:t>
      </w:r>
    </w:p>
    <w:p w14:paraId="1E5B6704" w14:textId="1965361C" w:rsidR="0076753B" w:rsidRPr="00DF1D1C" w:rsidRDefault="00564C16" w:rsidP="007C7EA5">
      <w:pPr>
        <w:pStyle w:val="normal6"/>
      </w:pPr>
      <w:r>
        <w:t>Non-performance of this Contract includes, but is not limited to</w:t>
      </w:r>
      <w:r w:rsidR="0076753B">
        <w:t>:</w:t>
      </w:r>
    </w:p>
    <w:p w14:paraId="338BC75D" w14:textId="7DFBC40E" w:rsidR="0076753B" w:rsidRDefault="00776B18" w:rsidP="00257641">
      <w:pPr>
        <w:pStyle w:val="bullet1"/>
      </w:pPr>
      <w:r w:rsidRPr="00C02662">
        <w:lastRenderedPageBreak/>
        <w:t>Fail</w:t>
      </w:r>
      <w:r w:rsidR="00F4413D" w:rsidRPr="00C02662">
        <w:t>ing</w:t>
      </w:r>
      <w:r w:rsidR="00F24820">
        <w:t xml:space="preserve"> </w:t>
      </w:r>
      <w:r w:rsidR="007E2687" w:rsidRPr="00C02662">
        <w:t>substantially to provide Medically N</w:t>
      </w:r>
      <w:r w:rsidR="0076753B" w:rsidRPr="00C02662">
        <w:t xml:space="preserve">ecessary </w:t>
      </w:r>
      <w:r w:rsidR="007E2687" w:rsidRPr="00C02662">
        <w:t xml:space="preserve">covered </w:t>
      </w:r>
      <w:r w:rsidR="0076753B" w:rsidRPr="00C02662">
        <w:t xml:space="preserve">services that the MCO is required to provide, under law or under its </w:t>
      </w:r>
      <w:r w:rsidR="009B19C2">
        <w:t xml:space="preserve">Contract </w:t>
      </w:r>
      <w:r w:rsidR="0076753B" w:rsidRPr="00C02662">
        <w:t>with the Department, to an enrollee cov</w:t>
      </w:r>
      <w:r w:rsidR="00433EC3" w:rsidRPr="00C02662">
        <w:t xml:space="preserve">ered under </w:t>
      </w:r>
      <w:r w:rsidR="00433EC3" w:rsidRPr="00737F8F">
        <w:t>the C</w:t>
      </w:r>
      <w:r w:rsidR="0076753B" w:rsidRPr="00737F8F">
        <w:t>ontract;</w:t>
      </w:r>
    </w:p>
    <w:p w14:paraId="41EEB0DB" w14:textId="05862DE2" w:rsidR="004B10BC" w:rsidRPr="00737F8F" w:rsidRDefault="004B10BC" w:rsidP="00257641">
      <w:pPr>
        <w:pStyle w:val="bullet1"/>
      </w:pPr>
      <w:r>
        <w:t xml:space="preserve">Failing substantially to provide </w:t>
      </w:r>
      <w:r w:rsidR="00AB6504">
        <w:t>cov</w:t>
      </w:r>
      <w:r w:rsidR="00946B0F">
        <w:t>er</w:t>
      </w:r>
      <w:r w:rsidR="00AB6504">
        <w:t xml:space="preserve">ed </w:t>
      </w:r>
      <w:r w:rsidR="00946B0F">
        <w:t>SNS</w:t>
      </w:r>
      <w:r>
        <w:t xml:space="preserve"> </w:t>
      </w:r>
      <w:r w:rsidR="00AB6504" w:rsidRPr="00C02662">
        <w:t xml:space="preserve">that the MCO is required to provide, under law or under its </w:t>
      </w:r>
      <w:r w:rsidR="00AB6504">
        <w:t xml:space="preserve">Contract </w:t>
      </w:r>
      <w:r w:rsidR="00AB6504" w:rsidRPr="00C02662">
        <w:t xml:space="preserve">with the Department, to an enrollee covered under </w:t>
      </w:r>
      <w:r w:rsidR="00AB6504" w:rsidRPr="00737F8F">
        <w:t>the Contract</w:t>
      </w:r>
      <w:r w:rsidR="00AB6504">
        <w:t>;</w:t>
      </w:r>
    </w:p>
    <w:p w14:paraId="146C1C7F" w14:textId="7ED80521" w:rsidR="0076753B" w:rsidRPr="00737F8F" w:rsidRDefault="0076753B" w:rsidP="00257641">
      <w:pPr>
        <w:pStyle w:val="bullet1"/>
      </w:pPr>
      <w:r w:rsidRPr="00737F8F">
        <w:t>Impos</w:t>
      </w:r>
      <w:r w:rsidR="00F4413D" w:rsidRPr="00737F8F">
        <w:t>ing</w:t>
      </w:r>
      <w:r w:rsidR="00F24820" w:rsidRPr="00737F8F">
        <w:t xml:space="preserve"> </w:t>
      </w:r>
      <w:r w:rsidRPr="00737F8F">
        <w:t>premiums, copays, or charges that are in excess of the premiums, copays, or charges permitted under the Medicaid program;</w:t>
      </w:r>
    </w:p>
    <w:p w14:paraId="128DE239" w14:textId="66B03C8F" w:rsidR="0076753B" w:rsidRPr="00737F8F" w:rsidRDefault="0076753B" w:rsidP="00257641">
      <w:pPr>
        <w:pStyle w:val="bullet1"/>
      </w:pPr>
      <w:r w:rsidRPr="00737F8F">
        <w:t>Act</w:t>
      </w:r>
      <w:r w:rsidR="00776B18" w:rsidRPr="00737F8F">
        <w:t>i</w:t>
      </w:r>
      <w:r w:rsidR="00012EFE" w:rsidRPr="00737F8F">
        <w:t>ng</w:t>
      </w:r>
      <w:r w:rsidRPr="00737F8F">
        <w:t xml:space="preserve"> to discriminate among enrollees on the basis of their health status or need for health care services, including terminati</w:t>
      </w:r>
      <w:r w:rsidR="00012EFE" w:rsidRPr="00737F8F">
        <w:t>ng</w:t>
      </w:r>
      <w:r w:rsidR="00F24820" w:rsidRPr="00737F8F">
        <w:t xml:space="preserve"> </w:t>
      </w:r>
      <w:r w:rsidRPr="00737F8F">
        <w:t>of enrollment or refusal to reenroll a</w:t>
      </w:r>
      <w:r w:rsidR="00DB67CB">
        <w:t>n individual</w:t>
      </w:r>
      <w:r w:rsidRPr="00737F8F">
        <w:t xml:space="preserve">, except as permitted under the Medicaid program, or any practice that would reasonably be expected to discourage enrollment by </w:t>
      </w:r>
      <w:r w:rsidR="00DB67CB">
        <w:t>individual</w:t>
      </w:r>
      <w:r w:rsidR="00DB67CB" w:rsidRPr="00737F8F">
        <w:t xml:space="preserve">s </w:t>
      </w:r>
      <w:r w:rsidRPr="00737F8F">
        <w:t>whose medical condition or history indicates probable need for substantial future medical services;</w:t>
      </w:r>
    </w:p>
    <w:p w14:paraId="682C4D04" w14:textId="60DF8708" w:rsidR="0076753B" w:rsidRPr="00737F8F" w:rsidRDefault="0076753B" w:rsidP="00257641">
      <w:pPr>
        <w:pStyle w:val="bullet1"/>
      </w:pPr>
      <w:r w:rsidRPr="00737F8F">
        <w:t>Misrepresent</w:t>
      </w:r>
      <w:r w:rsidR="00012EFE" w:rsidRPr="00737F8F">
        <w:t xml:space="preserve">ing </w:t>
      </w:r>
      <w:r w:rsidRPr="00737F8F">
        <w:t xml:space="preserve">or </w:t>
      </w:r>
      <w:r w:rsidR="00012EFE" w:rsidRPr="00737F8F">
        <w:t>falsifying</w:t>
      </w:r>
      <w:r w:rsidR="00F24820" w:rsidRPr="00737F8F">
        <w:t xml:space="preserve"> </w:t>
      </w:r>
      <w:r w:rsidRPr="00737F8F">
        <w:t>information that</w:t>
      </w:r>
      <w:r w:rsidR="00E37999" w:rsidRPr="00737F8F">
        <w:t xml:space="preserve"> the</w:t>
      </w:r>
      <w:r w:rsidRPr="00737F8F">
        <w:t xml:space="preserve"> </w:t>
      </w:r>
      <w:r w:rsidR="00776B18" w:rsidRPr="00737F8F">
        <w:t>MCO</w:t>
      </w:r>
      <w:r w:rsidR="00012EFE" w:rsidRPr="00737F8F">
        <w:t xml:space="preserve"> </w:t>
      </w:r>
      <w:r w:rsidRPr="00737F8F">
        <w:t>furnishes to CMS</w:t>
      </w:r>
      <w:r w:rsidR="00AC350C">
        <w:t>, ACF,</w:t>
      </w:r>
      <w:r w:rsidRPr="00737F8F">
        <w:t xml:space="preserve"> or to the State;</w:t>
      </w:r>
    </w:p>
    <w:p w14:paraId="06938805" w14:textId="3A848047" w:rsidR="0076753B" w:rsidRPr="00737F8F" w:rsidRDefault="0076753B" w:rsidP="00257641">
      <w:pPr>
        <w:pStyle w:val="bullet1"/>
      </w:pPr>
      <w:r w:rsidRPr="00737F8F">
        <w:t>Misrepresent</w:t>
      </w:r>
      <w:r w:rsidR="00012EFE" w:rsidRPr="00737F8F">
        <w:t xml:space="preserve">ing </w:t>
      </w:r>
      <w:r w:rsidRPr="00737F8F">
        <w:t>or falsif</w:t>
      </w:r>
      <w:r w:rsidR="00012EFE" w:rsidRPr="00737F8F">
        <w:t xml:space="preserve">ying </w:t>
      </w:r>
      <w:r w:rsidR="00776B18" w:rsidRPr="00737F8F">
        <w:t>of</w:t>
      </w:r>
      <w:r w:rsidRPr="00737F8F">
        <w:t xml:space="preserve"> information that</w:t>
      </w:r>
      <w:r w:rsidR="00E37999" w:rsidRPr="00737F8F">
        <w:t xml:space="preserve"> the</w:t>
      </w:r>
      <w:r w:rsidRPr="00737F8F">
        <w:t xml:space="preserve"> </w:t>
      </w:r>
      <w:r w:rsidR="00776B18" w:rsidRPr="00737F8F">
        <w:t>MCO</w:t>
      </w:r>
      <w:r w:rsidR="00012EFE" w:rsidRPr="00737F8F">
        <w:t xml:space="preserve"> </w:t>
      </w:r>
      <w:r w:rsidRPr="00737F8F">
        <w:t>furnishes to an enrollee, potential enrollee, health care provider</w:t>
      </w:r>
      <w:r w:rsidR="00AC350C">
        <w:t xml:space="preserve"> or SNS provider</w:t>
      </w:r>
      <w:r w:rsidRPr="00737F8F">
        <w:t>;</w:t>
      </w:r>
    </w:p>
    <w:p w14:paraId="64D5DB11" w14:textId="77777777" w:rsidR="00776B18" w:rsidRPr="00737F8F" w:rsidRDefault="0076753B" w:rsidP="00257641">
      <w:pPr>
        <w:pStyle w:val="bullet1"/>
      </w:pPr>
      <w:r w:rsidRPr="00737F8F">
        <w:t>Distribut</w:t>
      </w:r>
      <w:r w:rsidR="00776B18" w:rsidRPr="00737F8F">
        <w:t>i</w:t>
      </w:r>
      <w:r w:rsidR="00012EFE" w:rsidRPr="00737F8F">
        <w:t xml:space="preserve">ng </w:t>
      </w:r>
      <w:r w:rsidRPr="00737F8F">
        <w:t xml:space="preserve">directly, or indirectly through any agent or independent contractor, marketing materials that have not been approved by the State or that contain false or materially misleading information; </w:t>
      </w:r>
    </w:p>
    <w:p w14:paraId="7B41FE4D" w14:textId="77777777" w:rsidR="00776B18" w:rsidRPr="00737F8F" w:rsidRDefault="00776B18" w:rsidP="00257641">
      <w:pPr>
        <w:pStyle w:val="bullet1"/>
      </w:pPr>
      <w:r w:rsidRPr="00737F8F">
        <w:t>Fail</w:t>
      </w:r>
      <w:r w:rsidR="00012EFE" w:rsidRPr="00737F8F">
        <w:t xml:space="preserve">ing </w:t>
      </w:r>
      <w:r w:rsidRPr="00737F8F">
        <w:t>to maintain an adequate network of properly credentialed providers;</w:t>
      </w:r>
    </w:p>
    <w:p w14:paraId="2DC5DC17" w14:textId="77777777" w:rsidR="00652607" w:rsidRPr="00C02662" w:rsidRDefault="00776B18" w:rsidP="00257641">
      <w:pPr>
        <w:pStyle w:val="bullet1"/>
      </w:pPr>
      <w:r w:rsidRPr="00737F8F">
        <w:t>Fail</w:t>
      </w:r>
      <w:r w:rsidR="00012EFE" w:rsidRPr="00737F8F">
        <w:t xml:space="preserve">ing </w:t>
      </w:r>
      <w:r w:rsidRPr="00737F8F">
        <w:t>to co</w:t>
      </w:r>
      <w:r w:rsidRPr="00C02662">
        <w:t xml:space="preserve">mply with the provider </w:t>
      </w:r>
      <w:r w:rsidR="00652607" w:rsidRPr="00C02662">
        <w:t xml:space="preserve">reimbursement </w:t>
      </w:r>
      <w:r w:rsidR="00AC45B4" w:rsidRPr="00C02662">
        <w:t>requirements of this C</w:t>
      </w:r>
      <w:r w:rsidRPr="00C02662">
        <w:t>ontract</w:t>
      </w:r>
      <w:r w:rsidR="00652607" w:rsidRPr="00C02662">
        <w:t>;</w:t>
      </w:r>
      <w:r w:rsidRPr="00C02662">
        <w:t xml:space="preserve"> </w:t>
      </w:r>
    </w:p>
    <w:p w14:paraId="1A992B9C" w14:textId="77777777" w:rsidR="005237BB" w:rsidRPr="00737F8F" w:rsidRDefault="00652607" w:rsidP="00257641">
      <w:pPr>
        <w:pStyle w:val="bullet1"/>
      </w:pPr>
      <w:r w:rsidRPr="00C02662">
        <w:t>Fail</w:t>
      </w:r>
      <w:r w:rsidR="00012EFE" w:rsidRPr="00C02662">
        <w:t>ing</w:t>
      </w:r>
      <w:r w:rsidRPr="00C02662">
        <w:t xml:space="preserve"> to comply with the </w:t>
      </w:r>
      <w:r w:rsidR="00AC45B4" w:rsidRPr="00737F8F">
        <w:t>reporting requirements of this C</w:t>
      </w:r>
      <w:r w:rsidRPr="00737F8F">
        <w:t xml:space="preserve">ontract; </w:t>
      </w:r>
    </w:p>
    <w:p w14:paraId="012ABD91" w14:textId="77777777" w:rsidR="0076753B" w:rsidRPr="00C02662" w:rsidRDefault="005237BB" w:rsidP="00257641">
      <w:pPr>
        <w:pStyle w:val="bullet1"/>
      </w:pPr>
      <w:r w:rsidRPr="00737F8F">
        <w:t>A pattern of inappropriately denying</w:t>
      </w:r>
      <w:r w:rsidRPr="00C02662">
        <w:t xml:space="preserve"> payments for emergency-related services</w:t>
      </w:r>
      <w:r w:rsidR="00547B23" w:rsidRPr="00C02662">
        <w:t>;</w:t>
      </w:r>
      <w:r w:rsidRPr="00C02662">
        <w:t xml:space="preserve"> </w:t>
      </w:r>
      <w:r w:rsidR="0076753B" w:rsidRPr="00C02662">
        <w:t>or</w:t>
      </w:r>
    </w:p>
    <w:p w14:paraId="5FB71880" w14:textId="77777777" w:rsidR="0076753B" w:rsidRPr="00DF1D1C" w:rsidRDefault="0076753B" w:rsidP="00257641">
      <w:pPr>
        <w:pStyle w:val="bullet1last"/>
      </w:pPr>
      <w:r w:rsidRPr="00C02662">
        <w:t>Violat</w:t>
      </w:r>
      <w:r w:rsidR="00776B18" w:rsidRPr="00C02662">
        <w:t>i</w:t>
      </w:r>
      <w:r w:rsidR="00012EFE" w:rsidRPr="00C02662">
        <w:t xml:space="preserve">ng </w:t>
      </w:r>
      <w:r w:rsidR="009339A6" w:rsidRPr="00C02662">
        <w:t>the</w:t>
      </w:r>
      <w:r w:rsidRPr="00C02662">
        <w:t xml:space="preserve"> requirements of sections 1903(m) or 1932 of the Social Security Act, and any implementing regulations</w:t>
      </w:r>
      <w:r w:rsidR="00702699" w:rsidRPr="00C02662">
        <w:t>.</w:t>
      </w:r>
    </w:p>
    <w:p w14:paraId="0E33C284" w14:textId="3253D05B" w:rsidR="00546252" w:rsidRDefault="00546252" w:rsidP="00257641">
      <w:pPr>
        <w:pStyle w:val="Heading3"/>
      </w:pPr>
      <w:bookmarkStart w:id="52" w:name="_Toc8128981"/>
      <w:r>
        <w:t>6.2</w:t>
      </w:r>
      <w:r w:rsidRPr="00DF1D1C">
        <w:t xml:space="preserve"> </w:t>
      </w:r>
      <w:r w:rsidRPr="00DF1D1C">
        <w:tab/>
      </w:r>
      <w:r>
        <w:t>Corrective Action Plan</w:t>
      </w:r>
      <w:r w:rsidR="00AC350C">
        <w:t xml:space="preserve"> (CAP)</w:t>
      </w:r>
      <w:bookmarkEnd w:id="52"/>
      <w:r w:rsidR="00F24820">
        <w:t xml:space="preserve"> </w:t>
      </w:r>
    </w:p>
    <w:p w14:paraId="72BA02FD" w14:textId="702CA915" w:rsidR="006079AD" w:rsidRDefault="006079AD" w:rsidP="00257641">
      <w:pPr>
        <w:pStyle w:val="normal6"/>
      </w:pPr>
      <w:r>
        <w:t xml:space="preserve">At its option, the Department may require </w:t>
      </w:r>
      <w:r w:rsidR="00E37999">
        <w:t xml:space="preserve">the </w:t>
      </w:r>
      <w:r>
        <w:t xml:space="preserve">MCO to submit to </w:t>
      </w:r>
      <w:r w:rsidR="00E37999">
        <w:t xml:space="preserve">the </w:t>
      </w:r>
      <w:r>
        <w:t>Department or its designee a written plan (the “Corrective Action Plan</w:t>
      </w:r>
      <w:r w:rsidR="00A26212">
        <w:t xml:space="preserve"> (CAP)</w:t>
      </w:r>
      <w:r>
        <w:t>”) to correct or r</w:t>
      </w:r>
      <w:r w:rsidR="00022554">
        <w:t>esolve non-performance of the C</w:t>
      </w:r>
      <w:r>
        <w:t>ontract, as determined by the Department.</w:t>
      </w:r>
    </w:p>
    <w:p w14:paraId="65119739" w14:textId="06D4C43A" w:rsidR="00117524" w:rsidRDefault="006079AD" w:rsidP="00257641">
      <w:pPr>
        <w:numPr>
          <w:ilvl w:val="0"/>
          <w:numId w:val="58"/>
        </w:numPr>
        <w:spacing w:after="60"/>
        <w:rPr>
          <w:noProof w:val="0"/>
        </w:rPr>
      </w:pPr>
      <w:r>
        <w:rPr>
          <w:noProof w:val="0"/>
        </w:rPr>
        <w:t xml:space="preserve">The </w:t>
      </w:r>
      <w:r w:rsidR="00AC350C">
        <w:rPr>
          <w:noProof w:val="0"/>
        </w:rPr>
        <w:t>CAP</w:t>
      </w:r>
      <w:r w:rsidR="001F0370">
        <w:rPr>
          <w:noProof w:val="0"/>
        </w:rPr>
        <w:t xml:space="preserve"> m</w:t>
      </w:r>
      <w:r w:rsidR="00212647">
        <w:rPr>
          <w:noProof w:val="0"/>
        </w:rPr>
        <w:t>ust</w:t>
      </w:r>
      <w:r w:rsidR="001F0370">
        <w:rPr>
          <w:noProof w:val="0"/>
        </w:rPr>
        <w:t xml:space="preserve"> </w:t>
      </w:r>
      <w:r>
        <w:rPr>
          <w:noProof w:val="0"/>
        </w:rPr>
        <w:t>provide:</w:t>
      </w:r>
    </w:p>
    <w:p w14:paraId="6EE35486" w14:textId="77777777" w:rsidR="00117524" w:rsidRDefault="006079AD" w:rsidP="00257641">
      <w:pPr>
        <w:numPr>
          <w:ilvl w:val="1"/>
          <w:numId w:val="58"/>
        </w:numPr>
        <w:spacing w:after="60"/>
      </w:pPr>
      <w:r>
        <w:t xml:space="preserve">A detailed explanation of the reasons </w:t>
      </w:r>
      <w:r w:rsidR="00835C53">
        <w:t>for the MCO’s non-performance</w:t>
      </w:r>
      <w:r>
        <w:t>;</w:t>
      </w:r>
    </w:p>
    <w:p w14:paraId="222E8B52" w14:textId="77777777" w:rsidR="00117524" w:rsidRDefault="00F4413D" w:rsidP="00257641">
      <w:pPr>
        <w:numPr>
          <w:ilvl w:val="1"/>
          <w:numId w:val="58"/>
        </w:numPr>
        <w:spacing w:after="60"/>
      </w:pPr>
      <w:r>
        <w:t xml:space="preserve">The </w:t>
      </w:r>
      <w:r w:rsidR="006079AD">
        <w:t xml:space="preserve">MCO’s assessment or </w:t>
      </w:r>
      <w:r w:rsidR="00CB1CEB">
        <w:t>analysis</w:t>
      </w:r>
      <w:r w:rsidR="006079AD">
        <w:t xml:space="preserve"> of the cause</w:t>
      </w:r>
      <w:r w:rsidR="00835C53">
        <w:t>, if applicable</w:t>
      </w:r>
      <w:r w:rsidR="006079AD">
        <w:t>; and</w:t>
      </w:r>
    </w:p>
    <w:p w14:paraId="6EA39F54" w14:textId="77777777" w:rsidR="0082350B" w:rsidRDefault="006079AD" w:rsidP="00257641">
      <w:pPr>
        <w:numPr>
          <w:ilvl w:val="1"/>
          <w:numId w:val="58"/>
        </w:numPr>
        <w:spacing w:after="60"/>
      </w:pPr>
      <w:r>
        <w:t xml:space="preserve">A specific proposal to cure or resolve the </w:t>
      </w:r>
      <w:r w:rsidR="00835C53">
        <w:t>non-performance</w:t>
      </w:r>
      <w:r w:rsidR="004F07EE">
        <w:t>.</w:t>
      </w:r>
    </w:p>
    <w:p w14:paraId="162451DA" w14:textId="2B78A5BC" w:rsidR="00117524" w:rsidRDefault="004F6F58" w:rsidP="00257641">
      <w:pPr>
        <w:numPr>
          <w:ilvl w:val="0"/>
          <w:numId w:val="58"/>
        </w:numPr>
        <w:spacing w:after="60"/>
        <w:rPr>
          <w:noProof w:val="0"/>
        </w:rPr>
      </w:pPr>
      <w:r>
        <w:rPr>
          <w:noProof w:val="0"/>
        </w:rPr>
        <w:t xml:space="preserve">The Department may require a </w:t>
      </w:r>
      <w:r w:rsidR="00AC350C">
        <w:rPr>
          <w:noProof w:val="0"/>
        </w:rPr>
        <w:t>CAP</w:t>
      </w:r>
      <w:r>
        <w:rPr>
          <w:noProof w:val="0"/>
        </w:rPr>
        <w:t xml:space="preserve"> to provide:</w:t>
      </w:r>
    </w:p>
    <w:p w14:paraId="0A64E740" w14:textId="77777777" w:rsidR="00117524" w:rsidRDefault="004F6F58" w:rsidP="00257641">
      <w:pPr>
        <w:numPr>
          <w:ilvl w:val="1"/>
          <w:numId w:val="58"/>
        </w:numPr>
        <w:spacing w:after="60"/>
        <w:rPr>
          <w:noProof w:val="0"/>
        </w:rPr>
      </w:pPr>
      <w:r>
        <w:lastRenderedPageBreak/>
        <w:t>Accelerated monitoring that includes more frequent or more extensive monitoring by the Department or its agent</w:t>
      </w:r>
      <w:r w:rsidR="00AE2A01">
        <w:t xml:space="preserve">, including </w:t>
      </w:r>
      <w:r w:rsidR="00533098">
        <w:t>accelerated</w:t>
      </w:r>
      <w:r w:rsidR="00AE2A01">
        <w:t xml:space="preserve"> monitoring of any area in which the compliance</w:t>
      </w:r>
      <w:r w:rsidR="00B969E3">
        <w:t xml:space="preserve"> is not fully met</w:t>
      </w:r>
      <w:r>
        <w:t>;</w:t>
      </w:r>
    </w:p>
    <w:p w14:paraId="5C082790" w14:textId="77777777" w:rsidR="00117524" w:rsidRDefault="004F6F58" w:rsidP="00257641">
      <w:pPr>
        <w:numPr>
          <w:ilvl w:val="1"/>
          <w:numId w:val="58"/>
        </w:numPr>
        <w:spacing w:after="60"/>
      </w:pPr>
      <w:r>
        <w:t>Additional, more detailed, financial</w:t>
      </w:r>
      <w:r w:rsidR="009A78D9">
        <w:t>,</w:t>
      </w:r>
      <w:r>
        <w:t xml:space="preserve"> and/or programmatic reports to be submitted by </w:t>
      </w:r>
      <w:r w:rsidR="00E37999">
        <w:t xml:space="preserve">the </w:t>
      </w:r>
      <w:r>
        <w:t>MCO;</w:t>
      </w:r>
      <w:r w:rsidR="00AE2A01">
        <w:t xml:space="preserve"> </w:t>
      </w:r>
      <w:r w:rsidR="00B42762">
        <w:t xml:space="preserve">and </w:t>
      </w:r>
    </w:p>
    <w:p w14:paraId="3FE2AAAF" w14:textId="77777777" w:rsidR="004F6F58" w:rsidRDefault="004F6F58" w:rsidP="00257641">
      <w:pPr>
        <w:numPr>
          <w:ilvl w:val="1"/>
          <w:numId w:val="58"/>
        </w:numPr>
        <w:spacing w:after="60"/>
      </w:pPr>
      <w:r>
        <w:t>Additional and/or more detailed financial and/or programmatic audits or other reviews of the MCO</w:t>
      </w:r>
      <w:r w:rsidR="00B42762">
        <w:t>.</w:t>
      </w:r>
    </w:p>
    <w:p w14:paraId="75BAE093" w14:textId="7690BA05" w:rsidR="006079AD" w:rsidRDefault="006079AD" w:rsidP="00257641">
      <w:pPr>
        <w:numPr>
          <w:ilvl w:val="0"/>
          <w:numId w:val="58"/>
        </w:numPr>
        <w:spacing w:after="120"/>
        <w:rPr>
          <w:noProof w:val="0"/>
        </w:rPr>
      </w:pPr>
      <w:r>
        <w:rPr>
          <w:noProof w:val="0"/>
        </w:rPr>
        <w:t xml:space="preserve">The </w:t>
      </w:r>
      <w:r w:rsidR="00AC350C">
        <w:rPr>
          <w:noProof w:val="0"/>
        </w:rPr>
        <w:t>CAP</w:t>
      </w:r>
      <w:r>
        <w:rPr>
          <w:noProof w:val="0"/>
        </w:rPr>
        <w:t xml:space="preserve"> must be submitted by the deadline set forth in the Department’s request for a </w:t>
      </w:r>
      <w:r w:rsidR="00AC350C">
        <w:rPr>
          <w:noProof w:val="0"/>
        </w:rPr>
        <w:t>CAP</w:t>
      </w:r>
      <w:r>
        <w:rPr>
          <w:noProof w:val="0"/>
        </w:rPr>
        <w:t xml:space="preserve">. The </w:t>
      </w:r>
      <w:r w:rsidR="00AC350C">
        <w:rPr>
          <w:noProof w:val="0"/>
        </w:rPr>
        <w:t>CAP</w:t>
      </w:r>
      <w:r>
        <w:rPr>
          <w:noProof w:val="0"/>
        </w:rPr>
        <w:t xml:space="preserve"> is subject to approval by the Department,</w:t>
      </w:r>
      <w:r w:rsidR="00022554">
        <w:rPr>
          <w:noProof w:val="0"/>
        </w:rPr>
        <w:t xml:space="preserve"> which will not be unreasonably </w:t>
      </w:r>
      <w:r>
        <w:rPr>
          <w:noProof w:val="0"/>
        </w:rPr>
        <w:t>withheld.</w:t>
      </w:r>
      <w:r w:rsidR="003954EA">
        <w:rPr>
          <w:noProof w:val="0"/>
        </w:rPr>
        <w:t xml:space="preserve"> </w:t>
      </w:r>
    </w:p>
    <w:p w14:paraId="1D4661EA" w14:textId="293D3DF1" w:rsidR="00A338C9" w:rsidRDefault="006079AD" w:rsidP="00257641">
      <w:pPr>
        <w:numPr>
          <w:ilvl w:val="0"/>
          <w:numId w:val="58"/>
        </w:numPr>
        <w:spacing w:after="60"/>
        <w:rPr>
          <w:noProof w:val="0"/>
        </w:rPr>
      </w:pPr>
      <w:r>
        <w:rPr>
          <w:noProof w:val="0"/>
        </w:rPr>
        <w:t xml:space="preserve">The Department will notify </w:t>
      </w:r>
      <w:r w:rsidR="00E37999">
        <w:rPr>
          <w:noProof w:val="0"/>
        </w:rPr>
        <w:t xml:space="preserve">the </w:t>
      </w:r>
      <w:r>
        <w:rPr>
          <w:noProof w:val="0"/>
        </w:rPr>
        <w:t>MCO in writing of its final disposition of the Department’s concerns. If</w:t>
      </w:r>
      <w:r w:rsidR="00E37999">
        <w:rPr>
          <w:noProof w:val="0"/>
        </w:rPr>
        <w:t xml:space="preserve"> the</w:t>
      </w:r>
      <w:r>
        <w:rPr>
          <w:noProof w:val="0"/>
        </w:rPr>
        <w:t xml:space="preserve"> Department accepts</w:t>
      </w:r>
      <w:r w:rsidR="005C335D">
        <w:rPr>
          <w:noProof w:val="0"/>
        </w:rPr>
        <w:t xml:space="preserve"> the</w:t>
      </w:r>
      <w:r>
        <w:rPr>
          <w:noProof w:val="0"/>
        </w:rPr>
        <w:t xml:space="preserve"> MCO’s proposed </w:t>
      </w:r>
      <w:r w:rsidR="00AC350C">
        <w:rPr>
          <w:noProof w:val="0"/>
        </w:rPr>
        <w:t>CAP</w:t>
      </w:r>
      <w:r>
        <w:rPr>
          <w:noProof w:val="0"/>
        </w:rPr>
        <w:t>, the Department may:</w:t>
      </w:r>
    </w:p>
    <w:p w14:paraId="302700E3" w14:textId="77777777" w:rsidR="00A338C9" w:rsidRPr="00C02662" w:rsidRDefault="006079AD" w:rsidP="00257641">
      <w:pPr>
        <w:numPr>
          <w:ilvl w:val="1"/>
          <w:numId w:val="58"/>
        </w:numPr>
        <w:spacing w:after="60"/>
      </w:pPr>
      <w:r w:rsidRPr="00C02662">
        <w:t>Condition such approval on completion of tasks in the order or priority that the Department may reasonably prescribe;</w:t>
      </w:r>
    </w:p>
    <w:p w14:paraId="6359C4C0" w14:textId="2D7DFE39" w:rsidR="00A338C9" w:rsidRPr="00C02662" w:rsidRDefault="006079AD" w:rsidP="00257641">
      <w:pPr>
        <w:numPr>
          <w:ilvl w:val="1"/>
          <w:numId w:val="58"/>
        </w:numPr>
        <w:spacing w:after="60"/>
      </w:pPr>
      <w:r w:rsidRPr="00C02662">
        <w:t>Disapprove portions of</w:t>
      </w:r>
      <w:r w:rsidR="009A78D9" w:rsidRPr="00C02662">
        <w:t xml:space="preserve"> the</w:t>
      </w:r>
      <w:r w:rsidRPr="00C02662">
        <w:t xml:space="preserve"> MCO’s proposed </w:t>
      </w:r>
      <w:r w:rsidR="00AC350C">
        <w:t>CAP</w:t>
      </w:r>
      <w:r w:rsidRPr="00C02662">
        <w:t>;</w:t>
      </w:r>
    </w:p>
    <w:p w14:paraId="05DDF41D" w14:textId="77777777" w:rsidR="00A338C9" w:rsidRPr="00C02662" w:rsidRDefault="006079AD" w:rsidP="00257641">
      <w:pPr>
        <w:numPr>
          <w:ilvl w:val="1"/>
          <w:numId w:val="58"/>
        </w:numPr>
        <w:spacing w:after="60"/>
      </w:pPr>
      <w:r w:rsidRPr="00C02662">
        <w:t>Require additional or different corrective action(s)</w:t>
      </w:r>
      <w:r w:rsidR="004F6F58" w:rsidRPr="00C02662">
        <w:t>, not limited to the actions described in paragraph (2)</w:t>
      </w:r>
      <w:r w:rsidR="003954EA" w:rsidRPr="00C02662">
        <w:t>;</w:t>
      </w:r>
      <w:r w:rsidR="00C02662" w:rsidRPr="00C02662">
        <w:t xml:space="preserve"> or</w:t>
      </w:r>
    </w:p>
    <w:p w14:paraId="2EEAA167" w14:textId="558EA8F9" w:rsidR="006079AD" w:rsidRPr="00C02662" w:rsidRDefault="006079AD" w:rsidP="00257641">
      <w:pPr>
        <w:numPr>
          <w:ilvl w:val="1"/>
          <w:numId w:val="58"/>
        </w:numPr>
        <w:tabs>
          <w:tab w:val="left" w:pos="1080"/>
        </w:tabs>
        <w:spacing w:after="60"/>
      </w:pPr>
      <w:r w:rsidRPr="00C02662">
        <w:t xml:space="preserve">Notwithstanding the submission and acceptance of a </w:t>
      </w:r>
      <w:r w:rsidR="00AC350C">
        <w:t>CAP</w:t>
      </w:r>
      <w:r w:rsidRPr="00C02662">
        <w:t>, MCO remains responsible for achieving all written performance criteria.</w:t>
      </w:r>
    </w:p>
    <w:p w14:paraId="7A3EADFA" w14:textId="5CF5313F" w:rsidR="00A338C9" w:rsidRDefault="006079AD" w:rsidP="00257641">
      <w:pPr>
        <w:numPr>
          <w:ilvl w:val="0"/>
          <w:numId w:val="58"/>
        </w:numPr>
        <w:spacing w:after="60"/>
        <w:rPr>
          <w:noProof w:val="0"/>
        </w:rPr>
      </w:pPr>
      <w:r>
        <w:rPr>
          <w:noProof w:val="0"/>
        </w:rPr>
        <w:t xml:space="preserve">The Department’s acceptance of a </w:t>
      </w:r>
      <w:r w:rsidR="00AC350C">
        <w:rPr>
          <w:noProof w:val="0"/>
        </w:rPr>
        <w:t>CAP</w:t>
      </w:r>
      <w:r>
        <w:rPr>
          <w:noProof w:val="0"/>
        </w:rPr>
        <w:t xml:space="preserve"> under this Section will not:</w:t>
      </w:r>
    </w:p>
    <w:p w14:paraId="51A54D8D" w14:textId="77777777" w:rsidR="00A338C9" w:rsidRDefault="006079AD" w:rsidP="00257641">
      <w:pPr>
        <w:numPr>
          <w:ilvl w:val="1"/>
          <w:numId w:val="58"/>
        </w:numPr>
        <w:spacing w:after="60"/>
      </w:pPr>
      <w:r>
        <w:t xml:space="preserve">Excuse </w:t>
      </w:r>
      <w:r w:rsidR="009A78D9">
        <w:t xml:space="preserve">the </w:t>
      </w:r>
      <w:r>
        <w:t xml:space="preserve">MCO’s prior </w:t>
      </w:r>
      <w:r w:rsidR="003954EA">
        <w:t>non-</w:t>
      </w:r>
      <w:r>
        <w:t>performance;</w:t>
      </w:r>
    </w:p>
    <w:p w14:paraId="4D9CEC45" w14:textId="77777777" w:rsidR="00A338C9" w:rsidRDefault="006079AD" w:rsidP="00257641">
      <w:pPr>
        <w:numPr>
          <w:ilvl w:val="1"/>
          <w:numId w:val="58"/>
        </w:numPr>
        <w:spacing w:after="60"/>
      </w:pPr>
      <w:r>
        <w:t xml:space="preserve">Relieve </w:t>
      </w:r>
      <w:r w:rsidR="009A78D9">
        <w:t xml:space="preserve">the </w:t>
      </w:r>
      <w:r>
        <w:t>MCO of its duty to comply with performance standards; or</w:t>
      </w:r>
    </w:p>
    <w:p w14:paraId="1820E8F0" w14:textId="77777777" w:rsidR="000B3BE7" w:rsidRDefault="006079AD" w:rsidP="00257641">
      <w:pPr>
        <w:numPr>
          <w:ilvl w:val="1"/>
          <w:numId w:val="58"/>
        </w:numPr>
      </w:pPr>
      <w:r>
        <w:t xml:space="preserve">Prohibit the Department from assessing additional </w:t>
      </w:r>
      <w:r w:rsidR="009B19C2">
        <w:t xml:space="preserve">Contract </w:t>
      </w:r>
      <w:r>
        <w:t>remedies or pursuing other appropriate remedies for continued non-performance</w:t>
      </w:r>
      <w:r w:rsidR="003954EA">
        <w:t>.</w:t>
      </w:r>
    </w:p>
    <w:p w14:paraId="4194F8CF" w14:textId="77777777" w:rsidR="000B3BE7" w:rsidRDefault="000B3BE7" w:rsidP="00257641">
      <w:r>
        <w:t>The Department</w:t>
      </w:r>
      <w:r w:rsidRPr="000B3BE7">
        <w:t xml:space="preserve"> retain</w:t>
      </w:r>
      <w:r>
        <w:t>s</w:t>
      </w:r>
      <w:r w:rsidRPr="000B3BE7">
        <w:t xml:space="preserve"> authority to impose additional </w:t>
      </w:r>
      <w:r>
        <w:t>remedies</w:t>
      </w:r>
      <w:r w:rsidRPr="000B3BE7">
        <w:t xml:space="preserve"> under </w:t>
      </w:r>
      <w:r w:rsidR="003B20F0">
        <w:t xml:space="preserve">this </w:t>
      </w:r>
      <w:r w:rsidR="009B19C2">
        <w:t xml:space="preserve">Contract </w:t>
      </w:r>
      <w:r w:rsidR="003B20F0">
        <w:t xml:space="preserve">or </w:t>
      </w:r>
      <w:r w:rsidR="00987788">
        <w:t>s</w:t>
      </w:r>
      <w:r w:rsidRPr="000B3BE7">
        <w:t xml:space="preserve">tate </w:t>
      </w:r>
      <w:r w:rsidR="00846B36">
        <w:t xml:space="preserve">and federal </w:t>
      </w:r>
      <w:r w:rsidRPr="000B3BE7">
        <w:t>statutes that address areas of non</w:t>
      </w:r>
      <w:r>
        <w:t>-performance</w:t>
      </w:r>
      <w:r w:rsidRPr="000B3BE7">
        <w:t xml:space="preserve">. Nothing in this </w:t>
      </w:r>
      <w:r>
        <w:t>provision</w:t>
      </w:r>
      <w:r w:rsidRPr="000B3BE7">
        <w:t xml:space="preserve"> prevents </w:t>
      </w:r>
      <w:r>
        <w:t>the Department</w:t>
      </w:r>
      <w:r w:rsidRPr="000B3BE7">
        <w:t xml:space="preserve"> from exercising that authority.</w:t>
      </w:r>
    </w:p>
    <w:p w14:paraId="0B19EAD4" w14:textId="22E3044F" w:rsidR="00546252" w:rsidRDefault="00546252" w:rsidP="00257641">
      <w:pPr>
        <w:pStyle w:val="Heading3"/>
      </w:pPr>
      <w:bookmarkStart w:id="53" w:name="_Toc8128982"/>
      <w:r w:rsidRPr="00DF1D1C">
        <w:t>6.</w:t>
      </w:r>
      <w:r>
        <w:t>3</w:t>
      </w:r>
      <w:r w:rsidRPr="00DF1D1C">
        <w:t xml:space="preserve"> </w:t>
      </w:r>
      <w:r w:rsidRPr="00DF1D1C">
        <w:tab/>
      </w:r>
      <w:r>
        <w:t xml:space="preserve">Conditions Endangering </w:t>
      </w:r>
      <w:r w:rsidRPr="00DF1D1C">
        <w:t>Performance</w:t>
      </w:r>
      <w:bookmarkEnd w:id="53"/>
      <w:r w:rsidRPr="00DF1D1C">
        <w:t xml:space="preserve"> </w:t>
      </w:r>
    </w:p>
    <w:p w14:paraId="7C528162" w14:textId="77777777" w:rsidR="00CD4383" w:rsidRPr="00DF1D1C" w:rsidRDefault="006C31D9" w:rsidP="00257641">
      <w:pPr>
        <w:pStyle w:val="normal6"/>
      </w:pPr>
      <w:r>
        <w:t>At its option, the</w:t>
      </w:r>
      <w:r w:rsidR="00CD4383" w:rsidRPr="00DF1D1C">
        <w:t xml:space="preserve"> </w:t>
      </w:r>
      <w:r>
        <w:t>Department</w:t>
      </w:r>
      <w:r w:rsidR="00CD4383" w:rsidRPr="00DF1D1C">
        <w:t xml:space="preserve"> </w:t>
      </w:r>
      <w:r>
        <w:t>may</w:t>
      </w:r>
      <w:r w:rsidRPr="00DF1D1C">
        <w:t xml:space="preserve"> </w:t>
      </w:r>
      <w:r w:rsidR="00CD4383" w:rsidRPr="00DF1D1C">
        <w:t xml:space="preserve">provide the </w:t>
      </w:r>
      <w:r>
        <w:t>MCO</w:t>
      </w:r>
      <w:r w:rsidR="00CD4383" w:rsidRPr="00DF1D1C">
        <w:t xml:space="preserve"> with written notice of conditions endangering </w:t>
      </w:r>
      <w:r w:rsidR="009B19C2">
        <w:t xml:space="preserve">Contract </w:t>
      </w:r>
      <w:r w:rsidR="00CD4383" w:rsidRPr="00DF1D1C">
        <w:t>performance. Conditions that endanger performance include, but are not limited to, the following:</w:t>
      </w:r>
    </w:p>
    <w:p w14:paraId="043A798D" w14:textId="77777777" w:rsidR="00CD4383" w:rsidRDefault="005501D2" w:rsidP="00257641">
      <w:pPr>
        <w:pStyle w:val="bullet1"/>
      </w:pPr>
      <w:r w:rsidRPr="00DF1D1C">
        <w:t>Fai</w:t>
      </w:r>
      <w:r>
        <w:t>ling</w:t>
      </w:r>
      <w:r w:rsidR="007E2687">
        <w:t xml:space="preserve"> to substantially provide M</w:t>
      </w:r>
      <w:r w:rsidR="00CD4383" w:rsidRPr="00DF1D1C">
        <w:t>edi</w:t>
      </w:r>
      <w:r w:rsidR="007E2687">
        <w:t>cally N</w:t>
      </w:r>
      <w:r w:rsidR="00CD4383" w:rsidRPr="00DF1D1C">
        <w:t>ecessary</w:t>
      </w:r>
      <w:r w:rsidR="007E2687">
        <w:t xml:space="preserve"> covered</w:t>
      </w:r>
      <w:r w:rsidR="00CD4383" w:rsidRPr="00DF1D1C">
        <w:t xml:space="preserve"> items and services that are required (under law or under the </w:t>
      </w:r>
      <w:r w:rsidR="0073202A">
        <w:t>MCO</w:t>
      </w:r>
      <w:r w:rsidR="00FA1C0C" w:rsidRPr="00DF1D1C">
        <w:t>’</w:t>
      </w:r>
      <w:r w:rsidR="00CD4383" w:rsidRPr="00DF1D1C">
        <w:t xml:space="preserve">s </w:t>
      </w:r>
      <w:r w:rsidR="009B19C2">
        <w:t xml:space="preserve">Contract </w:t>
      </w:r>
      <w:r w:rsidR="00CD4383" w:rsidRPr="00DF1D1C">
        <w:t xml:space="preserve">with the Department) to be provided to an enrollee covered under the </w:t>
      </w:r>
      <w:r w:rsidR="00D77A44">
        <w:t>C</w:t>
      </w:r>
      <w:r w:rsidR="00CD4383" w:rsidRPr="00DF1D1C">
        <w:t>ontract;</w:t>
      </w:r>
    </w:p>
    <w:p w14:paraId="592F303A" w14:textId="73DDE13D" w:rsidR="00116DE3" w:rsidRPr="00DF1D1C" w:rsidRDefault="00116DE3" w:rsidP="00257641">
      <w:pPr>
        <w:pStyle w:val="bullet1"/>
      </w:pPr>
      <w:r w:rsidRPr="00DF1D1C">
        <w:t>Fai</w:t>
      </w:r>
      <w:r>
        <w:t>ling to substantially provide covered SNS</w:t>
      </w:r>
      <w:r w:rsidRPr="00DF1D1C">
        <w:t xml:space="preserve"> that are required (under law or under the </w:t>
      </w:r>
      <w:r>
        <w:t>MCO</w:t>
      </w:r>
      <w:r w:rsidRPr="00DF1D1C">
        <w:t xml:space="preserve">’s </w:t>
      </w:r>
      <w:r>
        <w:t xml:space="preserve">Contract with the Department) </w:t>
      </w:r>
      <w:r w:rsidRPr="00DF1D1C">
        <w:t xml:space="preserve">to an enrollee covered under the </w:t>
      </w:r>
      <w:r>
        <w:t>C</w:t>
      </w:r>
      <w:r w:rsidRPr="00DF1D1C">
        <w:t>ontract;</w:t>
      </w:r>
    </w:p>
    <w:p w14:paraId="5255CDE5" w14:textId="77777777" w:rsidR="00076402" w:rsidRDefault="0071482A" w:rsidP="00257641">
      <w:pPr>
        <w:pStyle w:val="bullet1"/>
      </w:pPr>
      <w:r w:rsidRPr="00DF1D1C">
        <w:t>I</w:t>
      </w:r>
      <w:r w:rsidR="00CD4383" w:rsidRPr="00DF1D1C">
        <w:t>mposing premiums</w:t>
      </w:r>
      <w:r w:rsidR="007241FD">
        <w:t>, copays,</w:t>
      </w:r>
      <w:r w:rsidR="00CD4383" w:rsidRPr="00DF1D1C">
        <w:t xml:space="preserve"> or charges enrollees in excess of the premiums</w:t>
      </w:r>
      <w:r w:rsidR="007241FD">
        <w:t>, copays,</w:t>
      </w:r>
      <w:r w:rsidR="00CD4383" w:rsidRPr="00DF1D1C">
        <w:t xml:space="preserve"> or charges perm</w:t>
      </w:r>
      <w:r w:rsidR="00076402">
        <w:t xml:space="preserve">itted under </w:t>
      </w:r>
      <w:r w:rsidR="00A15E8F">
        <w:t>the Medicaid program</w:t>
      </w:r>
      <w:r w:rsidR="00076402">
        <w:t>;</w:t>
      </w:r>
    </w:p>
    <w:p w14:paraId="40C8A275" w14:textId="77777777" w:rsidR="00CD4383" w:rsidRPr="00DF1D1C" w:rsidRDefault="00076402" w:rsidP="00257641">
      <w:pPr>
        <w:pStyle w:val="bullet1"/>
      </w:pPr>
      <w:r>
        <w:lastRenderedPageBreak/>
        <w:t>E</w:t>
      </w:r>
      <w:r w:rsidR="00AC37F1" w:rsidRPr="00DF1D1C">
        <w:t>ngaging</w:t>
      </w:r>
      <w:r w:rsidR="00CD4383" w:rsidRPr="00DF1D1C">
        <w:t xml:space="preserve"> in any practice that discriminates on the basis of health status or need for health care services;</w:t>
      </w:r>
    </w:p>
    <w:p w14:paraId="6C0D3B4B" w14:textId="77777777" w:rsidR="00CD4383" w:rsidRPr="00DF1D1C" w:rsidRDefault="0071482A" w:rsidP="00257641">
      <w:pPr>
        <w:pStyle w:val="bullet1"/>
      </w:pPr>
      <w:r w:rsidRPr="00DF1D1C">
        <w:t>M</w:t>
      </w:r>
      <w:r w:rsidR="00CD4383" w:rsidRPr="00DF1D1C">
        <w:t>isrepresenting or falsifying information furnished to the Department, an enrollee, a potential enrollee</w:t>
      </w:r>
      <w:r w:rsidR="00AC37F1" w:rsidRPr="00DF1D1C">
        <w:t>,</w:t>
      </w:r>
      <w:r w:rsidR="00CD4383" w:rsidRPr="00DF1D1C">
        <w:t xml:space="preserve"> or health care provider;</w:t>
      </w:r>
    </w:p>
    <w:p w14:paraId="52A88F73" w14:textId="77777777" w:rsidR="00CD4383" w:rsidRPr="00DF1D1C" w:rsidRDefault="0071482A" w:rsidP="00257641">
      <w:pPr>
        <w:pStyle w:val="bullet1"/>
      </w:pPr>
      <w:r w:rsidRPr="00DF1D1C">
        <w:t>F</w:t>
      </w:r>
      <w:r w:rsidR="00CD4383" w:rsidRPr="00DF1D1C">
        <w:t xml:space="preserve">ailing to comply with the physician incentive requirements under section 1903(m)(2)(A)(x) of the Social Security Act; or </w:t>
      </w:r>
    </w:p>
    <w:p w14:paraId="27941B80" w14:textId="77777777" w:rsidR="00CD4383" w:rsidRPr="00DF1D1C" w:rsidRDefault="0071482A" w:rsidP="00257641">
      <w:pPr>
        <w:pStyle w:val="bullet1"/>
        <w:spacing w:after="240"/>
      </w:pPr>
      <w:r w:rsidRPr="00DF1D1C">
        <w:t>D</w:t>
      </w:r>
      <w:r w:rsidR="00CD4383" w:rsidRPr="00DF1D1C">
        <w:t>istributing directly or through any agent or independent contractor marketing materials that contain false or misleading information.</w:t>
      </w:r>
    </w:p>
    <w:p w14:paraId="16089323" w14:textId="1979AC4A" w:rsidR="00D56789" w:rsidRDefault="00E43A1F" w:rsidP="00257641">
      <w:pPr>
        <w:pStyle w:val="normal6"/>
      </w:pPr>
      <w:r>
        <w:t>The Department must notify the CMS Regional Office and ACF at any time any of the above conditions are found to exist or as appropriate at any time the MCO</w:t>
      </w:r>
      <w:r w:rsidR="00D56789">
        <w:t>:</w:t>
      </w:r>
    </w:p>
    <w:p w14:paraId="6201524C" w14:textId="77777777" w:rsidR="00D56789" w:rsidRDefault="00D56789" w:rsidP="00257641">
      <w:pPr>
        <w:pStyle w:val="bullet1"/>
      </w:pPr>
      <w:r>
        <w:t>I</w:t>
      </w:r>
      <w:r w:rsidRPr="00DF1D1C">
        <w:t>s found to</w:t>
      </w:r>
      <w:r>
        <w:t xml:space="preserve"> have </w:t>
      </w:r>
      <w:r w:rsidRPr="00DF1D1C">
        <w:t>perform</w:t>
      </w:r>
      <w:r>
        <w:t>ance deficiencies in</w:t>
      </w:r>
      <w:r w:rsidRPr="00DF1D1C">
        <w:t xml:space="preserve"> any of the above </w:t>
      </w:r>
      <w:r>
        <w:t xml:space="preserve">areas; </w:t>
      </w:r>
    </w:p>
    <w:p w14:paraId="67BF0A5E" w14:textId="77777777" w:rsidR="00D56789" w:rsidRDefault="00D56789" w:rsidP="00257641">
      <w:pPr>
        <w:pStyle w:val="bullet1"/>
      </w:pPr>
      <w:r>
        <w:t xml:space="preserve">Is under a CAP; </w:t>
      </w:r>
    </w:p>
    <w:p w14:paraId="26FDB368" w14:textId="77777777" w:rsidR="00D56789" w:rsidRDefault="00D56789" w:rsidP="00257641">
      <w:pPr>
        <w:pStyle w:val="bullet1"/>
      </w:pPr>
      <w:r>
        <w:t xml:space="preserve">Has been assessed liquidated damages; </w:t>
      </w:r>
    </w:p>
    <w:p w14:paraId="6DD86EE6" w14:textId="77777777" w:rsidR="00D56789" w:rsidRDefault="00D56789" w:rsidP="00257641">
      <w:pPr>
        <w:pStyle w:val="bullet1"/>
      </w:pPr>
      <w:r>
        <w:t xml:space="preserve">Has had enrollment suspended; </w:t>
      </w:r>
    </w:p>
    <w:p w14:paraId="232370C2" w14:textId="77777777" w:rsidR="00D56789" w:rsidRDefault="00D56789" w:rsidP="00257641">
      <w:pPr>
        <w:pStyle w:val="bullet1"/>
      </w:pPr>
      <w:r>
        <w:t>Has had temporary management appointed by the State;</w:t>
      </w:r>
      <w:r w:rsidRPr="009D7223">
        <w:t xml:space="preserve"> </w:t>
      </w:r>
    </w:p>
    <w:p w14:paraId="21A9780D" w14:textId="77777777" w:rsidR="00D56789" w:rsidRDefault="00D56789" w:rsidP="00257641">
      <w:pPr>
        <w:pStyle w:val="bullet1"/>
      </w:pPr>
      <w:r>
        <w:t xml:space="preserve">Has had payments suspended; </w:t>
      </w:r>
    </w:p>
    <w:p w14:paraId="7D6F5FB0" w14:textId="77777777" w:rsidR="00D56789" w:rsidRDefault="00D56789" w:rsidP="00257641">
      <w:pPr>
        <w:pStyle w:val="bullet1"/>
      </w:pPr>
      <w:r>
        <w:t xml:space="preserve">Is engaged in dispute resolution; </w:t>
      </w:r>
    </w:p>
    <w:p w14:paraId="34B6E264" w14:textId="77777777" w:rsidR="00D56789" w:rsidRDefault="00D56789" w:rsidP="00257641">
      <w:pPr>
        <w:pStyle w:val="bullet1"/>
      </w:pPr>
      <w:r>
        <w:t xml:space="preserve">Is being terminated for default; or </w:t>
      </w:r>
    </w:p>
    <w:p w14:paraId="6717EF1E" w14:textId="77777777" w:rsidR="00D56789" w:rsidRPr="00DF1D1C" w:rsidRDefault="00D56789" w:rsidP="00257641">
      <w:pPr>
        <w:pStyle w:val="bullet1"/>
        <w:spacing w:after="240"/>
      </w:pPr>
      <w:r>
        <w:t xml:space="preserve">Is otherwise non-compliant or has a </w:t>
      </w:r>
      <w:r w:rsidRPr="00B65114">
        <w:t>performance</w:t>
      </w:r>
      <w:r>
        <w:t xml:space="preserve"> deficit</w:t>
      </w:r>
      <w:r w:rsidRPr="00B65114">
        <w:t xml:space="preserve"> </w:t>
      </w:r>
      <w:r>
        <w:t xml:space="preserve">as described </w:t>
      </w:r>
      <w:r w:rsidRPr="00B65114">
        <w:t xml:space="preserve">in Article II, </w:t>
      </w:r>
      <w:r>
        <w:t>Section 6 of this contract</w:t>
      </w:r>
      <w:r w:rsidRPr="00DF1D1C">
        <w:t>.</w:t>
      </w:r>
    </w:p>
    <w:p w14:paraId="449E3360" w14:textId="65950941" w:rsidR="00CD4383" w:rsidRPr="00DF1D1C" w:rsidRDefault="00CD4383" w:rsidP="00257641">
      <w:r w:rsidRPr="00DF1D1C">
        <w:t>Unless otherwise specified in the written notice of condition(s) that endanger performance, the Department</w:t>
      </w:r>
      <w:r w:rsidR="00D52218">
        <w:t>, in its sole discretion,</w:t>
      </w:r>
      <w:r w:rsidRPr="00DF1D1C">
        <w:t xml:space="preserve"> </w:t>
      </w:r>
      <w:r w:rsidR="006C31D9">
        <w:t xml:space="preserve">may </w:t>
      </w:r>
      <w:r w:rsidRPr="00DF1D1C">
        <w:t xml:space="preserve">allow the </w:t>
      </w:r>
      <w:r w:rsidR="0073202A">
        <w:t>MCO</w:t>
      </w:r>
      <w:r w:rsidRPr="00DF1D1C">
        <w:t xml:space="preserve"> a</w:t>
      </w:r>
      <w:r w:rsidR="00D52218">
        <w:t xml:space="preserve">n allotted amount of </w:t>
      </w:r>
      <w:r w:rsidR="00F3479E">
        <w:t>business</w:t>
      </w:r>
      <w:r w:rsidR="00F3479E" w:rsidRPr="00DF1D1C">
        <w:t xml:space="preserve"> </w:t>
      </w:r>
      <w:r w:rsidRPr="00DF1D1C">
        <w:t xml:space="preserve">days to remedy the condition(s) contained in the notice. If after such notice of conditions that endanger performance the </w:t>
      </w:r>
      <w:r w:rsidR="00363F39">
        <w:t>MCO</w:t>
      </w:r>
      <w:r w:rsidR="00363F39" w:rsidRPr="00DF1D1C">
        <w:t xml:space="preserve"> </w:t>
      </w:r>
      <w:r w:rsidRPr="00DF1D1C">
        <w:t xml:space="preserve">fails to remedy the conditions contained in the notice, within </w:t>
      </w:r>
      <w:r w:rsidR="00AC37F1" w:rsidRPr="00DF1D1C">
        <w:t>ten</w:t>
      </w:r>
      <w:r w:rsidRPr="00DF1D1C">
        <w:t xml:space="preserve"> </w:t>
      </w:r>
      <w:r w:rsidR="00F3479E">
        <w:t>(10) business</w:t>
      </w:r>
      <w:r w:rsidR="00F3479E" w:rsidRPr="00DF1D1C">
        <w:t xml:space="preserve"> </w:t>
      </w:r>
      <w:r w:rsidRPr="00DF1D1C">
        <w:t xml:space="preserve">days or the time period specified in the notice, the </w:t>
      </w:r>
      <w:r w:rsidR="006C31D9">
        <w:t xml:space="preserve">Department may </w:t>
      </w:r>
      <w:r w:rsidR="00363F39">
        <w:t>pursue</w:t>
      </w:r>
      <w:r w:rsidR="006C31D9">
        <w:t xml:space="preserve"> other </w:t>
      </w:r>
      <w:r w:rsidR="00207DDC">
        <w:t xml:space="preserve">remedies under this </w:t>
      </w:r>
      <w:r w:rsidR="009B19C2">
        <w:t xml:space="preserve">Contract </w:t>
      </w:r>
      <w:r w:rsidR="009171AD">
        <w:t xml:space="preserve">or any </w:t>
      </w:r>
      <w:r w:rsidR="00FB240E">
        <w:t xml:space="preserve">intermediate </w:t>
      </w:r>
      <w:r w:rsidR="009171AD">
        <w:t>reme</w:t>
      </w:r>
      <w:r w:rsidR="00FB240E">
        <w:t xml:space="preserve">dies outlined in 42 CFR </w:t>
      </w:r>
      <w:r w:rsidR="00FB240E" w:rsidRPr="00FB240E">
        <w:t>438.702</w:t>
      </w:r>
      <w:r w:rsidR="00C511C0">
        <w:t>.</w:t>
      </w:r>
      <w:r w:rsidR="006C31D9" w:rsidRPr="00DF1D1C">
        <w:t xml:space="preserve"> </w:t>
      </w:r>
    </w:p>
    <w:p w14:paraId="0425C9DD" w14:textId="0C02CD4F" w:rsidR="00CD4383" w:rsidRPr="00DF1D1C" w:rsidRDefault="00CD4383" w:rsidP="00257641">
      <w:pPr>
        <w:pStyle w:val="Heading3"/>
        <w:rPr>
          <w:noProof w:val="0"/>
        </w:rPr>
      </w:pPr>
      <w:bookmarkStart w:id="54" w:name="_Toc8128983"/>
      <w:r w:rsidRPr="00DF1D1C">
        <w:t>6.</w:t>
      </w:r>
      <w:r w:rsidR="00C60A67">
        <w:t>4</w:t>
      </w:r>
      <w:r w:rsidRPr="00DF1D1C">
        <w:tab/>
      </w:r>
      <w:r w:rsidR="007E4CEA" w:rsidRPr="007E4CEA">
        <w:rPr>
          <w:noProof w:val="0"/>
        </w:rPr>
        <w:t xml:space="preserve">Failure to Meet </w:t>
      </w:r>
      <w:r w:rsidR="009B19C2">
        <w:rPr>
          <w:noProof w:val="0"/>
        </w:rPr>
        <w:t xml:space="preserve">Contract </w:t>
      </w:r>
      <w:r w:rsidR="007E4CEA" w:rsidRPr="007E4CEA">
        <w:rPr>
          <w:noProof w:val="0"/>
        </w:rPr>
        <w:t>Requirements</w:t>
      </w:r>
      <w:bookmarkEnd w:id="54"/>
      <w:r w:rsidR="007E4CEA" w:rsidRPr="007E4CEA">
        <w:rPr>
          <w:noProof w:val="0"/>
        </w:rPr>
        <w:t xml:space="preserve"> </w:t>
      </w:r>
    </w:p>
    <w:p w14:paraId="38BDCA8C" w14:textId="77777777" w:rsidR="00EC3FAE" w:rsidRDefault="00C539EB" w:rsidP="00257641">
      <w:r w:rsidRPr="00C539EB">
        <w:t xml:space="preserve">The </w:t>
      </w:r>
      <w:r>
        <w:t>MCO</w:t>
      </w:r>
      <w:r w:rsidRPr="00C539EB">
        <w:t xml:space="preserve"> </w:t>
      </w:r>
      <w:r>
        <w:t>must</w:t>
      </w:r>
      <w:r w:rsidRPr="00C539EB">
        <w:t xml:space="preserve"> comply with all requirements and performance standards set forth in this </w:t>
      </w:r>
      <w:r w:rsidR="00ED7532">
        <w:t>C</w:t>
      </w:r>
      <w:r w:rsidRPr="00C539EB">
        <w:t>ontract.</w:t>
      </w:r>
      <w:r>
        <w:t xml:space="preserve"> </w:t>
      </w:r>
      <w:r w:rsidR="00693EF0" w:rsidRPr="00693EF0">
        <w:t xml:space="preserve">The </w:t>
      </w:r>
      <w:r w:rsidR="00693EF0">
        <w:t>MCO</w:t>
      </w:r>
      <w:r w:rsidR="00693EF0" w:rsidRPr="00693EF0">
        <w:t xml:space="preserve"> agrees that failure to comp</w:t>
      </w:r>
      <w:r w:rsidR="00ED7532">
        <w:t xml:space="preserve">ly with all provisions of the </w:t>
      </w:r>
      <w:r w:rsidR="009B19C2">
        <w:t xml:space="preserve">Contract </w:t>
      </w:r>
      <w:r w:rsidR="00693EF0" w:rsidRPr="00693EF0">
        <w:t xml:space="preserve">may result in the assessment of </w:t>
      </w:r>
      <w:r w:rsidR="00A102D6">
        <w:t>remedies</w:t>
      </w:r>
      <w:r w:rsidR="00693EF0" w:rsidRPr="00693EF0">
        <w:t xml:space="preserve"> and/or terminat</w:t>
      </w:r>
      <w:r w:rsidR="00ED7532">
        <w:t>ion of the C</w:t>
      </w:r>
      <w:r w:rsidR="00693EF0" w:rsidRPr="00693EF0">
        <w:t>ontract, in whole or in part, in accordance with</w:t>
      </w:r>
      <w:r w:rsidR="00693EF0">
        <w:t xml:space="preserve"> this </w:t>
      </w:r>
      <w:r w:rsidR="003D6C79">
        <w:t>Article</w:t>
      </w:r>
      <w:r w:rsidR="00693EF0" w:rsidRPr="00693EF0">
        <w:t>.</w:t>
      </w:r>
      <w:r w:rsidR="00693EF0">
        <w:t xml:space="preserve"> </w:t>
      </w:r>
      <w:r w:rsidR="00CF7564">
        <w:t xml:space="preserve">The </w:t>
      </w:r>
      <w:r w:rsidR="007E4CEA">
        <w:t>MCO agrees and understands that the Department may pursue contractual remedies for non</w:t>
      </w:r>
      <w:r w:rsidR="00A102D6">
        <w:t>-</w:t>
      </w:r>
      <w:r w:rsidR="003D6C79">
        <w:t>performance</w:t>
      </w:r>
      <w:r w:rsidR="007E4CEA">
        <w:t xml:space="preserve"> </w:t>
      </w:r>
      <w:r w:rsidR="003D6C79">
        <w:t>under</w:t>
      </w:r>
      <w:r w:rsidR="00AC45B4">
        <w:t xml:space="preserve"> the C</w:t>
      </w:r>
      <w:r w:rsidR="007E4CEA">
        <w:t>ontract.</w:t>
      </w:r>
      <w:r w:rsidR="007E4CEA" w:rsidRPr="00DF1D1C">
        <w:t xml:space="preserve"> </w:t>
      </w:r>
      <w:r w:rsidR="007E4CEA">
        <w:t xml:space="preserve">At any time and at its discretion, the </w:t>
      </w:r>
      <w:r w:rsidR="00EC3FAE">
        <w:t>Department may</w:t>
      </w:r>
      <w:r w:rsidR="007E4CEA">
        <w:t xml:space="preserve"> impose or pursue one or more remedies for each item of non</w:t>
      </w:r>
      <w:r w:rsidR="00A909ED">
        <w:t>-</w:t>
      </w:r>
      <w:r w:rsidR="00370043">
        <w:t>performance</w:t>
      </w:r>
      <w:r w:rsidR="007E4CEA">
        <w:t xml:space="preserve"> and will </w:t>
      </w:r>
      <w:r w:rsidR="00C35C8D">
        <w:t>determine remedies</w:t>
      </w:r>
      <w:r w:rsidR="007E4CEA">
        <w:t xml:space="preserve"> on a case-by-case basis.</w:t>
      </w:r>
      <w:r w:rsidR="007E4CEA" w:rsidRPr="00DF1D1C">
        <w:t xml:space="preserve"> </w:t>
      </w:r>
    </w:p>
    <w:p w14:paraId="64103D97" w14:textId="421FBE63" w:rsidR="0076753B" w:rsidRPr="0076753B" w:rsidRDefault="0076753B" w:rsidP="00257641">
      <w:r>
        <w:t>The Department</w:t>
      </w:r>
      <w:r w:rsidRPr="007A4AB7">
        <w:t xml:space="preserve"> </w:t>
      </w:r>
      <w:r>
        <w:t>is</w:t>
      </w:r>
      <w:r w:rsidRPr="007A4AB7">
        <w:t xml:space="preserve"> entitled to monetary damages in the form of actual, consequential, direct, indirect, spec</w:t>
      </w:r>
      <w:r>
        <w:t xml:space="preserve">ial, and/or </w:t>
      </w:r>
      <w:r w:rsidR="001F27A4">
        <w:t>L</w:t>
      </w:r>
      <w:r>
        <w:t xml:space="preserve">iquidated </w:t>
      </w:r>
      <w:r w:rsidR="001F27A4">
        <w:t>D</w:t>
      </w:r>
      <w:r>
        <w:t>amages</w:t>
      </w:r>
      <w:r w:rsidRPr="00A20A0B">
        <w:t xml:space="preserve"> </w:t>
      </w:r>
      <w:r w:rsidRPr="007A4AB7">
        <w:t xml:space="preserve">resulting from </w:t>
      </w:r>
      <w:r w:rsidR="00611F67">
        <w:t xml:space="preserve">the </w:t>
      </w:r>
      <w:r>
        <w:t xml:space="preserve">MCO’s </w:t>
      </w:r>
      <w:r w:rsidR="00A56B2C">
        <w:t xml:space="preserve">non-performance </w:t>
      </w:r>
      <w:r w:rsidR="003D6C79">
        <w:t xml:space="preserve">under </w:t>
      </w:r>
      <w:r w:rsidR="003D6C79" w:rsidRPr="007A4AB7">
        <w:t>this</w:t>
      </w:r>
      <w:r w:rsidR="001C517E">
        <w:t xml:space="preserve"> C</w:t>
      </w:r>
      <w:r>
        <w:t>ontract.</w:t>
      </w:r>
      <w:r w:rsidR="00A56B2C">
        <w:t xml:space="preserve"> </w:t>
      </w:r>
      <w:r w:rsidRPr="007A4AB7">
        <w:t xml:space="preserve">In some cases, the actual damage to the </w:t>
      </w:r>
      <w:r>
        <w:t>Department</w:t>
      </w:r>
      <w:r w:rsidRPr="007A4AB7">
        <w:t xml:space="preserve"> as a result of the </w:t>
      </w:r>
      <w:r>
        <w:t>MCO</w:t>
      </w:r>
      <w:r w:rsidR="00611F67">
        <w:t>’</w:t>
      </w:r>
      <w:r>
        <w:t xml:space="preserve">s </w:t>
      </w:r>
      <w:r w:rsidRPr="007A4AB7">
        <w:lastRenderedPageBreak/>
        <w:t xml:space="preserve">failure to meet any aspect </w:t>
      </w:r>
      <w:r w:rsidR="001C517E">
        <w:t xml:space="preserve">of the responsibilities of the </w:t>
      </w:r>
      <w:r w:rsidR="009B19C2">
        <w:t xml:space="preserve">Contract </w:t>
      </w:r>
      <w:r w:rsidRPr="007A4AB7">
        <w:t>and/or to meet specific performa</w:t>
      </w:r>
      <w:r w:rsidR="001C517E">
        <w:t xml:space="preserve">nce standards set forth in the </w:t>
      </w:r>
      <w:r w:rsidR="009B19C2">
        <w:t xml:space="preserve">Contract </w:t>
      </w:r>
      <w:r w:rsidRPr="007A4AB7">
        <w:t>will be difficult or impossible to d</w:t>
      </w:r>
      <w:r w:rsidR="00395F91">
        <w:t xml:space="preserve">etermine with precise accuracy. </w:t>
      </w:r>
      <w:r w:rsidRPr="007A4AB7">
        <w:t>Therefore, in</w:t>
      </w:r>
      <w:r>
        <w:t xml:space="preserve"> the event of </w:t>
      </w:r>
      <w:r w:rsidR="00A56B2C">
        <w:t xml:space="preserve">non-performance under </w:t>
      </w:r>
      <w:r w:rsidR="001C517E">
        <w:t>this C</w:t>
      </w:r>
      <w:r w:rsidRPr="007A4AB7">
        <w:t xml:space="preserve">ontract, the </w:t>
      </w:r>
      <w:r>
        <w:t>Department</w:t>
      </w:r>
      <w:r w:rsidRPr="007A4AB7">
        <w:t xml:space="preserve"> will impose</w:t>
      </w:r>
      <w:r w:rsidR="00E161C4">
        <w:t>,</w:t>
      </w:r>
      <w:r w:rsidR="00E161C4" w:rsidRPr="000306A6">
        <w:t xml:space="preserve"> </w:t>
      </w:r>
      <w:r w:rsidR="00E161C4" w:rsidRPr="007A4AB7">
        <w:t>in writing</w:t>
      </w:r>
      <w:r w:rsidR="00E161C4">
        <w:t>,</w:t>
      </w:r>
      <w:r w:rsidR="00E161C4" w:rsidRPr="007A4AB7">
        <w:t xml:space="preserve"> </w:t>
      </w:r>
      <w:r w:rsidR="00FA58AB">
        <w:t>L</w:t>
      </w:r>
      <w:r w:rsidRPr="007A4AB7">
        <w:t xml:space="preserve">iquidated </w:t>
      </w:r>
      <w:r w:rsidR="00FA58AB">
        <w:t>D</w:t>
      </w:r>
      <w:r w:rsidRPr="007A4AB7">
        <w:t xml:space="preserve">amages against the </w:t>
      </w:r>
      <w:r>
        <w:t>MCO</w:t>
      </w:r>
      <w:r w:rsidRPr="007A4AB7">
        <w:t xml:space="preserve">. </w:t>
      </w:r>
      <w:r w:rsidR="00E161C4">
        <w:t>T</w:t>
      </w:r>
      <w:r w:rsidRPr="007A4AB7">
        <w:t>he</w:t>
      </w:r>
      <w:r>
        <w:t xml:space="preserve"> Department</w:t>
      </w:r>
      <w:r w:rsidRPr="007A4AB7">
        <w:t xml:space="preserve"> will assess </w:t>
      </w:r>
      <w:r w:rsidR="00FA58AB">
        <w:t>L</w:t>
      </w:r>
      <w:r w:rsidR="00FA58AB" w:rsidRPr="007A4AB7">
        <w:t xml:space="preserve">iquidated </w:t>
      </w:r>
      <w:r w:rsidR="00FA58AB">
        <w:t>D</w:t>
      </w:r>
      <w:r w:rsidR="00FA58AB" w:rsidRPr="007A4AB7">
        <w:t xml:space="preserve">amages </w:t>
      </w:r>
      <w:r w:rsidRPr="007A4AB7">
        <w:t xml:space="preserve">against the </w:t>
      </w:r>
      <w:r>
        <w:t>MCO</w:t>
      </w:r>
      <w:r w:rsidRPr="007A4AB7">
        <w:t xml:space="preserve"> regardless of whether the </w:t>
      </w:r>
      <w:r w:rsidR="00A56B2C" w:rsidRPr="00A56B2C">
        <w:t>non-</w:t>
      </w:r>
      <w:r w:rsidR="00A56B2C">
        <w:t xml:space="preserve">performance </w:t>
      </w:r>
      <w:r w:rsidRPr="007A4AB7">
        <w:t xml:space="preserve">is the fault of the </w:t>
      </w:r>
      <w:r>
        <w:t>MCO</w:t>
      </w:r>
      <w:r w:rsidRPr="007A4AB7">
        <w:t xml:space="preserve"> </w:t>
      </w:r>
      <w:r w:rsidR="00E161C4">
        <w:t>or</w:t>
      </w:r>
      <w:r w:rsidRPr="007A4AB7">
        <w:t xml:space="preserve"> the </w:t>
      </w:r>
      <w:r>
        <w:t>MCO</w:t>
      </w:r>
      <w:r w:rsidR="00CD67C7">
        <w:t>'s S</w:t>
      </w:r>
      <w:r w:rsidRPr="007A4AB7">
        <w:t xml:space="preserve">ubcontractors, agents and/or consultants, provided the </w:t>
      </w:r>
      <w:r>
        <w:t>Department</w:t>
      </w:r>
      <w:r w:rsidRPr="007A4AB7">
        <w:t xml:space="preserve"> has not materially caused or contributed to the </w:t>
      </w:r>
      <w:r w:rsidR="00A56B2C">
        <w:t>non-performance</w:t>
      </w:r>
      <w:r w:rsidRPr="007A4AB7">
        <w:t>.</w:t>
      </w:r>
    </w:p>
    <w:p w14:paraId="5E17B6CD" w14:textId="56D7BCFF" w:rsidR="00AD21FD" w:rsidRDefault="00A102D6" w:rsidP="00257641">
      <w:r w:rsidRPr="00A102D6">
        <w:t xml:space="preserve">The </w:t>
      </w:r>
      <w:r w:rsidR="00FA58AB">
        <w:t>L</w:t>
      </w:r>
      <w:r w:rsidR="00FA58AB" w:rsidRPr="007A4AB7">
        <w:t xml:space="preserve">iquidated </w:t>
      </w:r>
      <w:r w:rsidR="00FA58AB">
        <w:t>D</w:t>
      </w:r>
      <w:r w:rsidR="00FA58AB" w:rsidRPr="007A4AB7">
        <w:t xml:space="preserve">amages </w:t>
      </w:r>
      <w:r w:rsidRPr="00A102D6">
        <w:t xml:space="preserve">prescribed in this </w:t>
      </w:r>
      <w:r w:rsidR="007F667E">
        <w:t>C</w:t>
      </w:r>
      <w:r>
        <w:t>ontract</w:t>
      </w:r>
      <w:r w:rsidRPr="00A102D6">
        <w:t xml:space="preserve"> are not intended to be in the nature of a penalty, but are intended to be reasonable estimates of the </w:t>
      </w:r>
      <w:r>
        <w:t>Department’s</w:t>
      </w:r>
      <w:r w:rsidRPr="00A102D6">
        <w:t xml:space="preserve"> projected financial loss and damage resulting from the </w:t>
      </w:r>
      <w:r>
        <w:t>MCO’s</w:t>
      </w:r>
      <w:r w:rsidRPr="00A102D6">
        <w:t xml:space="preserve"> non</w:t>
      </w:r>
      <w:r>
        <w:t>-</w:t>
      </w:r>
      <w:r w:rsidRPr="00A102D6">
        <w:t xml:space="preserve">performance. Accordingly, in the event the </w:t>
      </w:r>
      <w:r>
        <w:t>MCO</w:t>
      </w:r>
      <w:r w:rsidRPr="00A102D6">
        <w:t xml:space="preserve"> fails to </w:t>
      </w:r>
      <w:r>
        <w:t xml:space="preserve">perform in accordance with the </w:t>
      </w:r>
      <w:r w:rsidR="00CD67C7">
        <w:t>C</w:t>
      </w:r>
      <w:r w:rsidRPr="00A102D6">
        <w:t xml:space="preserve">ontract, the </w:t>
      </w:r>
      <w:r>
        <w:t>Department</w:t>
      </w:r>
      <w:r w:rsidRPr="00A102D6">
        <w:t xml:space="preserve"> may assess </w:t>
      </w:r>
      <w:r w:rsidR="00FA58AB">
        <w:t>L</w:t>
      </w:r>
      <w:r w:rsidR="00FA58AB" w:rsidRPr="007A4AB7">
        <w:t xml:space="preserve">iquidated </w:t>
      </w:r>
      <w:r w:rsidR="00FA58AB">
        <w:t>D</w:t>
      </w:r>
      <w:r w:rsidR="00FA58AB" w:rsidRPr="007A4AB7">
        <w:t xml:space="preserve">amages </w:t>
      </w:r>
      <w:r w:rsidRPr="00A102D6">
        <w:t xml:space="preserve">as provided in this </w:t>
      </w:r>
      <w:r w:rsidR="003D6C79">
        <w:t>S</w:t>
      </w:r>
      <w:r w:rsidRPr="00A102D6">
        <w:t>ection</w:t>
      </w:r>
      <w:r>
        <w:t xml:space="preserve"> and in </w:t>
      </w:r>
      <w:r w:rsidR="00F33B38">
        <w:t>Appendix</w:t>
      </w:r>
      <w:r w:rsidR="00A068C2">
        <w:t xml:space="preserve"> </w:t>
      </w:r>
      <w:r w:rsidR="00B478A6">
        <w:t>F</w:t>
      </w:r>
      <w:r w:rsidR="00A068C2">
        <w:t xml:space="preserve"> of this C</w:t>
      </w:r>
      <w:r>
        <w:t>ontract</w:t>
      </w:r>
      <w:r w:rsidRPr="00A102D6">
        <w:t>.</w:t>
      </w:r>
      <w:r w:rsidR="00DB184A">
        <w:t xml:space="preserve"> Monetary penalties imposed under this </w:t>
      </w:r>
      <w:r w:rsidR="009B19C2">
        <w:t xml:space="preserve">Contract </w:t>
      </w:r>
      <w:r w:rsidR="00DB184A">
        <w:t>will not exceed the amounts established under 42 CFR §438.704.</w:t>
      </w:r>
    </w:p>
    <w:p w14:paraId="4ECCB45B" w14:textId="143B0489" w:rsidR="00A102D6" w:rsidRDefault="0008166E" w:rsidP="00257641">
      <w:r w:rsidRPr="0008166E">
        <w:t xml:space="preserve">Any </w:t>
      </w:r>
      <w:r w:rsidR="00FA58AB">
        <w:t>L</w:t>
      </w:r>
      <w:r w:rsidR="00FA58AB" w:rsidRPr="007A4AB7">
        <w:t xml:space="preserve">iquidated </w:t>
      </w:r>
      <w:r w:rsidR="00FA58AB">
        <w:t>D</w:t>
      </w:r>
      <w:r w:rsidR="00FA58AB" w:rsidRPr="007A4AB7">
        <w:t xml:space="preserve">amages </w:t>
      </w:r>
      <w:r w:rsidRPr="0008166E">
        <w:t xml:space="preserve">assessed by the </w:t>
      </w:r>
      <w:r>
        <w:t>Department</w:t>
      </w:r>
      <w:r w:rsidRPr="0008166E">
        <w:t xml:space="preserve"> </w:t>
      </w:r>
      <w:r w:rsidR="006B136A">
        <w:t>will</w:t>
      </w:r>
      <w:r w:rsidRPr="0008166E">
        <w:t xml:space="preserve"> be due and payable within thirty (30) calendar days after the </w:t>
      </w:r>
      <w:r>
        <w:t xml:space="preserve">MCO’s </w:t>
      </w:r>
      <w:r w:rsidRPr="0008166E">
        <w:t>receipt of the notice of damages, regardless of any dispute in the amount or interpretation which led to the notice</w:t>
      </w:r>
      <w:r w:rsidR="00E13567">
        <w:t>,</w:t>
      </w:r>
      <w:r w:rsidR="00FA58AB">
        <w:t xml:space="preserve"> or an appeal of the notice filed by the MCO</w:t>
      </w:r>
      <w:r>
        <w:t>.</w:t>
      </w:r>
      <w:r w:rsidR="00AD21FD">
        <w:t xml:space="preserve"> If MCO fails to pay assessed damages within</w:t>
      </w:r>
      <w:r w:rsidR="00A46B93">
        <w:t xml:space="preserve"> thirty</w:t>
      </w:r>
      <w:r w:rsidR="00AD21FD">
        <w:t xml:space="preserve"> </w:t>
      </w:r>
      <w:r w:rsidR="00A46B93">
        <w:t>(</w:t>
      </w:r>
      <w:r w:rsidR="00AD21FD">
        <w:t>30</w:t>
      </w:r>
      <w:r w:rsidR="00A46B93">
        <w:t>)</w:t>
      </w:r>
      <w:r w:rsidR="00AD21FD">
        <w:t xml:space="preserve"> </w:t>
      </w:r>
      <w:r w:rsidR="008F7061">
        <w:t xml:space="preserve">calendar </w:t>
      </w:r>
      <w:r w:rsidR="00AD21FD">
        <w:t xml:space="preserve">days, the amount of damages will be </w:t>
      </w:r>
      <w:r w:rsidR="00AD21FD" w:rsidRPr="00AD21FD">
        <w:t>deduct</w:t>
      </w:r>
      <w:r w:rsidR="00AD21FD">
        <w:t>ed</w:t>
      </w:r>
      <w:r w:rsidR="00AD21FD" w:rsidRPr="00AD21FD">
        <w:t xml:space="preserve"> </w:t>
      </w:r>
      <w:r w:rsidR="00AD21FD">
        <w:t xml:space="preserve">against capitation payments </w:t>
      </w:r>
      <w:r w:rsidR="00AD21FD" w:rsidRPr="00AD21FD">
        <w:t>due to</w:t>
      </w:r>
      <w:r w:rsidR="00E918F0">
        <w:t xml:space="preserve"> the</w:t>
      </w:r>
      <w:r w:rsidR="00AD21FD" w:rsidRPr="00AD21FD">
        <w:t xml:space="preserve"> MCO or that become due at any time after assessment of the </w:t>
      </w:r>
      <w:r w:rsidR="00FE45AF">
        <w:t>L</w:t>
      </w:r>
      <w:r w:rsidR="00FE45AF" w:rsidRPr="007A4AB7">
        <w:t xml:space="preserve">iquidated </w:t>
      </w:r>
      <w:r w:rsidR="00FE45AF">
        <w:t>D</w:t>
      </w:r>
      <w:r w:rsidR="00FE45AF" w:rsidRPr="007A4AB7">
        <w:t>amages</w:t>
      </w:r>
      <w:r w:rsidR="00AD21FD" w:rsidRPr="00AD21FD">
        <w:t xml:space="preserve">. </w:t>
      </w:r>
      <w:r w:rsidR="00AD21FD">
        <w:t>The Department</w:t>
      </w:r>
      <w:r w:rsidR="00AD21FD" w:rsidRPr="00AD21FD">
        <w:t xml:space="preserve"> will make deductions until the full amount pa</w:t>
      </w:r>
      <w:r w:rsidR="00AD21FD">
        <w:t>yable by the MCO is collected</w:t>
      </w:r>
      <w:r w:rsidR="00AD21FD" w:rsidRPr="00AD21FD">
        <w:t>.</w:t>
      </w:r>
      <w:r w:rsidR="001F414D">
        <w:t xml:space="preserve"> </w:t>
      </w:r>
      <w:r w:rsidR="001F414D" w:rsidRPr="001F414D">
        <w:t xml:space="preserve">All </w:t>
      </w:r>
      <w:r w:rsidR="00FE45AF">
        <w:t>L</w:t>
      </w:r>
      <w:r w:rsidR="00FE45AF" w:rsidRPr="007A4AB7">
        <w:t xml:space="preserve">iquidated </w:t>
      </w:r>
      <w:r w:rsidR="00FE45AF">
        <w:t>D</w:t>
      </w:r>
      <w:r w:rsidR="00FE45AF" w:rsidRPr="007A4AB7">
        <w:t xml:space="preserve">amages </w:t>
      </w:r>
      <w:r w:rsidR="001F414D" w:rsidRPr="001F414D">
        <w:t>imposed pursu</w:t>
      </w:r>
      <w:r w:rsidR="00B81373">
        <w:t>ant to this C</w:t>
      </w:r>
      <w:r w:rsidR="001F414D" w:rsidRPr="001F414D">
        <w:t>ont</w:t>
      </w:r>
      <w:r w:rsidR="001F414D">
        <w:t>ract, whether paid or due, must</w:t>
      </w:r>
      <w:r w:rsidR="001F414D" w:rsidRPr="001F414D">
        <w:t xml:space="preserve"> be paid by the </w:t>
      </w:r>
      <w:r w:rsidR="001F414D">
        <w:t>MCO</w:t>
      </w:r>
      <w:r w:rsidR="001F414D" w:rsidRPr="001F414D">
        <w:t xml:space="preserve"> out of administrative costs and profits.</w:t>
      </w:r>
    </w:p>
    <w:p w14:paraId="1E2FF7C1" w14:textId="77777777" w:rsidR="00DD303A" w:rsidRDefault="00B17F9D" w:rsidP="00257641">
      <w:r>
        <w:t>Per 42 CFR 438.704</w:t>
      </w:r>
      <w:r w:rsidR="00DA12FC">
        <w:t>(c), i</w:t>
      </w:r>
      <w:r w:rsidR="00DD303A">
        <w:t>f the Department imposes Liquidated Damages on the MCO</w:t>
      </w:r>
      <w:r w:rsidR="00DD303A" w:rsidRPr="00DD303A">
        <w:t xml:space="preserve"> for charging premiums or charges in excess of the </w:t>
      </w:r>
      <w:r w:rsidR="00DD303A">
        <w:t>amounts permitted under the Contract,</w:t>
      </w:r>
      <w:r w:rsidR="00DD303A" w:rsidRPr="00DD303A">
        <w:t xml:space="preserve"> th</w:t>
      </w:r>
      <w:r w:rsidR="00DD303A">
        <w:t>e Department will deduct</w:t>
      </w:r>
      <w:r w:rsidR="00DD303A" w:rsidRPr="00DD303A">
        <w:t xml:space="preserve"> the amount of</w:t>
      </w:r>
      <w:r w:rsidR="00DD303A">
        <w:t xml:space="preserve"> the overcharge from the Liquidated Damage and return</w:t>
      </w:r>
      <w:r w:rsidR="00DD303A" w:rsidRPr="00DD303A">
        <w:t xml:space="preserve"> it to the affected enrollee.</w:t>
      </w:r>
    </w:p>
    <w:p w14:paraId="314061C9" w14:textId="77777777" w:rsidR="00F31DDB" w:rsidRPr="00F31DDB" w:rsidRDefault="00F31DDB" w:rsidP="00257641">
      <w:r w:rsidRPr="00F31DDB">
        <w:t xml:space="preserve">If at any time </w:t>
      </w:r>
      <w:r>
        <w:t>the Department</w:t>
      </w:r>
      <w:r w:rsidRPr="00F31DDB">
        <w:t xml:space="preserve"> determines the MCO has not met any aspect </w:t>
      </w:r>
      <w:r w:rsidR="00AC45B4">
        <w:t xml:space="preserve">of the responsibilities of the </w:t>
      </w:r>
      <w:r w:rsidR="009B19C2">
        <w:t xml:space="preserve">Contract </w:t>
      </w:r>
      <w:r w:rsidRPr="00F31DDB">
        <w:t xml:space="preserve">and/or the specific performance standards due to mitigating circumstances, </w:t>
      </w:r>
      <w:r>
        <w:t>the Department</w:t>
      </w:r>
      <w:r w:rsidRPr="00F31DDB">
        <w:t xml:space="preserve"> reserves the right to waive all or part of the </w:t>
      </w:r>
      <w:r w:rsidR="00C677EA">
        <w:t>L</w:t>
      </w:r>
      <w:r w:rsidR="00C677EA" w:rsidRPr="007A4AB7">
        <w:t xml:space="preserve">iquidated </w:t>
      </w:r>
      <w:r w:rsidR="00C677EA">
        <w:t>D</w:t>
      </w:r>
      <w:r w:rsidR="00C677EA" w:rsidRPr="007A4AB7">
        <w:t>amages</w:t>
      </w:r>
      <w:r w:rsidRPr="00F31DDB">
        <w:t xml:space="preserve">. All such waivers must be in writing, contain the reasons for the waiver, and </w:t>
      </w:r>
      <w:r w:rsidR="00611F67">
        <w:t xml:space="preserve">be </w:t>
      </w:r>
      <w:r w:rsidRPr="00F31DDB">
        <w:t xml:space="preserve">signed by the </w:t>
      </w:r>
      <w:r>
        <w:t>representative of the Department</w:t>
      </w:r>
      <w:r w:rsidRPr="00F31DDB">
        <w:t>.</w:t>
      </w:r>
    </w:p>
    <w:p w14:paraId="0DF4181E" w14:textId="77777777" w:rsidR="00AC45B4" w:rsidRDefault="00547B23" w:rsidP="00257641">
      <w:r>
        <w:t>Neither the occurrence of an event constituting an alleg</w:t>
      </w:r>
      <w:r w:rsidR="00AC45B4">
        <w:t xml:space="preserve">ed MCO non-performance of this </w:t>
      </w:r>
      <w:r w:rsidR="009B19C2">
        <w:t xml:space="preserve">Contract </w:t>
      </w:r>
      <w:r>
        <w:t>nor the pending status of an</w:t>
      </w:r>
      <w:r w:rsidR="00AC45B4">
        <w:t xml:space="preserve">y claim for non-performance of </w:t>
      </w:r>
      <w:r w:rsidR="009B19C2">
        <w:t xml:space="preserve">Contract </w:t>
      </w:r>
      <w:r>
        <w:t xml:space="preserve">is grounds for the suspension of performance, in whole or in part, by </w:t>
      </w:r>
      <w:r w:rsidR="00611F67">
        <w:t xml:space="preserve">the </w:t>
      </w:r>
      <w:r>
        <w:t>MCO of any duty or obligation with respect to the p</w:t>
      </w:r>
      <w:r w:rsidR="00AC45B4">
        <w:t>erformance of this C</w:t>
      </w:r>
      <w:r>
        <w:t xml:space="preserve">ontract. </w:t>
      </w:r>
    </w:p>
    <w:p w14:paraId="684DDDEF" w14:textId="77777777" w:rsidR="00547B23" w:rsidRDefault="00AF1067" w:rsidP="00257641">
      <w:r>
        <w:t xml:space="preserve">The </w:t>
      </w:r>
      <w:r w:rsidR="00AC45B4" w:rsidRPr="00AC45B4">
        <w:t xml:space="preserve">MCO is responsible for any </w:t>
      </w:r>
      <w:r w:rsidR="00AC45B4">
        <w:t xml:space="preserve">damages, </w:t>
      </w:r>
      <w:r w:rsidR="00AC45B4" w:rsidRPr="00AC45B4">
        <w:t>penalties, or disallowances imposed on the State or MCO arising from any non</w:t>
      </w:r>
      <w:r w:rsidR="00AC45B4">
        <w:t>-</w:t>
      </w:r>
      <w:r w:rsidR="00AC45B4" w:rsidRPr="00AC45B4">
        <w:t xml:space="preserve">compliance </w:t>
      </w:r>
      <w:r w:rsidR="00AC45B4">
        <w:t xml:space="preserve">or non-performance </w:t>
      </w:r>
      <w:r w:rsidR="00AC45B4" w:rsidRPr="00AC45B4">
        <w:t>r</w:t>
      </w:r>
      <w:r w:rsidR="00AC45B4">
        <w:t>elated to the delivery of the covered services or d</w:t>
      </w:r>
      <w:r w:rsidR="00AC45B4" w:rsidRPr="00AC45B4">
        <w:t xml:space="preserve">eliverables </w:t>
      </w:r>
      <w:r w:rsidR="00AC45B4">
        <w:t xml:space="preserve">under this </w:t>
      </w:r>
      <w:r w:rsidR="009B19C2">
        <w:t xml:space="preserve">Contract </w:t>
      </w:r>
      <w:r w:rsidR="00AC45B4" w:rsidRPr="00AC45B4">
        <w:t>by the MCO, its Subcontractors or agents.</w:t>
      </w:r>
    </w:p>
    <w:p w14:paraId="0E480C05" w14:textId="318B8BFA" w:rsidR="004530DF" w:rsidRDefault="004530DF" w:rsidP="00257641">
      <w:pPr>
        <w:pStyle w:val="Heading3"/>
      </w:pPr>
      <w:bookmarkStart w:id="55" w:name="_Toc8128984"/>
      <w:r>
        <w:t>6.</w:t>
      </w:r>
      <w:r w:rsidR="00C60A67">
        <w:t>5</w:t>
      </w:r>
      <w:r w:rsidR="00551F8A">
        <w:tab/>
      </w:r>
      <w:r>
        <w:t>Temporary Management</w:t>
      </w:r>
      <w:bookmarkEnd w:id="55"/>
      <w:r>
        <w:t xml:space="preserve"> </w:t>
      </w:r>
    </w:p>
    <w:p w14:paraId="7D01C865" w14:textId="77777777" w:rsidR="00A65F25" w:rsidRPr="00DF1D1C" w:rsidRDefault="00373318" w:rsidP="00257641">
      <w:r>
        <w:t>T</w:t>
      </w:r>
      <w:r w:rsidR="00F74558" w:rsidRPr="00DF1D1C">
        <w:t xml:space="preserve">he State </w:t>
      </w:r>
      <w:r w:rsidR="00DB184A">
        <w:t>must</w:t>
      </w:r>
      <w:r w:rsidR="00B359AE">
        <w:t xml:space="preserve"> </w:t>
      </w:r>
      <w:r w:rsidR="005237BB">
        <w:t>appoint</w:t>
      </w:r>
      <w:r w:rsidR="006E458B" w:rsidRPr="00DF1D1C">
        <w:t xml:space="preserve"> temporary management</w:t>
      </w:r>
      <w:r w:rsidR="00F74558" w:rsidRPr="00DF1D1C">
        <w:t xml:space="preserve"> </w:t>
      </w:r>
      <w:r w:rsidR="00B359AE">
        <w:t>as a remedy</w:t>
      </w:r>
      <w:r w:rsidR="00A11178">
        <w:t xml:space="preserve"> under the circumstances described in 42 CFR 438.706</w:t>
      </w:r>
      <w:r w:rsidR="00536421">
        <w:t xml:space="preserve"> and 42 CFR 438.704</w:t>
      </w:r>
      <w:r w:rsidR="00A11178">
        <w:t>, if</w:t>
      </w:r>
      <w:r w:rsidR="00A11178" w:rsidRPr="00DF1D1C">
        <w:t xml:space="preserve"> </w:t>
      </w:r>
      <w:r w:rsidR="00F74558" w:rsidRPr="00DF1D1C">
        <w:t>the State determine</w:t>
      </w:r>
      <w:r w:rsidR="00A11178">
        <w:t>s</w:t>
      </w:r>
      <w:r w:rsidR="00F74558" w:rsidRPr="00DF1D1C">
        <w:t xml:space="preserve"> that the MCO has repeated</w:t>
      </w:r>
      <w:r w:rsidR="00083F60" w:rsidRPr="00DF1D1C">
        <w:t>ly</w:t>
      </w:r>
      <w:r w:rsidR="00F74558" w:rsidRPr="00DF1D1C">
        <w:t xml:space="preserve"> </w:t>
      </w:r>
      <w:r w:rsidR="00F74558" w:rsidRPr="00DF1D1C">
        <w:lastRenderedPageBreak/>
        <w:t>failed to meet the substantive requirements in Sections 1903(m) or 1932 of the Social Security Act and that the continued operation of the MCO would be hazardous to enrollees</w:t>
      </w:r>
      <w:r w:rsidR="00A11178">
        <w:t>. T</w:t>
      </w:r>
      <w:r w:rsidR="00F74558" w:rsidRPr="00DF1D1C">
        <w:t>he Commissioner of</w:t>
      </w:r>
      <w:r w:rsidR="001F3B0D">
        <w:t xml:space="preserve"> the</w:t>
      </w:r>
      <w:r w:rsidR="00012EFE" w:rsidRPr="00012EFE">
        <w:t xml:space="preserve"> </w:t>
      </w:r>
      <w:r w:rsidR="00012EFE">
        <w:t>Offices of the Insurance Commissioner</w:t>
      </w:r>
      <w:r w:rsidR="001F3B0D">
        <w:t xml:space="preserve"> wil</w:t>
      </w:r>
      <w:r w:rsidR="00F74558" w:rsidRPr="00DF1D1C">
        <w:t xml:space="preserve">l be responsible for the imposition of such </w:t>
      </w:r>
      <w:r w:rsidR="00A11178">
        <w:t>remedy</w:t>
      </w:r>
      <w:r w:rsidR="00F74558" w:rsidRPr="00DF1D1C">
        <w:t xml:space="preserve"> as set forth in Section 33-25A-19 of the West Virginia HMO Act of 1977</w:t>
      </w:r>
      <w:r w:rsidR="0078080B" w:rsidRPr="00DF1D1C">
        <w:t xml:space="preserve">. </w:t>
      </w:r>
      <w:r w:rsidR="00F74558" w:rsidRPr="00DF1D1C">
        <w:t xml:space="preserve">If </w:t>
      </w:r>
      <w:r w:rsidR="00A11178">
        <w:t>temporary management</w:t>
      </w:r>
      <w:r w:rsidR="00F74558" w:rsidRPr="00DF1D1C">
        <w:t xml:space="preserve"> </w:t>
      </w:r>
      <w:r w:rsidR="006E458B" w:rsidRPr="00DF1D1C">
        <w:t>is</w:t>
      </w:r>
      <w:r w:rsidR="00F74558" w:rsidRPr="00DF1D1C">
        <w:t xml:space="preserve"> imposed, </w:t>
      </w:r>
      <w:r w:rsidR="003D227B" w:rsidRPr="00DF1D1C">
        <w:t xml:space="preserve">the </w:t>
      </w:r>
      <w:r w:rsidR="00F74558" w:rsidRPr="00DF1D1C">
        <w:t>S</w:t>
      </w:r>
      <w:r w:rsidR="003D227B" w:rsidRPr="00DF1D1C">
        <w:t xml:space="preserve">tate </w:t>
      </w:r>
      <w:r w:rsidR="001F3B0D">
        <w:t>will</w:t>
      </w:r>
      <w:r w:rsidR="003D227B" w:rsidRPr="00DF1D1C">
        <w:t xml:space="preserve"> notify enrollees of their right to terminate enrollment in the MCO</w:t>
      </w:r>
      <w:r w:rsidR="00F74558" w:rsidRPr="00DF1D1C">
        <w:t>.</w:t>
      </w:r>
      <w:r w:rsidR="006F02D9" w:rsidRPr="00DF1D1C">
        <w:t xml:space="preserve"> </w:t>
      </w:r>
    </w:p>
    <w:p w14:paraId="4871CDD1" w14:textId="4BD4CC17" w:rsidR="002F3E59" w:rsidRPr="00DF1D1C" w:rsidRDefault="00A11178" w:rsidP="00257641">
      <w:r>
        <w:t>T</w:t>
      </w:r>
      <w:r w:rsidR="002F3E59" w:rsidRPr="00DF1D1C">
        <w:t xml:space="preserve">he State may terminate </w:t>
      </w:r>
      <w:r w:rsidR="00A068C2">
        <w:t xml:space="preserve">the </w:t>
      </w:r>
      <w:r w:rsidR="009B19C2">
        <w:t xml:space="preserve">Contract </w:t>
      </w:r>
      <w:r w:rsidR="002F3E59" w:rsidRPr="00DF1D1C">
        <w:t>and provide their</w:t>
      </w:r>
      <w:r w:rsidR="00093522">
        <w:t xml:space="preserve"> enrollees’</w:t>
      </w:r>
      <w:r w:rsidR="002F3E59" w:rsidRPr="00DF1D1C">
        <w:t xml:space="preserve"> Medicaid benefits through other options included in the State </w:t>
      </w:r>
      <w:r w:rsidR="00AC37F1" w:rsidRPr="00DF1D1C">
        <w:t>P</w:t>
      </w:r>
      <w:r w:rsidR="002F3E59" w:rsidRPr="00DF1D1C">
        <w:t>lan</w:t>
      </w:r>
      <w:r>
        <w:t>.</w:t>
      </w:r>
    </w:p>
    <w:p w14:paraId="50F19FF8" w14:textId="6456F967" w:rsidR="00CD4383" w:rsidRDefault="00CD4383" w:rsidP="00257641">
      <w:r w:rsidRPr="00DF1D1C">
        <w:t>Nothing precludes the Department</w:t>
      </w:r>
      <w:r w:rsidR="00FA1C0C" w:rsidRPr="00DF1D1C">
        <w:t>’</w:t>
      </w:r>
      <w:r w:rsidRPr="00DF1D1C">
        <w:t xml:space="preserve">s right to </w:t>
      </w:r>
      <w:r w:rsidR="005237BB">
        <w:t>appoint temporary management</w:t>
      </w:r>
      <w:r w:rsidRPr="00DF1D1C">
        <w:t xml:space="preserve"> during the time in which the </w:t>
      </w:r>
      <w:r w:rsidR="0073202A">
        <w:t>MCO</w:t>
      </w:r>
      <w:r w:rsidRPr="00DF1D1C">
        <w:t xml:space="preserve"> is remedying the condition(s) or while an appeal requested by the </w:t>
      </w:r>
      <w:r w:rsidR="0073202A">
        <w:t>MCO</w:t>
      </w:r>
      <w:r w:rsidRPr="00DF1D1C">
        <w:t xml:space="preserve"> is pending</w:t>
      </w:r>
      <w:r w:rsidR="0078080B" w:rsidRPr="00DF1D1C">
        <w:t xml:space="preserve">. </w:t>
      </w:r>
      <w:r w:rsidRPr="00DF1D1C">
        <w:t xml:space="preserve">However, before any </w:t>
      </w:r>
      <w:r w:rsidR="005237BB">
        <w:t>temporary management is appointed</w:t>
      </w:r>
      <w:r w:rsidRPr="00DF1D1C">
        <w:t xml:space="preserve">, the Department will notify, in writing, the </w:t>
      </w:r>
      <w:r w:rsidR="0073202A">
        <w:t>MCO</w:t>
      </w:r>
      <w:r w:rsidRPr="00DF1D1C">
        <w:t xml:space="preserve"> of the specific </w:t>
      </w:r>
      <w:r w:rsidR="005237BB">
        <w:t>non-performance</w:t>
      </w:r>
      <w:r w:rsidR="00AC37F1" w:rsidRPr="00DF1D1C">
        <w:t>. Within ten</w:t>
      </w:r>
      <w:r w:rsidRPr="00DF1D1C">
        <w:t xml:space="preserve"> </w:t>
      </w:r>
      <w:r w:rsidR="00F3479E">
        <w:t>(10) business</w:t>
      </w:r>
      <w:r w:rsidR="00F3479E" w:rsidRPr="00DF1D1C">
        <w:t xml:space="preserve"> </w:t>
      </w:r>
      <w:r w:rsidRPr="00DF1D1C">
        <w:t xml:space="preserve">days of receipt of this written notification, the </w:t>
      </w:r>
      <w:r w:rsidR="0073202A">
        <w:t>MCO</w:t>
      </w:r>
      <w:r w:rsidRPr="00DF1D1C">
        <w:t xml:space="preserve"> will forward a plan to remedy this </w:t>
      </w:r>
      <w:r w:rsidR="005237BB">
        <w:t>non-performance</w:t>
      </w:r>
      <w:r w:rsidR="005237BB" w:rsidRPr="00DF1D1C">
        <w:t xml:space="preserve"> </w:t>
      </w:r>
      <w:r w:rsidRPr="00DF1D1C">
        <w:t xml:space="preserve">to the Department. The Department will, as soon as possible, notify the </w:t>
      </w:r>
      <w:r w:rsidR="0073202A">
        <w:t>MCO</w:t>
      </w:r>
      <w:r w:rsidRPr="00DF1D1C">
        <w:t xml:space="preserve"> whether it agrees to the plan, and if so, the </w:t>
      </w:r>
      <w:r w:rsidR="0073202A">
        <w:t>MCO</w:t>
      </w:r>
      <w:r w:rsidRPr="00DF1D1C">
        <w:t xml:space="preserve"> will immediately begin to remedy the </w:t>
      </w:r>
      <w:r w:rsidR="005237BB">
        <w:t>non-performance</w:t>
      </w:r>
      <w:r w:rsidR="005237BB" w:rsidRPr="00DF1D1C">
        <w:t xml:space="preserve"> </w:t>
      </w:r>
      <w:r w:rsidRPr="00DF1D1C">
        <w:t xml:space="preserve">in accordance with the plan, and will have </w:t>
      </w:r>
      <w:r w:rsidR="00C53314">
        <w:t>fifteen (</w:t>
      </w:r>
      <w:r w:rsidRPr="00DF1D1C">
        <w:t>15</w:t>
      </w:r>
      <w:r w:rsidR="00C53314">
        <w:t>)</w:t>
      </w:r>
      <w:r w:rsidRPr="00DF1D1C">
        <w:t xml:space="preserve"> </w:t>
      </w:r>
      <w:r w:rsidR="00F3479E">
        <w:t>business</w:t>
      </w:r>
      <w:r w:rsidR="00F3479E" w:rsidRPr="00DF1D1C">
        <w:t xml:space="preserve"> </w:t>
      </w:r>
      <w:r w:rsidRPr="00DF1D1C">
        <w:t>days to do s</w:t>
      </w:r>
      <w:r w:rsidR="00AC37F1" w:rsidRPr="00DF1D1C">
        <w:t>o</w:t>
      </w:r>
      <w:r w:rsidRPr="00DF1D1C">
        <w:t xml:space="preserve">. If the plan is not accepted, such reasons </w:t>
      </w:r>
      <w:r w:rsidR="001F3B0D">
        <w:t>wil</w:t>
      </w:r>
      <w:r w:rsidRPr="00DF1D1C">
        <w:t xml:space="preserve">l be given, and the </w:t>
      </w:r>
      <w:r w:rsidR="0073202A">
        <w:t>MCO</w:t>
      </w:r>
      <w:r w:rsidRPr="00DF1D1C">
        <w:t xml:space="preserve"> will revise the plan to reflect the Department</w:t>
      </w:r>
      <w:r w:rsidR="00FA1C0C" w:rsidRPr="00DF1D1C">
        <w:t>’</w:t>
      </w:r>
      <w:r w:rsidRPr="00DF1D1C">
        <w:t xml:space="preserve">s changes, and then will resubmit and then will immediately begin to remedy the </w:t>
      </w:r>
      <w:r w:rsidR="005237BB">
        <w:t>non-performance</w:t>
      </w:r>
      <w:r w:rsidR="005237BB" w:rsidRPr="00DF1D1C">
        <w:t xml:space="preserve"> </w:t>
      </w:r>
      <w:r w:rsidRPr="00DF1D1C">
        <w:t>and will have</w:t>
      </w:r>
      <w:r w:rsidR="002A0591">
        <w:t xml:space="preserve"> fifteen</w:t>
      </w:r>
      <w:r w:rsidRPr="00DF1D1C">
        <w:t xml:space="preserve"> </w:t>
      </w:r>
      <w:r w:rsidR="002A0591">
        <w:t>(</w:t>
      </w:r>
      <w:r w:rsidRPr="00DF1D1C">
        <w:t>15</w:t>
      </w:r>
      <w:r w:rsidR="002A0591">
        <w:t>)</w:t>
      </w:r>
      <w:r w:rsidRPr="00DF1D1C">
        <w:t xml:space="preserve"> </w:t>
      </w:r>
      <w:r w:rsidR="00F3479E">
        <w:t>business</w:t>
      </w:r>
      <w:r w:rsidR="00F3479E" w:rsidRPr="00DF1D1C">
        <w:t xml:space="preserve"> </w:t>
      </w:r>
      <w:r w:rsidRPr="00DF1D1C">
        <w:t>days to do s</w:t>
      </w:r>
      <w:r w:rsidR="00AC37F1" w:rsidRPr="00DF1D1C">
        <w:t>o</w:t>
      </w:r>
      <w:r w:rsidRPr="00DF1D1C">
        <w:t>.</w:t>
      </w:r>
    </w:p>
    <w:p w14:paraId="6092CD26" w14:textId="2038B8E8" w:rsidR="00CD4383" w:rsidRPr="00DF1D1C" w:rsidRDefault="00CD4383" w:rsidP="00257641">
      <w:pPr>
        <w:pStyle w:val="Heading3"/>
      </w:pPr>
      <w:bookmarkStart w:id="56" w:name="_Toc8128985"/>
      <w:r w:rsidRPr="00DF1D1C">
        <w:t>6.</w:t>
      </w:r>
      <w:r w:rsidR="00C60A67">
        <w:t>6</w:t>
      </w:r>
      <w:r w:rsidR="00A26078" w:rsidRPr="00DF1D1C">
        <w:t xml:space="preserve"> </w:t>
      </w:r>
      <w:r w:rsidRPr="00DF1D1C">
        <w:tab/>
        <w:t>Suspension of New Enrollment</w:t>
      </w:r>
      <w:bookmarkEnd w:id="56"/>
    </w:p>
    <w:p w14:paraId="7AD525C2" w14:textId="6456F944" w:rsidR="00CD4383" w:rsidRPr="00DF1D1C" w:rsidRDefault="00CD4383" w:rsidP="00257641">
      <w:r w:rsidRPr="00DF1D1C">
        <w:t>Whenever the Department determines</w:t>
      </w:r>
      <w:r w:rsidR="00547B23">
        <w:t xml:space="preserve"> non-per</w:t>
      </w:r>
      <w:r w:rsidR="00775130">
        <w:t>formance by the MCO under this C</w:t>
      </w:r>
      <w:r w:rsidR="00547B23">
        <w:t>ontract</w:t>
      </w:r>
      <w:r w:rsidRPr="00DF1D1C">
        <w:t xml:space="preserve">, the Department may suspend enrollment of new enrollees </w:t>
      </w:r>
      <w:r w:rsidR="00DA756B">
        <w:t xml:space="preserve">into the MCO </w:t>
      </w:r>
      <w:r w:rsidR="00775130">
        <w:t>under this C</w:t>
      </w:r>
      <w:r w:rsidRPr="00DF1D1C">
        <w:t xml:space="preserve">ontract. The Department, when exercising this option, must notify the </w:t>
      </w:r>
      <w:r w:rsidR="0073202A">
        <w:t>MCO</w:t>
      </w:r>
      <w:r w:rsidRPr="00DF1D1C">
        <w:t xml:space="preserve"> in writing of its intent to s</w:t>
      </w:r>
      <w:r w:rsidR="000E442F" w:rsidRPr="00DF1D1C">
        <w:t>uspend new enrollment at least ten</w:t>
      </w:r>
      <w:r w:rsidRPr="00DF1D1C">
        <w:t xml:space="preserve"> </w:t>
      </w:r>
      <w:r w:rsidR="00BF1752">
        <w:t xml:space="preserve">(10) </w:t>
      </w:r>
      <w:r w:rsidR="00F3479E">
        <w:t>business</w:t>
      </w:r>
      <w:r w:rsidR="00F3479E" w:rsidRPr="00DF1D1C">
        <w:t xml:space="preserve"> </w:t>
      </w:r>
      <w:r w:rsidRPr="00DF1D1C">
        <w:t>days prior to the beginning of the suspension period</w:t>
      </w:r>
      <w:r w:rsidR="003D6C79">
        <w:t xml:space="preserve"> in accordance with </w:t>
      </w:r>
      <w:r w:rsidR="00F731FE">
        <w:t xml:space="preserve">Article II, </w:t>
      </w:r>
      <w:r w:rsidR="003D6C79">
        <w:t>Section 6.8</w:t>
      </w:r>
      <w:r w:rsidRPr="00DF1D1C">
        <w:t>. The suspension period may be for any length of time specified by the Department</w:t>
      </w:r>
      <w:r w:rsidR="00DA756B">
        <w:t>, or until the non-performance is remedied</w:t>
      </w:r>
      <w:r w:rsidRPr="00DF1D1C">
        <w:t xml:space="preserve">, or </w:t>
      </w:r>
      <w:r w:rsidR="00DA756B">
        <w:t xml:space="preserve">for an unspecified time period. </w:t>
      </w:r>
      <w:r w:rsidRPr="00DF1D1C">
        <w:t xml:space="preserve">The suspension period may extend up to the </w:t>
      </w:r>
      <w:r w:rsidR="00267140">
        <w:t>C</w:t>
      </w:r>
      <w:r w:rsidRPr="00DF1D1C">
        <w:t xml:space="preserve">ontract expiration date as provided under </w:t>
      </w:r>
      <w:r w:rsidR="000E442F" w:rsidRPr="00DF1D1C">
        <w:t>Article</w:t>
      </w:r>
      <w:r w:rsidRPr="00DF1D1C">
        <w:t xml:space="preserve"> I. The Department may </w:t>
      </w:r>
      <w:r w:rsidR="00322A38">
        <w:t>grant</w:t>
      </w:r>
      <w:r w:rsidR="00322A38" w:rsidRPr="00322A38">
        <w:t xml:space="preserve"> </w:t>
      </w:r>
      <w:r w:rsidR="00322A38">
        <w:t xml:space="preserve">MCO </w:t>
      </w:r>
      <w:r w:rsidR="00322A38" w:rsidRPr="00322A38">
        <w:t xml:space="preserve">enrollees the right to terminate enrollment without </w:t>
      </w:r>
      <w:r w:rsidR="00322A38">
        <w:t xml:space="preserve">cause and </w:t>
      </w:r>
      <w:r w:rsidR="00931CC2">
        <w:t xml:space="preserve">to </w:t>
      </w:r>
      <w:r w:rsidR="00322A38">
        <w:t>notify</w:t>
      </w:r>
      <w:r w:rsidR="00322A38" w:rsidRPr="00322A38">
        <w:t xml:space="preserve"> the affected enrolle</w:t>
      </w:r>
      <w:r w:rsidR="00322A38">
        <w:t xml:space="preserve">es of their right to disenroll </w:t>
      </w:r>
      <w:r w:rsidR="006B5BD8">
        <w:t xml:space="preserve">and to re-enroll in another </w:t>
      </w:r>
      <w:r w:rsidR="006B5BD8" w:rsidRPr="006B5BD8">
        <w:t>MCO</w:t>
      </w:r>
      <w:r w:rsidR="006B5BD8">
        <w:rPr>
          <w:rFonts w:eastAsia="Trebuchet MS"/>
        </w:rPr>
        <w:t>.</w:t>
      </w:r>
    </w:p>
    <w:p w14:paraId="5E168673" w14:textId="0DFE30DF" w:rsidR="00CD4383" w:rsidRPr="00DF1D1C" w:rsidRDefault="00CD4383" w:rsidP="00257641">
      <w:pPr>
        <w:pStyle w:val="Heading3"/>
      </w:pPr>
      <w:bookmarkStart w:id="57" w:name="_Toc8128986"/>
      <w:r w:rsidRPr="00DF1D1C">
        <w:t>6.</w:t>
      </w:r>
      <w:r w:rsidR="00C60A67">
        <w:t>7</w:t>
      </w:r>
      <w:r w:rsidR="00551F8A">
        <w:tab/>
      </w:r>
      <w:r w:rsidRPr="00551F8A">
        <w:t>Payment</w:t>
      </w:r>
      <w:r w:rsidR="00061A42">
        <w:t xml:space="preserve"> Suspension</w:t>
      </w:r>
      <w:bookmarkEnd w:id="57"/>
    </w:p>
    <w:p w14:paraId="2130D71A" w14:textId="10E21373" w:rsidR="00CD4383" w:rsidRPr="00DF1D1C" w:rsidRDefault="00FE69E5" w:rsidP="00257641">
      <w:r>
        <w:t>T</w:t>
      </w:r>
      <w:r w:rsidR="00CD4383" w:rsidRPr="00DF1D1C">
        <w:t xml:space="preserve">he Department may </w:t>
      </w:r>
      <w:r w:rsidR="00061A42">
        <w:t>suspend</w:t>
      </w:r>
      <w:r w:rsidR="00061A42" w:rsidRPr="00DF1D1C">
        <w:t xml:space="preserve"> </w:t>
      </w:r>
      <w:r w:rsidR="00CD4383" w:rsidRPr="00DF1D1C">
        <w:t xml:space="preserve">portions of capitation payments from the </w:t>
      </w:r>
      <w:r w:rsidR="0073202A">
        <w:t>MCO</w:t>
      </w:r>
      <w:r w:rsidR="00CD4383" w:rsidRPr="00DF1D1C">
        <w:t xml:space="preserve"> as </w:t>
      </w:r>
      <w:r w:rsidR="00061A42">
        <w:t>a remedy for non-performance</w:t>
      </w:r>
      <w:r w:rsidR="00CD4383" w:rsidRPr="00DF1D1C">
        <w:t xml:space="preserve">. Whenever the Department determines that the </w:t>
      </w:r>
      <w:r w:rsidR="0073202A">
        <w:t>MCO</w:t>
      </w:r>
      <w:r w:rsidR="00CD4383" w:rsidRPr="00DF1D1C">
        <w:t xml:space="preserve"> has failed</w:t>
      </w:r>
      <w:r w:rsidR="007E2687">
        <w:t xml:space="preserve"> to provide one </w:t>
      </w:r>
      <w:r w:rsidR="00D30453">
        <w:t>(1)</w:t>
      </w:r>
      <w:r w:rsidR="007E2687">
        <w:t xml:space="preserve">or more of the </w:t>
      </w:r>
      <w:r w:rsidR="00061A42">
        <w:t xml:space="preserve">covered </w:t>
      </w:r>
      <w:r w:rsidR="009B19C2">
        <w:t xml:space="preserve">Contract </w:t>
      </w:r>
      <w:r w:rsidR="00CD4383" w:rsidRPr="00DF1D1C">
        <w:t xml:space="preserve">services, the Department may </w:t>
      </w:r>
      <w:r w:rsidR="00061A42">
        <w:t>suspend</w:t>
      </w:r>
      <w:r w:rsidR="00061A42" w:rsidRPr="00DF1D1C">
        <w:t xml:space="preserve"> </w:t>
      </w:r>
      <w:r w:rsidR="00CD4383" w:rsidRPr="00DF1D1C">
        <w:t xml:space="preserve">an estimated portion of the </w:t>
      </w:r>
      <w:r w:rsidR="0073202A">
        <w:t>MCO</w:t>
      </w:r>
      <w:r w:rsidR="00FA1C0C" w:rsidRPr="00DF1D1C">
        <w:t>’</w:t>
      </w:r>
      <w:r w:rsidR="00CD4383" w:rsidRPr="00DF1D1C">
        <w:t>s capitation payment in subsequent months</w:t>
      </w:r>
      <w:r w:rsidR="00611F67">
        <w:t>.</w:t>
      </w:r>
      <w:r w:rsidR="00CD4383" w:rsidRPr="00DF1D1C">
        <w:t xml:space="preserve"> </w:t>
      </w:r>
      <w:r w:rsidR="00611F67">
        <w:t>S</w:t>
      </w:r>
      <w:r w:rsidR="00CD4383" w:rsidRPr="00DF1D1C">
        <w:t xml:space="preserve">uch </w:t>
      </w:r>
      <w:r w:rsidR="00061A42">
        <w:t>suspension amount</w:t>
      </w:r>
      <w:r w:rsidR="00061A42" w:rsidRPr="00DF1D1C">
        <w:t xml:space="preserve"> </w:t>
      </w:r>
      <w:r w:rsidR="00061A42">
        <w:t>will</w:t>
      </w:r>
      <w:r w:rsidR="00CD4383" w:rsidRPr="00DF1D1C">
        <w:t xml:space="preserve"> be equal to the amount of money the Department expect</w:t>
      </w:r>
      <w:r w:rsidR="00061A42">
        <w:t xml:space="preserve">ed </w:t>
      </w:r>
      <w:r w:rsidR="001B06A4">
        <w:t xml:space="preserve">the </w:t>
      </w:r>
      <w:r w:rsidR="00061A42">
        <w:t>MCO</w:t>
      </w:r>
      <w:r w:rsidR="00CD4383" w:rsidRPr="00DF1D1C">
        <w:t xml:space="preserve"> to pay for </w:t>
      </w:r>
      <w:r w:rsidR="00061A42" w:rsidRPr="00061A42">
        <w:t xml:space="preserve">covered </w:t>
      </w:r>
      <w:r w:rsidR="009B19C2">
        <w:t xml:space="preserve">Contract </w:t>
      </w:r>
      <w:r w:rsidR="00373318" w:rsidRPr="00061A42">
        <w:t>services</w:t>
      </w:r>
      <w:r w:rsidR="00CD4383" w:rsidRPr="00DF1D1C">
        <w:t xml:space="preserve">, plus any administrative costs involved. The </w:t>
      </w:r>
      <w:r w:rsidR="0073202A">
        <w:t>MCO</w:t>
      </w:r>
      <w:r w:rsidR="00A55EA3">
        <w:t xml:space="preserve"> </w:t>
      </w:r>
      <w:r w:rsidR="002E0D06">
        <w:t>may</w:t>
      </w:r>
      <w:r w:rsidR="00CD4383" w:rsidRPr="00DF1D1C">
        <w:t xml:space="preserve"> not </w:t>
      </w:r>
      <w:r w:rsidR="00061A42">
        <w:t>deny</w:t>
      </w:r>
      <w:r w:rsidR="00061A42" w:rsidRPr="00DF1D1C">
        <w:t xml:space="preserve"> </w:t>
      </w:r>
      <w:r w:rsidR="00CD4383" w:rsidRPr="00DF1D1C">
        <w:t xml:space="preserve">any </w:t>
      </w:r>
      <w:r w:rsidR="00061A42">
        <w:t xml:space="preserve">covered </w:t>
      </w:r>
      <w:r w:rsidR="009B19C2">
        <w:t xml:space="preserve">Contract </w:t>
      </w:r>
      <w:r w:rsidR="00061A42" w:rsidRPr="00DF1D1C">
        <w:t xml:space="preserve">services </w:t>
      </w:r>
      <w:r w:rsidR="00CD4383" w:rsidRPr="00DF1D1C">
        <w:t xml:space="preserve">in order to receive adjusted payment levels. The </w:t>
      </w:r>
      <w:r w:rsidR="0073202A">
        <w:t>MCO</w:t>
      </w:r>
      <w:r w:rsidR="00CD4383" w:rsidRPr="00DF1D1C">
        <w:t xml:space="preserve"> </w:t>
      </w:r>
      <w:r w:rsidR="00A55EA3">
        <w:t>will</w:t>
      </w:r>
      <w:r w:rsidR="00CD4383" w:rsidRPr="00DF1D1C">
        <w:t xml:space="preserve"> be given written notice </w:t>
      </w:r>
      <w:r w:rsidR="00F731FE" w:rsidRPr="00DF1D1C">
        <w:t xml:space="preserve">at least ten </w:t>
      </w:r>
      <w:r w:rsidR="00F731FE">
        <w:t>(10) business</w:t>
      </w:r>
      <w:r w:rsidR="00F731FE" w:rsidRPr="00DF1D1C">
        <w:t xml:space="preserve"> days </w:t>
      </w:r>
      <w:r w:rsidR="00CD4383" w:rsidRPr="00DF1D1C">
        <w:t xml:space="preserve">prior to the </w:t>
      </w:r>
      <w:r w:rsidR="00061A42">
        <w:t>suspension</w:t>
      </w:r>
      <w:r w:rsidR="00061A42" w:rsidRPr="00DF1D1C">
        <w:t xml:space="preserve"> </w:t>
      </w:r>
      <w:r w:rsidR="00CD4383" w:rsidRPr="00DF1D1C">
        <w:t>of any capitation payment</w:t>
      </w:r>
      <w:r w:rsidR="003D6C79">
        <w:t xml:space="preserve"> in accordance with </w:t>
      </w:r>
      <w:r w:rsidR="00F731FE">
        <w:t xml:space="preserve">Article II, </w:t>
      </w:r>
      <w:r w:rsidR="003D6C79">
        <w:t>Section 6.8</w:t>
      </w:r>
      <w:r w:rsidR="00CD4383" w:rsidRPr="00DF1D1C">
        <w:t>.</w:t>
      </w:r>
    </w:p>
    <w:p w14:paraId="69B8B471" w14:textId="18575CD0" w:rsidR="00CD4383" w:rsidRPr="00DF1D1C" w:rsidRDefault="00CD4383" w:rsidP="00257641">
      <w:r w:rsidRPr="00DF1D1C">
        <w:lastRenderedPageBreak/>
        <w:t xml:space="preserve">When it </w:t>
      </w:r>
      <w:r w:rsidR="00061A42">
        <w:t>suspends</w:t>
      </w:r>
      <w:r w:rsidR="00061A42" w:rsidRPr="00DF1D1C">
        <w:t xml:space="preserve"> </w:t>
      </w:r>
      <w:r w:rsidRPr="00DF1D1C">
        <w:t xml:space="preserve">payments under this section, the Department must submit to the </w:t>
      </w:r>
      <w:r w:rsidR="0073202A">
        <w:t>MCO</w:t>
      </w:r>
      <w:r w:rsidRPr="00DF1D1C">
        <w:t xml:space="preserve"> a list of the </w:t>
      </w:r>
      <w:r w:rsidR="001E2F32">
        <w:t>enrollees</w:t>
      </w:r>
      <w:r w:rsidR="001E2F32" w:rsidRPr="00DF1D1C">
        <w:t xml:space="preserve"> </w:t>
      </w:r>
      <w:r w:rsidRPr="00DF1D1C">
        <w:t xml:space="preserve">for whom payment is being </w:t>
      </w:r>
      <w:r w:rsidR="00061A42">
        <w:t>suspended</w:t>
      </w:r>
      <w:r w:rsidRPr="00DF1D1C">
        <w:t>, the nature of service(s) denied, and payments the D</w:t>
      </w:r>
      <w:r w:rsidR="0094043B">
        <w:t xml:space="preserve">epartment must make to provide </w:t>
      </w:r>
      <w:r w:rsidR="00BE2C15" w:rsidRPr="00061A42">
        <w:t xml:space="preserve">covered </w:t>
      </w:r>
      <w:r w:rsidR="009B19C2">
        <w:t xml:space="preserve">Contract </w:t>
      </w:r>
      <w:r w:rsidRPr="00DF1D1C">
        <w:t xml:space="preserve">services. When all payments have been made by the Department for the </w:t>
      </w:r>
      <w:r w:rsidR="0073202A">
        <w:t>MCO</w:t>
      </w:r>
      <w:r w:rsidRPr="00DF1D1C">
        <w:t xml:space="preserve"> </w:t>
      </w:r>
      <w:r w:rsidR="00061A42" w:rsidRPr="00061A42">
        <w:t xml:space="preserve">covered </w:t>
      </w:r>
      <w:r w:rsidR="009B19C2">
        <w:t xml:space="preserve">Contract </w:t>
      </w:r>
      <w:r w:rsidRPr="00DF1D1C">
        <w:t xml:space="preserve">services, the Department will reconcile the estimated </w:t>
      </w:r>
      <w:r w:rsidR="00061A42">
        <w:t>suspension</w:t>
      </w:r>
      <w:r w:rsidR="00061A42" w:rsidRPr="00DF1D1C">
        <w:t xml:space="preserve"> </w:t>
      </w:r>
      <w:r w:rsidRPr="00DF1D1C">
        <w:t xml:space="preserve">against actual </w:t>
      </w:r>
      <w:r w:rsidR="001E2F32">
        <w:t xml:space="preserve">enrollee </w:t>
      </w:r>
      <w:r w:rsidRPr="00DF1D1C">
        <w:t>payments.</w:t>
      </w:r>
    </w:p>
    <w:p w14:paraId="6DEF5580" w14:textId="77777777" w:rsidR="00061A42" w:rsidRDefault="00FE69E5" w:rsidP="00257641">
      <w:r>
        <w:t xml:space="preserve">The </w:t>
      </w:r>
      <w:r w:rsidR="00061A42">
        <w:t xml:space="preserve">Department </w:t>
      </w:r>
      <w:r w:rsidR="00285FFC">
        <w:t>may</w:t>
      </w:r>
      <w:r w:rsidR="00061A42">
        <w:t xml:space="preserve"> suspend MCO payments </w:t>
      </w:r>
      <w:r w:rsidR="00F31DDB">
        <w:t xml:space="preserve">in accordance with </w:t>
      </w:r>
      <w:r w:rsidR="00061A42">
        <w:t xml:space="preserve">42 CFR </w:t>
      </w:r>
      <w:r w:rsidR="00061A42" w:rsidRPr="00061A42">
        <w:t>455.23</w:t>
      </w:r>
      <w:r w:rsidR="00173459">
        <w:t xml:space="preserve"> in case o</w:t>
      </w:r>
      <w:r w:rsidR="00482605">
        <w:t xml:space="preserve">f </w:t>
      </w:r>
      <w:r w:rsidR="001B06A4">
        <w:t>a</w:t>
      </w:r>
      <w:r w:rsidR="00173459">
        <w:t xml:space="preserve"> credible allegation of fraud against the MCO</w:t>
      </w:r>
      <w:r w:rsidR="00061A42" w:rsidRPr="00061A42">
        <w:t>.</w:t>
      </w:r>
    </w:p>
    <w:p w14:paraId="11AFF269" w14:textId="28931059" w:rsidR="00CD4383" w:rsidRPr="00DF1D1C" w:rsidRDefault="00CD4383" w:rsidP="00257641">
      <w:pPr>
        <w:pStyle w:val="Heading3"/>
      </w:pPr>
      <w:bookmarkStart w:id="58" w:name="_Toc8128987"/>
      <w:r w:rsidRPr="00DF1D1C">
        <w:t>6.</w:t>
      </w:r>
      <w:r w:rsidR="00C60A67">
        <w:t>8</w:t>
      </w:r>
      <w:r w:rsidR="0041309F">
        <w:tab/>
      </w:r>
      <w:r w:rsidRPr="00DF1D1C">
        <w:t>Disput</w:t>
      </w:r>
      <w:r w:rsidR="0061535E">
        <w:t>e Resolution</w:t>
      </w:r>
      <w:bookmarkEnd w:id="58"/>
    </w:p>
    <w:p w14:paraId="25F350A1" w14:textId="1F24CE43" w:rsidR="00CD4383" w:rsidRPr="00DF1D1C" w:rsidRDefault="00775130" w:rsidP="00257641">
      <w:r>
        <w:t xml:space="preserve">This </w:t>
      </w:r>
      <w:r w:rsidR="009B19C2">
        <w:t xml:space="preserve">Contract </w:t>
      </w:r>
      <w:r w:rsidR="00CD4383" w:rsidRPr="00DF1D1C">
        <w:t xml:space="preserve">is not subject to arbitration. Any </w:t>
      </w:r>
      <w:r w:rsidR="00C539EB">
        <w:t xml:space="preserve">action </w:t>
      </w:r>
      <w:r w:rsidR="00CD4383" w:rsidRPr="00DF1D1C">
        <w:t xml:space="preserve">concerning </w:t>
      </w:r>
      <w:r w:rsidR="00054659">
        <w:t xml:space="preserve">MCO </w:t>
      </w:r>
      <w:r w:rsidR="00C539EB">
        <w:t>non-</w:t>
      </w:r>
      <w:r w:rsidR="00CD4383" w:rsidRPr="00DF1D1C">
        <w:t xml:space="preserve">performance </w:t>
      </w:r>
      <w:r w:rsidR="00E07ECD">
        <w:t>under</w:t>
      </w:r>
      <w:r w:rsidR="00E07ECD" w:rsidRPr="00DF1D1C">
        <w:t xml:space="preserve"> </w:t>
      </w:r>
      <w:r>
        <w:t xml:space="preserve">this </w:t>
      </w:r>
      <w:r w:rsidR="009B19C2">
        <w:t xml:space="preserve">Contract </w:t>
      </w:r>
      <w:r w:rsidR="00E07ECD">
        <w:t>will</w:t>
      </w:r>
      <w:r w:rsidR="00E07ECD" w:rsidRPr="00DF1D1C">
        <w:t xml:space="preserve"> </w:t>
      </w:r>
      <w:r w:rsidR="00CD4383" w:rsidRPr="00DF1D1C">
        <w:t xml:space="preserve">be decided </w:t>
      </w:r>
      <w:r w:rsidR="007F7744">
        <w:t>in acc</w:t>
      </w:r>
      <w:r w:rsidR="00BE5AA0">
        <w:t xml:space="preserve">ordance with Article </w:t>
      </w:r>
      <w:r w:rsidR="00215FB4">
        <w:t xml:space="preserve">II, Section </w:t>
      </w:r>
      <w:r w:rsidR="00BE5AA0">
        <w:t xml:space="preserve">6 of this </w:t>
      </w:r>
      <w:r w:rsidR="009B19C2">
        <w:t xml:space="preserve">Contract </w:t>
      </w:r>
      <w:r w:rsidR="00CD4383" w:rsidRPr="00DF1D1C">
        <w:t xml:space="preserve">by the Contracting Officer who </w:t>
      </w:r>
      <w:r w:rsidR="00E07ECD">
        <w:t xml:space="preserve">will </w:t>
      </w:r>
      <w:r w:rsidR="00CD4383" w:rsidRPr="00DF1D1C">
        <w:t xml:space="preserve">put his/her decision in writing and serve a copy on the </w:t>
      </w:r>
      <w:r w:rsidR="0073202A">
        <w:t>MCO</w:t>
      </w:r>
      <w:r w:rsidR="00693EF0">
        <w:t xml:space="preserve"> </w:t>
      </w:r>
      <w:r w:rsidR="00CD4383" w:rsidRPr="00DF1D1C">
        <w:t>and Department</w:t>
      </w:r>
      <w:r w:rsidR="007F7744">
        <w:t xml:space="preserve"> as soon as administratively possible after the MCO non-performance was identified</w:t>
      </w:r>
      <w:r w:rsidR="00CD4383" w:rsidRPr="00DF1D1C">
        <w:t>. The Contracting Officer</w:t>
      </w:r>
      <w:r w:rsidR="00FA1C0C" w:rsidRPr="00DF1D1C">
        <w:t>’</w:t>
      </w:r>
      <w:r w:rsidR="00CD4383" w:rsidRPr="00DF1D1C">
        <w:t xml:space="preserve">s decision </w:t>
      </w:r>
      <w:r w:rsidR="00E07ECD">
        <w:t>will</w:t>
      </w:r>
      <w:r w:rsidR="00E07ECD" w:rsidRPr="00DF1D1C">
        <w:t xml:space="preserve"> </w:t>
      </w:r>
      <w:r w:rsidR="00CD4383" w:rsidRPr="00DF1D1C">
        <w:t xml:space="preserve">be final unless within </w:t>
      </w:r>
      <w:r w:rsidR="00751363" w:rsidRPr="00DF1D1C">
        <w:t>ten</w:t>
      </w:r>
      <w:r w:rsidR="00F3479E">
        <w:t xml:space="preserve"> (10)</w:t>
      </w:r>
      <w:r w:rsidR="00CD4383" w:rsidRPr="00DF1D1C">
        <w:t xml:space="preserve"> </w:t>
      </w:r>
      <w:r w:rsidR="00F3479E">
        <w:t>business</w:t>
      </w:r>
      <w:r w:rsidR="00F3479E" w:rsidRPr="00DF1D1C">
        <w:t xml:space="preserve"> </w:t>
      </w:r>
      <w:r w:rsidR="00CD4383" w:rsidRPr="00DF1D1C">
        <w:t xml:space="preserve">days of the receipt of such copy, the </w:t>
      </w:r>
      <w:r w:rsidR="0073202A">
        <w:t>MCO</w:t>
      </w:r>
      <w:r w:rsidR="00CD4383" w:rsidRPr="00DF1D1C">
        <w:t xml:space="preserve"> or Department files with the Contracting Officer a written appeal.</w:t>
      </w:r>
    </w:p>
    <w:p w14:paraId="026909F5" w14:textId="219BE679" w:rsidR="00CD4383" w:rsidRPr="00DF1D1C" w:rsidRDefault="00054659" w:rsidP="00257641">
      <w:r>
        <w:t>As a response to an appeal, t</w:t>
      </w:r>
      <w:r w:rsidR="00CD4383" w:rsidRPr="00DF1D1C">
        <w:t xml:space="preserve">he Contracting Officer </w:t>
      </w:r>
      <w:r w:rsidR="00F519B5">
        <w:t xml:space="preserve">must </w:t>
      </w:r>
      <w:r w:rsidR="00CD4383" w:rsidRPr="00DF1D1C">
        <w:t>issue his/her recommended course of action to the Commissioner</w:t>
      </w:r>
      <w:r w:rsidR="00BF1752">
        <w:t xml:space="preserve"> for either the</w:t>
      </w:r>
      <w:r w:rsidR="00CD4383" w:rsidRPr="00DF1D1C">
        <w:t xml:space="preserve"> </w:t>
      </w:r>
      <w:r w:rsidR="00F731FE">
        <w:t>BMS</w:t>
      </w:r>
      <w:r w:rsidR="00BF1752">
        <w:t xml:space="preserve"> or </w:t>
      </w:r>
      <w:r w:rsidR="00F731FE">
        <w:t>BCF</w:t>
      </w:r>
      <w:r w:rsidR="00CD4383" w:rsidRPr="00DF1D1C">
        <w:t>. The Commissioner will review the Contracting Officer</w:t>
      </w:r>
      <w:r w:rsidR="00FA1C0C" w:rsidRPr="00DF1D1C">
        <w:t>’</w:t>
      </w:r>
      <w:r w:rsidR="00CD4383" w:rsidRPr="00DF1D1C">
        <w:t>s recommendation and issue a decision</w:t>
      </w:r>
      <w:r>
        <w:t xml:space="preserve"> on the appeal</w:t>
      </w:r>
      <w:r w:rsidR="007F7744">
        <w:t xml:space="preserve"> within ten </w:t>
      </w:r>
      <w:r w:rsidR="00BF1752">
        <w:t xml:space="preserve">(10) </w:t>
      </w:r>
      <w:r w:rsidR="00F3479E">
        <w:t xml:space="preserve">business </w:t>
      </w:r>
      <w:r w:rsidR="007F7744">
        <w:t>days</w:t>
      </w:r>
      <w:r w:rsidR="00CD4383" w:rsidRPr="00DF1D1C">
        <w:t>.</w:t>
      </w:r>
    </w:p>
    <w:p w14:paraId="12AFAAD6" w14:textId="799B0E32" w:rsidR="00CD4383" w:rsidRPr="00DF1D1C" w:rsidRDefault="00CD4383" w:rsidP="00257641">
      <w:r w:rsidRPr="00DF1D1C">
        <w:t xml:space="preserve">Should the </w:t>
      </w:r>
      <w:r w:rsidR="0073202A">
        <w:t>MCO</w:t>
      </w:r>
      <w:r w:rsidRPr="00DF1D1C">
        <w:t xml:space="preserve"> disagree with the decision, the </w:t>
      </w:r>
      <w:r w:rsidR="0073202A">
        <w:t>MCO</w:t>
      </w:r>
      <w:r w:rsidRPr="00DF1D1C">
        <w:t xml:space="preserve"> can request a hearing before an administrative law judge</w:t>
      </w:r>
      <w:r w:rsidR="007F7744">
        <w:t xml:space="preserve"> within ten </w:t>
      </w:r>
      <w:r w:rsidR="00BF1752">
        <w:t xml:space="preserve">(10) </w:t>
      </w:r>
      <w:r w:rsidR="00F3479E">
        <w:t xml:space="preserve">business </w:t>
      </w:r>
      <w:r w:rsidR="007F7744">
        <w:t>days</w:t>
      </w:r>
      <w:r w:rsidRPr="00DF1D1C">
        <w:t xml:space="preserve">, who </w:t>
      </w:r>
      <w:r w:rsidR="00F519B5">
        <w:t>will</w:t>
      </w:r>
      <w:r w:rsidR="00F519B5" w:rsidRPr="00DF1D1C">
        <w:t xml:space="preserve"> </w:t>
      </w:r>
      <w:r w:rsidRPr="00DF1D1C">
        <w:t xml:space="preserve">take evidence and hear oral argument. In connection with any appeal proceeding under this subsection, the </w:t>
      </w:r>
      <w:r w:rsidR="0073202A">
        <w:t>MCO</w:t>
      </w:r>
      <w:r w:rsidRPr="00DF1D1C">
        <w:t xml:space="preserve"> </w:t>
      </w:r>
      <w:r w:rsidR="00F519B5">
        <w:t>will</w:t>
      </w:r>
      <w:r w:rsidR="00F519B5" w:rsidRPr="00DF1D1C">
        <w:t xml:space="preserve"> </w:t>
      </w:r>
      <w:r w:rsidRPr="00DF1D1C">
        <w:t xml:space="preserve">be afforded an opportunity to be heard and to offer evidence and oral argument in support of its appeal. At such hearing, the Department </w:t>
      </w:r>
      <w:r w:rsidR="00F519B5">
        <w:t>will</w:t>
      </w:r>
      <w:r w:rsidR="00F519B5" w:rsidRPr="00DF1D1C">
        <w:t xml:space="preserve"> </w:t>
      </w:r>
      <w:r w:rsidRPr="00DF1D1C">
        <w:t>also offer evidence and oral argument in support of its position.</w:t>
      </w:r>
    </w:p>
    <w:p w14:paraId="78399B5F" w14:textId="608E8054" w:rsidR="00CD4383" w:rsidRPr="00DF1D1C" w:rsidRDefault="00CD4383" w:rsidP="00257641">
      <w:r w:rsidRPr="00DF1D1C">
        <w:t xml:space="preserve">The administrative law judge, who will serve as an impartial fact finder, </w:t>
      </w:r>
      <w:r w:rsidR="00A36987">
        <w:t>will</w:t>
      </w:r>
      <w:r w:rsidR="00A36987" w:rsidRPr="00DF1D1C">
        <w:t xml:space="preserve"> </w:t>
      </w:r>
      <w:r w:rsidRPr="00DF1D1C">
        <w:t xml:space="preserve">issue a proposed decision to the </w:t>
      </w:r>
      <w:r w:rsidR="0073202A">
        <w:t>MCO</w:t>
      </w:r>
      <w:r w:rsidRPr="00DF1D1C">
        <w:t xml:space="preserve"> and to the Department within </w:t>
      </w:r>
      <w:r w:rsidR="00390F58">
        <w:t>sixty (</w:t>
      </w:r>
      <w:r w:rsidRPr="00DF1D1C">
        <w:t>60</w:t>
      </w:r>
      <w:r w:rsidR="00390F58">
        <w:t>)</w:t>
      </w:r>
      <w:r w:rsidRPr="00DF1D1C">
        <w:t xml:space="preserve"> </w:t>
      </w:r>
      <w:r w:rsidR="00F3479E">
        <w:t xml:space="preserve">calendar </w:t>
      </w:r>
      <w:r w:rsidRPr="00DF1D1C">
        <w:t xml:space="preserve">days of the end of the hearing. The </w:t>
      </w:r>
      <w:r w:rsidR="0073202A">
        <w:t>MCO</w:t>
      </w:r>
      <w:r w:rsidRPr="00DF1D1C">
        <w:t xml:space="preserve"> and</w:t>
      </w:r>
      <w:r w:rsidR="008A700C">
        <w:t>/or</w:t>
      </w:r>
      <w:r w:rsidRPr="00DF1D1C">
        <w:t xml:space="preserve"> the Department </w:t>
      </w:r>
      <w:r w:rsidR="00A36987">
        <w:t>will</w:t>
      </w:r>
      <w:r w:rsidR="00A36987" w:rsidRPr="00DF1D1C">
        <w:t xml:space="preserve"> </w:t>
      </w:r>
      <w:r w:rsidRPr="00DF1D1C">
        <w:t xml:space="preserve">have </w:t>
      </w:r>
      <w:r w:rsidR="00751363" w:rsidRPr="00DF1D1C">
        <w:t>ten</w:t>
      </w:r>
      <w:r w:rsidR="00F3479E">
        <w:t xml:space="preserve"> (10)</w:t>
      </w:r>
      <w:r w:rsidRPr="00DF1D1C">
        <w:t xml:space="preserve"> </w:t>
      </w:r>
      <w:r w:rsidR="00F3479E">
        <w:t>business</w:t>
      </w:r>
      <w:r w:rsidR="00F3479E" w:rsidRPr="00DF1D1C">
        <w:t xml:space="preserve"> </w:t>
      </w:r>
      <w:r w:rsidRPr="00DF1D1C">
        <w:t xml:space="preserve">days after the mailing of the proposed decision to request a </w:t>
      </w:r>
      <w:r w:rsidR="00A36987">
        <w:t xml:space="preserve">decision </w:t>
      </w:r>
      <w:r w:rsidRPr="00DF1D1C">
        <w:t xml:space="preserve">review. If such a request is made, the Secretary, </w:t>
      </w:r>
      <w:r w:rsidR="00BF1752">
        <w:t>DHHR</w:t>
      </w:r>
      <w:r w:rsidRPr="00DF1D1C">
        <w:t xml:space="preserve"> </w:t>
      </w:r>
      <w:r w:rsidR="00A36987">
        <w:t>will</w:t>
      </w:r>
      <w:r w:rsidRPr="00DF1D1C">
        <w:t>, thereafter, iss</w:t>
      </w:r>
      <w:r w:rsidR="00A55EA3">
        <w:t>ue a final decision. There must</w:t>
      </w:r>
      <w:r w:rsidRPr="00DF1D1C">
        <w:t xml:space="preserve"> be no ex parte communications with the administrative law judge during pendency of the appeal. </w:t>
      </w:r>
      <w:r w:rsidR="00A36987">
        <w:t>During</w:t>
      </w:r>
      <w:r w:rsidR="00A36987" w:rsidRPr="00DF1D1C">
        <w:t xml:space="preserve"> </w:t>
      </w:r>
      <w:r w:rsidRPr="00DF1D1C">
        <w:t>any appeal process, the</w:t>
      </w:r>
      <w:r w:rsidR="00A36987">
        <w:t xml:space="preserve"> </w:t>
      </w:r>
      <w:r w:rsidRPr="00DF1D1C">
        <w:t>copies of all pleadings or other documents being filed in connection with the appeal</w:t>
      </w:r>
      <w:r w:rsidR="00A36987">
        <w:t xml:space="preserve"> must be delivered to the administrative law judge</w:t>
      </w:r>
      <w:r w:rsidRPr="00DF1D1C">
        <w:t xml:space="preserve">. The reasonable costs of an administrative appeal including costs of reporting and preparing a transcript will be paid by the party appealing. Such decision </w:t>
      </w:r>
      <w:r w:rsidR="00A36987">
        <w:t>will</w:t>
      </w:r>
      <w:r w:rsidR="00A36987" w:rsidRPr="00DF1D1C">
        <w:t xml:space="preserve"> </w:t>
      </w:r>
      <w:r w:rsidRPr="00DF1D1C">
        <w:t xml:space="preserve">be final except to the extent that the </w:t>
      </w:r>
      <w:r w:rsidR="0073202A">
        <w:t>MCO</w:t>
      </w:r>
      <w:r w:rsidRPr="00DF1D1C">
        <w:t xml:space="preserve"> appeals to the Circuit Court of West Virginia. The pendency of an appeal to the Secretary or the Circuit Court </w:t>
      </w:r>
      <w:r w:rsidR="00A36987">
        <w:t>will</w:t>
      </w:r>
      <w:r w:rsidR="00A36987" w:rsidRPr="00DF1D1C">
        <w:t xml:space="preserve"> </w:t>
      </w:r>
      <w:r w:rsidRPr="00DF1D1C">
        <w:t>not automatically stay any notice of termination which may be appealable.</w:t>
      </w:r>
    </w:p>
    <w:p w14:paraId="550A953B" w14:textId="77777777" w:rsidR="00CD4383" w:rsidRPr="00DF1D1C" w:rsidRDefault="00CD4383" w:rsidP="00257641">
      <w:r w:rsidRPr="00DF1D1C">
        <w:t xml:space="preserve">Pending final determination of any dispute, the </w:t>
      </w:r>
      <w:r w:rsidR="0073202A">
        <w:t>MCO</w:t>
      </w:r>
      <w:r w:rsidRPr="00DF1D1C">
        <w:t xml:space="preserve"> </w:t>
      </w:r>
      <w:r w:rsidR="00A36987">
        <w:t xml:space="preserve">must </w:t>
      </w:r>
      <w:r w:rsidRPr="00DF1D1C">
        <w:t>proceed diligentl</w:t>
      </w:r>
      <w:r w:rsidR="00AA4287">
        <w:t xml:space="preserve">y with the performance of this </w:t>
      </w:r>
      <w:r w:rsidR="009B19C2">
        <w:t xml:space="preserve">Contract </w:t>
      </w:r>
      <w:r w:rsidRPr="00DF1D1C">
        <w:t>and in accordance with the Contracting Officer</w:t>
      </w:r>
      <w:r w:rsidR="00FA1C0C" w:rsidRPr="00DF1D1C">
        <w:t>’</w:t>
      </w:r>
      <w:r w:rsidRPr="00DF1D1C">
        <w:t>s direction.</w:t>
      </w:r>
    </w:p>
    <w:p w14:paraId="120BCCE2" w14:textId="77777777" w:rsidR="00CD4383" w:rsidRDefault="00CD4383" w:rsidP="00257641">
      <w:r w:rsidRPr="00DF1D1C">
        <w:t xml:space="preserve">The </w:t>
      </w:r>
      <w:r w:rsidR="0073202A">
        <w:t>MCO</w:t>
      </w:r>
      <w:r w:rsidR="00FA1C0C" w:rsidRPr="00DF1D1C">
        <w:t>’</w:t>
      </w:r>
      <w:r w:rsidRPr="00DF1D1C">
        <w:t xml:space="preserve">s failure to follow </w:t>
      </w:r>
      <w:r w:rsidR="00A55EA3">
        <w:t>the procedure set out above will</w:t>
      </w:r>
      <w:r w:rsidRPr="00DF1D1C">
        <w:t xml:space="preserve"> be deemed a waiver of any claim which the </w:t>
      </w:r>
      <w:r w:rsidR="0073202A">
        <w:t>MCO</w:t>
      </w:r>
      <w:r w:rsidRPr="00DF1D1C">
        <w:t xml:space="preserve"> might have had.</w:t>
      </w:r>
    </w:p>
    <w:p w14:paraId="69BFA269" w14:textId="77777777" w:rsidR="005B1308" w:rsidRPr="00DF1D1C" w:rsidRDefault="005B1308" w:rsidP="00257641">
      <w:r>
        <w:lastRenderedPageBreak/>
        <w:t>The Department and the MCO agree that a State or Federal statute, rule, regulation, or Federal guideline will prevail over the provisions of this Section unless the statute, rule, regulation, or guidelines can be read together with this Section to give effect to both.</w:t>
      </w:r>
    </w:p>
    <w:p w14:paraId="77C68BB4" w14:textId="6F55B52F" w:rsidR="00CD4383" w:rsidRPr="0041309F" w:rsidRDefault="00CD4383" w:rsidP="00257641">
      <w:pPr>
        <w:pStyle w:val="Heading3"/>
      </w:pPr>
      <w:bookmarkStart w:id="59" w:name="_Toc8128988"/>
      <w:r w:rsidRPr="0041309F">
        <w:t>6.</w:t>
      </w:r>
      <w:r w:rsidR="00C60A67" w:rsidRPr="0041309F">
        <w:t>9</w:t>
      </w:r>
      <w:r w:rsidR="0041309F">
        <w:tab/>
      </w:r>
      <w:r w:rsidRPr="0041309F">
        <w:t>Termination For Default</w:t>
      </w:r>
      <w:bookmarkEnd w:id="59"/>
    </w:p>
    <w:p w14:paraId="16EA785F" w14:textId="5462FF00" w:rsidR="00CD4383" w:rsidRDefault="00315EE7" w:rsidP="00096A5D">
      <w:pPr>
        <w:pStyle w:val="BodyText"/>
      </w:pPr>
      <w:r>
        <w:t xml:space="preserve">The </w:t>
      </w:r>
      <w:r w:rsidRPr="00EC4559">
        <w:rPr>
          <w:u w:val="single"/>
        </w:rPr>
        <w:t xml:space="preserve">State of West Virginia, Department of Administration Purchasing </w:t>
      </w:r>
      <w:r w:rsidR="00754256">
        <w:rPr>
          <w:u w:val="single"/>
        </w:rPr>
        <w:t xml:space="preserve">and/or </w:t>
      </w:r>
      <w:r>
        <w:rPr>
          <w:u w:val="single"/>
        </w:rPr>
        <w:t xml:space="preserve">the Department </w:t>
      </w:r>
      <w:r w:rsidR="00CD4383" w:rsidRPr="00DF1D1C">
        <w:t xml:space="preserve">may terminate performance </w:t>
      </w:r>
      <w:r w:rsidR="00395F91">
        <w:t xml:space="preserve">of work under this </w:t>
      </w:r>
      <w:r w:rsidR="009B19C2">
        <w:t xml:space="preserve">Contract </w:t>
      </w:r>
      <w:r w:rsidR="00CD4383" w:rsidRPr="00DF1D1C">
        <w:t xml:space="preserve">in whole, or in part, whenever the </w:t>
      </w:r>
      <w:r w:rsidR="0073202A">
        <w:t>MCO</w:t>
      </w:r>
      <w:r w:rsidR="00CD4383" w:rsidRPr="00DF1D1C">
        <w:t xml:space="preserve"> default</w:t>
      </w:r>
      <w:r w:rsidR="00A55EA3">
        <w:t>s</w:t>
      </w:r>
      <w:r w:rsidR="00CD4383" w:rsidRPr="00DF1D1C">
        <w:t xml:space="preserve"> in perform</w:t>
      </w:r>
      <w:r w:rsidR="00A55EA3">
        <w:t xml:space="preserve">ance of this </w:t>
      </w:r>
      <w:r w:rsidR="009B19C2">
        <w:t xml:space="preserve">Contract </w:t>
      </w:r>
      <w:r w:rsidR="00A55EA3">
        <w:t xml:space="preserve">and </w:t>
      </w:r>
      <w:r w:rsidR="00CD4383" w:rsidRPr="00DF1D1C">
        <w:t>fail</w:t>
      </w:r>
      <w:r w:rsidR="00A55EA3">
        <w:t>s</w:t>
      </w:r>
      <w:r w:rsidR="00CD4383" w:rsidRPr="00DF1D1C">
        <w:t xml:space="preserve"> to cure such default or make progress satisfactory to the Department toward </w:t>
      </w:r>
      <w:r w:rsidR="009B19C2">
        <w:t xml:space="preserve">Contract </w:t>
      </w:r>
      <w:r w:rsidR="00CD4383" w:rsidRPr="00DF1D1C">
        <w:t xml:space="preserve">performance within a period of </w:t>
      </w:r>
      <w:r w:rsidR="008F7061">
        <w:t>thirty (</w:t>
      </w:r>
      <w:r w:rsidR="00CD4383" w:rsidRPr="00DF1D1C">
        <w:t>30</w:t>
      </w:r>
      <w:r w:rsidR="008F7061">
        <w:t>) calendar</w:t>
      </w:r>
      <w:r w:rsidR="00CD4383" w:rsidRPr="00DF1D1C">
        <w:t xml:space="preserve"> days after receipt of notice of default (or such longer period as the Department may allow). Such termination </w:t>
      </w:r>
      <w:r w:rsidR="00A55EA3">
        <w:t xml:space="preserve">will </w:t>
      </w:r>
      <w:r w:rsidR="00CD4383" w:rsidRPr="00DF1D1C">
        <w:t>be referred to herein as "Termination for Default."</w:t>
      </w:r>
    </w:p>
    <w:p w14:paraId="3C189147" w14:textId="77777777" w:rsidR="00DD2E3F" w:rsidRDefault="00DD2E3F" w:rsidP="00257641">
      <w:pPr>
        <w:pStyle w:val="normal6"/>
      </w:pPr>
      <w:r>
        <w:t>Events constituting a Termination for Default include, but are not limited to:</w:t>
      </w:r>
    </w:p>
    <w:p w14:paraId="158A368C" w14:textId="77777777" w:rsidR="00DD2E3F" w:rsidRDefault="00DD2E3F" w:rsidP="00096A5D">
      <w:pPr>
        <w:pStyle w:val="BodyText"/>
        <w:numPr>
          <w:ilvl w:val="0"/>
          <w:numId w:val="130"/>
        </w:numPr>
      </w:pPr>
      <w:r>
        <w:t>MCO insolvency or the MCO’s failure to meet its financial obligations as they become due;</w:t>
      </w:r>
    </w:p>
    <w:p w14:paraId="725B65F5" w14:textId="77777777" w:rsidR="00DD2E3F" w:rsidRDefault="00DD2E3F" w:rsidP="00096A5D">
      <w:pPr>
        <w:pStyle w:val="BodyText"/>
        <w:numPr>
          <w:ilvl w:val="0"/>
          <w:numId w:val="130"/>
        </w:numPr>
      </w:pPr>
      <w:r>
        <w:t>MCO failure to pay claims;</w:t>
      </w:r>
    </w:p>
    <w:p w14:paraId="376364AF" w14:textId="77777777" w:rsidR="00DD2E3F" w:rsidRDefault="00DD2E3F" w:rsidP="00096A5D">
      <w:pPr>
        <w:pStyle w:val="BodyText"/>
        <w:numPr>
          <w:ilvl w:val="0"/>
          <w:numId w:val="130"/>
        </w:numPr>
      </w:pPr>
      <w:r>
        <w:t xml:space="preserve">Untimely service authorizations or other acts or omissions of the MCO or its </w:t>
      </w:r>
      <w:r w:rsidR="009B0110">
        <w:t>S</w:t>
      </w:r>
      <w:r>
        <w:t>ubcontractors resulting in a substantial risk to the health of the enrollees;</w:t>
      </w:r>
    </w:p>
    <w:p w14:paraId="7B1A7100" w14:textId="77777777" w:rsidR="00DD2E3F" w:rsidRDefault="00DD2E3F" w:rsidP="00096A5D">
      <w:pPr>
        <w:pStyle w:val="BodyText"/>
        <w:numPr>
          <w:ilvl w:val="0"/>
          <w:numId w:val="130"/>
        </w:numPr>
      </w:pPr>
      <w:r>
        <w:t xml:space="preserve">The MCO or its </w:t>
      </w:r>
      <w:r w:rsidR="009B0110">
        <w:t>S</w:t>
      </w:r>
      <w:r>
        <w:t>ubcontractors, affiliates or agents are expelled or suspended from federal health insurance programs under Title XVIII or Title XIX of the Social Security Act;</w:t>
      </w:r>
    </w:p>
    <w:p w14:paraId="406E0EA0" w14:textId="6A905274" w:rsidR="00DD2E3F" w:rsidRDefault="00DD2E3F" w:rsidP="00096A5D">
      <w:pPr>
        <w:pStyle w:val="BodyText"/>
        <w:numPr>
          <w:ilvl w:val="0"/>
          <w:numId w:val="130"/>
        </w:numPr>
      </w:pPr>
      <w:r>
        <w:t xml:space="preserve">Any action taken by the </w:t>
      </w:r>
      <w:r w:rsidR="00D52218">
        <w:t>West Virginia Offices of the Insurance Commissioner</w:t>
      </w:r>
      <w:r w:rsidR="00D52218" w:rsidDel="00D52218">
        <w:t xml:space="preserve"> </w:t>
      </w:r>
      <w:r>
        <w:t xml:space="preserve">deemed by </w:t>
      </w:r>
      <w:r w:rsidR="00BF1752">
        <w:t xml:space="preserve">DHHR </w:t>
      </w:r>
      <w:r>
        <w:t>to adversely affect the ability of the MCO to provide healthcare services to its enrollees;</w:t>
      </w:r>
    </w:p>
    <w:p w14:paraId="5933F341" w14:textId="3F2C7B4A" w:rsidR="00DD2E3F" w:rsidRDefault="00DD2E3F" w:rsidP="00096A5D">
      <w:pPr>
        <w:pStyle w:val="BodyText"/>
        <w:numPr>
          <w:ilvl w:val="0"/>
          <w:numId w:val="130"/>
        </w:numPr>
      </w:pPr>
      <w:r>
        <w:t xml:space="preserve">Failure of the MCO to obtain signed provider agreements, </w:t>
      </w:r>
      <w:r w:rsidR="009B0110">
        <w:t>S</w:t>
      </w:r>
      <w:r>
        <w:t>ubcontractor agreements or agreements with other agents of the MCO</w:t>
      </w:r>
      <w:r w:rsidR="001C1A3E" w:rsidRPr="001C1A3E">
        <w:t xml:space="preserve"> that impairs the ability of the MCO to perform</w:t>
      </w:r>
      <w:r w:rsidR="001C1A3E">
        <w:t xml:space="preserve"> the services under the </w:t>
      </w:r>
      <w:r w:rsidR="00956642">
        <w:t>C</w:t>
      </w:r>
      <w:r w:rsidR="001C1A3E">
        <w:t>ontract</w:t>
      </w:r>
      <w:r w:rsidR="00F24820">
        <w:t xml:space="preserve"> </w:t>
      </w:r>
      <w:r>
        <w:t xml:space="preserve">and failure to cure within thirty (30) </w:t>
      </w:r>
      <w:r w:rsidR="008F7061">
        <w:t xml:space="preserve">calendar </w:t>
      </w:r>
      <w:r>
        <w:t>days</w:t>
      </w:r>
      <w:r w:rsidR="001C1A3E" w:rsidRPr="001C1A3E">
        <w:t xml:space="preserve"> or such longer period as the Department may allow</w:t>
      </w:r>
      <w:r>
        <w:t>;</w:t>
      </w:r>
    </w:p>
    <w:p w14:paraId="3907EA5E" w14:textId="77777777" w:rsidR="00DD2E3F" w:rsidRDefault="00DD2E3F" w:rsidP="00096A5D">
      <w:pPr>
        <w:pStyle w:val="BodyText"/>
        <w:numPr>
          <w:ilvl w:val="0"/>
          <w:numId w:val="130"/>
        </w:numPr>
      </w:pPr>
      <w:r>
        <w:t xml:space="preserve">The MCO misrepresents, omits or otherwise falsifies information or the MCO knowingly permits its </w:t>
      </w:r>
      <w:r w:rsidR="009B0110">
        <w:t>S</w:t>
      </w:r>
      <w:r>
        <w:t>ubcontractors, affiliates or agents to provide fraudulent, intentionally misleading or misrepresentative information; or</w:t>
      </w:r>
    </w:p>
    <w:p w14:paraId="7FB6E53F" w14:textId="6F110107" w:rsidR="00DD2E3F" w:rsidRPr="00DF1D1C" w:rsidRDefault="00DD2E3F" w:rsidP="00096A5D">
      <w:pPr>
        <w:pStyle w:val="BodyText"/>
        <w:numPr>
          <w:ilvl w:val="0"/>
          <w:numId w:val="130"/>
        </w:numPr>
      </w:pPr>
      <w:r>
        <w:t xml:space="preserve">Breach of any covenant contained in the </w:t>
      </w:r>
      <w:r w:rsidR="009B19C2">
        <w:t xml:space="preserve">Contract </w:t>
      </w:r>
      <w:r>
        <w:t xml:space="preserve">and failure to cure such covenant default within thirty (30) </w:t>
      </w:r>
      <w:r w:rsidR="008F7061">
        <w:t xml:space="preserve">calendar </w:t>
      </w:r>
      <w:r>
        <w:t>days</w:t>
      </w:r>
      <w:r w:rsidR="001C1A3E">
        <w:t xml:space="preserve"> or such longer period as the Department may allow</w:t>
      </w:r>
      <w:r>
        <w:t>.</w:t>
      </w:r>
    </w:p>
    <w:p w14:paraId="26859E92" w14:textId="77777777" w:rsidR="00DD2E3F" w:rsidRDefault="00DD2E3F" w:rsidP="00257641">
      <w:pPr>
        <w:pStyle w:val="normal6"/>
      </w:pPr>
      <w:r>
        <w:t>If the MCO defaults in the performance of the duties under the Contract, the Department may exercise remedies including, but not limited to:</w:t>
      </w:r>
    </w:p>
    <w:p w14:paraId="6F21041A" w14:textId="77777777" w:rsidR="00DD2E3F" w:rsidRDefault="00DD2E3F" w:rsidP="00096A5D">
      <w:pPr>
        <w:pStyle w:val="BodyText"/>
        <w:numPr>
          <w:ilvl w:val="0"/>
          <w:numId w:val="131"/>
        </w:numPr>
      </w:pPr>
      <w:r>
        <w:t xml:space="preserve">Suspension of enrollment; </w:t>
      </w:r>
    </w:p>
    <w:p w14:paraId="60A75B12" w14:textId="77777777" w:rsidR="00DD2E3F" w:rsidRDefault="00DD2E3F" w:rsidP="00096A5D">
      <w:pPr>
        <w:pStyle w:val="BodyText"/>
        <w:numPr>
          <w:ilvl w:val="0"/>
          <w:numId w:val="131"/>
        </w:numPr>
      </w:pPr>
      <w:r>
        <w:lastRenderedPageBreak/>
        <w:t>Suspension of capitation payments;</w:t>
      </w:r>
    </w:p>
    <w:p w14:paraId="0F5DA4AC" w14:textId="77777777" w:rsidR="00DD2E3F" w:rsidRDefault="00DD2E3F" w:rsidP="00096A5D">
      <w:pPr>
        <w:pStyle w:val="BodyText"/>
        <w:numPr>
          <w:ilvl w:val="0"/>
          <w:numId w:val="131"/>
        </w:numPr>
      </w:pPr>
      <w:r>
        <w:t>Appointment of a management company to oversee the operations of the MCO;</w:t>
      </w:r>
    </w:p>
    <w:p w14:paraId="168319E0" w14:textId="77777777" w:rsidR="00DD2E3F" w:rsidRDefault="00DD2E3F" w:rsidP="00096A5D">
      <w:pPr>
        <w:pStyle w:val="BodyText"/>
        <w:numPr>
          <w:ilvl w:val="0"/>
          <w:numId w:val="131"/>
        </w:numPr>
      </w:pPr>
      <w:r>
        <w:t>Imposition of civil and monetary penalties;</w:t>
      </w:r>
    </w:p>
    <w:p w14:paraId="3E84737A" w14:textId="77777777" w:rsidR="00DD2E3F" w:rsidRDefault="00DD2E3F" w:rsidP="00096A5D">
      <w:pPr>
        <w:pStyle w:val="BodyText"/>
        <w:numPr>
          <w:ilvl w:val="0"/>
          <w:numId w:val="131"/>
        </w:numPr>
      </w:pPr>
      <w:r>
        <w:t>Pursuit of any other remedy permitted by law;</w:t>
      </w:r>
      <w:r w:rsidR="00F46385">
        <w:t xml:space="preserve"> or </w:t>
      </w:r>
    </w:p>
    <w:p w14:paraId="7A4EE5A2" w14:textId="77777777" w:rsidR="00DD2E3F" w:rsidRDefault="00DD2E3F" w:rsidP="00096A5D">
      <w:pPr>
        <w:pStyle w:val="BodyText"/>
        <w:numPr>
          <w:ilvl w:val="0"/>
          <w:numId w:val="131"/>
        </w:numPr>
      </w:pPr>
      <w:r>
        <w:t>Termination of the Contract.</w:t>
      </w:r>
    </w:p>
    <w:p w14:paraId="3FCC81A5" w14:textId="77777777" w:rsidR="00CD4383" w:rsidRPr="00DF1D1C" w:rsidRDefault="00CD4383" w:rsidP="00096A5D">
      <w:pPr>
        <w:pStyle w:val="BodyText"/>
      </w:pPr>
      <w:r w:rsidRPr="00DF1D1C">
        <w:t>If afte</w:t>
      </w:r>
      <w:r w:rsidR="00BE5AA0">
        <w:t xml:space="preserve">r notice of termination of the </w:t>
      </w:r>
      <w:r w:rsidR="009B19C2">
        <w:t xml:space="preserve">Contract </w:t>
      </w:r>
      <w:r w:rsidRPr="00DF1D1C">
        <w:t xml:space="preserve">for default, it is determined by the State or a court that the </w:t>
      </w:r>
      <w:r w:rsidR="0073202A">
        <w:t>MCO</w:t>
      </w:r>
      <w:r w:rsidRPr="00DF1D1C">
        <w:t xml:space="preserve"> was not in default or that the </w:t>
      </w:r>
      <w:r w:rsidR="0073202A">
        <w:t>MCO</w:t>
      </w:r>
      <w:r w:rsidR="00FA1C0C" w:rsidRPr="00DF1D1C">
        <w:t>’</w:t>
      </w:r>
      <w:r w:rsidRPr="00DF1D1C">
        <w:t xml:space="preserve">s failure to perform or make progress in performance was due to causes beyond control and without the error or negligence of the </w:t>
      </w:r>
      <w:r w:rsidR="0073202A">
        <w:t>MCO</w:t>
      </w:r>
      <w:r w:rsidR="00BE5AA0">
        <w:t>, or any S</w:t>
      </w:r>
      <w:r w:rsidRPr="00DF1D1C">
        <w:t>ubcontractor,</w:t>
      </w:r>
      <w:r w:rsidR="00C35C8D">
        <w:t xml:space="preserve"> the notice of termination will</w:t>
      </w:r>
      <w:r w:rsidRPr="00DF1D1C">
        <w:t xml:space="preserve"> be deemed to have been issued as a termination for the convenience of the Department, and the rights and obligations of the parties </w:t>
      </w:r>
      <w:r w:rsidR="00C35C8D">
        <w:t>will</w:t>
      </w:r>
      <w:r w:rsidRPr="00DF1D1C">
        <w:t xml:space="preserve"> be governed accordingly.</w:t>
      </w:r>
    </w:p>
    <w:p w14:paraId="23967248" w14:textId="77777777" w:rsidR="00CD4383" w:rsidRPr="00DF1D1C" w:rsidRDefault="00CD4383" w:rsidP="00096A5D">
      <w:pPr>
        <w:pStyle w:val="BodyText"/>
      </w:pPr>
      <w:r w:rsidRPr="00DF1D1C">
        <w:t xml:space="preserve">In the event the </w:t>
      </w:r>
      <w:r w:rsidR="00315EE7" w:rsidRPr="00117461">
        <w:t xml:space="preserve">State of West Virginia, Department of Administration Purchasing </w:t>
      </w:r>
      <w:r w:rsidR="00CE6D70" w:rsidRPr="001276A8">
        <w:t xml:space="preserve">and/or </w:t>
      </w:r>
      <w:r w:rsidR="00315EE7" w:rsidRPr="004F097D">
        <w:t>the Department</w:t>
      </w:r>
      <w:r w:rsidR="00315EE7" w:rsidRPr="00FF031E">
        <w:t xml:space="preserve"> </w:t>
      </w:r>
      <w:r w:rsidR="00BE5AA0">
        <w:t xml:space="preserve">terminates the </w:t>
      </w:r>
      <w:r w:rsidR="009B19C2">
        <w:t xml:space="preserve">Contract </w:t>
      </w:r>
      <w:r w:rsidRPr="00DF1D1C">
        <w:t xml:space="preserve">in full or in part as provided in this clause, the </w:t>
      </w:r>
      <w:r w:rsidR="00315EE7" w:rsidRPr="00117461">
        <w:t>State of West Virginia, Department of Administration Purchasing</w:t>
      </w:r>
      <w:r w:rsidR="00315EE7" w:rsidRPr="00EC4559">
        <w:t xml:space="preserve"> </w:t>
      </w:r>
      <w:r w:rsidRPr="00DF1D1C">
        <w:t xml:space="preserve">may procure services similar to those terminated, and the </w:t>
      </w:r>
      <w:r w:rsidR="0073202A">
        <w:t>MCO</w:t>
      </w:r>
      <w:r w:rsidR="00C35C8D">
        <w:t xml:space="preserve"> will</w:t>
      </w:r>
      <w:r w:rsidRPr="00DF1D1C">
        <w:t xml:space="preserve"> be liable for any excess costs for such similar services for any calendar month for which the </w:t>
      </w:r>
      <w:r w:rsidR="0073202A">
        <w:t>MCO</w:t>
      </w:r>
      <w:r w:rsidRPr="00DF1D1C">
        <w:t xml:space="preserve"> has been paid to provide services to Medicaid clients. </w:t>
      </w:r>
    </w:p>
    <w:p w14:paraId="5DAAF7BD" w14:textId="77777777" w:rsidR="00117524" w:rsidRPr="00DF1D1C" w:rsidRDefault="007B1B86" w:rsidP="00257641">
      <w:pPr>
        <w:pStyle w:val="normal6"/>
      </w:pPr>
      <w:r w:rsidRPr="00DF1D1C">
        <w:t xml:space="preserve">Prior to the termination for default of the </w:t>
      </w:r>
      <w:r w:rsidR="0073202A">
        <w:t>MCO</w:t>
      </w:r>
      <w:r w:rsidRPr="00DF1D1C">
        <w:t xml:space="preserve">, the Department </w:t>
      </w:r>
      <w:r w:rsidR="00F909E8" w:rsidRPr="00DF1D1C">
        <w:t xml:space="preserve">may </w:t>
      </w:r>
      <w:r w:rsidRPr="00DF1D1C">
        <w:t>take the following steps:</w:t>
      </w:r>
      <w:r w:rsidR="00117524">
        <w:t xml:space="preserve"> </w:t>
      </w:r>
    </w:p>
    <w:p w14:paraId="02EF07B9" w14:textId="7FA9F535" w:rsidR="00117524" w:rsidRPr="00DF1D1C" w:rsidRDefault="007B1B86" w:rsidP="00257641">
      <w:pPr>
        <w:pStyle w:val="bullet1"/>
      </w:pPr>
      <w:r w:rsidRPr="00DF1D1C">
        <w:t xml:space="preserve">After </w:t>
      </w:r>
      <w:r w:rsidR="0018138B" w:rsidRPr="00DF1D1C">
        <w:t>a</w:t>
      </w:r>
      <w:r w:rsidRPr="00DF1D1C">
        <w:t xml:space="preserve"> hearing</w:t>
      </w:r>
      <w:r w:rsidR="00EF284E" w:rsidRPr="00DF1D1C">
        <w:t xml:space="preserve"> before the administrative law judge, if </w:t>
      </w:r>
      <w:r w:rsidR="0018138B" w:rsidRPr="00DF1D1C">
        <w:t>one is</w:t>
      </w:r>
      <w:r w:rsidR="00EF284E" w:rsidRPr="00DF1D1C">
        <w:t xml:space="preserve"> request</w:t>
      </w:r>
      <w:r w:rsidR="0018138B" w:rsidRPr="00DF1D1C">
        <w:t xml:space="preserve">ed by the </w:t>
      </w:r>
      <w:r w:rsidR="0073202A">
        <w:t>MCO</w:t>
      </w:r>
      <w:r w:rsidR="0018138B" w:rsidRPr="00DF1D1C">
        <w:t xml:space="preserve"> </w:t>
      </w:r>
      <w:r w:rsidR="00EF284E" w:rsidRPr="00DF1D1C">
        <w:t xml:space="preserve">as set forth in </w:t>
      </w:r>
      <w:r w:rsidR="00BF1752">
        <w:t xml:space="preserve">Article II, </w:t>
      </w:r>
      <w:r w:rsidR="00EF284E" w:rsidRPr="00AE1C8B">
        <w:t>Section 6.</w:t>
      </w:r>
      <w:r w:rsidR="003D6C79" w:rsidRPr="00AE1C8B">
        <w:t>8</w:t>
      </w:r>
      <w:r w:rsidRPr="00DF1D1C">
        <w:t xml:space="preserve">, provide the </w:t>
      </w:r>
      <w:r w:rsidR="0073202A">
        <w:t>MCO</w:t>
      </w:r>
      <w:r w:rsidRPr="00DF1D1C">
        <w:t xml:space="preserve"> with written notice of the decision affirming or reversing the proposed termination of the contract, and the effective date of the termination, if applicable; and </w:t>
      </w:r>
    </w:p>
    <w:p w14:paraId="2707F390" w14:textId="77777777" w:rsidR="007B1B86" w:rsidRPr="00DF1D1C" w:rsidRDefault="007B1B86" w:rsidP="00257641">
      <w:pPr>
        <w:pStyle w:val="bullet1last"/>
      </w:pPr>
      <w:r w:rsidRPr="00DF1D1C">
        <w:t xml:space="preserve">For an affirming decision, give enrollees of the </w:t>
      </w:r>
      <w:r w:rsidR="0073202A">
        <w:t>MCO</w:t>
      </w:r>
      <w:r w:rsidRPr="00DF1D1C">
        <w:t xml:space="preserve"> notice of the termination</w:t>
      </w:r>
      <w:r w:rsidR="00EF284E" w:rsidRPr="00DF1D1C">
        <w:t xml:space="preserve">, </w:t>
      </w:r>
      <w:r w:rsidRPr="00DF1D1C">
        <w:t>and information regarding enrollees</w:t>
      </w:r>
      <w:r w:rsidR="00FA1C0C" w:rsidRPr="00DF1D1C">
        <w:t>’</w:t>
      </w:r>
      <w:r w:rsidRPr="00DF1D1C">
        <w:t xml:space="preserve"> options for receiving covered services following the termination</w:t>
      </w:r>
      <w:r w:rsidR="00EF284E" w:rsidRPr="00DF1D1C">
        <w:t xml:space="preserve">, and the right to terminate enrollment in the </w:t>
      </w:r>
      <w:r w:rsidR="0073202A">
        <w:t>MCO</w:t>
      </w:r>
      <w:r w:rsidR="00EF284E" w:rsidRPr="00DF1D1C">
        <w:t xml:space="preserve"> immediately without cause.</w:t>
      </w:r>
    </w:p>
    <w:p w14:paraId="7717AD5C" w14:textId="77777777" w:rsidR="00CD4383" w:rsidRPr="00DF1D1C" w:rsidRDefault="00CD4383" w:rsidP="00096A5D">
      <w:pPr>
        <w:pStyle w:val="BodyText"/>
      </w:pPr>
      <w:r w:rsidRPr="00DF1D1C">
        <w:t xml:space="preserve">In the event of a termination for default, the </w:t>
      </w:r>
      <w:r w:rsidR="0073202A">
        <w:t>MCO</w:t>
      </w:r>
      <w:r w:rsidR="006721E9">
        <w:t xml:space="preserve"> must </w:t>
      </w:r>
      <w:r w:rsidRPr="00DF1D1C">
        <w:t xml:space="preserve">be paid for those services which the </w:t>
      </w:r>
      <w:r w:rsidR="0073202A">
        <w:t>MCO</w:t>
      </w:r>
      <w:r w:rsidRPr="00DF1D1C">
        <w:t xml:space="preserve"> has provided.</w:t>
      </w:r>
    </w:p>
    <w:p w14:paraId="62628F4A" w14:textId="0251421C" w:rsidR="00CD4383" w:rsidRDefault="00CD4383" w:rsidP="00096A5D">
      <w:pPr>
        <w:pStyle w:val="BodyText"/>
      </w:pPr>
      <w:r w:rsidRPr="00DF1D1C">
        <w:t xml:space="preserve">The </w:t>
      </w:r>
      <w:r w:rsidR="0073202A">
        <w:t>MCO</w:t>
      </w:r>
      <w:r w:rsidRPr="00DF1D1C">
        <w:t xml:space="preserve"> may terminate </w:t>
      </w:r>
      <w:r w:rsidR="008D100F">
        <w:t xml:space="preserve">performance of work under this </w:t>
      </w:r>
      <w:r w:rsidR="009B19C2">
        <w:t xml:space="preserve">Contract </w:t>
      </w:r>
      <w:r w:rsidRPr="00DF1D1C">
        <w:t xml:space="preserve">in whole, or in part, with written notification to the </w:t>
      </w:r>
      <w:r w:rsidR="00B71FC9" w:rsidRPr="00EC4559">
        <w:rPr>
          <w:u w:val="single"/>
        </w:rPr>
        <w:t xml:space="preserve">State of West Virginia, Department of Administration Purchasing </w:t>
      </w:r>
      <w:r w:rsidR="00B71FC9">
        <w:rPr>
          <w:u w:val="single"/>
        </w:rPr>
        <w:t xml:space="preserve">through </w:t>
      </w:r>
      <w:r w:rsidR="00B71FC9" w:rsidRPr="001A0015">
        <w:rPr>
          <w:u w:val="single"/>
        </w:rPr>
        <w:t xml:space="preserve">the </w:t>
      </w:r>
      <w:r w:rsidR="00B71FC9" w:rsidRPr="005437B9">
        <w:rPr>
          <w:u w:val="single"/>
        </w:rPr>
        <w:t>Department</w:t>
      </w:r>
      <w:r w:rsidRPr="00DF1D1C">
        <w:t>, whenever the Department fail</w:t>
      </w:r>
      <w:r w:rsidR="006721E9">
        <w:t>s</w:t>
      </w:r>
      <w:r w:rsidRPr="00DF1D1C">
        <w:t xml:space="preserve"> to make payment for services under thi</w:t>
      </w:r>
      <w:r w:rsidR="006721E9">
        <w:t xml:space="preserve">s </w:t>
      </w:r>
      <w:r w:rsidR="009B19C2">
        <w:t xml:space="preserve">Contract </w:t>
      </w:r>
      <w:r w:rsidR="006721E9">
        <w:t>for</w:t>
      </w:r>
      <w:r w:rsidR="003E77C5">
        <w:t xml:space="preserve"> sixty</w:t>
      </w:r>
      <w:r w:rsidR="006721E9">
        <w:t xml:space="preserve"> </w:t>
      </w:r>
      <w:r w:rsidR="003E77C5">
        <w:t>(</w:t>
      </w:r>
      <w:r w:rsidR="006721E9">
        <w:t>60</w:t>
      </w:r>
      <w:r w:rsidR="003E77C5">
        <w:t>)</w:t>
      </w:r>
      <w:r w:rsidR="006721E9">
        <w:t xml:space="preserve"> </w:t>
      </w:r>
      <w:r w:rsidR="008F7061">
        <w:t xml:space="preserve">calendar </w:t>
      </w:r>
      <w:r w:rsidR="006721E9">
        <w:t>days and</w:t>
      </w:r>
      <w:r w:rsidRPr="00DF1D1C">
        <w:t xml:space="preserve"> fail</w:t>
      </w:r>
      <w:r w:rsidR="006721E9">
        <w:t>s</w:t>
      </w:r>
      <w:r w:rsidRPr="00DF1D1C">
        <w:t xml:space="preserve"> to cure such non</w:t>
      </w:r>
      <w:r w:rsidRPr="00DF1D1C">
        <w:noBreakHyphen/>
        <w:t>payment or make progress toward curing non</w:t>
      </w:r>
      <w:r w:rsidRPr="00DF1D1C">
        <w:softHyphen/>
        <w:t xml:space="preserve">payment within a period of </w:t>
      </w:r>
      <w:r w:rsidR="00A46B93">
        <w:t>thirty (</w:t>
      </w:r>
      <w:r w:rsidRPr="00DF1D1C">
        <w:t>30</w:t>
      </w:r>
      <w:r w:rsidR="00A46B93">
        <w:t>)</w:t>
      </w:r>
      <w:r w:rsidRPr="00DF1D1C">
        <w:t xml:space="preserve"> </w:t>
      </w:r>
      <w:r w:rsidR="008F7061">
        <w:t xml:space="preserve">calendar </w:t>
      </w:r>
      <w:r w:rsidRPr="00DF1D1C">
        <w:t xml:space="preserve">days after receipt of the </w:t>
      </w:r>
      <w:r w:rsidR="0073202A">
        <w:t>MCO</w:t>
      </w:r>
      <w:r w:rsidR="00FA1C0C" w:rsidRPr="00DF1D1C">
        <w:t>’</w:t>
      </w:r>
      <w:r w:rsidRPr="00DF1D1C">
        <w:t>s written notice of termination</w:t>
      </w:r>
      <w:r w:rsidR="0078080B" w:rsidRPr="00DF1D1C">
        <w:t xml:space="preserve">. </w:t>
      </w:r>
    </w:p>
    <w:p w14:paraId="7A20073C" w14:textId="77777777" w:rsidR="00CD4383" w:rsidRDefault="00CD4383" w:rsidP="00096A5D">
      <w:pPr>
        <w:pStyle w:val="BodyText"/>
      </w:pPr>
      <w:r w:rsidRPr="00DF1D1C">
        <w:t xml:space="preserve">The rights and remedies of the Department provided in this clause </w:t>
      </w:r>
      <w:r w:rsidR="006721E9">
        <w:t>are not</w:t>
      </w:r>
      <w:r w:rsidRPr="00DF1D1C">
        <w:t xml:space="preserve"> exclusive and are in addition to any other rights and remedies provided by law or under this contract.</w:t>
      </w:r>
    </w:p>
    <w:p w14:paraId="39C28494" w14:textId="77777777" w:rsidR="00C35C8D" w:rsidRPr="00DF1D1C" w:rsidRDefault="00C35C8D" w:rsidP="00096A5D">
      <w:pPr>
        <w:pStyle w:val="BodyText"/>
      </w:pPr>
      <w:r>
        <w:lastRenderedPageBreak/>
        <w:t xml:space="preserve">If the </w:t>
      </w:r>
      <w:r w:rsidR="009C71DC" w:rsidRPr="00EC4559">
        <w:rPr>
          <w:u w:val="single"/>
        </w:rPr>
        <w:t xml:space="preserve">State of West Virginia, Department of Administration Purchasing </w:t>
      </w:r>
      <w:r w:rsidR="009C71DC" w:rsidRPr="001A0015">
        <w:rPr>
          <w:u w:val="single"/>
        </w:rPr>
        <w:t xml:space="preserve">through the </w:t>
      </w:r>
      <w:r w:rsidR="009C71DC" w:rsidRPr="005437B9">
        <w:rPr>
          <w:u w:val="single"/>
        </w:rPr>
        <w:t>Department</w:t>
      </w:r>
      <w:r w:rsidRPr="009C71DC">
        <w:t xml:space="preserve"> </w:t>
      </w:r>
      <w:r w:rsidR="008D100F">
        <w:t xml:space="preserve">terminates the </w:t>
      </w:r>
      <w:r w:rsidR="009B19C2">
        <w:t xml:space="preserve">Contract </w:t>
      </w:r>
      <w:r>
        <w:t>for default, the MCO will be responsible for all reasonable cost</w:t>
      </w:r>
      <w:r w:rsidR="0020218E">
        <w:t>s</w:t>
      </w:r>
      <w:r>
        <w:t xml:space="preserve"> incurred by the Department, the State of West Virginia, or any of its</w:t>
      </w:r>
      <w:r w:rsidR="008A5E34">
        <w:t xml:space="preserve"> </w:t>
      </w:r>
      <w:r>
        <w:t xml:space="preserve">administrative agencies to replace the MCO. These costs include, but are not limited to, the costs of procuring a substitute vendor and the cost of any claim or litigation that is reasonably attributable to </w:t>
      </w:r>
      <w:r w:rsidR="004A6879">
        <w:t xml:space="preserve">the </w:t>
      </w:r>
      <w:r>
        <w:t>MCO’s failure to perform any service in ac</w:t>
      </w:r>
      <w:r w:rsidR="008D100F">
        <w:t>cordance with the terms of the C</w:t>
      </w:r>
      <w:r>
        <w:t xml:space="preserve">ontract. </w:t>
      </w:r>
    </w:p>
    <w:p w14:paraId="7664FE4D" w14:textId="2A7AD3AA" w:rsidR="00CD4383" w:rsidRPr="0041309F" w:rsidRDefault="00CD4383" w:rsidP="00257641">
      <w:pPr>
        <w:pStyle w:val="Heading3"/>
      </w:pPr>
      <w:bookmarkStart w:id="60" w:name="_Toc8128989"/>
      <w:r w:rsidRPr="0041309F">
        <w:t>6.</w:t>
      </w:r>
      <w:r w:rsidR="00C60A67" w:rsidRPr="0041309F">
        <w:t>10</w:t>
      </w:r>
      <w:r w:rsidR="00A26078" w:rsidRPr="0041309F">
        <w:t xml:space="preserve"> </w:t>
      </w:r>
      <w:r w:rsidRPr="0041309F">
        <w:tab/>
        <w:t>Termination for Convenience</w:t>
      </w:r>
      <w:bookmarkEnd w:id="60"/>
    </w:p>
    <w:p w14:paraId="1B7CB654" w14:textId="2882A558" w:rsidR="00CD4383" w:rsidRPr="00DF1D1C" w:rsidRDefault="00CD4383" w:rsidP="00257641">
      <w:pPr>
        <w:pStyle w:val="normal6"/>
      </w:pPr>
      <w:r w:rsidRPr="00DF1D1C">
        <w:t xml:space="preserve">The </w:t>
      </w:r>
      <w:r w:rsidR="00EA611F" w:rsidRPr="00EC4559">
        <w:rPr>
          <w:u w:val="single"/>
        </w:rPr>
        <w:t xml:space="preserve">State of West Virginia, Department of Administration Purchasing </w:t>
      </w:r>
      <w:r w:rsidR="00EA611F">
        <w:rPr>
          <w:u w:val="single"/>
        </w:rPr>
        <w:t xml:space="preserve">through </w:t>
      </w:r>
      <w:r w:rsidR="00EA611F" w:rsidRPr="001A0015">
        <w:rPr>
          <w:u w:val="single"/>
        </w:rPr>
        <w:t xml:space="preserve">the </w:t>
      </w:r>
      <w:r w:rsidR="00EA611F" w:rsidRPr="005437B9">
        <w:rPr>
          <w:u w:val="single"/>
        </w:rPr>
        <w:t>Department</w:t>
      </w:r>
      <w:r w:rsidR="00EA611F" w:rsidRPr="00EA611F">
        <w:t xml:space="preserve"> </w:t>
      </w:r>
      <w:r w:rsidR="00EA611F">
        <w:t xml:space="preserve">or the MCO </w:t>
      </w:r>
      <w:r w:rsidRPr="00DF1D1C">
        <w:t xml:space="preserve">may terminate this </w:t>
      </w:r>
      <w:r w:rsidR="009B19C2">
        <w:t xml:space="preserve">Contract </w:t>
      </w:r>
      <w:r w:rsidRPr="00DF1D1C">
        <w:t>at any time with at least</w:t>
      </w:r>
      <w:r w:rsidR="00A46B93">
        <w:t xml:space="preserve"> </w:t>
      </w:r>
      <w:r w:rsidR="00F731FE">
        <w:t xml:space="preserve">a </w:t>
      </w:r>
      <w:r w:rsidR="00A46B93">
        <w:t>thirty</w:t>
      </w:r>
      <w:r w:rsidR="00920EF7">
        <w:t xml:space="preserve"> </w:t>
      </w:r>
      <w:r w:rsidR="00A46B93">
        <w:t>(</w:t>
      </w:r>
      <w:r w:rsidR="00920EF7">
        <w:t>30</w:t>
      </w:r>
      <w:r w:rsidR="00A46B93">
        <w:t>)</w:t>
      </w:r>
      <w:r w:rsidR="009025CC">
        <w:t xml:space="preserve"> </w:t>
      </w:r>
      <w:r w:rsidR="008F7061">
        <w:t xml:space="preserve">calendar </w:t>
      </w:r>
      <w:r w:rsidRPr="00DF1D1C">
        <w:t xml:space="preserve">day written notice. The effective date must be the first day of a month. The </w:t>
      </w:r>
      <w:r w:rsidR="0073202A">
        <w:t>MCO</w:t>
      </w:r>
      <w:r w:rsidR="006721E9">
        <w:t xml:space="preserve"> must</w:t>
      </w:r>
      <w:r w:rsidRPr="00DF1D1C">
        <w:t xml:space="preserve"> be paid the following:</w:t>
      </w:r>
    </w:p>
    <w:p w14:paraId="1A6B6CCA" w14:textId="77777777" w:rsidR="00CD4383" w:rsidRPr="00DF1D1C" w:rsidRDefault="00CD4383" w:rsidP="00257641">
      <w:pPr>
        <w:numPr>
          <w:ilvl w:val="0"/>
          <w:numId w:val="4"/>
        </w:numPr>
        <w:tabs>
          <w:tab w:val="clear" w:pos="360"/>
        </w:tabs>
        <w:spacing w:after="120"/>
        <w:ind w:left="720"/>
      </w:pPr>
      <w:r w:rsidRPr="00DF1D1C">
        <w:t xml:space="preserve">At the </w:t>
      </w:r>
      <w:r w:rsidR="009B19C2">
        <w:t xml:space="preserve">Contract </w:t>
      </w:r>
      <w:r w:rsidRPr="00DF1D1C">
        <w:t>price(s) for services delivered to and accepted by the Department.</w:t>
      </w:r>
    </w:p>
    <w:p w14:paraId="263944AC" w14:textId="77777777" w:rsidR="00CD4383" w:rsidRPr="00DF1D1C" w:rsidRDefault="00CD4383" w:rsidP="00257641">
      <w:pPr>
        <w:numPr>
          <w:ilvl w:val="0"/>
          <w:numId w:val="4"/>
        </w:numPr>
        <w:tabs>
          <w:tab w:val="clear" w:pos="360"/>
        </w:tabs>
        <w:ind w:left="720"/>
      </w:pPr>
      <w:r w:rsidRPr="00DF1D1C">
        <w:t xml:space="preserve">At a price mutually agreed to by the </w:t>
      </w:r>
      <w:r w:rsidR="0073202A">
        <w:t>MCO</w:t>
      </w:r>
      <w:r w:rsidRPr="00DF1D1C">
        <w:t xml:space="preserve"> and the Department for services partially completed.</w:t>
      </w:r>
    </w:p>
    <w:p w14:paraId="7E0C324D" w14:textId="77777777" w:rsidR="00CD4383" w:rsidRPr="00DF1D1C" w:rsidRDefault="00CD4383" w:rsidP="00257641">
      <w:pPr>
        <w:pStyle w:val="Heading3"/>
      </w:pPr>
      <w:bookmarkStart w:id="61" w:name="_Toc8128990"/>
      <w:r w:rsidRPr="00DF1D1C">
        <w:t>6.</w:t>
      </w:r>
      <w:r w:rsidR="00C60A67">
        <w:t>11</w:t>
      </w:r>
      <w:r w:rsidR="00A26078" w:rsidRPr="00DF1D1C">
        <w:t xml:space="preserve"> </w:t>
      </w:r>
      <w:r w:rsidRPr="00DF1D1C">
        <w:tab/>
        <w:t>Termination Due to Change in Law, Interpretation of Law, or Binding Court Decision</w:t>
      </w:r>
      <w:bookmarkEnd w:id="61"/>
    </w:p>
    <w:p w14:paraId="34F2C08A" w14:textId="7E0D4926" w:rsidR="00CD4383" w:rsidRPr="00DF1D1C" w:rsidRDefault="00CD4383" w:rsidP="00096A5D">
      <w:pPr>
        <w:pStyle w:val="BodyText"/>
      </w:pPr>
      <w:r w:rsidRPr="00DF1D1C">
        <w:t>Any change in Federal or State law, or any interpretation of law by the United State</w:t>
      </w:r>
      <w:r w:rsidR="00751363" w:rsidRPr="00DF1D1C">
        <w:t>s</w:t>
      </w:r>
      <w:r w:rsidRPr="00DF1D1C">
        <w:t xml:space="preserve"> Department of Health and Human Services or by a court whose decisions constitute binding precedent in West Virginia, which significantly alters the </w:t>
      </w:r>
      <w:r w:rsidR="0073202A">
        <w:t>MCO</w:t>
      </w:r>
      <w:r w:rsidR="00FA1C0C" w:rsidRPr="00DF1D1C">
        <w:t>’</w:t>
      </w:r>
      <w:r w:rsidRPr="00DF1D1C">
        <w:t xml:space="preserve">s required activities or any change in the availability of funds, </w:t>
      </w:r>
      <w:r w:rsidR="006721E9">
        <w:t>will be viewed as binding and will</w:t>
      </w:r>
      <w:r w:rsidRPr="00DF1D1C">
        <w:t xml:space="preserve"> warrant good faith renegotiation of the provisions of the </w:t>
      </w:r>
      <w:r w:rsidR="009B19C2">
        <w:t xml:space="preserve">Contract </w:t>
      </w:r>
      <w:r w:rsidRPr="00DF1D1C">
        <w:t xml:space="preserve">that are thus affected. If such renegotiation proves unsuccessful, the </w:t>
      </w:r>
      <w:r w:rsidR="009B19C2">
        <w:t xml:space="preserve">Contract </w:t>
      </w:r>
      <w:r w:rsidRPr="00DF1D1C">
        <w:t xml:space="preserve">may be terminated on written notice of either party to the other party at least </w:t>
      </w:r>
      <w:r w:rsidR="00575930">
        <w:t>thirty (</w:t>
      </w:r>
      <w:r w:rsidRPr="00DF1D1C">
        <w:t>30</w:t>
      </w:r>
      <w:r w:rsidR="00575930">
        <w:t>)</w:t>
      </w:r>
      <w:r w:rsidRPr="00DF1D1C">
        <w:t xml:space="preserve"> </w:t>
      </w:r>
      <w:r w:rsidR="008F7061">
        <w:t xml:space="preserve">calendar </w:t>
      </w:r>
      <w:r w:rsidRPr="00DF1D1C">
        <w:t>days prior to termination.</w:t>
      </w:r>
    </w:p>
    <w:p w14:paraId="5FD13EAE" w14:textId="5FA784A1" w:rsidR="00CD4383" w:rsidRPr="00DF1D1C" w:rsidRDefault="00CD4383" w:rsidP="00257641">
      <w:pPr>
        <w:pStyle w:val="Heading3"/>
      </w:pPr>
      <w:bookmarkStart w:id="62" w:name="_Toc8128991"/>
      <w:r w:rsidRPr="00DF1D1C">
        <w:t>6.</w:t>
      </w:r>
      <w:r w:rsidR="00C60A67">
        <w:t>12</w:t>
      </w:r>
      <w:r w:rsidR="00A26078" w:rsidRPr="00DF1D1C">
        <w:t xml:space="preserve"> </w:t>
      </w:r>
      <w:r w:rsidRPr="00DF1D1C">
        <w:tab/>
        <w:t>Termination for Managed Care Organization Bankruptcy</w:t>
      </w:r>
      <w:bookmarkEnd w:id="62"/>
    </w:p>
    <w:p w14:paraId="795E7D29" w14:textId="77777777" w:rsidR="00CD4383" w:rsidRPr="00DF1D1C" w:rsidRDefault="00CD4383" w:rsidP="00096A5D">
      <w:pPr>
        <w:pStyle w:val="BodyText"/>
      </w:pPr>
      <w:r w:rsidRPr="00DF1D1C">
        <w:t xml:space="preserve">In the event of the filing of a petition in bankruptcy by or against the </w:t>
      </w:r>
      <w:r w:rsidR="0073202A">
        <w:t>MCO</w:t>
      </w:r>
      <w:r w:rsidRPr="00DF1D1C">
        <w:t xml:space="preserve">, the </w:t>
      </w:r>
      <w:r w:rsidR="00E3244D" w:rsidRPr="00EC4559">
        <w:rPr>
          <w:u w:val="single"/>
        </w:rPr>
        <w:t xml:space="preserve">State of West Virginia, Department of Administration Purchasing </w:t>
      </w:r>
      <w:r w:rsidR="00E3244D">
        <w:rPr>
          <w:u w:val="single"/>
        </w:rPr>
        <w:t xml:space="preserve">through the </w:t>
      </w:r>
      <w:r w:rsidR="00E3244D" w:rsidRPr="005437B9">
        <w:rPr>
          <w:u w:val="single"/>
        </w:rPr>
        <w:t>Department</w:t>
      </w:r>
      <w:r w:rsidR="00E3244D" w:rsidRPr="00E3244D">
        <w:t xml:space="preserve"> </w:t>
      </w:r>
      <w:r w:rsidR="006721E9">
        <w:t xml:space="preserve">will </w:t>
      </w:r>
      <w:r w:rsidRPr="00DF1D1C">
        <w:t>h</w:t>
      </w:r>
      <w:r w:rsidR="003B0A77">
        <w:t xml:space="preserve">ave the right to terminate the </w:t>
      </w:r>
      <w:r w:rsidR="009B19C2">
        <w:t xml:space="preserve">Contract </w:t>
      </w:r>
      <w:r w:rsidRPr="00DF1D1C">
        <w:t>upon the same terms and conditions as a Termination for Default.</w:t>
      </w:r>
    </w:p>
    <w:p w14:paraId="38F499F0" w14:textId="5A9B50A8" w:rsidR="00CD4383" w:rsidRPr="00DF1D1C" w:rsidRDefault="00CD4383" w:rsidP="00257641">
      <w:pPr>
        <w:pStyle w:val="Heading3"/>
        <w:ind w:left="0" w:firstLine="360"/>
      </w:pPr>
      <w:bookmarkStart w:id="63" w:name="_Toc8128992"/>
      <w:r w:rsidRPr="00DF1D1C">
        <w:t>6.</w:t>
      </w:r>
      <w:r w:rsidR="00C60A67">
        <w:t>13</w:t>
      </w:r>
      <w:r w:rsidRPr="00DF1D1C">
        <w:tab/>
        <w:t>Termination for Unavailability of Funds</w:t>
      </w:r>
      <w:bookmarkEnd w:id="63"/>
    </w:p>
    <w:p w14:paraId="1AC25266" w14:textId="74E56959" w:rsidR="00CD4383" w:rsidRPr="00DF1D1C" w:rsidRDefault="00CD4383" w:rsidP="00096A5D">
      <w:pPr>
        <w:pStyle w:val="BodyText"/>
      </w:pPr>
      <w:r w:rsidRPr="00DF1D1C">
        <w:t xml:space="preserve">The </w:t>
      </w:r>
      <w:r w:rsidR="003D6FD2" w:rsidRPr="00EC4559">
        <w:rPr>
          <w:u w:val="single"/>
        </w:rPr>
        <w:t xml:space="preserve">State of West Virginia, Department of Administration Purchasing </w:t>
      </w:r>
      <w:r w:rsidR="003D6FD2">
        <w:rPr>
          <w:u w:val="single"/>
        </w:rPr>
        <w:t xml:space="preserve">through </w:t>
      </w:r>
      <w:r w:rsidR="003D6FD2" w:rsidRPr="001A0015">
        <w:rPr>
          <w:u w:val="single"/>
        </w:rPr>
        <w:t xml:space="preserve">the </w:t>
      </w:r>
      <w:r w:rsidR="003D6FD2" w:rsidRPr="005437B9">
        <w:rPr>
          <w:u w:val="single"/>
        </w:rPr>
        <w:t>Department</w:t>
      </w:r>
      <w:r w:rsidR="003D6FD2">
        <w:rPr>
          <w:u w:val="single"/>
        </w:rPr>
        <w:t xml:space="preserve"> </w:t>
      </w:r>
      <w:r w:rsidRPr="00DF1D1C">
        <w:t>at its discretion</w:t>
      </w:r>
      <w:r w:rsidR="003D6FD2">
        <w:t>,</w:t>
      </w:r>
      <w:r w:rsidRPr="00DF1D1C">
        <w:t xml:space="preserve"> may terminate at any time</w:t>
      </w:r>
      <w:r w:rsidR="00EB2290">
        <w:t>,</w:t>
      </w:r>
      <w:r w:rsidRPr="00DF1D1C">
        <w:t xml:space="preserve"> the whole</w:t>
      </w:r>
      <w:r w:rsidR="00EB2290">
        <w:t>,</w:t>
      </w:r>
      <w:r w:rsidRPr="00DF1D1C">
        <w:t xml:space="preserve"> or any part of</w:t>
      </w:r>
      <w:r w:rsidR="00EB2290">
        <w:t>,</w:t>
      </w:r>
      <w:r w:rsidRPr="00DF1D1C">
        <w:t xml:space="preserve"> </w:t>
      </w:r>
      <w:r w:rsidR="00486C4A">
        <w:t xml:space="preserve">this </w:t>
      </w:r>
      <w:r w:rsidR="009B19C2">
        <w:t xml:space="preserve">Contract </w:t>
      </w:r>
      <w:r w:rsidRPr="00DF1D1C">
        <w:t xml:space="preserve">or modify the terms of the </w:t>
      </w:r>
      <w:r w:rsidR="009B19C2">
        <w:t xml:space="preserve">Contract </w:t>
      </w:r>
      <w:r w:rsidRPr="00DF1D1C">
        <w:t xml:space="preserve">if federal or state funding for the </w:t>
      </w:r>
      <w:r w:rsidR="009B19C2">
        <w:t>Contract</w:t>
      </w:r>
      <w:r w:rsidR="009A7EDA">
        <w:t>,</w:t>
      </w:r>
      <w:r w:rsidR="009B19C2">
        <w:t xml:space="preserve"> </w:t>
      </w:r>
      <w:r w:rsidRPr="00DF1D1C">
        <w:t>the Medicaid program</w:t>
      </w:r>
      <w:r w:rsidR="009A7EDA">
        <w:t>, or the Foster Care program</w:t>
      </w:r>
      <w:r w:rsidRPr="00DF1D1C">
        <w:t xml:space="preserve"> as a whole is reduced or terminated for any reason. Modification of the </w:t>
      </w:r>
      <w:r w:rsidR="009B19C2">
        <w:t xml:space="preserve">Contract </w:t>
      </w:r>
      <w:r w:rsidRPr="00DF1D1C">
        <w:t xml:space="preserve">includes, but is not limited to, reduction of the rates or amounts of consideration, reducing services covered by the </w:t>
      </w:r>
      <w:r w:rsidR="0073202A">
        <w:t>MCO</w:t>
      </w:r>
      <w:r w:rsidRPr="00DF1D1C">
        <w:t xml:space="preserve">, or the alteration of the manner of the performance in order to reduce expenditures under the contract. Whenever possible, the </w:t>
      </w:r>
      <w:r w:rsidR="0073202A">
        <w:t>MCO</w:t>
      </w:r>
      <w:r w:rsidRPr="00DF1D1C">
        <w:t xml:space="preserve"> will be given</w:t>
      </w:r>
      <w:r w:rsidR="00575930">
        <w:t xml:space="preserve"> thirty</w:t>
      </w:r>
      <w:r w:rsidRPr="00DF1D1C">
        <w:t xml:space="preserve"> </w:t>
      </w:r>
      <w:r w:rsidR="00575930">
        <w:t>(</w:t>
      </w:r>
      <w:r w:rsidRPr="00DF1D1C">
        <w:t>30</w:t>
      </w:r>
      <w:r w:rsidR="00575930">
        <w:t>)</w:t>
      </w:r>
      <w:r w:rsidRPr="00DF1D1C">
        <w:t xml:space="preserve"> </w:t>
      </w:r>
      <w:r w:rsidR="008F7061">
        <w:t xml:space="preserve">calendar </w:t>
      </w:r>
      <w:r w:rsidRPr="00DF1D1C">
        <w:t>days notification of termination.</w:t>
      </w:r>
    </w:p>
    <w:p w14:paraId="2BDFCE1A" w14:textId="50E82D98" w:rsidR="00CD4383" w:rsidRPr="00DF1D1C" w:rsidRDefault="00CD4383" w:rsidP="00096A5D">
      <w:pPr>
        <w:pStyle w:val="BodyText"/>
      </w:pPr>
      <w:r w:rsidRPr="00DF1D1C">
        <w:t xml:space="preserve">After modification of the contract, the </w:t>
      </w:r>
      <w:r w:rsidR="0073202A">
        <w:t>MCO</w:t>
      </w:r>
      <w:r w:rsidRPr="00DF1D1C">
        <w:t xml:space="preserve"> </w:t>
      </w:r>
      <w:r w:rsidR="006721E9">
        <w:t>will</w:t>
      </w:r>
      <w:r w:rsidRPr="00DF1D1C">
        <w:t xml:space="preserve"> have the right not to c</w:t>
      </w:r>
      <w:r w:rsidR="001C6219">
        <w:t xml:space="preserve">ontinue the </w:t>
      </w:r>
      <w:r w:rsidR="009B19C2">
        <w:t xml:space="preserve">Contract </w:t>
      </w:r>
      <w:r w:rsidRPr="00DF1D1C">
        <w:t xml:space="preserve">if the new </w:t>
      </w:r>
      <w:r w:rsidR="009B19C2">
        <w:t xml:space="preserve">Contract </w:t>
      </w:r>
      <w:r w:rsidRPr="00DF1D1C">
        <w:t>terms are deemed to be insufficient</w:t>
      </w:r>
      <w:r w:rsidR="00EB0E32">
        <w:t>,</w:t>
      </w:r>
      <w:r w:rsidRPr="00DF1D1C">
        <w:t xml:space="preserve"> notwithstanding any other provision of this contract. The </w:t>
      </w:r>
      <w:r w:rsidR="0073202A">
        <w:t>MCO</w:t>
      </w:r>
      <w:r w:rsidRPr="00DF1D1C">
        <w:t xml:space="preserve"> </w:t>
      </w:r>
      <w:r w:rsidR="006721E9">
        <w:t xml:space="preserve">will </w:t>
      </w:r>
      <w:r w:rsidRPr="00DF1D1C">
        <w:t xml:space="preserve">have a minimum of </w:t>
      </w:r>
      <w:r w:rsidR="003E77C5">
        <w:t>sixty (</w:t>
      </w:r>
      <w:r w:rsidRPr="00DF1D1C">
        <w:t>60</w:t>
      </w:r>
      <w:r w:rsidR="003E77C5">
        <w:t>)</w:t>
      </w:r>
      <w:r w:rsidRPr="00DF1D1C">
        <w:t xml:space="preserve"> </w:t>
      </w:r>
      <w:r w:rsidR="008F7061">
        <w:t xml:space="preserve">calendar </w:t>
      </w:r>
      <w:r w:rsidRPr="00DF1D1C">
        <w:t xml:space="preserve">days to notify the </w:t>
      </w:r>
      <w:r w:rsidR="00903A77" w:rsidRPr="00EC4559">
        <w:rPr>
          <w:u w:val="single"/>
        </w:rPr>
        <w:t xml:space="preserve">State of West Virginia, Department of Administration Purchasing </w:t>
      </w:r>
      <w:r w:rsidR="00903A77">
        <w:rPr>
          <w:u w:val="single"/>
        </w:rPr>
        <w:t xml:space="preserve">through the </w:t>
      </w:r>
      <w:r w:rsidR="00903A77" w:rsidRPr="00B01265">
        <w:rPr>
          <w:u w:val="single"/>
        </w:rPr>
        <w:t>Department</w:t>
      </w:r>
      <w:r w:rsidR="00903A77" w:rsidRPr="00BC0FA4">
        <w:t xml:space="preserve"> </w:t>
      </w:r>
      <w:r w:rsidRPr="00DF1D1C">
        <w:t xml:space="preserve">regarding its desire to accept new terms. </w:t>
      </w:r>
      <w:r w:rsidR="00751363" w:rsidRPr="00DF1D1C">
        <w:t>I</w:t>
      </w:r>
      <w:r w:rsidRPr="00DF1D1C">
        <w:t xml:space="preserve">f the new capitation rates and any other </w:t>
      </w:r>
      <w:r w:rsidR="009B19C2">
        <w:t xml:space="preserve">Contract </w:t>
      </w:r>
      <w:r w:rsidRPr="00DF1D1C">
        <w:t xml:space="preserve">modifications are not </w:t>
      </w:r>
      <w:r w:rsidRPr="00DF1D1C">
        <w:lastRenderedPageBreak/>
        <w:t xml:space="preserve">established at least </w:t>
      </w:r>
      <w:r w:rsidR="003E77C5">
        <w:t>sixty (</w:t>
      </w:r>
      <w:r w:rsidRPr="00DF1D1C">
        <w:t>60</w:t>
      </w:r>
      <w:r w:rsidR="003E77C5">
        <w:t>)</w:t>
      </w:r>
      <w:r w:rsidRPr="00DF1D1C">
        <w:t xml:space="preserve"> </w:t>
      </w:r>
      <w:r w:rsidR="008F7061">
        <w:t xml:space="preserve">calendar </w:t>
      </w:r>
      <w:r w:rsidRPr="00DF1D1C">
        <w:t xml:space="preserve">days prior to the expiration of the initial or extension agreement, the Department will reimburse the </w:t>
      </w:r>
      <w:r w:rsidR="0073202A">
        <w:t>MCO</w:t>
      </w:r>
      <w:r w:rsidRPr="00DF1D1C">
        <w:t xml:space="preserve"> at the higher of the new or current capitation rates for that period during which the new agreement period had commenced and the </w:t>
      </w:r>
      <w:r w:rsidR="0073202A">
        <w:t>MCO</w:t>
      </w:r>
      <w:r w:rsidR="00FA1C0C" w:rsidRPr="00DF1D1C">
        <w:t>’</w:t>
      </w:r>
      <w:r w:rsidRPr="00DF1D1C">
        <w:t xml:space="preserve">s </w:t>
      </w:r>
      <w:r w:rsidR="003E77C5">
        <w:t>sixty (</w:t>
      </w:r>
      <w:r w:rsidRPr="00DF1D1C">
        <w:t>60</w:t>
      </w:r>
      <w:r w:rsidR="003E77C5">
        <w:t>)</w:t>
      </w:r>
      <w:r w:rsidR="00EF19CF">
        <w:t xml:space="preserve"> </w:t>
      </w:r>
      <w:r w:rsidR="008F7061">
        <w:t xml:space="preserve">calendar </w:t>
      </w:r>
      <w:r w:rsidRPr="00DF1D1C">
        <w:t xml:space="preserve">day determination and notification period had not been completed, and the </w:t>
      </w:r>
      <w:r w:rsidR="0073202A">
        <w:t>MCO</w:t>
      </w:r>
      <w:r w:rsidRPr="00DF1D1C">
        <w:t xml:space="preserve"> will be held to the terms of the executed contract.</w:t>
      </w:r>
    </w:p>
    <w:p w14:paraId="43F27404" w14:textId="200780C8" w:rsidR="00CD4383" w:rsidRPr="00DF1D1C" w:rsidRDefault="00CD4383" w:rsidP="00096A5D">
      <w:pPr>
        <w:pStyle w:val="BodyText"/>
      </w:pPr>
      <w:r w:rsidRPr="00DF1D1C">
        <w:t>If the Department is not allotted funds in any succeeding fiscal year for the continued use of the services covered by this contract, the Department may terminate the</w:t>
      </w:r>
      <w:r w:rsidR="004D41D4">
        <w:t xml:space="preserve"> </w:t>
      </w:r>
      <w:r w:rsidR="009B19C2">
        <w:t xml:space="preserve">Contract </w:t>
      </w:r>
      <w:r w:rsidR="004D41D4">
        <w:t xml:space="preserve">pursuant to </w:t>
      </w:r>
      <w:r w:rsidR="00F731FE">
        <w:t xml:space="preserve">Article II, </w:t>
      </w:r>
      <w:r w:rsidR="004D41D4">
        <w:t>Section 6, h</w:t>
      </w:r>
      <w:r w:rsidR="004D41D4" w:rsidRPr="00DF1D1C">
        <w:t>ereof</w:t>
      </w:r>
      <w:r w:rsidRPr="00DF1D1C">
        <w:t xml:space="preserve"> at the end of the affected current fiscal period without further charge </w:t>
      </w:r>
      <w:r w:rsidR="006721E9">
        <w:t>or penalty. The Department is</w:t>
      </w:r>
      <w:r w:rsidRPr="00DF1D1C">
        <w:t xml:space="preserve"> obligated to pay all charges incurred through the end of the </w:t>
      </w:r>
      <w:r w:rsidR="001C6219">
        <w:t xml:space="preserve">fiscal year at which time this </w:t>
      </w:r>
      <w:r w:rsidR="009B19C2">
        <w:t xml:space="preserve">Contract </w:t>
      </w:r>
      <w:r w:rsidR="006721E9">
        <w:t xml:space="preserve">will terminate. The Department must </w:t>
      </w:r>
      <w:r w:rsidRPr="00DF1D1C">
        <w:t xml:space="preserve">give the </w:t>
      </w:r>
      <w:r w:rsidR="0073202A">
        <w:t>MCO</w:t>
      </w:r>
      <w:r w:rsidRPr="00DF1D1C">
        <w:t xml:space="preserve"> written notice of such non</w:t>
      </w:r>
      <w:r w:rsidRPr="00DF1D1C">
        <w:noBreakHyphen/>
        <w:t>allocation of funds as soon as possible after the Department receives notice of such non</w:t>
      </w:r>
      <w:r w:rsidRPr="00DF1D1C">
        <w:noBreakHyphen/>
        <w:t xml:space="preserve">allocation. No penalty </w:t>
      </w:r>
      <w:r w:rsidR="006721E9">
        <w:t xml:space="preserve">may </w:t>
      </w:r>
      <w:r w:rsidRPr="00DF1D1C">
        <w:t>accrue to the</w:t>
      </w:r>
      <w:r w:rsidR="0023623A">
        <w:t xml:space="preserve"> MCO</w:t>
      </w:r>
      <w:r w:rsidRPr="00DF1D1C">
        <w:t xml:space="preserve"> in the event this provision is exercised.</w:t>
      </w:r>
    </w:p>
    <w:p w14:paraId="47599C9D" w14:textId="71F03D49" w:rsidR="00CD4383" w:rsidRPr="00DF1D1C" w:rsidRDefault="00CD4383" w:rsidP="00257641">
      <w:pPr>
        <w:pStyle w:val="Heading3"/>
      </w:pPr>
      <w:bookmarkStart w:id="64" w:name="_Toc8128993"/>
      <w:r w:rsidRPr="00DF1D1C">
        <w:t>6.</w:t>
      </w:r>
      <w:r w:rsidR="00A26078" w:rsidRPr="00DF1D1C">
        <w:t>1</w:t>
      </w:r>
      <w:r w:rsidR="00C60A67">
        <w:t>4</w:t>
      </w:r>
      <w:r w:rsidR="00A26078" w:rsidRPr="00DF1D1C">
        <w:t xml:space="preserve"> </w:t>
      </w:r>
      <w:r w:rsidRPr="00DF1D1C">
        <w:tab/>
        <w:t>Termination Obligations of Contracting Parties</w:t>
      </w:r>
      <w:bookmarkEnd w:id="64"/>
    </w:p>
    <w:p w14:paraId="53DA00BC" w14:textId="77777777" w:rsidR="00CD4383" w:rsidRPr="00DF1D1C" w:rsidRDefault="000B2DF6" w:rsidP="00096A5D">
      <w:pPr>
        <w:pStyle w:val="BodyText"/>
      </w:pPr>
      <w:r>
        <w:t xml:space="preserve">Upon </w:t>
      </w:r>
      <w:r w:rsidR="009B19C2">
        <w:t xml:space="preserve">Contract </w:t>
      </w:r>
      <w:r w:rsidR="00CD4383" w:rsidRPr="00DF1D1C">
        <w:t xml:space="preserve">termination, the </w:t>
      </w:r>
      <w:r w:rsidR="0073202A">
        <w:t>MCO</w:t>
      </w:r>
      <w:r w:rsidR="006721E9">
        <w:t xml:space="preserve"> </w:t>
      </w:r>
      <w:r>
        <w:t xml:space="preserve">and Subcontractors </w:t>
      </w:r>
      <w:r w:rsidR="006721E9">
        <w:t>must</w:t>
      </w:r>
      <w:r w:rsidR="00CD4383" w:rsidRPr="00DF1D1C">
        <w:t xml:space="preserve"> allow the Department, its agents and representatives full access to the </w:t>
      </w:r>
      <w:r w:rsidR="0073202A">
        <w:t>MCO</w:t>
      </w:r>
      <w:r w:rsidR="00FA1C0C" w:rsidRPr="00DF1D1C">
        <w:t>’</w:t>
      </w:r>
      <w:r w:rsidR="00CD4383" w:rsidRPr="00DF1D1C">
        <w:t xml:space="preserve">s </w:t>
      </w:r>
      <w:r>
        <w:t xml:space="preserve">and Subcontractor </w:t>
      </w:r>
      <w:r w:rsidR="00CD4383" w:rsidRPr="00DF1D1C">
        <w:t>facilities and records to arrange the orderly transfer of the contracted activities. These records include the information necessary for the reimbursement of any outstanding Medicaid claims.</w:t>
      </w:r>
    </w:p>
    <w:p w14:paraId="6D5B13FF" w14:textId="5AE43F76" w:rsidR="00056F94" w:rsidRPr="00DF1D1C" w:rsidRDefault="00AB5113" w:rsidP="00096A5D">
      <w:pPr>
        <w:pStyle w:val="BodyText"/>
      </w:pPr>
      <w:r w:rsidRPr="00DF1D1C">
        <w:t xml:space="preserve">Upon the date of notification </w:t>
      </w:r>
      <w:r w:rsidR="000B2DF6">
        <w:t>of its intent to terminate the C</w:t>
      </w:r>
      <w:r w:rsidRPr="00DF1D1C">
        <w:t>ontract</w:t>
      </w:r>
      <w:r w:rsidR="00056F94" w:rsidRPr="00DF1D1C">
        <w:t xml:space="preserve">, </w:t>
      </w:r>
      <w:r w:rsidRPr="00DF1D1C">
        <w:t xml:space="preserve">the MCO </w:t>
      </w:r>
      <w:r w:rsidR="006721E9">
        <w:t>may</w:t>
      </w:r>
      <w:r w:rsidRPr="00DF1D1C">
        <w:t xml:space="preserve"> no longer accept new enrollees</w:t>
      </w:r>
      <w:r w:rsidR="0078080B" w:rsidRPr="00DF1D1C">
        <w:t xml:space="preserve">. </w:t>
      </w:r>
      <w:r w:rsidRPr="00DF1D1C">
        <w:t xml:space="preserve">The MCO </w:t>
      </w:r>
      <w:r w:rsidR="006721E9">
        <w:t>will</w:t>
      </w:r>
      <w:r w:rsidRPr="00DF1D1C">
        <w:t xml:space="preserve"> remain responsible for providing services</w:t>
      </w:r>
      <w:r w:rsidR="00AE4E44" w:rsidRPr="00DF1D1C">
        <w:t>,</w:t>
      </w:r>
      <w:r w:rsidRPr="00DF1D1C">
        <w:t xml:space="preserve"> </w:t>
      </w:r>
      <w:r w:rsidR="00AE4E44" w:rsidRPr="00DF1D1C">
        <w:t xml:space="preserve">including coverage of inpatient services, </w:t>
      </w:r>
      <w:r w:rsidR="009C13E4" w:rsidRPr="00DF1D1C">
        <w:t>through the e</w:t>
      </w:r>
      <w:r w:rsidR="000B2DF6">
        <w:t xml:space="preserve">ffective date of the </w:t>
      </w:r>
      <w:r w:rsidR="009B19C2">
        <w:t xml:space="preserve">Contract </w:t>
      </w:r>
      <w:r w:rsidR="009C13E4" w:rsidRPr="00DF1D1C">
        <w:t>termination</w:t>
      </w:r>
      <w:r w:rsidR="00AE4E44" w:rsidRPr="00DF1D1C">
        <w:t>,</w:t>
      </w:r>
      <w:r w:rsidR="009C13E4" w:rsidRPr="00DF1D1C">
        <w:t xml:space="preserve"> </w:t>
      </w:r>
      <w:r w:rsidRPr="00DF1D1C">
        <w:t>to individuals enrolled with the MCO on</w:t>
      </w:r>
      <w:r w:rsidR="0029620F" w:rsidRPr="00DF1D1C">
        <w:t xml:space="preserve"> or</w:t>
      </w:r>
      <w:r w:rsidRPr="00DF1D1C">
        <w:t xml:space="preserve"> before the date of notification to </w:t>
      </w:r>
      <w:r w:rsidR="00AE1C8B">
        <w:t>DHHR</w:t>
      </w:r>
      <w:r w:rsidR="0078080B" w:rsidRPr="00DF1D1C">
        <w:t xml:space="preserve">. </w:t>
      </w:r>
      <w:r w:rsidR="00AE4E44" w:rsidRPr="00DF1D1C">
        <w:t xml:space="preserve">The MCO </w:t>
      </w:r>
      <w:r w:rsidR="006721E9">
        <w:t xml:space="preserve">must </w:t>
      </w:r>
      <w:r w:rsidR="00AE4E44" w:rsidRPr="00DF1D1C">
        <w:t xml:space="preserve">provide </w:t>
      </w:r>
      <w:r w:rsidR="00AE1C8B">
        <w:t>DHHR</w:t>
      </w:r>
      <w:r w:rsidR="00AE1C8B" w:rsidRPr="00DF1D1C">
        <w:t xml:space="preserve"> </w:t>
      </w:r>
      <w:r w:rsidR="00AE4E44" w:rsidRPr="00DF1D1C">
        <w:t xml:space="preserve">with the names, PCP assignments, and primary diagnosis of all enrollees with care needs that require </w:t>
      </w:r>
      <w:r w:rsidR="00AE1C8B" w:rsidRPr="00DF1D1C">
        <w:t>DHH</w:t>
      </w:r>
      <w:r w:rsidR="00AE1C8B">
        <w:t>R</w:t>
      </w:r>
      <w:r w:rsidR="00AE1C8B" w:rsidRPr="00DF1D1C">
        <w:t xml:space="preserve"> </w:t>
      </w:r>
      <w:r w:rsidR="00AE4E44" w:rsidRPr="00DF1D1C">
        <w:t xml:space="preserve">pre-authorization, those currently receiving case management, and those with known future service needs (e.g. scheduled ambulatory surgery, pregnancy) by such date as determined by </w:t>
      </w:r>
      <w:r w:rsidR="00AE1C8B">
        <w:t>DHHR</w:t>
      </w:r>
      <w:r w:rsidR="00AE4E44" w:rsidRPr="00DF1D1C">
        <w:t>, with weekly updates thereafter</w:t>
      </w:r>
      <w:r w:rsidR="0078080B" w:rsidRPr="00DF1D1C">
        <w:t xml:space="preserve">. </w:t>
      </w:r>
      <w:r w:rsidR="00AE4E44" w:rsidRPr="00DF1D1C">
        <w:t xml:space="preserve">The MCO </w:t>
      </w:r>
      <w:r w:rsidR="006721E9">
        <w:t>must</w:t>
      </w:r>
      <w:r w:rsidR="00AE4E44" w:rsidRPr="00DF1D1C">
        <w:t xml:space="preserve"> provide </w:t>
      </w:r>
      <w:r w:rsidR="00AE1C8B">
        <w:t>DHHR</w:t>
      </w:r>
      <w:r w:rsidR="00AE1C8B" w:rsidRPr="00DF1D1C">
        <w:t xml:space="preserve"> </w:t>
      </w:r>
      <w:r w:rsidR="00440163" w:rsidRPr="00DF1D1C">
        <w:t>with the names and treatment plans of enrollees with such plans.</w:t>
      </w:r>
    </w:p>
    <w:p w14:paraId="5A1B0676" w14:textId="29EF7132" w:rsidR="00CD4383" w:rsidRPr="00DF1D1C" w:rsidRDefault="000B2DF6" w:rsidP="00096A5D">
      <w:pPr>
        <w:pStyle w:val="BodyText"/>
      </w:pPr>
      <w:r>
        <w:t xml:space="preserve">Upon </w:t>
      </w:r>
      <w:r w:rsidR="009B19C2">
        <w:t xml:space="preserve">Contract </w:t>
      </w:r>
      <w:r w:rsidR="00375710" w:rsidRPr="00DF1D1C">
        <w:t xml:space="preserve">termination, the </w:t>
      </w:r>
      <w:r w:rsidR="0073202A">
        <w:t>MCO</w:t>
      </w:r>
      <w:r w:rsidR="006721E9">
        <w:t xml:space="preserve"> </w:t>
      </w:r>
      <w:r>
        <w:t xml:space="preserve">and Subcontractors </w:t>
      </w:r>
      <w:r w:rsidR="006721E9">
        <w:t>must</w:t>
      </w:r>
      <w:r w:rsidR="00375710" w:rsidRPr="00DF1D1C">
        <w:t xml:space="preserve"> provide </w:t>
      </w:r>
      <w:r w:rsidR="00AE1C8B">
        <w:t>DHHR</w:t>
      </w:r>
      <w:r w:rsidR="00AE1C8B" w:rsidRPr="00DF1D1C">
        <w:t xml:space="preserve"> </w:t>
      </w:r>
      <w:r w:rsidR="00BE541A" w:rsidRPr="00DF1D1C">
        <w:t>with</w:t>
      </w:r>
      <w:r w:rsidR="00375710" w:rsidRPr="00DF1D1C">
        <w:t xml:space="preserve"> all required reports and data </w:t>
      </w:r>
      <w:r>
        <w:t xml:space="preserve">through the end of the </w:t>
      </w:r>
      <w:r w:rsidR="009B19C2">
        <w:t xml:space="preserve">Contract </w:t>
      </w:r>
      <w:r w:rsidR="00BE541A" w:rsidRPr="00DF1D1C">
        <w:t xml:space="preserve">period as </w:t>
      </w:r>
      <w:r w:rsidR="00375710" w:rsidRPr="00DF1D1C">
        <w:t>des</w:t>
      </w:r>
      <w:r>
        <w:t>cribed in this C</w:t>
      </w:r>
      <w:r w:rsidR="00BE541A" w:rsidRPr="00DF1D1C">
        <w:t>ontract</w:t>
      </w:r>
      <w:r w:rsidR="0078080B" w:rsidRPr="00DF1D1C">
        <w:t xml:space="preserve">. </w:t>
      </w:r>
      <w:r w:rsidR="00BE541A" w:rsidRPr="00DF1D1C">
        <w:t xml:space="preserve">This requirement includes encounter data, which </w:t>
      </w:r>
      <w:r w:rsidR="006721E9">
        <w:t>must</w:t>
      </w:r>
      <w:r w:rsidR="00BE541A" w:rsidRPr="00DF1D1C">
        <w:t xml:space="preserve"> be submitted no later than </w:t>
      </w:r>
      <w:r w:rsidR="008F7061">
        <w:t>ninety (</w:t>
      </w:r>
      <w:r w:rsidR="00835E9A" w:rsidRPr="00DF1D1C">
        <w:t>90</w:t>
      </w:r>
      <w:r w:rsidR="008F7061">
        <w:t>) calendar</w:t>
      </w:r>
      <w:r w:rsidR="00BE541A" w:rsidRPr="00DF1D1C">
        <w:t xml:space="preserve"> days after the end of the quarter in which the encounters occurred</w:t>
      </w:r>
      <w:r w:rsidR="0078080B" w:rsidRPr="00DF1D1C">
        <w:t xml:space="preserve">. </w:t>
      </w:r>
      <w:r>
        <w:t xml:space="preserve">The Department </w:t>
      </w:r>
      <w:r w:rsidR="00BE541A" w:rsidRPr="00DF1D1C">
        <w:t xml:space="preserve">may request an interim encounter data submission </w:t>
      </w:r>
      <w:r w:rsidR="008F7061">
        <w:t>ninety (</w:t>
      </w:r>
      <w:r w:rsidR="00835E9A" w:rsidRPr="00DF1D1C">
        <w:t>90</w:t>
      </w:r>
      <w:r w:rsidR="008F7061">
        <w:t>) calendar</w:t>
      </w:r>
      <w:r w:rsidR="00BE541A" w:rsidRPr="00DF1D1C">
        <w:t xml:space="preserve"> days after the termination of the contract</w:t>
      </w:r>
      <w:r w:rsidR="0078080B" w:rsidRPr="00DF1D1C">
        <w:t xml:space="preserve">. </w:t>
      </w:r>
    </w:p>
    <w:p w14:paraId="59D3BB33" w14:textId="77777777" w:rsidR="00CD4383" w:rsidRPr="00DF1D1C" w:rsidRDefault="000B2DF6" w:rsidP="00257641">
      <w:pPr>
        <w:pStyle w:val="normal6"/>
      </w:pPr>
      <w:r>
        <w:t xml:space="preserve">Where this </w:t>
      </w:r>
      <w:r w:rsidR="009B19C2">
        <w:t xml:space="preserve">Contract </w:t>
      </w:r>
      <w:r w:rsidR="00CD4383" w:rsidRPr="00DF1D1C">
        <w:t xml:space="preserve">is terminated due to default by the </w:t>
      </w:r>
      <w:r w:rsidR="0073202A">
        <w:t>MCO</w:t>
      </w:r>
      <w:r w:rsidR="00CD4383" w:rsidRPr="00DF1D1C">
        <w:t>:</w:t>
      </w:r>
    </w:p>
    <w:p w14:paraId="2AC187AB" w14:textId="77777777" w:rsidR="00CD4383" w:rsidRPr="00DF1D1C" w:rsidRDefault="00835E9A" w:rsidP="00257641">
      <w:pPr>
        <w:pStyle w:val="bullet1"/>
      </w:pPr>
      <w:r w:rsidRPr="00DF1D1C">
        <w:t>T</w:t>
      </w:r>
      <w:r w:rsidR="00CD4383" w:rsidRPr="00DF1D1C">
        <w:t xml:space="preserve">he Department </w:t>
      </w:r>
      <w:r w:rsidR="006721E9">
        <w:t>will</w:t>
      </w:r>
      <w:r w:rsidR="00CD4383" w:rsidRPr="00DF1D1C">
        <w:t xml:space="preserve"> be responsible for notifying all enrollees of the date of termination and process by which the enrollees will continue to receive services; and </w:t>
      </w:r>
    </w:p>
    <w:p w14:paraId="5D7E736D" w14:textId="54EFEAB3" w:rsidR="001A0015" w:rsidRPr="00DF1D1C" w:rsidRDefault="00835E9A" w:rsidP="00257641">
      <w:pPr>
        <w:pStyle w:val="bullet1last"/>
      </w:pPr>
      <w:r w:rsidRPr="00DF1D1C">
        <w:t>T</w:t>
      </w:r>
      <w:r w:rsidR="00CD4383" w:rsidRPr="00DF1D1C">
        <w:t xml:space="preserve">he </w:t>
      </w:r>
      <w:r w:rsidR="0073202A">
        <w:t>MCO</w:t>
      </w:r>
      <w:r w:rsidR="00CD4383" w:rsidRPr="00DF1D1C">
        <w:t xml:space="preserve"> </w:t>
      </w:r>
      <w:r w:rsidR="006721E9">
        <w:t xml:space="preserve">will </w:t>
      </w:r>
      <w:r w:rsidR="00CD4383" w:rsidRPr="00DF1D1C">
        <w:t>be responsible for all reasonable expenses related to said notification.</w:t>
      </w:r>
    </w:p>
    <w:p w14:paraId="571F014D" w14:textId="77777777" w:rsidR="00CD4383" w:rsidRPr="00DF1D1C" w:rsidRDefault="000B2DF6" w:rsidP="00257641">
      <w:pPr>
        <w:pStyle w:val="normal6"/>
      </w:pPr>
      <w:r>
        <w:t xml:space="preserve">Where this </w:t>
      </w:r>
      <w:r w:rsidR="009B19C2">
        <w:t xml:space="preserve">Contract </w:t>
      </w:r>
      <w:r w:rsidR="00CD4383" w:rsidRPr="00DF1D1C">
        <w:t xml:space="preserve">is terminated for any reason other than default by the </w:t>
      </w:r>
      <w:r w:rsidR="0073202A">
        <w:t>MCO</w:t>
      </w:r>
      <w:r w:rsidR="00CD4383" w:rsidRPr="00DF1D1C">
        <w:t>:</w:t>
      </w:r>
    </w:p>
    <w:p w14:paraId="5B81C59B" w14:textId="456EB56B" w:rsidR="00CD4383" w:rsidRPr="00DF1D1C" w:rsidRDefault="00835E9A" w:rsidP="00257641">
      <w:pPr>
        <w:pStyle w:val="bullet1"/>
      </w:pPr>
      <w:r w:rsidRPr="00DF1D1C">
        <w:lastRenderedPageBreak/>
        <w:t>T</w:t>
      </w:r>
      <w:r w:rsidR="00CD4383" w:rsidRPr="00DF1D1C">
        <w:t xml:space="preserve">he Department </w:t>
      </w:r>
      <w:r w:rsidR="006721E9">
        <w:t>will</w:t>
      </w:r>
      <w:r w:rsidR="00F24820">
        <w:t xml:space="preserve"> </w:t>
      </w:r>
      <w:r w:rsidR="00CD4383" w:rsidRPr="00DF1D1C">
        <w:t xml:space="preserve">be responsible for notifying all enrollees of the date of termination and process by which the enrollees will continue to receive services; and </w:t>
      </w:r>
    </w:p>
    <w:p w14:paraId="1C86B4F6" w14:textId="77777777" w:rsidR="00CD4383" w:rsidRDefault="00835E9A" w:rsidP="00257641">
      <w:pPr>
        <w:pStyle w:val="bullet1last"/>
      </w:pPr>
      <w:r w:rsidRPr="00DF1D1C">
        <w:t>T</w:t>
      </w:r>
      <w:r w:rsidR="00CD4383" w:rsidRPr="00DF1D1C">
        <w:t>he Department</w:t>
      </w:r>
      <w:r w:rsidR="006721E9">
        <w:t xml:space="preserve"> will</w:t>
      </w:r>
      <w:r w:rsidR="00CD4383" w:rsidRPr="00DF1D1C">
        <w:t xml:space="preserve"> be responsible for all expenses relating to said notification.</w:t>
      </w:r>
    </w:p>
    <w:p w14:paraId="76D8F930" w14:textId="77777777" w:rsidR="00FA669E" w:rsidRDefault="00FA669E" w:rsidP="00257641">
      <w:pPr>
        <w:pStyle w:val="Heading3"/>
      </w:pPr>
      <w:bookmarkStart w:id="65" w:name="_Toc8128994"/>
      <w:r w:rsidRPr="00DF1D1C">
        <w:t>6.1</w:t>
      </w:r>
      <w:r>
        <w:t>5</w:t>
      </w:r>
      <w:r w:rsidRPr="00DF1D1C">
        <w:t xml:space="preserve"> </w:t>
      </w:r>
      <w:r w:rsidRPr="00DF1D1C">
        <w:tab/>
      </w:r>
      <w:r w:rsidR="009401D9">
        <w:t xml:space="preserve">MCO </w:t>
      </w:r>
      <w:r w:rsidR="00931CC2">
        <w:t>Operations</w:t>
      </w:r>
      <w:r w:rsidR="009401D9">
        <w:t xml:space="preserve"> Trans</w:t>
      </w:r>
      <w:r w:rsidR="00C739C3">
        <w:t>ition</w:t>
      </w:r>
      <w:bookmarkEnd w:id="65"/>
    </w:p>
    <w:p w14:paraId="7CDC8CA3" w14:textId="4332B133" w:rsidR="008B2AD7" w:rsidRDefault="00C739C3" w:rsidP="00096A5D">
      <w:pPr>
        <w:pStyle w:val="BodyText"/>
      </w:pPr>
      <w:r>
        <w:t xml:space="preserve">MCO transition </w:t>
      </w:r>
      <w:r w:rsidR="00F01C0D" w:rsidRPr="00F01C0D">
        <w:t xml:space="preserve">is defined as the activities that the MCO is required to perform upon termination </w:t>
      </w:r>
      <w:r w:rsidR="008B2AD7">
        <w:t xml:space="preserve">or expiration </w:t>
      </w:r>
      <w:r w:rsidR="00F01C0D" w:rsidRPr="00F01C0D">
        <w:t xml:space="preserve">of the </w:t>
      </w:r>
      <w:r w:rsidR="009B19C2">
        <w:t xml:space="preserve">Contract </w:t>
      </w:r>
      <w:r w:rsidR="00F01C0D" w:rsidRPr="00F01C0D">
        <w:t>in situations where the MCO will transition data and documentation to</w:t>
      </w:r>
      <w:r w:rsidR="006D319B">
        <w:t xml:space="preserve"> the Department </w:t>
      </w:r>
      <w:r w:rsidR="00F01C0D" w:rsidRPr="00F01C0D">
        <w:t>or a subsequent contractor.</w:t>
      </w:r>
      <w:r w:rsidR="00F24820">
        <w:t xml:space="preserve"> </w:t>
      </w:r>
      <w:r w:rsidR="00FD2632">
        <w:t>For purposes of this provision, "documentation" means all operation</w:t>
      </w:r>
      <w:r w:rsidR="00931CC2">
        <w:t>al</w:t>
      </w:r>
      <w:r w:rsidR="00FD2632">
        <w:t xml:space="preserve">, technical, and user manuals used in conjunction with the software, services, and deliverables, in whole or in part, that the Department determines are necessary to view and extract application data in a proper format. </w:t>
      </w:r>
    </w:p>
    <w:p w14:paraId="340C4021" w14:textId="77777777" w:rsidR="00F75CBB" w:rsidRDefault="00FD2632" w:rsidP="00096A5D">
      <w:pPr>
        <w:pStyle w:val="BodyText"/>
      </w:pPr>
      <w:r>
        <w:t xml:space="preserve">The MCO must provide the documentation in the formats in which the documentation exists at the expiration or termination of the Contract. The data, documentation, information, and services provided as detailed in this section must be provided at no additional cost to the </w:t>
      </w:r>
      <w:r w:rsidR="00931CC2">
        <w:t>Department</w:t>
      </w:r>
      <w:r>
        <w:t xml:space="preserve"> or a subsequent contractor. </w:t>
      </w:r>
      <w:r w:rsidR="008B2AD7">
        <w:rPr>
          <w:szCs w:val="22"/>
        </w:rPr>
        <w:t>The Department or subsequent contractor must receive and verify all relevant data, documentation and information. If</w:t>
      </w:r>
      <w:r w:rsidR="00F211F8">
        <w:rPr>
          <w:szCs w:val="22"/>
        </w:rPr>
        <w:t xml:space="preserve"> </w:t>
      </w:r>
      <w:r w:rsidR="00931CC2">
        <w:rPr>
          <w:szCs w:val="22"/>
        </w:rPr>
        <w:t xml:space="preserve">the </w:t>
      </w:r>
      <w:r w:rsidR="008B2AD7">
        <w:rPr>
          <w:szCs w:val="22"/>
        </w:rPr>
        <w:t xml:space="preserve">Department determines that </w:t>
      </w:r>
      <w:r w:rsidR="00931CC2">
        <w:rPr>
          <w:szCs w:val="22"/>
        </w:rPr>
        <w:t xml:space="preserve">the </w:t>
      </w:r>
      <w:r w:rsidR="008B2AD7">
        <w:rPr>
          <w:szCs w:val="22"/>
        </w:rPr>
        <w:t xml:space="preserve">data, </w:t>
      </w:r>
      <w:r w:rsidR="008B2AD7" w:rsidRPr="00F01C0D">
        <w:t>documentation</w:t>
      </w:r>
      <w:r w:rsidR="008B2AD7">
        <w:rPr>
          <w:szCs w:val="22"/>
        </w:rPr>
        <w:t xml:space="preserve"> or information </w:t>
      </w:r>
      <w:r w:rsidR="00931CC2">
        <w:rPr>
          <w:szCs w:val="22"/>
        </w:rPr>
        <w:t>is</w:t>
      </w:r>
      <w:r w:rsidR="008B2AD7">
        <w:rPr>
          <w:szCs w:val="22"/>
        </w:rPr>
        <w:t xml:space="preserve"> not accurate, complete, or HIPAA-compliant, the Department reserves the right to hire an independent contractor to assist </w:t>
      </w:r>
      <w:r w:rsidR="00931CC2">
        <w:rPr>
          <w:szCs w:val="22"/>
        </w:rPr>
        <w:t xml:space="preserve">the </w:t>
      </w:r>
      <w:r w:rsidR="00E1121F">
        <w:rPr>
          <w:szCs w:val="22"/>
        </w:rPr>
        <w:t xml:space="preserve">Department </w:t>
      </w:r>
      <w:r w:rsidR="008B2AD7">
        <w:rPr>
          <w:szCs w:val="22"/>
        </w:rPr>
        <w:t>in obtaining and transferring all the required data and information</w:t>
      </w:r>
      <w:r w:rsidR="00931CC2">
        <w:rPr>
          <w:szCs w:val="22"/>
        </w:rPr>
        <w:t>,</w:t>
      </w:r>
      <w:r w:rsidR="008B2AD7">
        <w:rPr>
          <w:szCs w:val="22"/>
        </w:rPr>
        <w:t xml:space="preserve"> and to ensure that all</w:t>
      </w:r>
      <w:r w:rsidR="00931CC2">
        <w:rPr>
          <w:szCs w:val="22"/>
        </w:rPr>
        <w:t xml:space="preserve"> of</w:t>
      </w:r>
      <w:r w:rsidR="008B2AD7">
        <w:rPr>
          <w:szCs w:val="22"/>
        </w:rPr>
        <w:t xml:space="preserve"> the data</w:t>
      </w:r>
      <w:r w:rsidR="00931CC2">
        <w:rPr>
          <w:szCs w:val="22"/>
        </w:rPr>
        <w:t xml:space="preserve"> is</w:t>
      </w:r>
      <w:r w:rsidR="008B2AD7">
        <w:rPr>
          <w:szCs w:val="22"/>
        </w:rPr>
        <w:t xml:space="preserve"> HIPAA-compliant. The MCO is responsible for the reasonable cost of providing these services.</w:t>
      </w:r>
    </w:p>
    <w:p w14:paraId="5504EFA7" w14:textId="74434B66" w:rsidR="00F75CBB" w:rsidRDefault="0076672D" w:rsidP="00096A5D">
      <w:pPr>
        <w:pStyle w:val="BodyText"/>
      </w:pPr>
      <w:r>
        <w:t>The MCO must maintain a T</w:t>
      </w:r>
      <w:r w:rsidR="00073E16">
        <w:t>ransition</w:t>
      </w:r>
      <w:r>
        <w:t xml:space="preserve"> Plan covering the turnover of the </w:t>
      </w:r>
      <w:r w:rsidR="00C55ABB">
        <w:t xml:space="preserve">program </w:t>
      </w:r>
      <w:r>
        <w:t xml:space="preserve">records and information maintained to either the </w:t>
      </w:r>
      <w:r w:rsidR="00931CC2">
        <w:t>Department</w:t>
      </w:r>
      <w:r>
        <w:t xml:space="preserve"> or a subsequent contractor. The </w:t>
      </w:r>
      <w:r w:rsidR="006A5A91">
        <w:t xml:space="preserve">Transition </w:t>
      </w:r>
      <w:r>
        <w:t xml:space="preserve">Plan must be a comprehensive document detailing the proposed schedule, activities, </w:t>
      </w:r>
      <w:r w:rsidR="00DF54FF">
        <w:t xml:space="preserve">information </w:t>
      </w:r>
      <w:r>
        <w:t xml:space="preserve">and resource requirements associated with the turnover tasks. </w:t>
      </w:r>
      <w:r w:rsidR="0072525E">
        <w:t>The Department</w:t>
      </w:r>
      <w:r w:rsidR="0072525E" w:rsidRPr="00DF1D1C">
        <w:t xml:space="preserve"> reserves the right to review </w:t>
      </w:r>
      <w:r w:rsidR="0072525E">
        <w:t xml:space="preserve">the MCO </w:t>
      </w:r>
      <w:r w:rsidR="00073E16">
        <w:t xml:space="preserve">Transition </w:t>
      </w:r>
      <w:r w:rsidR="0072525E">
        <w:t xml:space="preserve">Plan and </w:t>
      </w:r>
      <w:r w:rsidR="0072525E" w:rsidRPr="00DF1D1C">
        <w:t xml:space="preserve">any significant modifications to </w:t>
      </w:r>
      <w:r w:rsidR="00DC195E">
        <w:t xml:space="preserve">the </w:t>
      </w:r>
      <w:r w:rsidR="0072525E" w:rsidRPr="00DF1D1C">
        <w:t>previously approved</w:t>
      </w:r>
      <w:r w:rsidR="0072525E">
        <w:t xml:space="preserve"> </w:t>
      </w:r>
      <w:r w:rsidR="00073E16">
        <w:t xml:space="preserve">Transition </w:t>
      </w:r>
      <w:r w:rsidR="0072525E">
        <w:t>Plans</w:t>
      </w:r>
      <w:r w:rsidR="0072525E" w:rsidRPr="00DF1D1C">
        <w:t>.</w:t>
      </w:r>
      <w:r w:rsidR="00AC7D7B">
        <w:t xml:space="preserve"> </w:t>
      </w:r>
      <w:r w:rsidR="00672912">
        <w:t xml:space="preserve">The Department reserves the right to provide CMS </w:t>
      </w:r>
      <w:r w:rsidR="0023623A">
        <w:t xml:space="preserve">and ACF as appropriate </w:t>
      </w:r>
      <w:r w:rsidR="00672912">
        <w:t>with Transition Plan documentation upon request.</w:t>
      </w:r>
    </w:p>
    <w:p w14:paraId="396AC651" w14:textId="77777777" w:rsidR="00FD2632" w:rsidRDefault="00FD2632" w:rsidP="00257641">
      <w:pPr>
        <w:pStyle w:val="normal6"/>
      </w:pPr>
      <w:r>
        <w:t>The MCO must transfer to</w:t>
      </w:r>
      <w:r w:rsidR="00931CC2">
        <w:t xml:space="preserve"> the</w:t>
      </w:r>
      <w:r w:rsidR="00F211F8">
        <w:t xml:space="preserve"> </w:t>
      </w:r>
      <w:r w:rsidR="00E1121F">
        <w:rPr>
          <w:szCs w:val="22"/>
        </w:rPr>
        <w:t>Department</w:t>
      </w:r>
      <w:r>
        <w:t xml:space="preserve"> or a subsequent contractor all data and information necessary to transition operations, including: data and reference tables; data entry software; third-party software and modifications; documentation relating to software and interfaces; functional business process flows; and operational information, including correspondence, documentation of ongoing or outstanding issues, operations support documentation, and operational information regarding Subcontractors. In addition, the MCO must provide the following to the Department or a subsequent contractor:</w:t>
      </w:r>
    </w:p>
    <w:p w14:paraId="5046D370" w14:textId="77777777" w:rsidR="00E1121F" w:rsidRPr="00D17EB2" w:rsidRDefault="00FD2632" w:rsidP="00257641">
      <w:pPr>
        <w:pStyle w:val="bullet1"/>
      </w:pPr>
      <w:r w:rsidRPr="00D17EB2">
        <w:t xml:space="preserve">The MCO must provide data, information, and services necessary and sufficient to enable </w:t>
      </w:r>
      <w:r w:rsidR="00931CC2" w:rsidRPr="00D17EB2">
        <w:t>the</w:t>
      </w:r>
      <w:r w:rsidR="00F211F8" w:rsidRPr="00D17EB2">
        <w:t xml:space="preserve"> </w:t>
      </w:r>
      <w:r w:rsidR="00E1121F" w:rsidRPr="00D17EB2">
        <w:t>Department</w:t>
      </w:r>
      <w:r w:rsidRPr="00D17EB2">
        <w:t xml:space="preserve"> to map all </w:t>
      </w:r>
      <w:r w:rsidR="00E80185" w:rsidRPr="00D17EB2">
        <w:t xml:space="preserve">MCO </w:t>
      </w:r>
      <w:r w:rsidRPr="00D17EB2">
        <w:t xml:space="preserve">data from the MCO’s system(s) to the replacement system(s) of </w:t>
      </w:r>
      <w:r w:rsidR="00E1121F" w:rsidRPr="00D17EB2">
        <w:t>Department</w:t>
      </w:r>
      <w:r w:rsidR="00E1121F" w:rsidRPr="00D17EB2" w:rsidDel="00E1121F">
        <w:t xml:space="preserve"> </w:t>
      </w:r>
      <w:r w:rsidRPr="00D17EB2">
        <w:t xml:space="preserve">or a successor contractor, including a comprehensive data dictionary as defined by </w:t>
      </w:r>
      <w:r w:rsidR="00276300" w:rsidRPr="00D17EB2">
        <w:t xml:space="preserve">the </w:t>
      </w:r>
      <w:r w:rsidR="00E1121F" w:rsidRPr="00D17EB2">
        <w:t>Department</w:t>
      </w:r>
      <w:r w:rsidRPr="00D17EB2">
        <w:t>.</w:t>
      </w:r>
    </w:p>
    <w:p w14:paraId="482A4A80" w14:textId="016384A9" w:rsidR="006E7B49" w:rsidRPr="00D17EB2" w:rsidRDefault="00FD2632" w:rsidP="00257641">
      <w:pPr>
        <w:pStyle w:val="bullet1"/>
      </w:pPr>
      <w:r w:rsidRPr="00D17EB2">
        <w:t>The MCO must provide all necessary data, information, and services in the format defined by</w:t>
      </w:r>
      <w:r w:rsidR="00E1121F" w:rsidRPr="00D17EB2">
        <w:t xml:space="preserve"> Department</w:t>
      </w:r>
      <w:r w:rsidRPr="00D17EB2">
        <w:t>, and HIPAA</w:t>
      </w:r>
      <w:r w:rsidR="00A97281">
        <w:t>-</w:t>
      </w:r>
      <w:r w:rsidRPr="00D17EB2">
        <w:t>compliant.</w:t>
      </w:r>
    </w:p>
    <w:p w14:paraId="1978F009" w14:textId="77777777" w:rsidR="0076672D" w:rsidRPr="00D17EB2" w:rsidRDefault="00FD2632" w:rsidP="00257641">
      <w:pPr>
        <w:pStyle w:val="bullet1"/>
      </w:pPr>
      <w:r w:rsidRPr="00D17EB2">
        <w:lastRenderedPageBreak/>
        <w:t xml:space="preserve">The MCO must provide all of the data, information, and services mentioned in this section using its best efforts to ensure the efficient administration of the </w:t>
      </w:r>
      <w:r w:rsidR="001E57A0" w:rsidRPr="00D17EB2">
        <w:t>C</w:t>
      </w:r>
      <w:r w:rsidRPr="00D17EB2">
        <w:t xml:space="preserve">ontract. The data and information must be supplied in </w:t>
      </w:r>
      <w:r w:rsidR="00931CC2" w:rsidRPr="00D17EB2">
        <w:t>the media</w:t>
      </w:r>
      <w:r w:rsidRPr="00D17EB2">
        <w:t xml:space="preserve"> format specified by </w:t>
      </w:r>
      <w:r w:rsidR="00E1121F" w:rsidRPr="00D17EB2">
        <w:t>Department</w:t>
      </w:r>
      <w:r w:rsidRPr="00D17EB2">
        <w:t xml:space="preserve"> and according to the schedule approved by </w:t>
      </w:r>
      <w:r w:rsidR="00E1121F" w:rsidRPr="00D17EB2">
        <w:t xml:space="preserve">Department </w:t>
      </w:r>
      <w:r w:rsidRPr="00D17EB2">
        <w:t xml:space="preserve">in the </w:t>
      </w:r>
      <w:r w:rsidR="00073E16" w:rsidRPr="00D17EB2">
        <w:t xml:space="preserve">Transition </w:t>
      </w:r>
      <w:r w:rsidRPr="00D17EB2">
        <w:t>Plan.</w:t>
      </w:r>
    </w:p>
    <w:p w14:paraId="4F9D5373" w14:textId="77777777" w:rsidR="00731F3D" w:rsidRPr="005437B9" w:rsidRDefault="00F47019" w:rsidP="00257641">
      <w:pPr>
        <w:pStyle w:val="bullet1last"/>
      </w:pPr>
      <w:r w:rsidRPr="00D17EB2">
        <w:t>If the MCO does not provide the required data, information, documentation or services necessary for the Department or the subsequent contractor to assume the operational activities successfully, the MCO must reimburse the Department for all reasonable costs and expenses, including: transportation</w:t>
      </w:r>
      <w:r w:rsidR="00276300" w:rsidRPr="00D17EB2">
        <w:t>;</w:t>
      </w:r>
      <w:r w:rsidRPr="00D17EB2">
        <w:t xml:space="preserve"> lodging</w:t>
      </w:r>
      <w:r w:rsidR="00276300" w:rsidRPr="00D17EB2">
        <w:t>;</w:t>
      </w:r>
      <w:r w:rsidR="00B93AB9" w:rsidRPr="00D17EB2">
        <w:t xml:space="preserve"> </w:t>
      </w:r>
      <w:r w:rsidRPr="00D17EB2">
        <w:t xml:space="preserve">subsistence to carry out inspection, audit, review, analysis, reproduction, and transfer functions at the location(s) of any necessary records; and attorneys’ fees and costs. </w:t>
      </w:r>
    </w:p>
    <w:p w14:paraId="619735DF" w14:textId="77777777" w:rsidR="00F43A0C" w:rsidRDefault="00F47019" w:rsidP="00096A5D">
      <w:pPr>
        <w:pStyle w:val="BodyText"/>
      </w:pPr>
      <w:r>
        <w:t xml:space="preserve">This provision does not limit </w:t>
      </w:r>
      <w:r w:rsidR="00931CC2">
        <w:t>the</w:t>
      </w:r>
      <w:r w:rsidR="00B93AB9">
        <w:t xml:space="preserve"> </w:t>
      </w:r>
      <w:r>
        <w:t>Department’s ability to impose remedies as set forth in the Contract.</w:t>
      </w:r>
    </w:p>
    <w:p w14:paraId="00FA96B7" w14:textId="722E834B" w:rsidR="00F43A0C" w:rsidRDefault="00F43A0C" w:rsidP="00257641">
      <w:pPr>
        <w:pStyle w:val="Heading3"/>
      </w:pPr>
      <w:bookmarkStart w:id="66" w:name="_Toc8128995"/>
      <w:r>
        <w:t>6.16</w:t>
      </w:r>
      <w:r>
        <w:tab/>
      </w:r>
      <w:r w:rsidR="0013056A" w:rsidRPr="00371092">
        <w:t xml:space="preserve">Cooperation with </w:t>
      </w:r>
      <w:r w:rsidR="00936325">
        <w:t>O</w:t>
      </w:r>
      <w:r w:rsidR="0013056A" w:rsidRPr="00371092">
        <w:t xml:space="preserve">ther </w:t>
      </w:r>
      <w:r w:rsidR="00936325">
        <w:t>C</w:t>
      </w:r>
      <w:r w:rsidR="0013056A">
        <w:t xml:space="preserve">ontractors and </w:t>
      </w:r>
      <w:r w:rsidR="00936325">
        <w:t>P</w:t>
      </w:r>
      <w:r w:rsidR="0013056A">
        <w:t xml:space="preserve">rospective </w:t>
      </w:r>
      <w:r w:rsidR="00936325">
        <w:t>C</w:t>
      </w:r>
      <w:r w:rsidR="0013056A">
        <w:t>ontractors</w:t>
      </w:r>
      <w:bookmarkEnd w:id="66"/>
    </w:p>
    <w:p w14:paraId="287490C5" w14:textId="61D653EB" w:rsidR="00F47019" w:rsidRPr="00DF1D1C" w:rsidRDefault="00F60B97" w:rsidP="00096A5D">
      <w:pPr>
        <w:pStyle w:val="BodyText"/>
      </w:pPr>
      <w:r>
        <w:t xml:space="preserve">The </w:t>
      </w:r>
      <w:r w:rsidRPr="00F60B97">
        <w:t xml:space="preserve">MCO </w:t>
      </w:r>
      <w:r w:rsidR="001A467C">
        <w:t>must</w:t>
      </w:r>
      <w:r w:rsidR="00084631">
        <w:t xml:space="preserve"> </w:t>
      </w:r>
      <w:r w:rsidRPr="00F60B97">
        <w:t>cooperate with</w:t>
      </w:r>
      <w:r>
        <w:t xml:space="preserve"> other </w:t>
      </w:r>
      <w:r w:rsidR="00AE1C8B">
        <w:t xml:space="preserve">DHHR </w:t>
      </w:r>
      <w:r w:rsidR="00FB6DD0">
        <w:t>c</w:t>
      </w:r>
      <w:r>
        <w:t>ontractors</w:t>
      </w:r>
      <w:r w:rsidR="00FB6DD0">
        <w:t xml:space="preserve"> and MCOs</w:t>
      </w:r>
      <w:r w:rsidRPr="00F60B97">
        <w:t xml:space="preserve">, and will not commit or permit any act that may interfere with the performance of work by any other </w:t>
      </w:r>
      <w:r>
        <w:t xml:space="preserve">contractor or prospective MCO. </w:t>
      </w:r>
    </w:p>
    <w:p w14:paraId="1AE2A871" w14:textId="5ED14FCF" w:rsidR="00CD4383" w:rsidRPr="00DF1D1C" w:rsidRDefault="00CD4383" w:rsidP="00257641">
      <w:pPr>
        <w:pStyle w:val="Heading3"/>
      </w:pPr>
      <w:bookmarkStart w:id="67" w:name="_Toc8128996"/>
      <w:r w:rsidRPr="00DF1D1C">
        <w:t>6.</w:t>
      </w:r>
      <w:r w:rsidR="00A26078" w:rsidRPr="00DF1D1C">
        <w:t>1</w:t>
      </w:r>
      <w:r w:rsidR="00F43A0C">
        <w:t>7</w:t>
      </w:r>
      <w:r w:rsidR="00A26078" w:rsidRPr="00DF1D1C">
        <w:t xml:space="preserve"> </w:t>
      </w:r>
      <w:r w:rsidRPr="00DF1D1C">
        <w:tab/>
        <w:t>Waiver of Default or Breach</w:t>
      </w:r>
      <w:bookmarkEnd w:id="67"/>
    </w:p>
    <w:p w14:paraId="0464B1FC" w14:textId="77777777" w:rsidR="00CD4383" w:rsidRPr="00DF1D1C" w:rsidRDefault="00CD4383" w:rsidP="00096A5D">
      <w:pPr>
        <w:pStyle w:val="BodyText"/>
      </w:pPr>
      <w:r w:rsidRPr="00DF1D1C">
        <w:t xml:space="preserve">Waiver of any default </w:t>
      </w:r>
      <w:r w:rsidR="00A55EA3">
        <w:t xml:space="preserve">will </w:t>
      </w:r>
      <w:r w:rsidRPr="00DF1D1C">
        <w:t xml:space="preserve">not be deemed to be a waiver of any subsequent default. Waiver of breach of any provision of the </w:t>
      </w:r>
      <w:r w:rsidR="009B19C2">
        <w:t xml:space="preserve">Contract </w:t>
      </w:r>
      <w:r w:rsidR="00A55EA3">
        <w:t xml:space="preserve">will </w:t>
      </w:r>
      <w:r w:rsidRPr="00DF1D1C">
        <w:t xml:space="preserve">not be deemed to be a waiver of any other or subsequent breach and </w:t>
      </w:r>
      <w:r w:rsidR="00A55EA3">
        <w:t>will</w:t>
      </w:r>
      <w:r w:rsidRPr="00DF1D1C">
        <w:t xml:space="preserve"> not be construed to be a modification of the terms of the </w:t>
      </w:r>
      <w:r w:rsidR="009B19C2">
        <w:t xml:space="preserve">Contract </w:t>
      </w:r>
      <w:r w:rsidRPr="00DF1D1C">
        <w:t xml:space="preserve">unless stated to be such in writing, signed by an authorized representative of the Department and the </w:t>
      </w:r>
      <w:r w:rsidR="0073202A">
        <w:t>MCO</w:t>
      </w:r>
      <w:r w:rsidRPr="00DF1D1C">
        <w:t>, and attached to the original contract.</w:t>
      </w:r>
    </w:p>
    <w:p w14:paraId="260CD1D9" w14:textId="33571111" w:rsidR="00CD4383" w:rsidRPr="00DF1D1C" w:rsidRDefault="00CD4383" w:rsidP="00257641">
      <w:pPr>
        <w:pStyle w:val="Heading3"/>
      </w:pPr>
      <w:bookmarkStart w:id="68" w:name="_Toc8128997"/>
      <w:r w:rsidRPr="00DF1D1C">
        <w:t>6.1</w:t>
      </w:r>
      <w:r w:rsidR="00F43A0C">
        <w:t>8</w:t>
      </w:r>
      <w:r w:rsidRPr="00DF1D1C">
        <w:t xml:space="preserve"> </w:t>
      </w:r>
      <w:r w:rsidRPr="00DF1D1C">
        <w:tab/>
        <w:t>Severability</w:t>
      </w:r>
      <w:bookmarkEnd w:id="68"/>
    </w:p>
    <w:p w14:paraId="54DB43FD" w14:textId="77777777" w:rsidR="00CD4383" w:rsidRDefault="001D7DBB" w:rsidP="00096A5D">
      <w:pPr>
        <w:pStyle w:val="BodyText"/>
      </w:pPr>
      <w:r>
        <w:t xml:space="preserve">If any provision of this </w:t>
      </w:r>
      <w:r w:rsidR="009B19C2">
        <w:t xml:space="preserve">Contract </w:t>
      </w:r>
      <w:r w:rsidR="00CD4383" w:rsidRPr="00DF1D1C">
        <w:t xml:space="preserve">is declared or found to be illegal, unenforceable, or void, then both parties </w:t>
      </w:r>
      <w:r w:rsidR="00A55EA3">
        <w:t>will</w:t>
      </w:r>
      <w:r w:rsidR="00CD4383" w:rsidRPr="00DF1D1C">
        <w:t xml:space="preserve"> be relieved of all obligations under that pr</w:t>
      </w:r>
      <w:r>
        <w:t xml:space="preserve">ovision. The remainder of this </w:t>
      </w:r>
      <w:r w:rsidR="009B19C2">
        <w:t xml:space="preserve">Contract </w:t>
      </w:r>
      <w:r w:rsidR="00A55EA3">
        <w:t>will</w:t>
      </w:r>
      <w:r w:rsidR="00CD4383" w:rsidRPr="00DF1D1C">
        <w:t xml:space="preserve"> be enforced to the fullest extent permitted by law.</w:t>
      </w:r>
    </w:p>
    <w:p w14:paraId="7ACC3469" w14:textId="6D0CC266" w:rsidR="0061535E" w:rsidRDefault="0061535E" w:rsidP="00257641">
      <w:pPr>
        <w:pStyle w:val="Heading3"/>
        <w:rPr>
          <w:noProof w:val="0"/>
        </w:rPr>
      </w:pPr>
      <w:bookmarkStart w:id="69" w:name="_Toc8128998"/>
      <w:r>
        <w:rPr>
          <w:noProof w:val="0"/>
        </w:rPr>
        <w:t>6.1</w:t>
      </w:r>
      <w:r w:rsidR="00F43A0C">
        <w:rPr>
          <w:noProof w:val="0"/>
        </w:rPr>
        <w:t>9</w:t>
      </w:r>
      <w:r>
        <w:rPr>
          <w:noProof w:val="0"/>
        </w:rPr>
        <w:t xml:space="preserve"> </w:t>
      </w:r>
      <w:r w:rsidR="005478A0">
        <w:rPr>
          <w:noProof w:val="0"/>
        </w:rPr>
        <w:tab/>
      </w:r>
      <w:r>
        <w:rPr>
          <w:noProof w:val="0"/>
        </w:rPr>
        <w:t xml:space="preserve">Modification of </w:t>
      </w:r>
      <w:r w:rsidR="0020218E">
        <w:rPr>
          <w:noProof w:val="0"/>
        </w:rPr>
        <w:t xml:space="preserve">the </w:t>
      </w:r>
      <w:r w:rsidR="009B19C2">
        <w:rPr>
          <w:noProof w:val="0"/>
        </w:rPr>
        <w:t xml:space="preserve">Contract </w:t>
      </w:r>
      <w:r>
        <w:rPr>
          <w:noProof w:val="0"/>
        </w:rPr>
        <w:t xml:space="preserve">in the </w:t>
      </w:r>
      <w:r w:rsidR="00E07ECD">
        <w:rPr>
          <w:noProof w:val="0"/>
        </w:rPr>
        <w:t>E</w:t>
      </w:r>
      <w:r>
        <w:rPr>
          <w:noProof w:val="0"/>
        </w:rPr>
        <w:t xml:space="preserve">vent of </w:t>
      </w:r>
      <w:r w:rsidR="00E07ECD">
        <w:rPr>
          <w:noProof w:val="0"/>
        </w:rPr>
        <w:t>R</w:t>
      </w:r>
      <w:r>
        <w:rPr>
          <w:noProof w:val="0"/>
        </w:rPr>
        <w:t>emedies</w:t>
      </w:r>
      <w:bookmarkEnd w:id="69"/>
    </w:p>
    <w:p w14:paraId="07038D18" w14:textId="77777777" w:rsidR="00FA669E" w:rsidRDefault="0061535E" w:rsidP="00096A5D">
      <w:pPr>
        <w:pStyle w:val="BodyText"/>
      </w:pPr>
      <w:r>
        <w:t xml:space="preserve">The Department may </w:t>
      </w:r>
      <w:r w:rsidR="00F5626D">
        <w:t xml:space="preserve">propose a modification of this </w:t>
      </w:r>
      <w:r w:rsidR="009B19C2">
        <w:t xml:space="preserve">Contract </w:t>
      </w:r>
      <w:r>
        <w:t xml:space="preserve">in response to the imposition of a remedy under this Article. Any modifications must be reasonable, limited to the matters causing the exercise of a remedy and </w:t>
      </w:r>
      <w:r w:rsidR="0020218E">
        <w:t xml:space="preserve">must be </w:t>
      </w:r>
      <w:r>
        <w:t>in writing.</w:t>
      </w:r>
    </w:p>
    <w:p w14:paraId="2E488964" w14:textId="4C2C9F7F" w:rsidR="00371092" w:rsidRDefault="00851ED0" w:rsidP="007610FD">
      <w:pPr>
        <w:pStyle w:val="Heading2"/>
      </w:pPr>
      <w:bookmarkStart w:id="70" w:name="_Toc8128999"/>
      <w:r>
        <w:t xml:space="preserve">7. </w:t>
      </w:r>
      <w:r w:rsidR="00067AB2">
        <w:t xml:space="preserve">POST-AWARD READINESS </w:t>
      </w:r>
      <w:r w:rsidR="00A66850">
        <w:t>REVIEW</w:t>
      </w:r>
      <w:bookmarkEnd w:id="70"/>
    </w:p>
    <w:p w14:paraId="2FCB9998" w14:textId="3DB82380" w:rsidR="00BA7E37" w:rsidRDefault="00BA7E37" w:rsidP="00096A5D">
      <w:pPr>
        <w:pStyle w:val="BodyText"/>
      </w:pPr>
      <w:r>
        <w:t>The MCO</w:t>
      </w:r>
      <w:r w:rsidRPr="00BA7E37">
        <w:t xml:space="preserve"> must satisfy all Readiness Rev</w:t>
      </w:r>
      <w:r>
        <w:t xml:space="preserve">iew requirements </w:t>
      </w:r>
      <w:r w:rsidR="0023609F">
        <w:t xml:space="preserve">as provided by the Department </w:t>
      </w:r>
      <w:r>
        <w:t xml:space="preserve">prior to the MCO </w:t>
      </w:r>
      <w:r w:rsidR="00955409">
        <w:t xml:space="preserve">or its </w:t>
      </w:r>
      <w:r w:rsidR="008647A9">
        <w:t>S</w:t>
      </w:r>
      <w:r w:rsidR="00955409">
        <w:t>ubcontractor</w:t>
      </w:r>
      <w:r w:rsidR="00BE2A3F">
        <w:t>(s)</w:t>
      </w:r>
      <w:r w:rsidR="00955409">
        <w:t xml:space="preserve"> </w:t>
      </w:r>
      <w:r>
        <w:t>operational start d</w:t>
      </w:r>
      <w:r w:rsidRPr="00BA7E37">
        <w:t>ate</w:t>
      </w:r>
      <w:r w:rsidR="00402FE4">
        <w:t>(s)</w:t>
      </w:r>
      <w:r>
        <w:t xml:space="preserve">. The Department or its agents will conduct a Readiness Review to determine whether the MCO </w:t>
      </w:r>
      <w:r w:rsidR="004C41C1">
        <w:t xml:space="preserve">or its Subcontractor(s) </w:t>
      </w:r>
      <w:r>
        <w:t>ha</w:t>
      </w:r>
      <w:r w:rsidR="00B16CFF">
        <w:t>ve</w:t>
      </w:r>
      <w:r>
        <w:t xml:space="preserve"> implemented all systems and processes necessary to begin serving </w:t>
      </w:r>
      <w:r w:rsidR="001E2F32">
        <w:t>enrollees</w:t>
      </w:r>
      <w:r>
        <w:t xml:space="preserve">. </w:t>
      </w:r>
    </w:p>
    <w:p w14:paraId="30D03503" w14:textId="77777777" w:rsidR="00A66850" w:rsidRDefault="00136EA4" w:rsidP="00257641">
      <w:pPr>
        <w:pStyle w:val="normal6"/>
      </w:pPr>
      <w:r>
        <w:t>A Readiness Review by the Department or its designated agent may occur if:</w:t>
      </w:r>
    </w:p>
    <w:p w14:paraId="3E8E70EF" w14:textId="77777777" w:rsidR="00136EA4" w:rsidRDefault="00D17EB2" w:rsidP="00257641">
      <w:pPr>
        <w:numPr>
          <w:ilvl w:val="0"/>
          <w:numId w:val="111"/>
        </w:numPr>
        <w:spacing w:after="120"/>
      </w:pPr>
      <w:r>
        <w:lastRenderedPageBreak/>
        <w:t>A</w:t>
      </w:r>
      <w:r w:rsidR="00136EA4">
        <w:t xml:space="preserve"> new MCO is contracted by the Department; </w:t>
      </w:r>
    </w:p>
    <w:p w14:paraId="798F472E" w14:textId="77777777" w:rsidR="00136EA4" w:rsidRDefault="00D17EB2" w:rsidP="00257641">
      <w:pPr>
        <w:numPr>
          <w:ilvl w:val="0"/>
          <w:numId w:val="111"/>
        </w:numPr>
        <w:spacing w:after="120"/>
      </w:pPr>
      <w:r>
        <w:t>A</w:t>
      </w:r>
      <w:r w:rsidR="00136EA4">
        <w:t xml:space="preserve"> new Subcontractor is employed by </w:t>
      </w:r>
      <w:r w:rsidR="00276300">
        <w:t xml:space="preserve">the </w:t>
      </w:r>
      <w:r w:rsidR="00136EA4">
        <w:t>MCO;</w:t>
      </w:r>
    </w:p>
    <w:p w14:paraId="08AA9F0F" w14:textId="77777777" w:rsidR="00136EA4" w:rsidRDefault="00D17EB2" w:rsidP="00257641">
      <w:pPr>
        <w:numPr>
          <w:ilvl w:val="0"/>
          <w:numId w:val="111"/>
        </w:numPr>
        <w:spacing w:after="120"/>
      </w:pPr>
      <w:r>
        <w:t>A</w:t>
      </w:r>
      <w:r w:rsidR="00136EA4">
        <w:t xml:space="preserve">n existing MCO or its Subcontractor provides services in a new </w:t>
      </w:r>
      <w:r w:rsidR="001703E6">
        <w:t>s</w:t>
      </w:r>
      <w:r w:rsidR="00136EA4">
        <w:t xml:space="preserve">ervice </w:t>
      </w:r>
      <w:r w:rsidR="001703E6">
        <w:t>a</w:t>
      </w:r>
      <w:r w:rsidR="00136EA4">
        <w:t>rea;</w:t>
      </w:r>
    </w:p>
    <w:p w14:paraId="14A4B2EE" w14:textId="77777777" w:rsidR="00136EA4" w:rsidRDefault="00D17EB2" w:rsidP="00257641">
      <w:pPr>
        <w:numPr>
          <w:ilvl w:val="0"/>
          <w:numId w:val="111"/>
        </w:numPr>
        <w:spacing w:after="120"/>
      </w:pPr>
      <w:r>
        <w:t>A</w:t>
      </w:r>
      <w:r w:rsidR="00136EA4">
        <w:t>n existing MCO or its Subcontractor provides services for a new MCO program or population;</w:t>
      </w:r>
    </w:p>
    <w:p w14:paraId="0D711BF2" w14:textId="77777777" w:rsidR="00136EA4" w:rsidRDefault="00D17EB2" w:rsidP="00257641">
      <w:pPr>
        <w:numPr>
          <w:ilvl w:val="0"/>
          <w:numId w:val="111"/>
        </w:numPr>
        <w:spacing w:after="120"/>
      </w:pPr>
      <w:r>
        <w:t>A</w:t>
      </w:r>
      <w:r w:rsidR="00136EA4">
        <w:t>n existing MCO or its Subcontractor changes locations;</w:t>
      </w:r>
    </w:p>
    <w:p w14:paraId="4749D154" w14:textId="42315236" w:rsidR="00136EA4" w:rsidRDefault="00D17EB2" w:rsidP="00257641">
      <w:pPr>
        <w:numPr>
          <w:ilvl w:val="0"/>
          <w:numId w:val="111"/>
        </w:numPr>
        <w:spacing w:after="120"/>
      </w:pPr>
      <w:r>
        <w:t>A</w:t>
      </w:r>
      <w:r w:rsidR="00136EA4">
        <w:t>n existing MCO or its Subcontractor changes one</w:t>
      </w:r>
      <w:r w:rsidR="00D30453">
        <w:t xml:space="preserve"> (1)</w:t>
      </w:r>
      <w:r w:rsidR="00136EA4">
        <w:t xml:space="preserve"> or more of its information management systems, claims processing or operational functions; or</w:t>
      </w:r>
    </w:p>
    <w:p w14:paraId="75F0691E" w14:textId="61E5055C" w:rsidR="001703E6" w:rsidRPr="001703E6" w:rsidRDefault="00D17EB2" w:rsidP="00257641">
      <w:pPr>
        <w:numPr>
          <w:ilvl w:val="0"/>
          <w:numId w:val="111"/>
        </w:numPr>
      </w:pPr>
      <w:r>
        <w:t xml:space="preserve">A </w:t>
      </w:r>
      <w:r w:rsidR="00136EA4">
        <w:t>Readiness Review is requested by the Department</w:t>
      </w:r>
      <w:r w:rsidR="00A97281">
        <w:t>,</w:t>
      </w:r>
      <w:r w:rsidR="00136EA4">
        <w:t xml:space="preserve"> CMS</w:t>
      </w:r>
      <w:r w:rsidR="00A97281">
        <w:t>, or ACF</w:t>
      </w:r>
      <w:r w:rsidR="00136EA4">
        <w:t>.</w:t>
      </w:r>
    </w:p>
    <w:p w14:paraId="22FD896E" w14:textId="77777777" w:rsidR="00067AB2" w:rsidRPr="00067AB2" w:rsidRDefault="00DE272C" w:rsidP="00096A5D">
      <w:pPr>
        <w:pStyle w:val="BodyText"/>
      </w:pPr>
      <w:r>
        <w:t>The Department, may, at its discretion, terminate the Contract, postpone the operational start date(s),</w:t>
      </w:r>
      <w:r w:rsidR="00C6798D">
        <w:t xml:space="preserve"> or </w:t>
      </w:r>
      <w:r>
        <w:t xml:space="preserve">assess other contractual remedies if a MCO </w:t>
      </w:r>
      <w:r w:rsidR="00EA6815">
        <w:t>or it</w:t>
      </w:r>
      <w:r w:rsidR="00DB5AEE">
        <w:t>s</w:t>
      </w:r>
      <w:r w:rsidR="00EA6815">
        <w:t xml:space="preserve"> Subcontractor</w:t>
      </w:r>
      <w:r w:rsidR="0090316D">
        <w:t>s</w:t>
      </w:r>
      <w:r w:rsidR="00EA6815">
        <w:t xml:space="preserve"> </w:t>
      </w:r>
      <w:r>
        <w:t>fail to timely correct all Readiness Review deficiencies within a reasonable cure period, as determined by the Department.</w:t>
      </w:r>
    </w:p>
    <w:p w14:paraId="738DF93B" w14:textId="425A38B7" w:rsidR="00371092" w:rsidRPr="00371092" w:rsidRDefault="00851ED0" w:rsidP="007610FD">
      <w:pPr>
        <w:pStyle w:val="Heading2"/>
      </w:pPr>
      <w:bookmarkStart w:id="71" w:name="_Toc8129000"/>
      <w:r>
        <w:t xml:space="preserve">8. </w:t>
      </w:r>
      <w:r w:rsidR="00E44BE5" w:rsidRPr="00DF1D1C">
        <w:t>OTHER REQUIREMENTS</w:t>
      </w:r>
      <w:bookmarkEnd w:id="71"/>
    </w:p>
    <w:p w14:paraId="289F3616" w14:textId="6BCC9D02" w:rsidR="0071482A" w:rsidRPr="00DF1D1C" w:rsidRDefault="00371092" w:rsidP="00257641">
      <w:pPr>
        <w:pStyle w:val="Heading3"/>
      </w:pPr>
      <w:bookmarkStart w:id="72" w:name="_Toc514125427"/>
      <w:bookmarkStart w:id="73" w:name="_Toc527882808"/>
      <w:bookmarkStart w:id="74" w:name="_Toc8129001"/>
      <w:r>
        <w:t>8</w:t>
      </w:r>
      <w:r w:rsidR="0071482A" w:rsidRPr="00DF1D1C">
        <w:t>.1</w:t>
      </w:r>
      <w:r w:rsidR="0041309F">
        <w:tab/>
      </w:r>
      <w:r w:rsidR="0071482A" w:rsidRPr="00DF1D1C">
        <w:t>Inspection of Facilities</w:t>
      </w:r>
      <w:bookmarkEnd w:id="72"/>
      <w:bookmarkEnd w:id="73"/>
      <w:bookmarkEnd w:id="74"/>
    </w:p>
    <w:p w14:paraId="7EEAA1F6" w14:textId="60D8B062" w:rsidR="00B22BCE" w:rsidRDefault="006721E9" w:rsidP="00096A5D">
      <w:pPr>
        <w:pStyle w:val="BodyText"/>
      </w:pPr>
      <w:r>
        <w:t xml:space="preserve">The MCO </w:t>
      </w:r>
      <w:r w:rsidR="00B22BCE">
        <w:t xml:space="preserve">and its </w:t>
      </w:r>
      <w:r w:rsidR="00C916E2">
        <w:t>S</w:t>
      </w:r>
      <w:r w:rsidR="00B22BCE">
        <w:t xml:space="preserve">ubcontractors </w:t>
      </w:r>
      <w:r>
        <w:t>must</w:t>
      </w:r>
      <w:r w:rsidR="0071482A" w:rsidRPr="00DF1D1C">
        <w:t xml:space="preserve"> provide the State of West Virginia</w:t>
      </w:r>
      <w:r w:rsidR="00B22BCE">
        <w:t>,</w:t>
      </w:r>
      <w:r w:rsidR="0071482A" w:rsidRPr="00DF1D1C">
        <w:t xml:space="preserve"> </w:t>
      </w:r>
      <w:r w:rsidR="00157051" w:rsidRPr="00B22BCE">
        <w:t xml:space="preserve">CMS, </w:t>
      </w:r>
      <w:r w:rsidR="00A97281">
        <w:t xml:space="preserve">ACF, </w:t>
      </w:r>
      <w:r w:rsidR="00157051" w:rsidRPr="00B22BCE">
        <w:t xml:space="preserve">the Office of the Inspector General </w:t>
      </w:r>
      <w:r w:rsidR="0071482A" w:rsidRPr="00DF1D1C">
        <w:t>and any other legally</w:t>
      </w:r>
      <w:r w:rsidR="00481DB4">
        <w:t xml:space="preserve"> authorized governmental entity</w:t>
      </w:r>
      <w:r w:rsidR="0071482A" w:rsidRPr="00DF1D1C">
        <w:t xml:space="preserve"> or their authorized representatives, the right to enter the MCO</w:t>
      </w:r>
      <w:r w:rsidR="00FA1C0C" w:rsidRPr="00DF1D1C">
        <w:t>’</w:t>
      </w:r>
      <w:r w:rsidR="0071482A" w:rsidRPr="00DF1D1C">
        <w:t xml:space="preserve">s </w:t>
      </w:r>
      <w:r w:rsidR="00B22BCE">
        <w:t xml:space="preserve">and </w:t>
      </w:r>
      <w:r w:rsidR="00225971">
        <w:t xml:space="preserve">its </w:t>
      </w:r>
      <w:r w:rsidR="00C916E2">
        <w:t>S</w:t>
      </w:r>
      <w:r w:rsidR="00B22BCE">
        <w:t>ubcontractor</w:t>
      </w:r>
      <w:r w:rsidR="00025E88">
        <w:t>s’</w:t>
      </w:r>
      <w:r w:rsidR="00B22BCE">
        <w:t xml:space="preserve"> </w:t>
      </w:r>
      <w:r w:rsidR="0071482A" w:rsidRPr="00DF1D1C">
        <w:t>premises</w:t>
      </w:r>
      <w:r w:rsidR="00157051">
        <w:t xml:space="preserve">, </w:t>
      </w:r>
      <w:r w:rsidR="00157051" w:rsidRPr="00157051">
        <w:t xml:space="preserve">physical facilities and equipment </w:t>
      </w:r>
      <w:r w:rsidR="0071482A" w:rsidRPr="00DF1D1C">
        <w:t>or othe</w:t>
      </w:r>
      <w:r w:rsidR="0046386E">
        <w:t xml:space="preserve">r places where work under this </w:t>
      </w:r>
      <w:r w:rsidR="009B19C2">
        <w:t xml:space="preserve">Contract </w:t>
      </w:r>
      <w:r w:rsidR="0071482A" w:rsidRPr="00DF1D1C">
        <w:t>is performed to inspect, monitor or otherwise evaluate the quality, appropriateness, and timeliness of</w:t>
      </w:r>
      <w:r w:rsidR="00E36D19">
        <w:t xml:space="preserve"> services performed under this C</w:t>
      </w:r>
      <w:r w:rsidR="0071482A" w:rsidRPr="00DF1D1C">
        <w:t xml:space="preserve">ontract. </w:t>
      </w:r>
      <w:r w:rsidR="00B22BCE">
        <w:t>T</w:t>
      </w:r>
      <w:r w:rsidR="00B22BCE" w:rsidRPr="00B22BCE">
        <w:t>he State</w:t>
      </w:r>
      <w:r w:rsidR="00CF645F">
        <w:t xml:space="preserve"> of West Virginia</w:t>
      </w:r>
      <w:r w:rsidR="00B22BCE" w:rsidRPr="00B22BCE">
        <w:t>, CMS,</w:t>
      </w:r>
      <w:r w:rsidR="00A97281">
        <w:t xml:space="preserve"> ACF,</w:t>
      </w:r>
      <w:r w:rsidR="00B70C67">
        <w:t xml:space="preserve"> </w:t>
      </w:r>
      <w:r w:rsidR="00B22BCE" w:rsidRPr="00B22BCE">
        <w:t>the Office of the Inspector General</w:t>
      </w:r>
      <w:r w:rsidR="00B70C67">
        <w:t>,</w:t>
      </w:r>
      <w:r w:rsidR="00B22BCE" w:rsidRPr="00B22BCE">
        <w:t xml:space="preserve"> </w:t>
      </w:r>
      <w:r w:rsidR="00E36D19">
        <w:t xml:space="preserve">and </w:t>
      </w:r>
      <w:r w:rsidR="00E36D19" w:rsidRPr="00DF1D1C">
        <w:t>any other legally authorized governmental entity</w:t>
      </w:r>
      <w:r w:rsidR="00E36D19" w:rsidRPr="00B22BCE">
        <w:t xml:space="preserve"> </w:t>
      </w:r>
      <w:r w:rsidR="00B22BCE" w:rsidRPr="00B22BCE">
        <w:t>may conduct such inspections at any time</w:t>
      </w:r>
      <w:r w:rsidR="00CF645F">
        <w:t xml:space="preserve">. </w:t>
      </w:r>
    </w:p>
    <w:p w14:paraId="0A544E82" w14:textId="767299FD" w:rsidR="0071482A" w:rsidRPr="00DF1D1C" w:rsidRDefault="0071482A" w:rsidP="00096A5D">
      <w:pPr>
        <w:pStyle w:val="BodyText"/>
      </w:pPr>
      <w:r w:rsidRPr="00DF1D1C">
        <w:t xml:space="preserve">The MCO </w:t>
      </w:r>
      <w:r w:rsidR="00F133C9">
        <w:t xml:space="preserve">and its Subcontractors </w:t>
      </w:r>
      <w:r w:rsidR="006721E9">
        <w:t>must</w:t>
      </w:r>
      <w:r w:rsidRPr="00DF1D1C">
        <w:t xml:space="preserve"> provide reasonable facilities and assistance for the safety and convenience of the persons performing those duties (e.g., assistance from MCO staff to retrieve and/or copy materials). </w:t>
      </w:r>
      <w:r w:rsidR="00AE1C8B">
        <w:t>DHHR</w:t>
      </w:r>
      <w:r w:rsidR="00AE1C8B" w:rsidRPr="00DF1D1C">
        <w:t xml:space="preserve"> </w:t>
      </w:r>
      <w:r w:rsidRPr="00DF1D1C">
        <w:t>and its authorized agents will request access in writing except in case of suspected fraud</w:t>
      </w:r>
      <w:r w:rsidR="00D30453">
        <w:t>, waste,</w:t>
      </w:r>
      <w:r w:rsidRPr="00DF1D1C">
        <w:t xml:space="preserve"> and abuse. All inspection, monitoring</w:t>
      </w:r>
      <w:r w:rsidR="00DA6475" w:rsidRPr="00DF1D1C">
        <w:t>,</w:t>
      </w:r>
      <w:r w:rsidRPr="00DF1D1C">
        <w:t xml:space="preserve"> and evaluation must be performed in such a manner as not to unduly interfere with the work being performed under this contract.</w:t>
      </w:r>
    </w:p>
    <w:p w14:paraId="5F5499AE" w14:textId="77777777" w:rsidR="0071482A" w:rsidRPr="00DF1D1C" w:rsidRDefault="0071482A" w:rsidP="00096A5D">
      <w:pPr>
        <w:pStyle w:val="BodyText"/>
      </w:pPr>
      <w:r w:rsidRPr="00DF1D1C">
        <w:t>In the event that right of access is requested under this section</w:t>
      </w:r>
      <w:r w:rsidR="00411E69">
        <w:t xml:space="preserve">, the MCO or </w:t>
      </w:r>
      <w:r w:rsidR="009273AB">
        <w:t xml:space="preserve">its </w:t>
      </w:r>
      <w:r w:rsidR="00411E69">
        <w:t>S</w:t>
      </w:r>
      <w:r w:rsidR="00C54CE5">
        <w:t>ubcontractor</w:t>
      </w:r>
      <w:r w:rsidR="009273AB">
        <w:t>s</w:t>
      </w:r>
      <w:r w:rsidR="00C54CE5">
        <w:t xml:space="preserve"> must</w:t>
      </w:r>
      <w:r w:rsidR="00EC327F">
        <w:t>,</w:t>
      </w:r>
      <w:r w:rsidR="00C54CE5">
        <w:t xml:space="preserve"> </w:t>
      </w:r>
      <w:r w:rsidRPr="00DF1D1C">
        <w:t>upon request</w:t>
      </w:r>
      <w:r w:rsidR="00EC327F">
        <w:t>,</w:t>
      </w:r>
      <w:r w:rsidRPr="00DF1D1C">
        <w:t xml:space="preserve"> provide and make available staff to assist in the audit or inspection effort, and provide adequate space on the premises to reasonably accommodate the State or Federal representatives conducting the audit or inspection effort.</w:t>
      </w:r>
    </w:p>
    <w:p w14:paraId="4B989ADA" w14:textId="1A218E77" w:rsidR="00B17A0B" w:rsidRDefault="0071482A" w:rsidP="00096A5D">
      <w:pPr>
        <w:pStyle w:val="BodyText"/>
      </w:pPr>
      <w:r w:rsidRPr="00DF1D1C">
        <w:t>All inspection</w:t>
      </w:r>
      <w:r w:rsidR="00C54CE5">
        <w:t>s or audits will</w:t>
      </w:r>
      <w:r w:rsidR="009339A6">
        <w:t xml:space="preserve"> be conducted in a manner that </w:t>
      </w:r>
      <w:r w:rsidRPr="00DF1D1C">
        <w:t xml:space="preserve">will not unduly interfere with the performance of </w:t>
      </w:r>
      <w:r w:rsidR="007D56E3" w:rsidRPr="00DF1D1C">
        <w:t xml:space="preserve">the </w:t>
      </w:r>
      <w:r w:rsidRPr="00DF1D1C">
        <w:t>MCO</w:t>
      </w:r>
      <w:r w:rsidR="00411E69">
        <w:t xml:space="preserve"> or any S</w:t>
      </w:r>
      <w:r w:rsidRPr="00DF1D1C">
        <w:t>ubcontractors</w:t>
      </w:r>
      <w:r w:rsidR="00406C9D">
        <w:t>’</w:t>
      </w:r>
      <w:r w:rsidRPr="00DF1D1C">
        <w:t xml:space="preserve"> activities. The MCO </w:t>
      </w:r>
      <w:r w:rsidR="009273AB">
        <w:t xml:space="preserve">and its Subcontractors </w:t>
      </w:r>
      <w:r w:rsidR="00C54CE5">
        <w:t>will</w:t>
      </w:r>
      <w:r w:rsidRPr="00DF1D1C">
        <w:t xml:space="preserve"> be given </w:t>
      </w:r>
      <w:r w:rsidR="00DA6475" w:rsidRPr="00DF1D1C">
        <w:t>ten</w:t>
      </w:r>
      <w:r w:rsidRPr="00DF1D1C">
        <w:t xml:space="preserve"> </w:t>
      </w:r>
      <w:r w:rsidR="00F3479E">
        <w:t>(10) business</w:t>
      </w:r>
      <w:r w:rsidRPr="00DF1D1C">
        <w:t xml:space="preserve"> days to respond to any findi</w:t>
      </w:r>
      <w:r w:rsidR="00C54CE5">
        <w:t xml:space="preserve">ngs of an audit before </w:t>
      </w:r>
      <w:r w:rsidR="00AE1C8B">
        <w:t xml:space="preserve">DHHR </w:t>
      </w:r>
      <w:r w:rsidR="00C54CE5">
        <w:t>will</w:t>
      </w:r>
      <w:r w:rsidRPr="00DF1D1C">
        <w:t xml:space="preserve"> finalize its findings. All information so obtained will be accorded confidential treatment as provided under applicable law.</w:t>
      </w:r>
    </w:p>
    <w:p w14:paraId="38797397" w14:textId="77777777" w:rsidR="00C573F5" w:rsidRPr="00DF1D1C" w:rsidRDefault="00C573F5" w:rsidP="00096A5D">
      <w:pPr>
        <w:pStyle w:val="BodyText"/>
      </w:pPr>
      <w:r>
        <w:lastRenderedPageBreak/>
        <w:t>Any Sub</w:t>
      </w:r>
      <w:r w:rsidR="00F32FE4">
        <w:t>c</w:t>
      </w:r>
      <w:r w:rsidR="009B19C2">
        <w:t xml:space="preserve">ontract </w:t>
      </w:r>
      <w:r>
        <w:t>with an approved MCO S</w:t>
      </w:r>
      <w:r w:rsidRPr="00DF1D1C">
        <w:t>ubcontract</w:t>
      </w:r>
      <w:r>
        <w:t>or</w:t>
      </w:r>
      <w:r w:rsidRPr="00DF1D1C">
        <w:t xml:space="preserve"> must include a provision specifically authorizing </w:t>
      </w:r>
      <w:r w:rsidR="00815BFF">
        <w:t>inspection</w:t>
      </w:r>
      <w:r w:rsidRPr="00DF1D1C">
        <w:t xml:space="preserve"> in accordance with the t</w:t>
      </w:r>
      <w:r>
        <w:t>erms set forth in this Section</w:t>
      </w:r>
      <w:r w:rsidRPr="00DF1D1C">
        <w:t>.</w:t>
      </w:r>
    </w:p>
    <w:p w14:paraId="7E06ED09" w14:textId="15B71D20" w:rsidR="00AB6EF2" w:rsidRPr="002654A7" w:rsidRDefault="00371092" w:rsidP="00257641">
      <w:pPr>
        <w:pStyle w:val="Heading3"/>
      </w:pPr>
      <w:bookmarkStart w:id="75" w:name="_Toc8129002"/>
      <w:bookmarkStart w:id="76" w:name="_Toc514125428"/>
      <w:bookmarkStart w:id="77" w:name="_Toc527882809"/>
      <w:r>
        <w:t>8</w:t>
      </w:r>
      <w:r w:rsidR="0041309F">
        <w:t>.2</w:t>
      </w:r>
      <w:r w:rsidR="0041309F">
        <w:tab/>
      </w:r>
      <w:r w:rsidR="00AB6EF2" w:rsidRPr="002654A7">
        <w:t>MCO Requirements Related to Information Systems</w:t>
      </w:r>
      <w:bookmarkEnd w:id="75"/>
    </w:p>
    <w:p w14:paraId="6AC061B0" w14:textId="77777777" w:rsidR="00AB6EF2" w:rsidRDefault="00AB6EF2" w:rsidP="00257641">
      <w:pPr>
        <w:pStyle w:val="normal6"/>
      </w:pPr>
      <w:r>
        <w:t xml:space="preserve">The MCO must clearly define and document the policies and procedures that will be followed to support day-to-day systems activities. The MCO must develop and maintain the following documents: </w:t>
      </w:r>
    </w:p>
    <w:p w14:paraId="71707AAC" w14:textId="77777777" w:rsidR="00AB6EF2" w:rsidRDefault="00AB6EF2" w:rsidP="005C2321">
      <w:pPr>
        <w:pStyle w:val="StyleAfter12pt"/>
        <w:numPr>
          <w:ilvl w:val="0"/>
          <w:numId w:val="51"/>
        </w:numPr>
        <w:tabs>
          <w:tab w:val="clear" w:pos="360"/>
        </w:tabs>
        <w:spacing w:after="80"/>
        <w:ind w:left="720"/>
      </w:pPr>
      <w:r>
        <w:t>Disaster Recovery Plan;</w:t>
      </w:r>
    </w:p>
    <w:p w14:paraId="031EFB3E" w14:textId="77777777" w:rsidR="00AB6EF2" w:rsidRDefault="00AB6EF2" w:rsidP="005C2321">
      <w:pPr>
        <w:pStyle w:val="StyleAfter12pt"/>
        <w:numPr>
          <w:ilvl w:val="0"/>
          <w:numId w:val="51"/>
        </w:numPr>
        <w:tabs>
          <w:tab w:val="clear" w:pos="360"/>
        </w:tabs>
        <w:spacing w:after="80"/>
        <w:ind w:left="720"/>
      </w:pPr>
      <w:r>
        <w:t>Business Continuity Plan;</w:t>
      </w:r>
    </w:p>
    <w:p w14:paraId="56993C95" w14:textId="77777777" w:rsidR="00AB6EF2" w:rsidRDefault="00AB6EF2" w:rsidP="005C2321">
      <w:pPr>
        <w:pStyle w:val="StyleAfter12pt"/>
        <w:numPr>
          <w:ilvl w:val="0"/>
          <w:numId w:val="51"/>
        </w:numPr>
        <w:tabs>
          <w:tab w:val="clear" w:pos="360"/>
        </w:tabs>
        <w:spacing w:after="80"/>
        <w:ind w:left="720"/>
      </w:pPr>
      <w:r>
        <w:t>Information Security Plan; and</w:t>
      </w:r>
    </w:p>
    <w:p w14:paraId="4FB60FC6" w14:textId="77777777" w:rsidR="00AB6EF2" w:rsidRDefault="00AB6EF2" w:rsidP="00257641">
      <w:pPr>
        <w:pStyle w:val="StyleAfter12pt"/>
        <w:numPr>
          <w:ilvl w:val="0"/>
          <w:numId w:val="51"/>
        </w:numPr>
        <w:tabs>
          <w:tab w:val="clear" w:pos="360"/>
        </w:tabs>
        <w:ind w:left="720"/>
      </w:pPr>
      <w:r>
        <w:t xml:space="preserve">Systems Quality Assurance Plan. </w:t>
      </w:r>
    </w:p>
    <w:p w14:paraId="16880223" w14:textId="77777777" w:rsidR="00AB6EF2" w:rsidRPr="0061516E" w:rsidRDefault="00AB6EF2" w:rsidP="00257641">
      <w:r>
        <w:t xml:space="preserve">The MCO must provide a copy of these documents within ten (10) business days of written request from DHHR. </w:t>
      </w:r>
    </w:p>
    <w:p w14:paraId="26542BE4" w14:textId="75ECBB92" w:rsidR="0071482A" w:rsidRPr="00DF1D1C" w:rsidRDefault="00AB6EF2" w:rsidP="00257641">
      <w:pPr>
        <w:pStyle w:val="Heading3"/>
      </w:pPr>
      <w:bookmarkStart w:id="78" w:name="_Toc8129003"/>
      <w:r>
        <w:t xml:space="preserve">8.3 </w:t>
      </w:r>
      <w:r w:rsidR="0071482A" w:rsidRPr="00DF1D1C">
        <w:t>Maintenance and Examination of Records</w:t>
      </w:r>
      <w:bookmarkEnd w:id="76"/>
      <w:bookmarkEnd w:id="77"/>
      <w:bookmarkEnd w:id="78"/>
    </w:p>
    <w:p w14:paraId="0624A0F9" w14:textId="0664A501" w:rsidR="0071482A" w:rsidRDefault="0071482A" w:rsidP="00096A5D">
      <w:pPr>
        <w:pStyle w:val="BodyText"/>
      </w:pPr>
      <w:r w:rsidRPr="00DF1D1C">
        <w:t xml:space="preserve">The MCO </w:t>
      </w:r>
      <w:r w:rsidR="009273AB">
        <w:t>and its Subcontractors</w:t>
      </w:r>
      <w:r w:rsidR="009273AB" w:rsidRPr="00DF1D1C">
        <w:t xml:space="preserve"> </w:t>
      </w:r>
      <w:r w:rsidRPr="00DF1D1C">
        <w:t>must mai</w:t>
      </w:r>
      <w:r w:rsidR="001C34A0">
        <w:t xml:space="preserve">ntain </w:t>
      </w:r>
      <w:r w:rsidR="001C34A0" w:rsidRPr="009C01F3">
        <w:t xml:space="preserve">records, books, documents, papers </w:t>
      </w:r>
      <w:r w:rsidR="003478A3">
        <w:t xml:space="preserve">and files </w:t>
      </w:r>
      <w:r w:rsidR="001C34A0" w:rsidRPr="009C01F3">
        <w:t>that are r</w:t>
      </w:r>
      <w:r w:rsidR="001C34A0">
        <w:t xml:space="preserve">elated </w:t>
      </w:r>
      <w:r w:rsidRPr="00DF1D1C">
        <w:t>to West Virginia</w:t>
      </w:r>
      <w:r w:rsidR="00FA1C0C" w:rsidRPr="00DF1D1C">
        <w:t>’</w:t>
      </w:r>
      <w:r w:rsidRPr="00DF1D1C">
        <w:t xml:space="preserve">s managed care program services and expenditures, including reports to </w:t>
      </w:r>
      <w:r w:rsidR="00AE1C8B">
        <w:t>DHHR</w:t>
      </w:r>
      <w:r w:rsidR="00AE1C8B" w:rsidRPr="00DF1D1C">
        <w:t xml:space="preserve"> </w:t>
      </w:r>
      <w:r w:rsidRPr="00DF1D1C">
        <w:t>and source information used in preparation of these reports. These reports include but are not limited to financial statements, records relating to quality of care</w:t>
      </w:r>
      <w:r w:rsidR="00DA6475" w:rsidRPr="00DF1D1C">
        <w:t>,</w:t>
      </w:r>
      <w:r w:rsidRPr="00DF1D1C">
        <w:t xml:space="preserve"> and medical records. In addition, </w:t>
      </w:r>
      <w:r w:rsidR="009C01F3">
        <w:t xml:space="preserve">the </w:t>
      </w:r>
      <w:r w:rsidR="009C01F3" w:rsidRPr="009C01F3">
        <w:t>MCO</w:t>
      </w:r>
      <w:r w:rsidR="00474999">
        <w:t xml:space="preserve"> </w:t>
      </w:r>
      <w:r w:rsidR="009C01F3" w:rsidRPr="009C01F3">
        <w:t xml:space="preserve">must provide, and cause its Subcontractors to provide, at no cost to </w:t>
      </w:r>
      <w:r w:rsidR="00AE1C8B">
        <w:t xml:space="preserve">DHHR </w:t>
      </w:r>
      <w:r w:rsidR="009C01F3">
        <w:t xml:space="preserve">or a </w:t>
      </w:r>
      <w:r w:rsidR="009C01F3" w:rsidRPr="00DF1D1C">
        <w:t>designee</w:t>
      </w:r>
      <w:r w:rsidR="00B70C67">
        <w:t>,</w:t>
      </w:r>
      <w:r w:rsidR="009C01F3" w:rsidRPr="00DF1D1C">
        <w:t xml:space="preserve"> </w:t>
      </w:r>
      <w:r w:rsidR="009C01F3" w:rsidRPr="009C01F3">
        <w:t xml:space="preserve">prompt, reasonable, and adequate access to any records, books, documents, papers </w:t>
      </w:r>
      <w:r w:rsidR="00A94C4C">
        <w:t xml:space="preserve">and files </w:t>
      </w:r>
      <w:r w:rsidR="009C01F3" w:rsidRPr="009C01F3">
        <w:t>that are r</w:t>
      </w:r>
      <w:r w:rsidR="009C01F3">
        <w:t>elated to performance under the Contract</w:t>
      </w:r>
      <w:r w:rsidR="009C01F3" w:rsidRPr="009C01F3">
        <w:t>.</w:t>
      </w:r>
      <w:r w:rsidR="009C01F3">
        <w:t xml:space="preserve"> T</w:t>
      </w:r>
      <w:r w:rsidRPr="00DF1D1C">
        <w:t>he MCO</w:t>
      </w:r>
      <w:r w:rsidR="000E3E7F">
        <w:t xml:space="preserve"> and</w:t>
      </w:r>
      <w:r w:rsidR="00D309BA" w:rsidRPr="00D309BA">
        <w:t xml:space="preserve"> </w:t>
      </w:r>
      <w:r w:rsidR="00D309BA">
        <w:t>its Subcontractors</w:t>
      </w:r>
      <w:r w:rsidRPr="00DF1D1C">
        <w:t xml:space="preserve"> </w:t>
      </w:r>
      <w:r w:rsidR="009C01F3">
        <w:t xml:space="preserve">agrees </w:t>
      </w:r>
      <w:r w:rsidRPr="00DF1D1C">
        <w:t xml:space="preserve">to permit inspection of its records, </w:t>
      </w:r>
      <w:r w:rsidR="007B0D7B" w:rsidRPr="009C01F3">
        <w:t xml:space="preserve">books, documents, papers </w:t>
      </w:r>
      <w:r w:rsidR="007B0D7B">
        <w:t xml:space="preserve">and files </w:t>
      </w:r>
      <w:r w:rsidRPr="00DF1D1C">
        <w:t xml:space="preserve">which will be conducted in accordance with Federal and </w:t>
      </w:r>
      <w:r w:rsidR="00DA6475" w:rsidRPr="00DF1D1C">
        <w:t>S</w:t>
      </w:r>
      <w:r w:rsidRPr="00DF1D1C">
        <w:t xml:space="preserve">tate laws and regulations regarding confidentiality. The MCO </w:t>
      </w:r>
      <w:r w:rsidR="00474999">
        <w:t>and</w:t>
      </w:r>
      <w:r w:rsidR="009273AB" w:rsidRPr="009273AB">
        <w:t xml:space="preserve"> </w:t>
      </w:r>
      <w:r w:rsidR="009273AB">
        <w:t>its Subcontractors</w:t>
      </w:r>
      <w:r w:rsidR="00474999" w:rsidRPr="009C01F3">
        <w:t xml:space="preserve"> </w:t>
      </w:r>
      <w:r w:rsidR="00DF1A63">
        <w:t>are</w:t>
      </w:r>
      <w:r w:rsidRPr="00DF1D1C">
        <w:t xml:space="preserve"> required to submit information to </w:t>
      </w:r>
      <w:r w:rsidR="00AE1C8B">
        <w:t xml:space="preserve">DHHR </w:t>
      </w:r>
      <w:r w:rsidR="0005536B">
        <w:t xml:space="preserve">or </w:t>
      </w:r>
      <w:r w:rsidR="00945B1D">
        <w:t xml:space="preserve">to a </w:t>
      </w:r>
      <w:r w:rsidR="00945B1D" w:rsidRPr="00DF1D1C">
        <w:t>designee</w:t>
      </w:r>
      <w:r w:rsidRPr="00DF1D1C">
        <w:t xml:space="preserve"> in a manner that maintains the confidentiality of involved parties (e.g., blacking out </w:t>
      </w:r>
      <w:r w:rsidR="001E2F32">
        <w:t>enrollee</w:t>
      </w:r>
      <w:r w:rsidR="001E2F32" w:rsidRPr="00DF1D1C">
        <w:t xml:space="preserve">s’ </w:t>
      </w:r>
      <w:r w:rsidRPr="00DF1D1C">
        <w:t>and providers</w:t>
      </w:r>
      <w:r w:rsidR="00FA1C0C" w:rsidRPr="00DF1D1C">
        <w:t>’</w:t>
      </w:r>
      <w:r w:rsidR="00C54CE5">
        <w:t xml:space="preserve"> names). The MCO must </w:t>
      </w:r>
      <w:r w:rsidRPr="00DF1D1C">
        <w:t>comply with the record retention requirements of Title 45, Sections 74.21 through 74.23 (45 CFR 74.21 through 74.23)</w:t>
      </w:r>
      <w:r w:rsidR="00C73C9D">
        <w:t xml:space="preserve"> and </w:t>
      </w:r>
      <w:r w:rsidR="00C73C9D" w:rsidRPr="00C73C9D">
        <w:t>FISMA</w:t>
      </w:r>
      <w:r w:rsidRPr="00DF1D1C">
        <w:t xml:space="preserve">. Such records, with the exception of medical records and </w:t>
      </w:r>
      <w:r w:rsidR="001E2F32">
        <w:t>enrollee</w:t>
      </w:r>
      <w:r w:rsidR="001E2F32" w:rsidRPr="00DF1D1C">
        <w:t xml:space="preserve"> </w:t>
      </w:r>
      <w:r w:rsidRPr="00DF1D1C">
        <w:t xml:space="preserve">and provider quality assurance and quality improvement records when confidentiality is protected by law, are the property of </w:t>
      </w:r>
      <w:r w:rsidR="00AE1C8B">
        <w:t>DHHR</w:t>
      </w:r>
      <w:r w:rsidRPr="00DF1D1C">
        <w:t>.</w:t>
      </w:r>
    </w:p>
    <w:p w14:paraId="46402D73" w14:textId="3C78CD3B" w:rsidR="00CC516C" w:rsidRPr="00DF1D1C" w:rsidRDefault="00CC516C" w:rsidP="00096A5D">
      <w:pPr>
        <w:pStyle w:val="BodyText"/>
      </w:pPr>
      <w:r>
        <w:t xml:space="preserve">The Secretary, </w:t>
      </w:r>
      <w:r w:rsidR="00AE1C8B">
        <w:t>DHHR</w:t>
      </w:r>
      <w:r w:rsidR="007911CC">
        <w:t xml:space="preserve"> </w:t>
      </w:r>
      <w:r>
        <w:t xml:space="preserve">or a designee have the right to audit and inspect any books or records of the MCO or its </w:t>
      </w:r>
      <w:r w:rsidR="009B0110">
        <w:t>S</w:t>
      </w:r>
      <w:r>
        <w:t xml:space="preserve">ubcontractors pertaining to the ability of the MCO to bear the risk of financial losses and services performed or payable amounts under the </w:t>
      </w:r>
      <w:r w:rsidR="00F32FE4">
        <w:t>C</w:t>
      </w:r>
      <w:r>
        <w:t xml:space="preserve">ontract. </w:t>
      </w:r>
    </w:p>
    <w:p w14:paraId="271C6913" w14:textId="48C5A864" w:rsidR="00DA6475" w:rsidRPr="00DF1D1C" w:rsidRDefault="0071482A" w:rsidP="00096A5D">
      <w:pPr>
        <w:pStyle w:val="BodyText"/>
      </w:pPr>
      <w:r w:rsidRPr="00DF1D1C">
        <w:t>Upon non</w:t>
      </w:r>
      <w:r w:rsidRPr="00DF1D1C">
        <w:noBreakHyphen/>
      </w:r>
      <w:r w:rsidR="00FD6BDF">
        <w:t>renewal or termination of this C</w:t>
      </w:r>
      <w:r w:rsidRPr="00DF1D1C">
        <w:t xml:space="preserve">ontract, the MCO </w:t>
      </w:r>
      <w:r w:rsidR="00C54CE5">
        <w:t>must</w:t>
      </w:r>
      <w:r w:rsidRPr="00DF1D1C">
        <w:t xml:space="preserve"> turn over</w:t>
      </w:r>
      <w:r w:rsidR="00411300">
        <w:t xml:space="preserve">, </w:t>
      </w:r>
      <w:r w:rsidR="00411300" w:rsidRPr="009C01F3">
        <w:t xml:space="preserve">and cause its Subcontractors to </w:t>
      </w:r>
      <w:r w:rsidR="00411300">
        <w:t>turn over,</w:t>
      </w:r>
      <w:r w:rsidRPr="00DF1D1C">
        <w:t xml:space="preserve"> to </w:t>
      </w:r>
      <w:r w:rsidR="00AE1C8B">
        <w:t>DHHR</w:t>
      </w:r>
      <w:r w:rsidR="00AE1C8B" w:rsidRPr="00DF1D1C">
        <w:t xml:space="preserve"> </w:t>
      </w:r>
      <w:r w:rsidRPr="00DF1D1C">
        <w:t xml:space="preserve">or to a designee of </w:t>
      </w:r>
      <w:r w:rsidR="00AE1C8B">
        <w:t>DHHR</w:t>
      </w:r>
      <w:r w:rsidR="00AE1C8B" w:rsidRPr="00DF1D1C">
        <w:t xml:space="preserve"> </w:t>
      </w:r>
      <w:r w:rsidRPr="00DF1D1C">
        <w:t xml:space="preserve">all </w:t>
      </w:r>
      <w:r w:rsidR="00C22E14" w:rsidRPr="009C01F3">
        <w:t>records, books, documents, papers</w:t>
      </w:r>
      <w:r w:rsidR="00C22E14">
        <w:t xml:space="preserve"> </w:t>
      </w:r>
      <w:r w:rsidR="003478A3">
        <w:t xml:space="preserve">and </w:t>
      </w:r>
      <w:r w:rsidR="00C22E14">
        <w:t>files that are related</w:t>
      </w:r>
      <w:r w:rsidRPr="00DF1D1C">
        <w:t xml:space="preserve"> to persons receiving services and to the administration o</w:t>
      </w:r>
      <w:r w:rsidR="00C22E14">
        <w:t xml:space="preserve">f this </w:t>
      </w:r>
      <w:r w:rsidR="009B19C2">
        <w:t xml:space="preserve">Contract </w:t>
      </w:r>
      <w:r w:rsidRPr="00DF1D1C">
        <w:t xml:space="preserve">that </w:t>
      </w:r>
      <w:r w:rsidR="00AE1C8B">
        <w:t>DHHR</w:t>
      </w:r>
      <w:r w:rsidR="00AE1C8B" w:rsidRPr="00DF1D1C">
        <w:t xml:space="preserve"> </w:t>
      </w:r>
      <w:r w:rsidRPr="00DF1D1C">
        <w:t xml:space="preserve">may request. </w:t>
      </w:r>
    </w:p>
    <w:p w14:paraId="07F7BEA5" w14:textId="64152CE2" w:rsidR="00E0443F" w:rsidRDefault="00C54CE5" w:rsidP="00096A5D">
      <w:pPr>
        <w:pStyle w:val="BodyText"/>
      </w:pPr>
      <w:r>
        <w:t>The MCO must</w:t>
      </w:r>
      <w:r w:rsidR="003478A3">
        <w:t xml:space="preserve"> provide</w:t>
      </w:r>
      <w:r w:rsidR="003478A3" w:rsidRPr="009C01F3">
        <w:t>, and cause its Subcontractors to provide,</w:t>
      </w:r>
      <w:r w:rsidR="003478A3">
        <w:t xml:space="preserve"> </w:t>
      </w:r>
      <w:r w:rsidR="00AE1C8B">
        <w:t>DHHR</w:t>
      </w:r>
      <w:r w:rsidR="00AE1C8B" w:rsidRPr="00DF1D1C">
        <w:t xml:space="preserve"> </w:t>
      </w:r>
      <w:r w:rsidR="0071482A" w:rsidRPr="00DF1D1C">
        <w:t xml:space="preserve">and its authorized agents with reasonable access to </w:t>
      </w:r>
      <w:r w:rsidR="003478A3">
        <w:t xml:space="preserve">any </w:t>
      </w:r>
      <w:r w:rsidR="003478A3" w:rsidRPr="009C01F3">
        <w:t>records, books, documents,</w:t>
      </w:r>
      <w:r w:rsidR="003478A3">
        <w:t xml:space="preserve"> </w:t>
      </w:r>
      <w:r w:rsidR="003478A3" w:rsidRPr="009C01F3">
        <w:t xml:space="preserve">papers </w:t>
      </w:r>
      <w:r w:rsidR="003478A3">
        <w:t xml:space="preserve">and files </w:t>
      </w:r>
      <w:r w:rsidR="0071482A" w:rsidRPr="00DF1D1C">
        <w:t xml:space="preserve">the MCO </w:t>
      </w:r>
      <w:r w:rsidR="002E4888">
        <w:t>and</w:t>
      </w:r>
      <w:r w:rsidR="009273AB" w:rsidRPr="009273AB">
        <w:t xml:space="preserve"> </w:t>
      </w:r>
      <w:r w:rsidR="009273AB">
        <w:t xml:space="preserve">its Subcontractors </w:t>
      </w:r>
      <w:r w:rsidR="00FD66BB">
        <w:t>maintain</w:t>
      </w:r>
      <w:r w:rsidR="00FD6BDF">
        <w:t xml:space="preserve"> for the purposes of this C</w:t>
      </w:r>
      <w:r w:rsidR="0071482A" w:rsidRPr="00DF1D1C">
        <w:t xml:space="preserve">ontract. </w:t>
      </w:r>
      <w:r w:rsidR="00AE1C8B">
        <w:t>DHHR</w:t>
      </w:r>
      <w:r w:rsidR="00AE1C8B" w:rsidRPr="00DF1D1C">
        <w:t xml:space="preserve"> </w:t>
      </w:r>
      <w:r w:rsidR="0071482A" w:rsidRPr="00DF1D1C">
        <w:t xml:space="preserve">and its authorized agents </w:t>
      </w:r>
      <w:r w:rsidR="0071482A" w:rsidRPr="00DF1D1C">
        <w:lastRenderedPageBreak/>
        <w:t>will request access in writing except in cases of suspected fraud</w:t>
      </w:r>
      <w:r w:rsidR="00AB6EF2">
        <w:t>, waste,</w:t>
      </w:r>
      <w:r w:rsidR="0071482A" w:rsidRPr="00DF1D1C">
        <w:t xml:space="preserve"> and abuse. The MCO</w:t>
      </w:r>
      <w:r w:rsidR="00365F7E">
        <w:t xml:space="preserve"> and</w:t>
      </w:r>
      <w:r w:rsidR="009D2C75" w:rsidRPr="009D2C75">
        <w:t xml:space="preserve"> </w:t>
      </w:r>
      <w:r w:rsidR="009D2C75">
        <w:t>its Subcontractors</w:t>
      </w:r>
      <w:r w:rsidR="0071482A" w:rsidRPr="00DF1D1C">
        <w:t xml:space="preserve"> must make all requested medical records available within </w:t>
      </w:r>
      <w:r w:rsidR="00DA6475" w:rsidRPr="00DF1D1C">
        <w:t>ten</w:t>
      </w:r>
      <w:r w:rsidR="00AE1C8B">
        <w:t xml:space="preserve"> (10)</w:t>
      </w:r>
      <w:r w:rsidR="00DA6475" w:rsidRPr="00DF1D1C">
        <w:t xml:space="preserve"> </w:t>
      </w:r>
      <w:r w:rsidR="00F3479E">
        <w:t>business</w:t>
      </w:r>
      <w:r w:rsidR="00F3479E" w:rsidRPr="00DF1D1C">
        <w:t xml:space="preserve"> </w:t>
      </w:r>
      <w:r w:rsidR="0071482A" w:rsidRPr="00DF1D1C">
        <w:t xml:space="preserve">days of </w:t>
      </w:r>
      <w:r w:rsidR="00AE1C8B">
        <w:t>DHHR</w:t>
      </w:r>
      <w:r w:rsidR="00AE1C8B" w:rsidRPr="00DF1D1C">
        <w:t>’</w:t>
      </w:r>
      <w:r w:rsidR="00AE1C8B">
        <w:t>s</w:t>
      </w:r>
      <w:r w:rsidR="00AE1C8B" w:rsidRPr="00DF1D1C">
        <w:t xml:space="preserve"> </w:t>
      </w:r>
      <w:r w:rsidR="0071482A" w:rsidRPr="00DF1D1C">
        <w:t>request.</w:t>
      </w:r>
      <w:r w:rsidR="00E35F6A">
        <w:t xml:space="preserve"> </w:t>
      </w:r>
    </w:p>
    <w:p w14:paraId="46597105" w14:textId="77777777" w:rsidR="0071482A" w:rsidRPr="00DF1D1C" w:rsidRDefault="00E35F6A" w:rsidP="00096A5D">
      <w:pPr>
        <w:pStyle w:val="BodyText"/>
      </w:pPr>
      <w:r>
        <w:t>Any Sub</w:t>
      </w:r>
      <w:r w:rsidR="009B0110">
        <w:t>c</w:t>
      </w:r>
      <w:r w:rsidR="009B19C2">
        <w:t xml:space="preserve">ontract </w:t>
      </w:r>
      <w:r>
        <w:t>with an approved MCO S</w:t>
      </w:r>
      <w:r w:rsidR="0071482A" w:rsidRPr="00DF1D1C">
        <w:t>ubcontract</w:t>
      </w:r>
      <w:r>
        <w:t>or</w:t>
      </w:r>
      <w:r w:rsidR="0071482A" w:rsidRPr="00DF1D1C">
        <w:t xml:space="preserve"> must include a provision specifically authorizing </w:t>
      </w:r>
      <w:r w:rsidR="005E2659">
        <w:t xml:space="preserve">maintenance and examination </w:t>
      </w:r>
      <w:r w:rsidR="00225971">
        <w:t xml:space="preserve">of records </w:t>
      </w:r>
      <w:r w:rsidR="0071482A" w:rsidRPr="00DF1D1C">
        <w:t>in accordance with the t</w:t>
      </w:r>
      <w:r w:rsidR="00AE66A3">
        <w:t>erms set forth in this</w:t>
      </w:r>
      <w:r w:rsidR="00CC47E7">
        <w:t xml:space="preserve"> Section</w:t>
      </w:r>
      <w:r w:rsidR="0071482A" w:rsidRPr="00DF1D1C">
        <w:t>.</w:t>
      </w:r>
    </w:p>
    <w:p w14:paraId="7051A5AE" w14:textId="25740569" w:rsidR="0071482A" w:rsidRPr="00DF1D1C" w:rsidRDefault="00371092" w:rsidP="00257641">
      <w:pPr>
        <w:pStyle w:val="Heading3"/>
      </w:pPr>
      <w:bookmarkStart w:id="79" w:name="_Toc514125429"/>
      <w:bookmarkStart w:id="80" w:name="_Toc527882810"/>
      <w:bookmarkStart w:id="81" w:name="_Toc8129004"/>
      <w:r>
        <w:t>8</w:t>
      </w:r>
      <w:r w:rsidR="0041309F">
        <w:t>.</w:t>
      </w:r>
      <w:r w:rsidR="00AB6EF2">
        <w:t>4</w:t>
      </w:r>
      <w:r w:rsidR="0041309F">
        <w:tab/>
      </w:r>
      <w:r w:rsidR="0071482A" w:rsidRPr="00DF1D1C">
        <w:t>Audit Accounting and Retention of Records</w:t>
      </w:r>
      <w:bookmarkEnd w:id="79"/>
      <w:bookmarkEnd w:id="80"/>
      <w:bookmarkEnd w:id="81"/>
    </w:p>
    <w:p w14:paraId="074DEE63" w14:textId="4D2BF134" w:rsidR="006C75FE" w:rsidRPr="00DF1D1C" w:rsidRDefault="00AE1C8B" w:rsidP="00096A5D">
      <w:pPr>
        <w:pStyle w:val="BodyText"/>
      </w:pPr>
      <w:r>
        <w:t>DHHR</w:t>
      </w:r>
      <w:r w:rsidRPr="00DF1D1C">
        <w:t xml:space="preserve"> </w:t>
      </w:r>
      <w:r w:rsidR="006C75FE" w:rsidRPr="00DF1D1C">
        <w:t>may</w:t>
      </w:r>
      <w:r w:rsidR="006C75FE">
        <w:t>,</w:t>
      </w:r>
      <w:r w:rsidR="006C75FE" w:rsidRPr="00DF1D1C">
        <w:t xml:space="preserve"> at its option</w:t>
      </w:r>
      <w:r w:rsidR="006C75FE">
        <w:t>,</w:t>
      </w:r>
      <w:r w:rsidR="006C75FE" w:rsidRPr="00DF1D1C">
        <w:t xml:space="preserve"> conduct an audit of the MCO’s </w:t>
      </w:r>
      <w:r w:rsidR="003663CE">
        <w:t xml:space="preserve">and </w:t>
      </w:r>
      <w:r w:rsidR="00911EF2">
        <w:t xml:space="preserve">its Subcontractors’ </w:t>
      </w:r>
      <w:r w:rsidR="006C75FE" w:rsidRPr="00DF1D1C">
        <w:t>operations as they pertain to services and recoveries pursuant to the contracted services.</w:t>
      </w:r>
    </w:p>
    <w:p w14:paraId="53BF0E47" w14:textId="29D13747" w:rsidR="000F3967" w:rsidRDefault="0071482A" w:rsidP="00096A5D">
      <w:pPr>
        <w:pStyle w:val="BodyText"/>
      </w:pPr>
      <w:r w:rsidRPr="00DF1D1C">
        <w:t>The MCO</w:t>
      </w:r>
      <w:r w:rsidR="00761E87">
        <w:t xml:space="preserve"> and</w:t>
      </w:r>
      <w:r w:rsidR="00911EF2">
        <w:t xml:space="preserve"> its Subcontractors</w:t>
      </w:r>
      <w:r w:rsidRPr="00DF1D1C">
        <w:t>, for pur</w:t>
      </w:r>
      <w:r w:rsidR="00C54CE5">
        <w:t xml:space="preserve">poses of audit, must </w:t>
      </w:r>
      <w:r w:rsidRPr="00DF1D1C">
        <w:t>provide the State of West Virginia, the Secretary of the U.S. Department of Health and Human Services and his/her designated agent, and any other legally authorized governmental entity or their authorized agents access to all the MCO</w:t>
      </w:r>
      <w:r w:rsidR="00695304">
        <w:t xml:space="preserve"> and</w:t>
      </w:r>
      <w:r w:rsidR="00452E60" w:rsidRPr="00452E60">
        <w:t xml:space="preserve"> </w:t>
      </w:r>
      <w:r w:rsidR="00452E60">
        <w:t>its Subcontractors’</w:t>
      </w:r>
      <w:r w:rsidRPr="00DF1D1C">
        <w:t xml:space="preserve"> materials and information pertinent to th</w:t>
      </w:r>
      <w:r w:rsidR="006B0CF2">
        <w:t>e services provided under this C</w:t>
      </w:r>
      <w:r w:rsidRPr="00DF1D1C">
        <w:t xml:space="preserve">ontract, at any time, until the expiration of </w:t>
      </w:r>
      <w:r w:rsidR="00AD17E5">
        <w:t>ten</w:t>
      </w:r>
      <w:r w:rsidRPr="00DF1D1C">
        <w:t xml:space="preserve"> years fr</w:t>
      </w:r>
      <w:r w:rsidR="006B0CF2">
        <w:t xml:space="preserve">om the completion date of this </w:t>
      </w:r>
      <w:r w:rsidR="009B19C2">
        <w:t xml:space="preserve">Contract </w:t>
      </w:r>
      <w:r w:rsidRPr="00DF1D1C">
        <w:t>as extended. The MCO agrees to comply with the provisions of Section 1861 (v)(1)(I) of the Social Security Act, as amended, governing the maintenance of documentation to verify the cost o</w:t>
      </w:r>
      <w:r w:rsidR="006B0CF2">
        <w:t>f services rendered under this C</w:t>
      </w:r>
      <w:r w:rsidRPr="00DF1D1C">
        <w:t>ontract.</w:t>
      </w:r>
      <w:r w:rsidR="00662B34">
        <w:t xml:space="preserve"> </w:t>
      </w:r>
      <w:r w:rsidR="00C54CE5">
        <w:t>The MCO</w:t>
      </w:r>
      <w:r w:rsidR="006B0CF2">
        <w:t xml:space="preserve"> and</w:t>
      </w:r>
      <w:r w:rsidR="00A015AD" w:rsidRPr="00A015AD">
        <w:t xml:space="preserve"> </w:t>
      </w:r>
      <w:r w:rsidR="00A015AD">
        <w:t>its Subcontractors</w:t>
      </w:r>
      <w:r w:rsidR="00C54CE5">
        <w:t xml:space="preserve"> </w:t>
      </w:r>
      <w:r w:rsidRPr="00DF1D1C">
        <w:t>agree that authorized State representatives including, but not limited to, Department personnel, the State Auditor</w:t>
      </w:r>
      <w:r w:rsidR="00F7593C">
        <w:t>,</w:t>
      </w:r>
      <w:r w:rsidRPr="00DF1D1C">
        <w:t xml:space="preserve"> and other State and/or any applicable Federal agencies providing funds </w:t>
      </w:r>
      <w:r w:rsidR="00C54CE5">
        <w:t xml:space="preserve">will </w:t>
      </w:r>
      <w:r w:rsidRPr="00DF1D1C">
        <w:t>have access to and the right to examine the</w:t>
      </w:r>
      <w:r w:rsidR="003D0E66">
        <w:t xml:space="preserve"> items listed above during the </w:t>
      </w:r>
      <w:r w:rsidR="009B19C2">
        <w:t xml:space="preserve">Contract </w:t>
      </w:r>
      <w:r w:rsidRPr="00DF1D1C">
        <w:t xml:space="preserve">period and during the </w:t>
      </w:r>
      <w:r w:rsidR="00AD17E5">
        <w:t>ten</w:t>
      </w:r>
      <w:r w:rsidRPr="00DF1D1C">
        <w:t xml:space="preserve"> </w:t>
      </w:r>
      <w:r w:rsidR="00AE1C8B">
        <w:t xml:space="preserve">(10) </w:t>
      </w:r>
      <w:r w:rsidRPr="00DF1D1C">
        <w:t>year post</w:t>
      </w:r>
      <w:r w:rsidRPr="00DF1D1C">
        <w:noBreakHyphen/>
      </w:r>
      <w:r w:rsidR="009B19C2">
        <w:t xml:space="preserve">Contract </w:t>
      </w:r>
      <w:r w:rsidRPr="00DF1D1C">
        <w:t>period</w:t>
      </w:r>
      <w:r w:rsidR="00656B70">
        <w:t>,</w:t>
      </w:r>
      <w:r w:rsidRPr="00DF1D1C">
        <w:t xml:space="preserve"> or until final resolution of all pending audit questi</w:t>
      </w:r>
      <w:r w:rsidR="003D0E66">
        <w:t xml:space="preserve">ons and litigation. During the </w:t>
      </w:r>
      <w:r w:rsidR="009B19C2">
        <w:t xml:space="preserve">Contract </w:t>
      </w:r>
      <w:r w:rsidRPr="00DF1D1C">
        <w:t xml:space="preserve">period, access to these items will be provided to </w:t>
      </w:r>
      <w:r w:rsidR="00AE1C8B">
        <w:t>DHHR</w:t>
      </w:r>
      <w:r w:rsidR="00AE1C8B" w:rsidRPr="00DF1D1C">
        <w:t xml:space="preserve"> </w:t>
      </w:r>
      <w:r w:rsidR="003D0E66">
        <w:t xml:space="preserve">or its designee </w:t>
      </w:r>
      <w:r w:rsidRPr="00DF1D1C">
        <w:t xml:space="preserve">at all reasonable times. This may require the identification and collection of data for use by medical audit personnel. During the </w:t>
      </w:r>
      <w:r w:rsidR="00AD17E5">
        <w:t>ten</w:t>
      </w:r>
      <w:r w:rsidR="00DA6475" w:rsidRPr="00DF1D1C">
        <w:t xml:space="preserve"> </w:t>
      </w:r>
      <w:r w:rsidRPr="00DF1D1C">
        <w:t>year post</w:t>
      </w:r>
      <w:r w:rsidRPr="00DF1D1C">
        <w:noBreakHyphen/>
      </w:r>
      <w:r w:rsidR="009B19C2">
        <w:t xml:space="preserve">Contract </w:t>
      </w:r>
      <w:r w:rsidRPr="00DF1D1C">
        <w:t>period, delivery of and access to the listed items will be at no cost to the State.</w:t>
      </w:r>
    </w:p>
    <w:p w14:paraId="63938A1D" w14:textId="5E1ACB83" w:rsidR="0071482A" w:rsidRDefault="0071482A" w:rsidP="00096A5D">
      <w:pPr>
        <w:pStyle w:val="BodyText"/>
      </w:pPr>
      <w:r w:rsidRPr="00DF1D1C">
        <w:t>The State and its authorized agents may record any information and make copies of any materials maint</w:t>
      </w:r>
      <w:r w:rsidR="003D0E66">
        <w:t xml:space="preserve">ained for the purposes of this </w:t>
      </w:r>
      <w:r w:rsidR="009B19C2">
        <w:t xml:space="preserve">Contract </w:t>
      </w:r>
      <w:r w:rsidRPr="00DF1D1C">
        <w:t xml:space="preserve">necessary for the audit, except </w:t>
      </w:r>
      <w:r w:rsidR="001E2F32">
        <w:t>enrollee</w:t>
      </w:r>
      <w:r w:rsidR="001E2F32" w:rsidRPr="00DF1D1C">
        <w:t xml:space="preserve"> </w:t>
      </w:r>
      <w:r w:rsidRPr="00DF1D1C">
        <w:t>and provider quality assurance and quality improvement records when confidentiality is protected by law.</w:t>
      </w:r>
    </w:p>
    <w:p w14:paraId="2E266FF3" w14:textId="77777777" w:rsidR="00D93EF6" w:rsidRPr="00DF1D1C" w:rsidRDefault="00D93EF6" w:rsidP="00096A5D">
      <w:pPr>
        <w:pStyle w:val="BodyText"/>
      </w:pPr>
      <w:r>
        <w:t>Any Sub</w:t>
      </w:r>
      <w:r w:rsidR="00F32FE4">
        <w:t>c</w:t>
      </w:r>
      <w:r w:rsidR="009B19C2">
        <w:t xml:space="preserve">ontract </w:t>
      </w:r>
      <w:r>
        <w:t>with an approved MCO S</w:t>
      </w:r>
      <w:r w:rsidRPr="00DF1D1C">
        <w:t>ubcontract</w:t>
      </w:r>
      <w:r>
        <w:t>or</w:t>
      </w:r>
      <w:r w:rsidRPr="00DF1D1C">
        <w:t xml:space="preserve"> must include a provision specifically authorizing </w:t>
      </w:r>
      <w:r w:rsidR="00347B0B">
        <w:t>audit</w:t>
      </w:r>
      <w:r w:rsidR="00D213ED">
        <w:t>s</w:t>
      </w:r>
      <w:r w:rsidRPr="00DF1D1C">
        <w:t xml:space="preserve"> in accordance with the terms set forth in this</w:t>
      </w:r>
      <w:r w:rsidR="00E36F1B">
        <w:t xml:space="preserve"> Section</w:t>
      </w:r>
      <w:r w:rsidR="00893829">
        <w:t xml:space="preserve">. </w:t>
      </w:r>
    </w:p>
    <w:p w14:paraId="13A188F5" w14:textId="689FE8AF" w:rsidR="0071482A" w:rsidRPr="00DF1D1C" w:rsidRDefault="00371092" w:rsidP="00257641">
      <w:pPr>
        <w:pStyle w:val="Heading4"/>
      </w:pPr>
      <w:r>
        <w:t>8</w:t>
      </w:r>
      <w:r w:rsidR="00597650">
        <w:t>.</w:t>
      </w:r>
      <w:r w:rsidR="00AB6EF2">
        <w:t>4</w:t>
      </w:r>
      <w:r w:rsidR="00597650">
        <w:t xml:space="preserve">.1 </w:t>
      </w:r>
      <w:r w:rsidR="0071482A" w:rsidRPr="00DF1D1C">
        <w:t>Accounting</w:t>
      </w:r>
    </w:p>
    <w:p w14:paraId="370FE404" w14:textId="77777777" w:rsidR="0071482A" w:rsidRPr="00DF1D1C" w:rsidRDefault="0071482A" w:rsidP="00096A5D">
      <w:pPr>
        <w:pStyle w:val="BodyText"/>
      </w:pPr>
      <w:r w:rsidRPr="00DF1D1C">
        <w:t xml:space="preserve">The MCO </w:t>
      </w:r>
      <w:r w:rsidR="005810CB">
        <w:t>and its Subcontractors</w:t>
      </w:r>
      <w:r w:rsidR="005810CB" w:rsidRPr="00DF1D1C">
        <w:t xml:space="preserve"> </w:t>
      </w:r>
      <w:r w:rsidR="005810CB">
        <w:t xml:space="preserve">must </w:t>
      </w:r>
      <w:r w:rsidRPr="00DF1D1C">
        <w:t>maintain accounting records relatin</w:t>
      </w:r>
      <w:r w:rsidR="0051287D">
        <w:t>g to the performance of the C</w:t>
      </w:r>
      <w:r w:rsidRPr="00DF1D1C">
        <w:t>ontract</w:t>
      </w:r>
      <w:r w:rsidR="00C54CE5">
        <w:t>. These accounting records must</w:t>
      </w:r>
      <w:r w:rsidRPr="00DF1D1C">
        <w:t xml:space="preserve"> be maintained in accordance with generally accepted accounting principles.</w:t>
      </w:r>
    </w:p>
    <w:p w14:paraId="77AB2C17" w14:textId="59AE7F61" w:rsidR="0071482A" w:rsidRPr="00DF1D1C" w:rsidRDefault="00371092" w:rsidP="00257641">
      <w:pPr>
        <w:pStyle w:val="Heading4"/>
      </w:pPr>
      <w:r>
        <w:t>8</w:t>
      </w:r>
      <w:r w:rsidR="00597650">
        <w:t>.</w:t>
      </w:r>
      <w:r w:rsidR="00AB6EF2">
        <w:t>4</w:t>
      </w:r>
      <w:r w:rsidR="00597650">
        <w:t xml:space="preserve">.2 </w:t>
      </w:r>
      <w:r w:rsidR="0071482A" w:rsidRPr="00DF1D1C">
        <w:t>Separate Accounting Records</w:t>
      </w:r>
    </w:p>
    <w:p w14:paraId="7CC768DC" w14:textId="5A425B09" w:rsidR="0071482A" w:rsidRPr="00DF1D1C" w:rsidRDefault="0071482A" w:rsidP="00096A5D">
      <w:pPr>
        <w:pStyle w:val="BodyText"/>
      </w:pPr>
      <w:r w:rsidRPr="00DF1D1C">
        <w:t xml:space="preserve">The MCO </w:t>
      </w:r>
      <w:r w:rsidR="005810CB">
        <w:t xml:space="preserve">and its Subcontractors </w:t>
      </w:r>
      <w:r w:rsidR="001C665B">
        <w:t>must</w:t>
      </w:r>
      <w:r w:rsidRPr="00DF1D1C">
        <w:t xml:space="preserve"> maintain separate books, records, documents</w:t>
      </w:r>
      <w:r w:rsidR="00DA6475" w:rsidRPr="00DF1D1C">
        <w:t>,</w:t>
      </w:r>
      <w:r w:rsidRPr="00DF1D1C">
        <w:t xml:space="preserve"> </w:t>
      </w:r>
      <w:r w:rsidR="001C665B">
        <w:t xml:space="preserve">files </w:t>
      </w:r>
      <w:r w:rsidRPr="00DF1D1C">
        <w:t>and other evidence pertaining to the administra</w:t>
      </w:r>
      <w:r w:rsidR="001C665B">
        <w:t xml:space="preserve">tive costs and expenses of the </w:t>
      </w:r>
      <w:r w:rsidR="009B19C2">
        <w:t xml:space="preserve">Contract </w:t>
      </w:r>
      <w:r w:rsidRPr="00DF1D1C">
        <w:t>to the ex</w:t>
      </w:r>
      <w:r w:rsidR="00C54CE5">
        <w:t>tent and in</w:t>
      </w:r>
      <w:r w:rsidR="009339A6">
        <w:t xml:space="preserve"> such detail as</w:t>
      </w:r>
      <w:r w:rsidR="00C54CE5">
        <w:t xml:space="preserve"> must</w:t>
      </w:r>
      <w:r w:rsidRPr="00DF1D1C">
        <w:t xml:space="preserve"> properly reflect all revenues and all costs of whatever nature for which </w:t>
      </w:r>
      <w:r w:rsidRPr="00DF1D1C">
        <w:lastRenderedPageBreak/>
        <w:t>reimbursement is claimed under the provisions of th</w:t>
      </w:r>
      <w:r w:rsidR="001C665B">
        <w:t>e C</w:t>
      </w:r>
      <w:r w:rsidR="00C54CE5">
        <w:t>ontract. All such documents must</w:t>
      </w:r>
      <w:r w:rsidRPr="00DF1D1C">
        <w:t xml:space="preserve"> be made available </w:t>
      </w:r>
      <w:r w:rsidR="00C54CE5">
        <w:t xml:space="preserve">to </w:t>
      </w:r>
      <w:r w:rsidR="00AE1C8B">
        <w:t xml:space="preserve">DHHR </w:t>
      </w:r>
      <w:r w:rsidR="001C665B">
        <w:t xml:space="preserve">or its designee </w:t>
      </w:r>
      <w:r w:rsidR="00C54CE5">
        <w:t>at its request, and must</w:t>
      </w:r>
      <w:r w:rsidRPr="00DF1D1C">
        <w:t xml:space="preserve"> be clearly ide</w:t>
      </w:r>
      <w:r w:rsidR="0051287D">
        <w:t>ntifiable as pertaining to the C</w:t>
      </w:r>
      <w:r w:rsidRPr="00DF1D1C">
        <w:t>ontract.</w:t>
      </w:r>
    </w:p>
    <w:p w14:paraId="090EBF87" w14:textId="1659851B" w:rsidR="0071482A" w:rsidRPr="00DF1D1C" w:rsidRDefault="00371092" w:rsidP="00257641">
      <w:pPr>
        <w:pStyle w:val="Heading4"/>
      </w:pPr>
      <w:r>
        <w:t>8</w:t>
      </w:r>
      <w:r w:rsidR="00597650">
        <w:t>.</w:t>
      </w:r>
      <w:r w:rsidR="00AB6EF2">
        <w:t>4</w:t>
      </w:r>
      <w:r w:rsidR="00597650">
        <w:t xml:space="preserve">.3 </w:t>
      </w:r>
      <w:r w:rsidR="0071482A" w:rsidRPr="00DF1D1C">
        <w:t>Retention of Records</w:t>
      </w:r>
    </w:p>
    <w:p w14:paraId="15D65E69" w14:textId="03E92DB4" w:rsidR="0071482A" w:rsidRDefault="0071482A" w:rsidP="00096A5D">
      <w:pPr>
        <w:pStyle w:val="BodyText"/>
      </w:pPr>
      <w:r w:rsidRPr="00DF1D1C">
        <w:t xml:space="preserve">All financial and programmatic records, supporting documents, </w:t>
      </w:r>
      <w:r w:rsidR="00D81C16">
        <w:t xml:space="preserve">files, </w:t>
      </w:r>
      <w:r w:rsidRPr="00DF1D1C">
        <w:t>statistical records</w:t>
      </w:r>
      <w:r w:rsidR="008B62E7">
        <w:t>,</w:t>
      </w:r>
      <w:r w:rsidRPr="00DF1D1C">
        <w:t xml:space="preserve"> and other records of enrollees, which are required to be m</w:t>
      </w:r>
      <w:r w:rsidR="00D81C16">
        <w:t>aintained by the terms of this C</w:t>
      </w:r>
      <w:r w:rsidRPr="00DF1D1C">
        <w:t>ontract</w:t>
      </w:r>
      <w:r w:rsidR="007D56E3" w:rsidRPr="00DF1D1C">
        <w:t>,</w:t>
      </w:r>
      <w:r w:rsidR="00C54CE5">
        <w:t xml:space="preserve"> must</w:t>
      </w:r>
      <w:r w:rsidRPr="00DF1D1C">
        <w:t xml:space="preserve"> be retained for at least </w:t>
      </w:r>
      <w:r w:rsidR="00AD17E5">
        <w:t>ten</w:t>
      </w:r>
      <w:r w:rsidRPr="00DF1D1C">
        <w:t xml:space="preserve"> years from the date of expiration or until any on</w:t>
      </w:r>
      <w:r w:rsidRPr="00DF1D1C">
        <w:noBreakHyphen/>
        <w:t>going audits have been settled, if longer. If any litigation, claim, negotiation, audit</w:t>
      </w:r>
      <w:r w:rsidR="008B62E7">
        <w:t>,</w:t>
      </w:r>
      <w:r w:rsidRPr="00DF1D1C">
        <w:t xml:space="preserve"> or other action involving the records has been started before the expiration of the </w:t>
      </w:r>
      <w:r w:rsidR="00AD17E5">
        <w:t>ten</w:t>
      </w:r>
      <w:r w:rsidRPr="00DF1D1C">
        <w:t xml:space="preserve"> year period, the records </w:t>
      </w:r>
      <w:r w:rsidR="00C54CE5">
        <w:t>must</w:t>
      </w:r>
      <w:r w:rsidRPr="00DF1D1C">
        <w:t xml:space="preserve"> be retained until completion of the action and resolution of all issues which arise from it</w:t>
      </w:r>
      <w:r w:rsidR="008B62E7">
        <w:t>,</w:t>
      </w:r>
      <w:r w:rsidRPr="00DF1D1C">
        <w:t xml:space="preserve"> or until the end of the regular </w:t>
      </w:r>
      <w:r w:rsidR="00AD17E5">
        <w:t>ten</w:t>
      </w:r>
      <w:r w:rsidRPr="00DF1D1C">
        <w:t xml:space="preserve"> year period, whichever is later. The MCO </w:t>
      </w:r>
      <w:r w:rsidR="009B6269">
        <w:t xml:space="preserve">and its </w:t>
      </w:r>
      <w:r w:rsidR="00D81C16">
        <w:t>Subcontractor</w:t>
      </w:r>
      <w:r w:rsidR="009B6269">
        <w:t>s</w:t>
      </w:r>
      <w:r w:rsidR="00D81C16">
        <w:t xml:space="preserve"> </w:t>
      </w:r>
      <w:r w:rsidRPr="00DF1D1C">
        <w:t xml:space="preserve">agree to retain the source records for its data reports for a minimum of </w:t>
      </w:r>
      <w:r w:rsidR="00AD17E5">
        <w:t>ten</w:t>
      </w:r>
      <w:r w:rsidRPr="00DF1D1C">
        <w:t xml:space="preserve"> years</w:t>
      </w:r>
      <w:r w:rsidR="008B62E7">
        <w:t>,</w:t>
      </w:r>
      <w:r w:rsidRPr="00DF1D1C">
        <w:t xml:space="preserve"> and must have written policies and procedures for storing this information.</w:t>
      </w:r>
    </w:p>
    <w:p w14:paraId="5BF096BE" w14:textId="3AF5C3B9" w:rsidR="0071482A" w:rsidRPr="00DF1D1C" w:rsidRDefault="00371092" w:rsidP="00257641">
      <w:pPr>
        <w:pStyle w:val="Heading3"/>
      </w:pPr>
      <w:bookmarkStart w:id="82" w:name="_Toc514125430"/>
      <w:bookmarkStart w:id="83" w:name="_Toc527882811"/>
      <w:bookmarkStart w:id="84" w:name="_Toc8129005"/>
      <w:r>
        <w:t>8</w:t>
      </w:r>
      <w:r w:rsidR="0071482A" w:rsidRPr="00DF1D1C">
        <w:t>.</w:t>
      </w:r>
      <w:r w:rsidR="00AB6EF2">
        <w:t>5</w:t>
      </w:r>
      <w:r w:rsidR="00CC5BB1" w:rsidRPr="00DF1D1C">
        <w:tab/>
      </w:r>
      <w:r w:rsidR="0071482A" w:rsidRPr="00DF1D1C">
        <w:t>Subcontracts</w:t>
      </w:r>
      <w:bookmarkEnd w:id="82"/>
      <w:bookmarkEnd w:id="83"/>
      <w:bookmarkEnd w:id="84"/>
    </w:p>
    <w:p w14:paraId="37D3E47F" w14:textId="44FE4A9D" w:rsidR="00584C4E" w:rsidRDefault="00B60227" w:rsidP="00096A5D">
      <w:pPr>
        <w:pStyle w:val="BodyText"/>
      </w:pPr>
      <w:r w:rsidRPr="00DF1D1C">
        <w:t xml:space="preserve">The MCO may </w:t>
      </w:r>
      <w:r w:rsidR="00C37A96">
        <w:t>enter into a S</w:t>
      </w:r>
      <w:r w:rsidRPr="008531CB">
        <w:t>ub</w:t>
      </w:r>
      <w:r w:rsidR="00F32FE4">
        <w:t>c</w:t>
      </w:r>
      <w:r w:rsidR="009B19C2">
        <w:t xml:space="preserve">ontract </w:t>
      </w:r>
      <w:r w:rsidRPr="008531CB">
        <w:t xml:space="preserve">agreement to fulfill the requirements of this </w:t>
      </w:r>
      <w:r>
        <w:t>C</w:t>
      </w:r>
      <w:r w:rsidRPr="008531CB">
        <w:t>ontract</w:t>
      </w:r>
      <w:r>
        <w:t xml:space="preserve">. </w:t>
      </w:r>
      <w:r w:rsidR="00972019" w:rsidRPr="00DF1D1C">
        <w:t xml:space="preserve">Subcontracts </w:t>
      </w:r>
      <w:r w:rsidR="00972019">
        <w:t xml:space="preserve">must </w:t>
      </w:r>
      <w:r w:rsidR="00972019" w:rsidRPr="00DF1D1C">
        <w:t>comply</w:t>
      </w:r>
      <w:r w:rsidR="00972019">
        <w:t xml:space="preserve"> with</w:t>
      </w:r>
      <w:r w:rsidR="00972019" w:rsidRPr="00DF1D1C">
        <w:t xml:space="preserve"> the requirements of 42 CFR 434.6 and 42 CFR 438.230</w:t>
      </w:r>
      <w:r w:rsidR="00972019">
        <w:t>.</w:t>
      </w:r>
      <w:r w:rsidR="00972019" w:rsidRPr="00DF1D1C">
        <w:t xml:space="preserve"> </w:t>
      </w:r>
      <w:r w:rsidR="00CC516C">
        <w:t xml:space="preserve">Prior to delegating functions of the Contract, the MCO </w:t>
      </w:r>
      <w:r w:rsidR="006876E5">
        <w:t xml:space="preserve">must </w:t>
      </w:r>
      <w:r w:rsidR="00CC516C">
        <w:t>evaluate the Subcontractor’s ability to perform the functions.</w:t>
      </w:r>
    </w:p>
    <w:p w14:paraId="56F19E13" w14:textId="6A8143B2" w:rsidR="008978EC" w:rsidRDefault="00C37A96" w:rsidP="00096A5D">
      <w:pPr>
        <w:pStyle w:val="BodyText"/>
      </w:pPr>
      <w:r>
        <w:t>All S</w:t>
      </w:r>
      <w:r w:rsidR="00972019" w:rsidRPr="00DF1D1C">
        <w:t xml:space="preserve">ubcontracts </w:t>
      </w:r>
      <w:r w:rsidR="00972019">
        <w:t xml:space="preserve">must </w:t>
      </w:r>
      <w:r w:rsidR="00972019" w:rsidRPr="00DF1D1C">
        <w:t>be in writing</w:t>
      </w:r>
      <w:r w:rsidR="00BC149B">
        <w:t xml:space="preserve"> and include the ability for the MCO to revoke the </w:t>
      </w:r>
      <w:r w:rsidR="00F32FE4">
        <w:t>S</w:t>
      </w:r>
      <w:r w:rsidR="00BC149B">
        <w:t>ub</w:t>
      </w:r>
      <w:r w:rsidR="00F32FE4">
        <w:t>c</w:t>
      </w:r>
      <w:r w:rsidR="009B19C2">
        <w:t xml:space="preserve">ontract </w:t>
      </w:r>
      <w:r w:rsidR="00BC149B">
        <w:t>or impose sanctions if the Subcontractor’s performance is inadequate. T</w:t>
      </w:r>
      <w:r w:rsidR="00972019" w:rsidRPr="00E5415E">
        <w:t xml:space="preserve">he MCO must provide </w:t>
      </w:r>
      <w:r w:rsidR="00972019">
        <w:t>the Department</w:t>
      </w:r>
      <w:r w:rsidR="00972019" w:rsidRPr="00E5415E">
        <w:t xml:space="preserve"> </w:t>
      </w:r>
      <w:r w:rsidR="00584C4E">
        <w:t xml:space="preserve">or its </w:t>
      </w:r>
      <w:r w:rsidR="002652DE">
        <w:t xml:space="preserve">authorized </w:t>
      </w:r>
      <w:r w:rsidR="00584C4E">
        <w:t xml:space="preserve">agents </w:t>
      </w:r>
      <w:r>
        <w:t xml:space="preserve">the right to examine </w:t>
      </w:r>
      <w:r w:rsidR="003C42BB">
        <w:t>any current or former</w:t>
      </w:r>
      <w:r>
        <w:t xml:space="preserve"> Sub</w:t>
      </w:r>
      <w:r w:rsidR="00F32FE4">
        <w:t>c</w:t>
      </w:r>
      <w:r w:rsidR="009B19C2">
        <w:t xml:space="preserve">ontract </w:t>
      </w:r>
      <w:r>
        <w:t>and all S</w:t>
      </w:r>
      <w:r w:rsidR="00972019" w:rsidRPr="00E5415E">
        <w:t xml:space="preserve">ubcontractor </w:t>
      </w:r>
      <w:r w:rsidR="00445908">
        <w:t>records relating to this C</w:t>
      </w:r>
      <w:r w:rsidR="00972019" w:rsidRPr="00E5415E">
        <w:t>ontract</w:t>
      </w:r>
      <w:r w:rsidR="003C42BB">
        <w:t xml:space="preserve"> at any time</w:t>
      </w:r>
      <w:r w:rsidR="00972019" w:rsidRPr="00E5415E">
        <w:t xml:space="preserve">. </w:t>
      </w:r>
      <w:r w:rsidR="00584C4E" w:rsidRPr="00584C4E">
        <w:t>A Subcontract</w:t>
      </w:r>
      <w:r w:rsidR="00D213ED">
        <w:t>,</w:t>
      </w:r>
      <w:r w:rsidR="00584C4E" w:rsidRPr="00584C4E">
        <w:t xml:space="preserve"> or any other agreement in which the MCO receives rebates, recoupments, discounts, payments, incentives, fees, free goods, bundling arrangements,</w:t>
      </w:r>
      <w:r w:rsidR="00355698">
        <w:t xml:space="preserve"> </w:t>
      </w:r>
      <w:r w:rsidR="00584C4E" w:rsidRPr="00584C4E">
        <w:t xml:space="preserve">or any other consideration from a Subcontractor or any other third party as related to this </w:t>
      </w:r>
      <w:r w:rsidR="009B19C2">
        <w:t xml:space="preserve">Contract </w:t>
      </w:r>
      <w:r w:rsidR="00584C4E" w:rsidRPr="00584C4E">
        <w:t>must be in writing</w:t>
      </w:r>
      <w:r w:rsidR="008978EC">
        <w:t xml:space="preserve"> and agreed </w:t>
      </w:r>
      <w:r w:rsidR="0034447E">
        <w:t xml:space="preserve">upon in compliance with the MCO’s </w:t>
      </w:r>
      <w:r w:rsidR="009B19C2">
        <w:t xml:space="preserve">Contract </w:t>
      </w:r>
      <w:r w:rsidR="0034447E">
        <w:t>obligations.</w:t>
      </w:r>
      <w:r w:rsidR="008978EC">
        <w:t xml:space="preserve"> The</w:t>
      </w:r>
      <w:r w:rsidR="00584C4E" w:rsidRPr="00584C4E">
        <w:t xml:space="preserve"> MCO must allow </w:t>
      </w:r>
      <w:r w:rsidR="00A94AA7">
        <w:t>the Department</w:t>
      </w:r>
      <w:r w:rsidR="00584C4E" w:rsidRPr="00584C4E">
        <w:t xml:space="preserve"> </w:t>
      </w:r>
      <w:r w:rsidR="00A94AA7">
        <w:t xml:space="preserve">or its </w:t>
      </w:r>
      <w:r w:rsidR="0063539B">
        <w:t xml:space="preserve">authorized </w:t>
      </w:r>
      <w:r w:rsidR="00A94AA7">
        <w:t xml:space="preserve">agents </w:t>
      </w:r>
      <w:r w:rsidR="00584C4E" w:rsidRPr="00584C4E">
        <w:t>to examine the Subcontractor agreement</w:t>
      </w:r>
      <w:r w:rsidR="008978EC">
        <w:t xml:space="preserve"> and </w:t>
      </w:r>
      <w:r w:rsidR="00584C4E" w:rsidRPr="00584C4E">
        <w:t>all related records</w:t>
      </w:r>
      <w:r w:rsidR="00DE482D">
        <w:t>.</w:t>
      </w:r>
    </w:p>
    <w:p w14:paraId="0E4A12C0" w14:textId="0940BB13" w:rsidR="009E3AD9" w:rsidRDefault="00972019" w:rsidP="00096A5D">
      <w:pPr>
        <w:pStyle w:val="BodyText"/>
      </w:pPr>
      <w:r w:rsidRPr="00E5415E">
        <w:t xml:space="preserve">The </w:t>
      </w:r>
      <w:r w:rsidR="00584C4E">
        <w:t xml:space="preserve">MCO </w:t>
      </w:r>
      <w:r w:rsidR="00C37A96">
        <w:t>S</w:t>
      </w:r>
      <w:r w:rsidRPr="00E5415E">
        <w:t>ub</w:t>
      </w:r>
      <w:r w:rsidR="00F32FE4">
        <w:t>c</w:t>
      </w:r>
      <w:r w:rsidR="009B19C2">
        <w:t xml:space="preserve">ontract </w:t>
      </w:r>
      <w:r w:rsidRPr="00E5415E">
        <w:t xml:space="preserve">agreement </w:t>
      </w:r>
      <w:r>
        <w:t>must</w:t>
      </w:r>
      <w:r w:rsidRPr="00DF1D1C">
        <w:t xml:space="preserve"> include any </w:t>
      </w:r>
      <w:r>
        <w:t xml:space="preserve">applicable </w:t>
      </w:r>
      <w:r w:rsidR="00445908">
        <w:t xml:space="preserve">requirements of this </w:t>
      </w:r>
      <w:r w:rsidR="009B19C2">
        <w:t xml:space="preserve">Contract </w:t>
      </w:r>
      <w:r w:rsidRPr="00DF1D1C">
        <w:t xml:space="preserve">that are appropriate to the services being provided, and </w:t>
      </w:r>
      <w:r>
        <w:t>must</w:t>
      </w:r>
      <w:r w:rsidRPr="00DF1D1C">
        <w:t xml:space="preserve"> assure that all delegated duties</w:t>
      </w:r>
      <w:r>
        <w:t xml:space="preserve"> under </w:t>
      </w:r>
      <w:r w:rsidR="00445908">
        <w:t>the</w:t>
      </w:r>
      <w:r w:rsidR="0027739A">
        <w:t xml:space="preserve"> S</w:t>
      </w:r>
      <w:r w:rsidRPr="00E5415E">
        <w:t>ub</w:t>
      </w:r>
      <w:r w:rsidR="00F32FE4">
        <w:t>c</w:t>
      </w:r>
      <w:r w:rsidR="009B19C2">
        <w:t xml:space="preserve">ontract </w:t>
      </w:r>
      <w:r w:rsidRPr="00E5415E">
        <w:t xml:space="preserve">are performed to the same extent as if such were performed by the </w:t>
      </w:r>
      <w:r>
        <w:t>MCO.</w:t>
      </w:r>
      <w:r w:rsidR="00F24820">
        <w:t xml:space="preserve"> </w:t>
      </w:r>
      <w:r w:rsidRPr="00AC0E75">
        <w:t xml:space="preserve">Subcontracts </w:t>
      </w:r>
      <w:r>
        <w:t>must</w:t>
      </w:r>
      <w:r w:rsidRPr="00AC0E75">
        <w:t xml:space="preserve"> not terminate legal l</w:t>
      </w:r>
      <w:r w:rsidR="00445908">
        <w:t xml:space="preserve">iability of the MCO under this </w:t>
      </w:r>
      <w:r w:rsidR="009B19C2">
        <w:t xml:space="preserve">Contract </w:t>
      </w:r>
      <w:r>
        <w:t>including but no</w:t>
      </w:r>
      <w:r w:rsidR="0027739A">
        <w:t xml:space="preserve">t limited to </w:t>
      </w:r>
      <w:r w:rsidR="000351E0">
        <w:t xml:space="preserve">Article II, </w:t>
      </w:r>
      <w:r w:rsidR="0027739A">
        <w:t>Section 6 of this C</w:t>
      </w:r>
      <w:r>
        <w:t>ontract</w:t>
      </w:r>
      <w:r w:rsidRPr="00AC0E75">
        <w:t>.</w:t>
      </w:r>
      <w:r>
        <w:t xml:space="preserve"> </w:t>
      </w:r>
      <w:r w:rsidR="00477B70">
        <w:t>The Department</w:t>
      </w:r>
      <w:r w:rsidR="0071482A" w:rsidRPr="00DF1D1C">
        <w:t xml:space="preserve"> reserves the right to review all </w:t>
      </w:r>
      <w:r w:rsidR="00C37A96">
        <w:t>S</w:t>
      </w:r>
      <w:r w:rsidR="0071482A" w:rsidRPr="00DF1D1C">
        <w:t>ubcontracts and/or any significant modifi</w:t>
      </w:r>
      <w:r w:rsidR="0027739A">
        <w:t>cations to previously approved S</w:t>
      </w:r>
      <w:r w:rsidR="0071482A" w:rsidRPr="00DF1D1C">
        <w:t>ubcontracts</w:t>
      </w:r>
      <w:r w:rsidR="0078080B" w:rsidRPr="00DF1D1C">
        <w:t xml:space="preserve">. </w:t>
      </w:r>
      <w:r w:rsidR="007D56E3" w:rsidRPr="00DF1D1C">
        <w:t xml:space="preserve">The MCO is required to submit utilization review and claims processing </w:t>
      </w:r>
      <w:r w:rsidR="009B0110">
        <w:t>S</w:t>
      </w:r>
      <w:r w:rsidR="007D56E3" w:rsidRPr="00DF1D1C">
        <w:t xml:space="preserve">ubcontracts </w:t>
      </w:r>
      <w:r w:rsidR="002E104C">
        <w:t>ninety (</w:t>
      </w:r>
      <w:r w:rsidR="007D56E3" w:rsidRPr="00DF1D1C">
        <w:t>90</w:t>
      </w:r>
      <w:r w:rsidR="002E104C">
        <w:t>)</w:t>
      </w:r>
      <w:r w:rsidR="008F7061">
        <w:t xml:space="preserve"> calendar</w:t>
      </w:r>
      <w:r w:rsidR="007D56E3" w:rsidRPr="00DF1D1C">
        <w:t xml:space="preserve"> days prio</w:t>
      </w:r>
      <w:r w:rsidR="0027739A">
        <w:t>r to the effective date of the S</w:t>
      </w:r>
      <w:r w:rsidR="007D56E3" w:rsidRPr="00DF1D1C">
        <w:t>ub</w:t>
      </w:r>
      <w:r w:rsidR="00F32FE4">
        <w:t>c</w:t>
      </w:r>
      <w:r w:rsidR="009B19C2">
        <w:t xml:space="preserve">ontract </w:t>
      </w:r>
      <w:r w:rsidR="007D56E3" w:rsidRPr="00DF1D1C">
        <w:t xml:space="preserve">for </w:t>
      </w:r>
      <w:r w:rsidR="00477B70">
        <w:t>the Department</w:t>
      </w:r>
      <w:r w:rsidR="007D56E3" w:rsidRPr="00DF1D1C">
        <w:t xml:space="preserve"> review and approval. </w:t>
      </w:r>
    </w:p>
    <w:p w14:paraId="4ABE0D0B" w14:textId="77777777" w:rsidR="00413D4A" w:rsidRDefault="00413D4A" w:rsidP="00096A5D">
      <w:pPr>
        <w:pStyle w:val="BodyText"/>
      </w:pPr>
      <w:r w:rsidRPr="00DF1D1C">
        <w:t xml:space="preserve">The MCO </w:t>
      </w:r>
      <w:r>
        <w:t>may</w:t>
      </w:r>
      <w:r w:rsidRPr="00DF1D1C">
        <w:t xml:space="preserve"> not modify, convey, sell, transfer, assign, delegate, or otherwise dispose of the </w:t>
      </w:r>
      <w:r w:rsidR="00A15781">
        <w:t>C</w:t>
      </w:r>
      <w:r w:rsidRPr="00DF1D1C">
        <w:t xml:space="preserve">ontract or any portion thereof or of any right, title, or interest therein without the prior written consent of </w:t>
      </w:r>
      <w:r>
        <w:t>the Department</w:t>
      </w:r>
      <w:r w:rsidRPr="00DF1D1C">
        <w:t xml:space="preserve">. This provision includes reassignment of the </w:t>
      </w:r>
      <w:r w:rsidR="009B19C2">
        <w:t xml:space="preserve">Contract </w:t>
      </w:r>
      <w:r w:rsidRPr="00DF1D1C">
        <w:t xml:space="preserve">due to change in ownership of the MCO. </w:t>
      </w:r>
      <w:r>
        <w:t>The Department</w:t>
      </w:r>
      <w:r w:rsidRPr="00DF1D1C">
        <w:t xml:space="preserve"> in its discretion may grant such written approval of an assig</w:t>
      </w:r>
      <w:r>
        <w:t>nment, transfer, delegation or S</w:t>
      </w:r>
      <w:r w:rsidRPr="00DF1D1C">
        <w:t xml:space="preserve">ubcontract, provided, however, that this paragraph </w:t>
      </w:r>
      <w:r>
        <w:t>may</w:t>
      </w:r>
      <w:r w:rsidRPr="00DF1D1C">
        <w:t xml:space="preserve"> </w:t>
      </w:r>
      <w:r w:rsidRPr="00DF1D1C">
        <w:lastRenderedPageBreak/>
        <w:t xml:space="preserve">not be construed to grant the MCO any right to such approval. This paragraph </w:t>
      </w:r>
      <w:r>
        <w:t xml:space="preserve">may </w:t>
      </w:r>
      <w:r w:rsidRPr="00DF1D1C">
        <w:t>not be construed as restricting the MCO from entering into contracts with participating providers to provide health c</w:t>
      </w:r>
      <w:r>
        <w:t>are services to plan enrollees.</w:t>
      </w:r>
    </w:p>
    <w:p w14:paraId="780728CC" w14:textId="4D7435FF" w:rsidR="00040207" w:rsidRDefault="00040207" w:rsidP="00096A5D">
      <w:pPr>
        <w:pStyle w:val="BodyText"/>
      </w:pPr>
      <w:r>
        <w:t>The Department</w:t>
      </w:r>
      <w:r w:rsidRPr="00040207">
        <w:t xml:space="preserve"> reserves the right to require the replacement of any Subcontractor found by </w:t>
      </w:r>
      <w:r>
        <w:t xml:space="preserve">the Department </w:t>
      </w:r>
      <w:r w:rsidRPr="00040207">
        <w:t xml:space="preserve">to be unacceptable and unable to meet the requirements of the </w:t>
      </w:r>
      <w:r w:rsidR="009B19C2">
        <w:t xml:space="preserve">Contract </w:t>
      </w:r>
      <w:r w:rsidRPr="00040207">
        <w:t>and to object to the selection of a Subcontractor</w:t>
      </w:r>
      <w:r>
        <w:t xml:space="preserve">. </w:t>
      </w:r>
      <w:r w:rsidR="00477B70">
        <w:t>The Department</w:t>
      </w:r>
      <w:r w:rsidR="00F300E3" w:rsidRPr="00F300E3">
        <w:t xml:space="preserve"> reserves the right to require the </w:t>
      </w:r>
      <w:r w:rsidR="00AC350C">
        <w:t>CAP</w:t>
      </w:r>
      <w:r w:rsidR="00C10D9C">
        <w:t xml:space="preserve"> </w:t>
      </w:r>
      <w:r>
        <w:t xml:space="preserve">for </w:t>
      </w:r>
      <w:r w:rsidR="00C37A96">
        <w:t>any S</w:t>
      </w:r>
      <w:r w:rsidR="00F300E3" w:rsidRPr="00F300E3">
        <w:t xml:space="preserve">ubcontractor found by </w:t>
      </w:r>
      <w:r w:rsidR="00477B70">
        <w:t>the Department</w:t>
      </w:r>
      <w:r w:rsidR="00F300E3" w:rsidRPr="00F300E3">
        <w:t xml:space="preserve"> to be unable to</w:t>
      </w:r>
      <w:r w:rsidR="00CC27FD">
        <w:t xml:space="preserve"> meet the requirements of this C</w:t>
      </w:r>
      <w:r w:rsidR="00F300E3" w:rsidRPr="00F300E3">
        <w:t xml:space="preserve">ontract. </w:t>
      </w:r>
    </w:p>
    <w:p w14:paraId="45B51717" w14:textId="596039E3" w:rsidR="00F300E3" w:rsidRDefault="001C4FDF" w:rsidP="00096A5D">
      <w:pPr>
        <w:pStyle w:val="BodyText"/>
      </w:pPr>
      <w:r>
        <w:t>The Department</w:t>
      </w:r>
      <w:r w:rsidR="00F300E3" w:rsidRPr="00F300E3">
        <w:t xml:space="preserve"> reserves the right to disallow a proposed subcontracting ar</w:t>
      </w:r>
      <w:r w:rsidR="009E3AD9">
        <w:t>rangement if the proposed S</w:t>
      </w:r>
      <w:r w:rsidR="00F300E3" w:rsidRPr="00F300E3">
        <w:t>ubcontractor has been formally restricted from participating in a federal entitlement program (i.e., Medicare, Medicaid</w:t>
      </w:r>
      <w:r w:rsidR="00EC6046">
        <w:t xml:space="preserve">, </w:t>
      </w:r>
      <w:r w:rsidR="00A22632">
        <w:t>and programs through</w:t>
      </w:r>
      <w:r w:rsidR="00EC6046">
        <w:t xml:space="preserve"> ACF</w:t>
      </w:r>
      <w:r w:rsidR="00F300E3" w:rsidRPr="00F300E3">
        <w:t>).</w:t>
      </w:r>
    </w:p>
    <w:p w14:paraId="4F43A64B" w14:textId="7E48675B" w:rsidR="00F300E3" w:rsidRDefault="00F300E3" w:rsidP="00096A5D">
      <w:pPr>
        <w:pStyle w:val="BodyText"/>
      </w:pPr>
      <w:r>
        <w:t>The MCO mus</w:t>
      </w:r>
      <w:r w:rsidR="00C37A96">
        <w:t>t submit a report listing each S</w:t>
      </w:r>
      <w:r>
        <w:t>u</w:t>
      </w:r>
      <w:r w:rsidR="009E3AD9">
        <w:t xml:space="preserve">bcontract, </w:t>
      </w:r>
      <w:r w:rsidR="009B0110">
        <w:t>S</w:t>
      </w:r>
      <w:r w:rsidR="009E3AD9">
        <w:t>ubcontractor name, S</w:t>
      </w:r>
      <w:r>
        <w:t>ub</w:t>
      </w:r>
      <w:r w:rsidR="00F32FE4">
        <w:t>c</w:t>
      </w:r>
      <w:r w:rsidR="009B19C2">
        <w:t xml:space="preserve">ontract </w:t>
      </w:r>
      <w:r>
        <w:t>effective date</w:t>
      </w:r>
      <w:r w:rsidR="00E5415E">
        <w:t>s and functions by July 1</w:t>
      </w:r>
      <w:r w:rsidR="00E5415E" w:rsidRPr="00B01265">
        <w:rPr>
          <w:vertAlign w:val="superscript"/>
        </w:rPr>
        <w:t>st</w:t>
      </w:r>
      <w:r w:rsidR="00DA379A">
        <w:t xml:space="preserve"> </w:t>
      </w:r>
      <w:r w:rsidR="00E5415E">
        <w:t xml:space="preserve">of </w:t>
      </w:r>
      <w:r>
        <w:t>every year</w:t>
      </w:r>
      <w:r w:rsidR="00477B70">
        <w:t xml:space="preserve"> to the Department</w:t>
      </w:r>
      <w:r>
        <w:t xml:space="preserve">. </w:t>
      </w:r>
    </w:p>
    <w:p w14:paraId="714F7C63" w14:textId="77777777" w:rsidR="00F300E3" w:rsidRDefault="00F300E3" w:rsidP="00096A5D">
      <w:pPr>
        <w:pStyle w:val="BodyText"/>
      </w:pPr>
      <w:r>
        <w:t>The requirements o</w:t>
      </w:r>
      <w:r w:rsidR="00C37A96">
        <w:t>f this Section do not apply to S</w:t>
      </w:r>
      <w:r>
        <w:t>ubcontracts entered into for the provision of any of the following: utilities (e.g., water, electricity, telephone, Internet), mail/shipping, office space, or computer hardware.</w:t>
      </w:r>
    </w:p>
    <w:p w14:paraId="1163C672" w14:textId="77777777" w:rsidR="00F300E3" w:rsidRDefault="00C37A96" w:rsidP="00257641">
      <w:pPr>
        <w:pStyle w:val="normal6"/>
      </w:pPr>
      <w:r>
        <w:t>The MCO’s S</w:t>
      </w:r>
      <w:r w:rsidR="00F300E3">
        <w:t>ub</w:t>
      </w:r>
      <w:r w:rsidR="00F32FE4">
        <w:t>c</w:t>
      </w:r>
      <w:r w:rsidR="009B19C2">
        <w:t xml:space="preserve">ontract </w:t>
      </w:r>
      <w:r w:rsidR="00F300E3">
        <w:t xml:space="preserve">agreement must require a written notice of intent to </w:t>
      </w:r>
      <w:r>
        <w:t>be furnished by the MCO or its S</w:t>
      </w:r>
      <w:r w:rsidR="00F300E3">
        <w:t xml:space="preserve">ubcontractor in case of the </w:t>
      </w:r>
      <w:r w:rsidR="00F32FE4">
        <w:t>S</w:t>
      </w:r>
      <w:r w:rsidR="00F300E3">
        <w:t>ub</w:t>
      </w:r>
      <w:r w:rsidR="00F32FE4">
        <w:t>c</w:t>
      </w:r>
      <w:r w:rsidR="009B19C2">
        <w:t xml:space="preserve">ontract </w:t>
      </w:r>
      <w:r w:rsidR="00F300E3">
        <w:t>termination for any reason. A written notice of intent must be given within the following timeframes:</w:t>
      </w:r>
    </w:p>
    <w:p w14:paraId="3BC0CD38" w14:textId="135587E5" w:rsidR="00F300E3" w:rsidRPr="00A15781" w:rsidRDefault="00662B34" w:rsidP="00257641">
      <w:pPr>
        <w:pStyle w:val="bullet1"/>
      </w:pPr>
      <w:r>
        <w:t>Ninety (</w:t>
      </w:r>
      <w:r w:rsidR="00F300E3" w:rsidRPr="00A15781">
        <w:t>90</w:t>
      </w:r>
      <w:r>
        <w:t>)</w:t>
      </w:r>
      <w:r w:rsidR="00F300E3" w:rsidRPr="00A15781">
        <w:t xml:space="preserve"> </w:t>
      </w:r>
      <w:r w:rsidR="008F7061">
        <w:t xml:space="preserve">calendar </w:t>
      </w:r>
      <w:r w:rsidR="00F300E3" w:rsidRPr="00A15781">
        <w:t xml:space="preserve">days prior to the termination date of a </w:t>
      </w:r>
      <w:r w:rsidR="00F32FE4">
        <w:t>S</w:t>
      </w:r>
      <w:r w:rsidR="00F300E3" w:rsidRPr="00A15781">
        <w:t>ub</w:t>
      </w:r>
      <w:r w:rsidR="00F32FE4">
        <w:t>c</w:t>
      </w:r>
      <w:r w:rsidR="009B19C2">
        <w:t xml:space="preserve">ontract </w:t>
      </w:r>
      <w:r w:rsidR="00F300E3" w:rsidRPr="00A15781">
        <w:t>for systems operations or reporting;</w:t>
      </w:r>
    </w:p>
    <w:p w14:paraId="6E8DB3F5" w14:textId="534B1450" w:rsidR="00F300E3" w:rsidRPr="00A15781" w:rsidRDefault="00662B34" w:rsidP="00257641">
      <w:pPr>
        <w:pStyle w:val="bullet1"/>
      </w:pPr>
      <w:r>
        <w:t>Thirty (</w:t>
      </w:r>
      <w:r w:rsidR="00536421" w:rsidRPr="00A15781">
        <w:t>3</w:t>
      </w:r>
      <w:r w:rsidR="00F300E3" w:rsidRPr="00A15781">
        <w:t>0</w:t>
      </w:r>
      <w:r>
        <w:t>)</w:t>
      </w:r>
      <w:r w:rsidR="00F300E3" w:rsidRPr="00A15781">
        <w:t xml:space="preserve"> </w:t>
      </w:r>
      <w:r w:rsidR="008F7061">
        <w:t xml:space="preserve">calendar </w:t>
      </w:r>
      <w:r w:rsidR="00F300E3" w:rsidRPr="00A15781">
        <w:t xml:space="preserve">days prior to the termination date of a </w:t>
      </w:r>
      <w:r w:rsidR="00F32FE4">
        <w:t>S</w:t>
      </w:r>
      <w:r w:rsidR="00F300E3" w:rsidRPr="00A15781">
        <w:t>ub</w:t>
      </w:r>
      <w:r w:rsidR="00F32FE4">
        <w:t>c</w:t>
      </w:r>
      <w:r w:rsidR="009B19C2">
        <w:t xml:space="preserve">ontract </w:t>
      </w:r>
      <w:r w:rsidR="00F300E3" w:rsidRPr="00A15781">
        <w:t>for administrative services; and</w:t>
      </w:r>
    </w:p>
    <w:p w14:paraId="4D3DBD4E" w14:textId="02571CC7" w:rsidR="00F300E3" w:rsidRPr="00A15781" w:rsidRDefault="00662B34" w:rsidP="00257641">
      <w:pPr>
        <w:pStyle w:val="bullet1last"/>
      </w:pPr>
      <w:r>
        <w:t>Thirty (</w:t>
      </w:r>
      <w:r w:rsidR="00F300E3" w:rsidRPr="00A15781">
        <w:t>30</w:t>
      </w:r>
      <w:r>
        <w:t>)</w:t>
      </w:r>
      <w:r w:rsidR="00F300E3" w:rsidRPr="00A15781">
        <w:t xml:space="preserve"> </w:t>
      </w:r>
      <w:r w:rsidR="008F7061">
        <w:t xml:space="preserve">calendar </w:t>
      </w:r>
      <w:r w:rsidR="00F300E3" w:rsidRPr="00A15781">
        <w:t xml:space="preserve">days prior to the termination date of any other </w:t>
      </w:r>
      <w:r w:rsidR="00F32FE4">
        <w:t>S</w:t>
      </w:r>
      <w:r w:rsidR="00F300E3" w:rsidRPr="00A15781">
        <w:t>ubcontract.</w:t>
      </w:r>
    </w:p>
    <w:p w14:paraId="54944A8D" w14:textId="62F7BE5B" w:rsidR="00F300E3" w:rsidRPr="00030555" w:rsidRDefault="00B17315" w:rsidP="00096A5D">
      <w:pPr>
        <w:pStyle w:val="BodyText"/>
        <w:rPr>
          <w:color w:val="1F497D"/>
        </w:rPr>
      </w:pPr>
      <w:r>
        <w:t xml:space="preserve">A written notice of </w:t>
      </w:r>
      <w:r w:rsidR="004172C5">
        <w:t>intent is not required in case</w:t>
      </w:r>
      <w:r w:rsidR="004172C5" w:rsidRPr="004172C5">
        <w:rPr>
          <w:color w:val="1F497D"/>
        </w:rPr>
        <w:t xml:space="preserve"> </w:t>
      </w:r>
      <w:r w:rsidR="00AF191C">
        <w:t>of a serious breach of a S</w:t>
      </w:r>
      <w:r>
        <w:t xml:space="preserve">ubcontract. The MCO must provide </w:t>
      </w:r>
      <w:r w:rsidR="00477B70">
        <w:t>the Department</w:t>
      </w:r>
      <w:r w:rsidR="00477B70" w:rsidRPr="008531CB">
        <w:t xml:space="preserve"> </w:t>
      </w:r>
      <w:r>
        <w:t xml:space="preserve">with a written notification no later than three </w:t>
      </w:r>
      <w:r w:rsidR="008F7061">
        <w:t xml:space="preserve">(3) </w:t>
      </w:r>
      <w:r>
        <w:t xml:space="preserve">business days if a serious breach of a </w:t>
      </w:r>
      <w:r w:rsidR="00F32FE4">
        <w:t>S</w:t>
      </w:r>
      <w:r>
        <w:t>ub</w:t>
      </w:r>
      <w:r w:rsidR="00F32FE4">
        <w:t>c</w:t>
      </w:r>
      <w:r w:rsidR="009B19C2">
        <w:t xml:space="preserve">ontract </w:t>
      </w:r>
      <w:r>
        <w:t>occurs.</w:t>
      </w:r>
    </w:p>
    <w:p w14:paraId="57FCEEAB" w14:textId="554E8E83" w:rsidR="00F300E3" w:rsidRDefault="00F300E3" w:rsidP="00096A5D">
      <w:pPr>
        <w:pStyle w:val="BodyText"/>
      </w:pPr>
      <w:r>
        <w:t xml:space="preserve">The MCO must provide </w:t>
      </w:r>
      <w:r w:rsidR="00477B70">
        <w:t>the Department</w:t>
      </w:r>
      <w:r>
        <w:t xml:space="preserve"> with a written notification no later than five </w:t>
      </w:r>
      <w:r w:rsidR="008F7061">
        <w:t xml:space="preserve">(5) </w:t>
      </w:r>
      <w:r>
        <w:t>business days after rec</w:t>
      </w:r>
      <w:r w:rsidR="00AF191C">
        <w:t>eiving a written notice from a S</w:t>
      </w:r>
      <w:r>
        <w:t>ubco</w:t>
      </w:r>
      <w:r w:rsidR="00AF191C">
        <w:t>ntractor or giving a notice to S</w:t>
      </w:r>
      <w:r>
        <w:t>ubcontracto</w:t>
      </w:r>
      <w:r w:rsidR="00AF191C">
        <w:t>r of the intent to terminate a S</w:t>
      </w:r>
      <w:r>
        <w:t>ub</w:t>
      </w:r>
      <w:r w:rsidR="00F32FE4">
        <w:t>c</w:t>
      </w:r>
      <w:r w:rsidR="009B19C2">
        <w:t xml:space="preserve">ontract </w:t>
      </w:r>
      <w:r>
        <w:t>for any reason.</w:t>
      </w:r>
    </w:p>
    <w:p w14:paraId="1D5D0218" w14:textId="7C0EFB9F" w:rsidR="00E5415E" w:rsidRDefault="00E5415E" w:rsidP="00096A5D">
      <w:pPr>
        <w:pStyle w:val="BodyText"/>
      </w:pPr>
      <w:r>
        <w:t xml:space="preserve">Subcontracts must provide that all information that is obtained </w:t>
      </w:r>
      <w:r w:rsidR="00AF191C">
        <w:t>through performance under this C</w:t>
      </w:r>
      <w:r>
        <w:t xml:space="preserve">ontract, including, but not limited to, information relating to applicants or </w:t>
      </w:r>
      <w:r w:rsidR="00DB67CB">
        <w:t xml:space="preserve">enrollees </w:t>
      </w:r>
      <w:r>
        <w:t xml:space="preserve">of </w:t>
      </w:r>
      <w:r w:rsidR="00477B70">
        <w:t>the Department</w:t>
      </w:r>
      <w:r w:rsidR="00477B70" w:rsidRPr="008531CB">
        <w:t xml:space="preserve"> </w:t>
      </w:r>
      <w:r>
        <w:t xml:space="preserve">programs, is confidential to the extent that confidential treatment is provided under state and federal law, rules, and regulations. </w:t>
      </w:r>
    </w:p>
    <w:p w14:paraId="142622BF" w14:textId="77777777" w:rsidR="0041386F" w:rsidRDefault="00E5415E" w:rsidP="00096A5D">
      <w:pPr>
        <w:pStyle w:val="BodyText"/>
      </w:pPr>
      <w:r>
        <w:t>The MCO mu</w:t>
      </w:r>
      <w:r w:rsidR="00AF191C">
        <w:t>st maintain and keep current a S</w:t>
      </w:r>
      <w:r>
        <w:t>ubcontractor m</w:t>
      </w:r>
      <w:r w:rsidR="00AF191C">
        <w:t>onitoring plan for each of its S</w:t>
      </w:r>
      <w:r>
        <w:t xml:space="preserve">ubcontractors listed above. The MCO must provide a copy of its </w:t>
      </w:r>
      <w:r w:rsidR="009B0110">
        <w:t>S</w:t>
      </w:r>
      <w:r>
        <w:t xml:space="preserve">ubcontractor monitoring plan within </w:t>
      </w:r>
      <w:r w:rsidR="002A0591">
        <w:t>ten (</w:t>
      </w:r>
      <w:r>
        <w:t>10</w:t>
      </w:r>
      <w:r w:rsidR="002A0591">
        <w:t>)</w:t>
      </w:r>
      <w:r>
        <w:t xml:space="preserve"> business days of </w:t>
      </w:r>
      <w:r w:rsidR="00477B70">
        <w:t>the Department</w:t>
      </w:r>
      <w:r>
        <w:t xml:space="preserve"> written request.</w:t>
      </w:r>
      <w:r w:rsidR="00FA0350">
        <w:t xml:space="preserve"> The MCO is required </w:t>
      </w:r>
      <w:r w:rsidR="00FA0350" w:rsidRPr="00FA0350">
        <w:t xml:space="preserve">to monitor the </w:t>
      </w:r>
      <w:r w:rsidR="009B0110">
        <w:t>S</w:t>
      </w:r>
      <w:r w:rsidR="00FA0350" w:rsidRPr="00FA0350">
        <w:t>ubcontractor’s performance on an ongoing basis</w:t>
      </w:r>
      <w:r w:rsidR="00FA0350">
        <w:t xml:space="preserve"> consistent with 42 CFR §438.230</w:t>
      </w:r>
      <w:r w:rsidR="00FA0350" w:rsidRPr="00FA0350">
        <w:t xml:space="preserve">. </w:t>
      </w:r>
    </w:p>
    <w:p w14:paraId="160FAC91" w14:textId="77777777" w:rsidR="00445908" w:rsidRPr="00DF1D1C" w:rsidRDefault="0071482A" w:rsidP="00096A5D">
      <w:pPr>
        <w:pStyle w:val="BodyText"/>
      </w:pPr>
      <w:r w:rsidRPr="00DF1D1C">
        <w:lastRenderedPageBreak/>
        <w:t>The MCO is solely responsib</w:t>
      </w:r>
      <w:r w:rsidR="00AF191C">
        <w:t xml:space="preserve">le for the fulfillment of this </w:t>
      </w:r>
      <w:r w:rsidR="009B19C2">
        <w:t xml:space="preserve">Contract </w:t>
      </w:r>
      <w:r w:rsidRPr="00DF1D1C">
        <w:t xml:space="preserve">with </w:t>
      </w:r>
      <w:r w:rsidR="00477B70">
        <w:t>the Department</w:t>
      </w:r>
      <w:r w:rsidRPr="00DF1D1C">
        <w:t xml:space="preserve">. The MCO is required to assume prime contractor responsibility for all services offered and products to be delivered whether or not the MCO is the provider of said services or product. </w:t>
      </w:r>
      <w:r w:rsidR="00477B70">
        <w:t>The Department</w:t>
      </w:r>
      <w:r w:rsidRPr="00DF1D1C">
        <w:t xml:space="preserve"> will consider the MCO to be the sole point of contact with regard to all contractual matters.</w:t>
      </w:r>
    </w:p>
    <w:p w14:paraId="725BEC79" w14:textId="238B3A42" w:rsidR="0071482A" w:rsidRPr="00DF1D1C" w:rsidRDefault="00371092" w:rsidP="00257641">
      <w:pPr>
        <w:pStyle w:val="StyleHeading3After0pt"/>
      </w:pPr>
      <w:bookmarkStart w:id="85" w:name="_Toc527882812"/>
      <w:r>
        <w:t>8</w:t>
      </w:r>
      <w:r w:rsidR="0071482A" w:rsidRPr="00DF1D1C">
        <w:t>.</w:t>
      </w:r>
      <w:r w:rsidR="00AB6EF2">
        <w:t>6</w:t>
      </w:r>
      <w:r w:rsidR="00CC5BB1" w:rsidRPr="00DF1D1C">
        <w:tab/>
      </w:r>
      <w:r w:rsidR="0071482A" w:rsidRPr="00DF1D1C">
        <w:t>Insurance</w:t>
      </w:r>
      <w:bookmarkEnd w:id="85"/>
    </w:p>
    <w:p w14:paraId="4B8BC7D5" w14:textId="77777777" w:rsidR="0071482A" w:rsidRPr="00DF1D1C" w:rsidRDefault="0071482A" w:rsidP="00257641">
      <w:pPr>
        <w:pStyle w:val="normal6"/>
      </w:pPr>
      <w:r w:rsidRPr="00DF1D1C">
        <w:t>The MCO, its</w:t>
      </w:r>
      <w:r w:rsidR="00120678">
        <w:t xml:space="preserve"> successors and assignees must </w:t>
      </w:r>
      <w:r w:rsidRPr="00DF1D1C">
        <w:t>procure and maintain such insurance as is required by currently applicable federal and state law and regulation. Such insurance should include, but not be limited to, the following:</w:t>
      </w:r>
    </w:p>
    <w:p w14:paraId="4C7E032E" w14:textId="77777777" w:rsidR="0071482A" w:rsidRPr="00DF1D1C" w:rsidRDefault="003F0AE7" w:rsidP="00257641">
      <w:pPr>
        <w:numPr>
          <w:ilvl w:val="0"/>
          <w:numId w:val="5"/>
        </w:numPr>
        <w:tabs>
          <w:tab w:val="clear" w:pos="360"/>
        </w:tabs>
        <w:spacing w:after="120"/>
        <w:ind w:left="720"/>
        <w:rPr>
          <w:noProof w:val="0"/>
        </w:rPr>
      </w:pPr>
      <w:r w:rsidRPr="00DF1D1C">
        <w:rPr>
          <w:noProof w:val="0"/>
        </w:rPr>
        <w:t>L</w:t>
      </w:r>
      <w:r w:rsidR="0071482A" w:rsidRPr="00DF1D1C">
        <w:rPr>
          <w:noProof w:val="0"/>
        </w:rPr>
        <w:t xml:space="preserve">iability insurance for loss, damage, or injury (including death) of third parties arising from acts and omissions on the part of the </w:t>
      </w:r>
      <w:r w:rsidR="0073202A">
        <w:rPr>
          <w:noProof w:val="0"/>
        </w:rPr>
        <w:t>MCO</w:t>
      </w:r>
      <w:r w:rsidR="0071482A" w:rsidRPr="00DF1D1C">
        <w:rPr>
          <w:noProof w:val="0"/>
        </w:rPr>
        <w:t>, its agents and employees;</w:t>
      </w:r>
    </w:p>
    <w:p w14:paraId="194CDC85" w14:textId="77777777" w:rsidR="0071482A" w:rsidRPr="00DF1D1C" w:rsidRDefault="003F0AE7" w:rsidP="00257641">
      <w:pPr>
        <w:numPr>
          <w:ilvl w:val="0"/>
          <w:numId w:val="5"/>
        </w:numPr>
        <w:tabs>
          <w:tab w:val="clear" w:pos="360"/>
        </w:tabs>
        <w:spacing w:after="120"/>
        <w:ind w:left="720"/>
        <w:rPr>
          <w:noProof w:val="0"/>
        </w:rPr>
      </w:pPr>
      <w:r w:rsidRPr="00DF1D1C">
        <w:rPr>
          <w:noProof w:val="0"/>
        </w:rPr>
        <w:t>F</w:t>
      </w:r>
      <w:r w:rsidR="0071482A" w:rsidRPr="00DF1D1C">
        <w:rPr>
          <w:noProof w:val="0"/>
        </w:rPr>
        <w:t>idelity bonding of persons entrusted with handling of funds;</w:t>
      </w:r>
    </w:p>
    <w:p w14:paraId="34B4A7DE" w14:textId="77777777" w:rsidR="0071482A" w:rsidRPr="00DF1D1C" w:rsidRDefault="003F0AE7" w:rsidP="00257641">
      <w:pPr>
        <w:numPr>
          <w:ilvl w:val="0"/>
          <w:numId w:val="5"/>
        </w:numPr>
        <w:tabs>
          <w:tab w:val="clear" w:pos="360"/>
        </w:tabs>
        <w:spacing w:after="120"/>
        <w:ind w:left="720"/>
        <w:rPr>
          <w:noProof w:val="0"/>
        </w:rPr>
      </w:pPr>
      <w:r w:rsidRPr="00DF1D1C">
        <w:rPr>
          <w:noProof w:val="0"/>
        </w:rPr>
        <w:t>W</w:t>
      </w:r>
      <w:r w:rsidR="0071482A" w:rsidRPr="00DF1D1C">
        <w:rPr>
          <w:noProof w:val="0"/>
        </w:rPr>
        <w:t>orkers compensation;</w:t>
      </w:r>
    </w:p>
    <w:p w14:paraId="1198C96A" w14:textId="77777777" w:rsidR="0071482A" w:rsidRPr="00DF1D1C" w:rsidRDefault="003F0AE7" w:rsidP="00257641">
      <w:pPr>
        <w:numPr>
          <w:ilvl w:val="0"/>
          <w:numId w:val="5"/>
        </w:numPr>
        <w:tabs>
          <w:tab w:val="clear" w:pos="360"/>
        </w:tabs>
        <w:spacing w:after="120"/>
        <w:ind w:left="720"/>
        <w:rPr>
          <w:noProof w:val="0"/>
        </w:rPr>
      </w:pPr>
      <w:r w:rsidRPr="00DF1D1C">
        <w:rPr>
          <w:noProof w:val="0"/>
        </w:rPr>
        <w:t>U</w:t>
      </w:r>
      <w:r w:rsidR="0071482A" w:rsidRPr="00DF1D1C">
        <w:rPr>
          <w:noProof w:val="0"/>
        </w:rPr>
        <w:t>nemployment insurance; and</w:t>
      </w:r>
    </w:p>
    <w:p w14:paraId="2D73B236" w14:textId="77777777" w:rsidR="0071482A" w:rsidRPr="00DF1D1C" w:rsidRDefault="003F0AE7" w:rsidP="00257641">
      <w:pPr>
        <w:numPr>
          <w:ilvl w:val="0"/>
          <w:numId w:val="5"/>
        </w:numPr>
        <w:tabs>
          <w:tab w:val="clear" w:pos="360"/>
        </w:tabs>
        <w:ind w:left="720"/>
        <w:rPr>
          <w:noProof w:val="0"/>
        </w:rPr>
      </w:pPr>
      <w:r w:rsidRPr="00DF1D1C">
        <w:rPr>
          <w:noProof w:val="0"/>
        </w:rPr>
        <w:t>A</w:t>
      </w:r>
      <w:r w:rsidR="0071482A" w:rsidRPr="00DF1D1C">
        <w:rPr>
          <w:noProof w:val="0"/>
        </w:rPr>
        <w:t>dequate reinsurance or a restricted fund balance for the purpose of self</w:t>
      </w:r>
      <w:r w:rsidR="0071482A" w:rsidRPr="00DF1D1C">
        <w:rPr>
          <w:noProof w:val="0"/>
        </w:rPr>
        <w:noBreakHyphen/>
        <w:t>insurance for financial risks accepted.</w:t>
      </w:r>
    </w:p>
    <w:p w14:paraId="4A889F21" w14:textId="588CD81B" w:rsidR="0071482A" w:rsidRPr="00DF1D1C" w:rsidRDefault="00371092" w:rsidP="00257641">
      <w:pPr>
        <w:pStyle w:val="StyleHeading3After0pt"/>
      </w:pPr>
      <w:bookmarkStart w:id="86" w:name="_Toc527882813"/>
      <w:r>
        <w:t>8</w:t>
      </w:r>
      <w:r w:rsidR="009A0060" w:rsidRPr="00DF1D1C">
        <w:t>.</w:t>
      </w:r>
      <w:r w:rsidR="00AB6EF2">
        <w:t>7</w:t>
      </w:r>
      <w:r w:rsidR="009A0060" w:rsidRPr="00DF1D1C">
        <w:tab/>
      </w:r>
      <w:r w:rsidR="0071482A" w:rsidRPr="00DF1D1C">
        <w:t>Disclosure of Ownership</w:t>
      </w:r>
      <w:bookmarkEnd w:id="86"/>
    </w:p>
    <w:p w14:paraId="63552F4B" w14:textId="302A6E7B" w:rsidR="00420391" w:rsidRDefault="0001100C" w:rsidP="00096A5D">
      <w:pPr>
        <w:pStyle w:val="BodyText"/>
      </w:pPr>
      <w:r>
        <w:t>T</w:t>
      </w:r>
      <w:r w:rsidR="0071482A" w:rsidRPr="00DF1D1C">
        <w:t xml:space="preserve">he MCO, as a “disclosing entity,” must supply </w:t>
      </w:r>
      <w:r w:rsidR="002028F8">
        <w:t>DHHR</w:t>
      </w:r>
      <w:r w:rsidR="002028F8" w:rsidRPr="00DF1D1C">
        <w:t xml:space="preserve"> </w:t>
      </w:r>
      <w:r w:rsidR="0071482A" w:rsidRPr="00DF1D1C">
        <w:t>with full and complete information</w:t>
      </w:r>
      <w:r w:rsidR="00920508" w:rsidRPr="00DF1D1C">
        <w:t xml:space="preserve"> </w:t>
      </w:r>
      <w:r w:rsidR="0071482A" w:rsidRPr="00DF1D1C">
        <w:t>of each person</w:t>
      </w:r>
      <w:r w:rsidR="00E5162E">
        <w:t xml:space="preserve"> (individual or corporation)</w:t>
      </w:r>
      <w:r w:rsidR="0071482A" w:rsidRPr="00DF1D1C">
        <w:t xml:space="preserve"> </w:t>
      </w:r>
      <w:r w:rsidR="006C3A09" w:rsidRPr="00DF1D1C">
        <w:t xml:space="preserve">with an ownership or control interest in the MCO or </w:t>
      </w:r>
      <w:r w:rsidR="00F841A2" w:rsidRPr="00DF1D1C">
        <w:t xml:space="preserve">the </w:t>
      </w:r>
      <w:r w:rsidR="006C3A09" w:rsidRPr="00DF1D1C">
        <w:t>MCO</w:t>
      </w:r>
      <w:r w:rsidR="00FA1C0C" w:rsidRPr="00DF1D1C">
        <w:t>’</w:t>
      </w:r>
      <w:r w:rsidR="006C3A09" w:rsidRPr="00DF1D1C">
        <w:t xml:space="preserve">s </w:t>
      </w:r>
      <w:r w:rsidR="00642406">
        <w:t>S</w:t>
      </w:r>
      <w:r w:rsidR="006C3A09" w:rsidRPr="00DF1D1C">
        <w:t>ubcontractor in which the MCO has direct or indirect ownership</w:t>
      </w:r>
      <w:r w:rsidR="003150A4">
        <w:t xml:space="preserve"> </w:t>
      </w:r>
      <w:r w:rsidR="00420391">
        <w:t xml:space="preserve">as outlined below and </w:t>
      </w:r>
      <w:r>
        <w:t>in accordance with 42 CFR 455.104</w:t>
      </w:r>
      <w:r w:rsidR="006C3A09" w:rsidRPr="00DF1D1C">
        <w:t xml:space="preserve">. </w:t>
      </w:r>
    </w:p>
    <w:p w14:paraId="463F93F3" w14:textId="2E4B7A7F" w:rsidR="00420391" w:rsidRPr="00420391" w:rsidRDefault="00420391" w:rsidP="00257641">
      <w:pPr>
        <w:pStyle w:val="normal6"/>
      </w:pPr>
      <w:r w:rsidRPr="00420391">
        <w:t xml:space="preserve">The MCO </w:t>
      </w:r>
      <w:r w:rsidR="00AB6EF2">
        <w:t>and its subcontractors</w:t>
      </w:r>
      <w:r w:rsidR="00AB6EF2" w:rsidRPr="003B34FB">
        <w:t xml:space="preserve"> </w:t>
      </w:r>
      <w:r w:rsidR="00AB6EF2">
        <w:t>are</w:t>
      </w:r>
      <w:r w:rsidRPr="00420391">
        <w:t xml:space="preserve"> required to disclose to the state any persons or corporations with an ownership or control interest in the MCO that: </w:t>
      </w:r>
    </w:p>
    <w:p w14:paraId="101BA4D3" w14:textId="20A72930" w:rsidR="00420391" w:rsidRPr="00420391" w:rsidRDefault="00420391" w:rsidP="00096A5D">
      <w:pPr>
        <w:pStyle w:val="BodyText"/>
        <w:numPr>
          <w:ilvl w:val="0"/>
          <w:numId w:val="213"/>
        </w:numPr>
      </w:pPr>
      <w:r w:rsidRPr="00420391">
        <w:t xml:space="preserve">Has direct, indirect, or combined direct/indirect ownership interest of five percent </w:t>
      </w:r>
      <w:r w:rsidR="00AB6EF2" w:rsidRPr="00420391">
        <w:t>(5</w:t>
      </w:r>
      <w:r w:rsidR="00AB6EF2">
        <w:t>%</w:t>
      </w:r>
      <w:r w:rsidR="00AB6EF2" w:rsidRPr="00420391">
        <w:t xml:space="preserve">) </w:t>
      </w:r>
      <w:r w:rsidRPr="00420391">
        <w:t xml:space="preserve">or more of the MCO’s equity; </w:t>
      </w:r>
    </w:p>
    <w:p w14:paraId="0F8EFA70" w14:textId="0C665DE9" w:rsidR="00420391" w:rsidRPr="00420391" w:rsidRDefault="00420391" w:rsidP="00096A5D">
      <w:pPr>
        <w:pStyle w:val="BodyText"/>
        <w:numPr>
          <w:ilvl w:val="0"/>
          <w:numId w:val="213"/>
        </w:numPr>
      </w:pPr>
      <w:r w:rsidRPr="00420391">
        <w:t xml:space="preserve">Owns five percent </w:t>
      </w:r>
      <w:r w:rsidR="00AB6EF2" w:rsidRPr="00420391">
        <w:t>(5</w:t>
      </w:r>
      <w:r w:rsidR="00AB6EF2">
        <w:t>%</w:t>
      </w:r>
      <w:r w:rsidR="00AB6EF2" w:rsidRPr="00420391">
        <w:t xml:space="preserve">) </w:t>
      </w:r>
      <w:r w:rsidRPr="00420391">
        <w:t xml:space="preserve">or more of any mortgage, deed of trust, note, or other obligation secured by the MCO if that interest equals at least five percent </w:t>
      </w:r>
      <w:r w:rsidR="00AB6EF2" w:rsidRPr="00420391">
        <w:t>(5</w:t>
      </w:r>
      <w:r w:rsidR="00AB6EF2">
        <w:t>%</w:t>
      </w:r>
      <w:r w:rsidR="00AB6EF2" w:rsidRPr="00420391">
        <w:t xml:space="preserve">) </w:t>
      </w:r>
      <w:r w:rsidRPr="00420391">
        <w:t>of the value of the MCO’s assets;</w:t>
      </w:r>
    </w:p>
    <w:p w14:paraId="7B2A4E9C" w14:textId="77777777" w:rsidR="00420391" w:rsidRPr="00420391" w:rsidRDefault="00420391" w:rsidP="00096A5D">
      <w:pPr>
        <w:pStyle w:val="BodyText"/>
        <w:numPr>
          <w:ilvl w:val="0"/>
          <w:numId w:val="213"/>
        </w:numPr>
      </w:pPr>
      <w:r w:rsidRPr="00420391">
        <w:t xml:space="preserve">Is an officer or director of an MCO organized as a corporation; or </w:t>
      </w:r>
    </w:p>
    <w:p w14:paraId="2116B228" w14:textId="4E2D7249" w:rsidR="00420391" w:rsidRPr="00420391" w:rsidRDefault="00420391" w:rsidP="00096A5D">
      <w:pPr>
        <w:pStyle w:val="BodyText"/>
        <w:numPr>
          <w:ilvl w:val="0"/>
          <w:numId w:val="213"/>
        </w:numPr>
      </w:pPr>
      <w:r w:rsidRPr="00420391">
        <w:t>Is a partner in an MCO organized as a partnership</w:t>
      </w:r>
      <w:r w:rsidR="00AB6EF2">
        <w:t>?</w:t>
      </w:r>
    </w:p>
    <w:p w14:paraId="5CC91EAF" w14:textId="519A6201" w:rsidR="00420391" w:rsidRDefault="00420391" w:rsidP="00257641">
      <w:pPr>
        <w:pStyle w:val="Heading4"/>
      </w:pPr>
      <w:r>
        <w:t>8.6.1</w:t>
      </w:r>
      <w:r w:rsidR="003150A4">
        <w:t xml:space="preserve"> </w:t>
      </w:r>
      <w:r w:rsidRPr="005D1379">
        <w:t>Disclosure Report Requirements</w:t>
      </w:r>
    </w:p>
    <w:p w14:paraId="764D82D6" w14:textId="56042C42" w:rsidR="00E5162E" w:rsidRDefault="00E5162E" w:rsidP="00257641">
      <w:pPr>
        <w:pStyle w:val="normal6"/>
      </w:pPr>
      <w:r>
        <w:t>This disclosure</w:t>
      </w:r>
      <w:r w:rsidR="003D6C79">
        <w:t xml:space="preserve"> must</w:t>
      </w:r>
      <w:r>
        <w:t xml:space="preserve"> include</w:t>
      </w:r>
      <w:r w:rsidR="00F752CF">
        <w:t xml:space="preserve"> for each person</w:t>
      </w:r>
      <w:r>
        <w:t>:</w:t>
      </w:r>
    </w:p>
    <w:p w14:paraId="16A14162" w14:textId="77777777" w:rsidR="00E5162E" w:rsidRPr="00A15781" w:rsidRDefault="00E5162E" w:rsidP="00257641">
      <w:pPr>
        <w:pStyle w:val="bullet1"/>
      </w:pPr>
      <w:r w:rsidRPr="00A15781">
        <w:t>The name and address of the person</w:t>
      </w:r>
      <w:r w:rsidR="00F752CF" w:rsidRPr="00A15781">
        <w:t>, including the primary business address, every business location, and P.O. Box address, as applicable;</w:t>
      </w:r>
    </w:p>
    <w:p w14:paraId="435606F9" w14:textId="2A0C1331" w:rsidR="00E5162E" w:rsidRPr="00A15781" w:rsidRDefault="00E5162E" w:rsidP="00257641">
      <w:pPr>
        <w:pStyle w:val="bullet1"/>
      </w:pPr>
      <w:r w:rsidRPr="00A15781">
        <w:t xml:space="preserve">Date of birth and Social Security Number </w:t>
      </w:r>
      <w:r w:rsidR="00AB6EF2">
        <w:t xml:space="preserve">(SSN) </w:t>
      </w:r>
      <w:r w:rsidRPr="00A15781">
        <w:t>(in the case of an individual)</w:t>
      </w:r>
      <w:r w:rsidR="00F752CF" w:rsidRPr="00A15781">
        <w:t>;</w:t>
      </w:r>
    </w:p>
    <w:p w14:paraId="5656450A" w14:textId="6EE0520F" w:rsidR="001E70C5" w:rsidRPr="00A15781" w:rsidRDefault="00F752CF" w:rsidP="00257641">
      <w:pPr>
        <w:pStyle w:val="bullet1"/>
      </w:pPr>
      <w:r w:rsidRPr="00A15781">
        <w:lastRenderedPageBreak/>
        <w:t xml:space="preserve">Tax identification number </w:t>
      </w:r>
      <w:r w:rsidR="00423B10" w:rsidRPr="00A15781">
        <w:t xml:space="preserve">for </w:t>
      </w:r>
      <w:r w:rsidRPr="00A15781">
        <w:t>a corporation</w:t>
      </w:r>
      <w:r w:rsidR="00423B10" w:rsidRPr="00A15781">
        <w:t xml:space="preserve"> </w:t>
      </w:r>
      <w:r w:rsidR="00CC281A" w:rsidRPr="00A15781">
        <w:t>with an ownership or c</w:t>
      </w:r>
      <w:r w:rsidR="0018158F" w:rsidRPr="00A15781">
        <w:t xml:space="preserve">ontrol interest in the MCO or </w:t>
      </w:r>
      <w:r w:rsidR="006B7B41" w:rsidRPr="00A15781">
        <w:t>for a</w:t>
      </w:r>
      <w:r w:rsidR="00CC281A" w:rsidRPr="00A15781">
        <w:t xml:space="preserve"> </w:t>
      </w:r>
      <w:r w:rsidR="00642406">
        <w:t>S</w:t>
      </w:r>
      <w:r w:rsidR="00642406" w:rsidRPr="00A15781">
        <w:t xml:space="preserve">ubcontractor </w:t>
      </w:r>
      <w:r w:rsidR="00CC281A" w:rsidRPr="00A15781">
        <w:t xml:space="preserve">in which the MCO has a </w:t>
      </w:r>
      <w:r w:rsidR="00A52A88">
        <w:t xml:space="preserve">five </w:t>
      </w:r>
      <w:r w:rsidR="00CC281A" w:rsidRPr="00A15781">
        <w:t xml:space="preserve">percent </w:t>
      </w:r>
      <w:r w:rsidR="00AB6EF2" w:rsidRPr="00420391">
        <w:t>(5</w:t>
      </w:r>
      <w:r w:rsidR="00AB6EF2">
        <w:t>%</w:t>
      </w:r>
      <w:r w:rsidR="00AB6EF2" w:rsidRPr="00420391">
        <w:t xml:space="preserve">) </w:t>
      </w:r>
      <w:r w:rsidR="00CC281A" w:rsidRPr="00A15781">
        <w:t>or more interest</w:t>
      </w:r>
      <w:r w:rsidR="00CA2344" w:rsidRPr="00A15781">
        <w:t>;</w:t>
      </w:r>
    </w:p>
    <w:p w14:paraId="46A36E85" w14:textId="77777777" w:rsidR="00F752CF" w:rsidRPr="00A15781" w:rsidRDefault="00F752CF" w:rsidP="00257641">
      <w:pPr>
        <w:pStyle w:val="bullet1"/>
      </w:pPr>
      <w:r w:rsidRPr="00A15781">
        <w:t>W</w:t>
      </w:r>
      <w:r w:rsidR="006C3A09" w:rsidRPr="00A15781">
        <w:t xml:space="preserve">hether the person </w:t>
      </w:r>
      <w:r w:rsidRPr="00A15781">
        <w:t xml:space="preserve">(individual or corporation) </w:t>
      </w:r>
      <w:r w:rsidR="006C3A09" w:rsidRPr="00A15781">
        <w:t xml:space="preserve">with ownership or control interest </w:t>
      </w:r>
      <w:r w:rsidRPr="00A15781">
        <w:t xml:space="preserve">in the disclosing entity and/or </w:t>
      </w:r>
      <w:r w:rsidR="00642406">
        <w:t>S</w:t>
      </w:r>
      <w:r w:rsidRPr="00A15781">
        <w:t xml:space="preserve">ubcontractor </w:t>
      </w:r>
      <w:r w:rsidR="006C3A09" w:rsidRPr="00A15781">
        <w:t>is related to any other person with ownership or control interest such as a spouse, parent, child, or sibling</w:t>
      </w:r>
      <w:r w:rsidRPr="00A15781">
        <w:t>;</w:t>
      </w:r>
      <w:r w:rsidR="006C3A09" w:rsidRPr="00A15781">
        <w:t xml:space="preserve"> </w:t>
      </w:r>
    </w:p>
    <w:p w14:paraId="06D3AEA6" w14:textId="77777777" w:rsidR="0001100C" w:rsidRPr="00A15781" w:rsidRDefault="00F752CF" w:rsidP="00257641">
      <w:pPr>
        <w:pStyle w:val="bullet1"/>
      </w:pPr>
      <w:r w:rsidRPr="00A15781">
        <w:t>T</w:t>
      </w:r>
      <w:r w:rsidR="006D36A3" w:rsidRPr="00A15781">
        <w:t>he name of any other organization in which a person with ownership or control interest in the MCO also has an ownership or control interest</w:t>
      </w:r>
      <w:r w:rsidR="0001100C" w:rsidRPr="00A15781">
        <w:t>; and</w:t>
      </w:r>
    </w:p>
    <w:p w14:paraId="01DFD0FA" w14:textId="2EB901A3" w:rsidR="00F752CF" w:rsidRPr="00A15781" w:rsidRDefault="0001100C" w:rsidP="00257641">
      <w:pPr>
        <w:pStyle w:val="bullet1last"/>
      </w:pPr>
      <w:r w:rsidRPr="00A15781">
        <w:t xml:space="preserve">The name, address, date of birth, and </w:t>
      </w:r>
      <w:r w:rsidR="00AB6EF2">
        <w:t>SSN</w:t>
      </w:r>
      <w:r w:rsidRPr="00A15781">
        <w:t xml:space="preserve"> of </w:t>
      </w:r>
      <w:r w:rsidR="00C61384" w:rsidRPr="00A15781">
        <w:t>an agent</w:t>
      </w:r>
      <w:r w:rsidR="009513E4" w:rsidRPr="00A15781">
        <w:t xml:space="preserve"> or a </w:t>
      </w:r>
      <w:r w:rsidRPr="00A15781">
        <w:t>managing employee of the disclosing entity.</w:t>
      </w:r>
    </w:p>
    <w:p w14:paraId="5972D68A" w14:textId="0A808B2E" w:rsidR="00BB7190" w:rsidRPr="00125A73" w:rsidRDefault="00BB7190" w:rsidP="00257641">
      <w:pPr>
        <w:pStyle w:val="Heading4"/>
      </w:pPr>
      <w:r>
        <w:t>8.</w:t>
      </w:r>
      <w:r w:rsidR="00AB6EF2">
        <w:t>7</w:t>
      </w:r>
      <w:r>
        <w:t xml:space="preserve">.2 </w:t>
      </w:r>
      <w:r w:rsidRPr="00125A73">
        <w:t>Disclosure Reporting Schedule</w:t>
      </w:r>
    </w:p>
    <w:p w14:paraId="73B1A58E" w14:textId="006829B3" w:rsidR="00BB7190" w:rsidRPr="00BB7190" w:rsidRDefault="00BB7190" w:rsidP="00257641">
      <w:pPr>
        <w:pStyle w:val="normal6"/>
      </w:pPr>
      <w:r w:rsidRPr="00BB7190">
        <w:t xml:space="preserve">The MCO must disclose information on individuals or corporations with an ownership or control interest in the MCO to </w:t>
      </w:r>
      <w:r w:rsidR="00535338">
        <w:t>the Department</w:t>
      </w:r>
      <w:r w:rsidR="00535338" w:rsidRPr="00BB7190">
        <w:t xml:space="preserve"> </w:t>
      </w:r>
      <w:r w:rsidRPr="00BB7190">
        <w:t xml:space="preserve">at the following times: </w:t>
      </w:r>
    </w:p>
    <w:p w14:paraId="01291C52" w14:textId="77777777" w:rsidR="00BB7190" w:rsidRPr="00BB7190" w:rsidRDefault="00BB7190" w:rsidP="00096A5D">
      <w:pPr>
        <w:pStyle w:val="BodyText"/>
        <w:numPr>
          <w:ilvl w:val="0"/>
          <w:numId w:val="214"/>
        </w:numPr>
      </w:pPr>
      <w:r w:rsidRPr="00BB7190">
        <w:t xml:space="preserve">When the MCO submits a proposal in accordance with the state’s procurement process; </w:t>
      </w:r>
    </w:p>
    <w:p w14:paraId="21302047" w14:textId="77777777" w:rsidR="00BB7190" w:rsidRPr="00BB7190" w:rsidRDefault="00BB7190" w:rsidP="00096A5D">
      <w:pPr>
        <w:pStyle w:val="BodyText"/>
        <w:numPr>
          <w:ilvl w:val="0"/>
          <w:numId w:val="214"/>
        </w:numPr>
      </w:pPr>
      <w:r w:rsidRPr="00BB7190">
        <w:t xml:space="preserve">When the MCO executes a contract with the Department; </w:t>
      </w:r>
    </w:p>
    <w:p w14:paraId="4E52F6E5" w14:textId="77777777" w:rsidR="00BB7190" w:rsidRPr="00BB7190" w:rsidRDefault="00BB7190" w:rsidP="00096A5D">
      <w:pPr>
        <w:pStyle w:val="BodyText"/>
        <w:numPr>
          <w:ilvl w:val="0"/>
          <w:numId w:val="214"/>
        </w:numPr>
      </w:pPr>
      <w:r w:rsidRPr="00BB7190">
        <w:t xml:space="preserve">When the state renews or extends the MCO contract; </w:t>
      </w:r>
    </w:p>
    <w:p w14:paraId="5FD68FE2" w14:textId="77777777" w:rsidR="00BB7190" w:rsidRPr="00BB7190" w:rsidRDefault="00BB7190" w:rsidP="00096A5D">
      <w:pPr>
        <w:pStyle w:val="BodyText"/>
        <w:numPr>
          <w:ilvl w:val="0"/>
          <w:numId w:val="214"/>
        </w:numPr>
      </w:pPr>
      <w:r w:rsidRPr="00BB7190">
        <w:t>Within thirty-five (35) calendar days after any change in ownership of the MCO; and</w:t>
      </w:r>
    </w:p>
    <w:p w14:paraId="455ACDC8" w14:textId="37145E2B" w:rsidR="00BB7190" w:rsidRPr="00BB7190" w:rsidRDefault="00BB7190" w:rsidP="00096A5D">
      <w:pPr>
        <w:pStyle w:val="BodyText"/>
        <w:numPr>
          <w:ilvl w:val="0"/>
          <w:numId w:val="214"/>
        </w:numPr>
      </w:pPr>
      <w:r w:rsidRPr="00BB7190">
        <w:t xml:space="preserve">Within thirty-five (35) calendar days of </w:t>
      </w:r>
      <w:r w:rsidR="00535338">
        <w:t>the Department’s</w:t>
      </w:r>
      <w:r w:rsidR="00535338" w:rsidRPr="00BB7190">
        <w:t xml:space="preserve"> </w:t>
      </w:r>
      <w:r w:rsidRPr="00BB7190">
        <w:t xml:space="preserve">request. </w:t>
      </w:r>
    </w:p>
    <w:p w14:paraId="0260C2EB" w14:textId="07381820" w:rsidR="006D36A3" w:rsidRPr="00DF1D1C" w:rsidRDefault="00F10A1A" w:rsidP="00096A5D">
      <w:pPr>
        <w:pStyle w:val="BodyText"/>
      </w:pPr>
      <w:r w:rsidRPr="00DF1D1C">
        <w:t xml:space="preserve">The MCO must also submit to </w:t>
      </w:r>
      <w:r w:rsidR="002028F8">
        <w:t>DHHR</w:t>
      </w:r>
      <w:r w:rsidR="002028F8" w:rsidRPr="00DF1D1C">
        <w:t xml:space="preserve"> </w:t>
      </w:r>
      <w:r w:rsidR="00A61D92" w:rsidRPr="00DF1D1C">
        <w:t xml:space="preserve">a copy of </w:t>
      </w:r>
      <w:r w:rsidRPr="00DF1D1C">
        <w:t>any information it submits to the</w:t>
      </w:r>
      <w:r w:rsidR="00A61D92" w:rsidRPr="00DF1D1C">
        <w:t xml:space="preserve"> Department of</w:t>
      </w:r>
      <w:r w:rsidRPr="00DF1D1C">
        <w:t xml:space="preserve"> Insurance regarding disclosure of ownership or control interest</w:t>
      </w:r>
      <w:r w:rsidR="0078080B" w:rsidRPr="00DF1D1C">
        <w:t xml:space="preserve">. </w:t>
      </w:r>
    </w:p>
    <w:p w14:paraId="55225869" w14:textId="236D5C8F" w:rsidR="00786DFA" w:rsidRPr="00DF1D1C" w:rsidRDefault="0065193D" w:rsidP="00257641">
      <w:pPr>
        <w:pStyle w:val="Heading4"/>
      </w:pPr>
      <w:r>
        <w:t>8</w:t>
      </w:r>
      <w:r w:rsidR="001F2183">
        <w:t>.</w:t>
      </w:r>
      <w:r w:rsidR="00AB6EF2">
        <w:t>7</w:t>
      </w:r>
      <w:r w:rsidR="001F2183">
        <w:t>.</w:t>
      </w:r>
      <w:r w:rsidR="00BB7190">
        <w:t>3</w:t>
      </w:r>
      <w:r w:rsidR="001F2183">
        <w:t xml:space="preserve"> </w:t>
      </w:r>
      <w:r w:rsidR="00786DFA">
        <w:t>Prohibited Affiliations with Individuals Debarred by Federal Agencies</w:t>
      </w:r>
    </w:p>
    <w:p w14:paraId="21A696F9" w14:textId="3BFB4032" w:rsidR="0071482A" w:rsidRDefault="0071482A" w:rsidP="00257641">
      <w:pPr>
        <w:pStyle w:val="normal6"/>
      </w:pPr>
      <w:r w:rsidRPr="00DF1D1C">
        <w:t xml:space="preserve">The MCO may not have a director, officer, </w:t>
      </w:r>
      <w:r w:rsidR="0018158F">
        <w:t xml:space="preserve">principal, </w:t>
      </w:r>
      <w:r w:rsidRPr="00DF1D1C">
        <w:t xml:space="preserve">partner, </w:t>
      </w:r>
      <w:r w:rsidR="0018158F">
        <w:t>agent, managing employee</w:t>
      </w:r>
      <w:r w:rsidR="00125592">
        <w:t>,</w:t>
      </w:r>
      <w:r w:rsidR="0018158F">
        <w:t xml:space="preserve"> </w:t>
      </w:r>
      <w:r w:rsidRPr="00DF1D1C">
        <w:t xml:space="preserve">or </w:t>
      </w:r>
      <w:r w:rsidR="0018158F">
        <w:t xml:space="preserve">other </w:t>
      </w:r>
      <w:r w:rsidRPr="00DF1D1C">
        <w:t xml:space="preserve">person with ownership </w:t>
      </w:r>
      <w:r w:rsidR="0018158F">
        <w:t xml:space="preserve">or control interest </w:t>
      </w:r>
      <w:r w:rsidRPr="00DF1D1C">
        <w:t>of five</w:t>
      </w:r>
      <w:r w:rsidR="00BB7190">
        <w:t xml:space="preserve"> </w:t>
      </w:r>
      <w:r w:rsidRPr="00DF1D1C">
        <w:t>percent</w:t>
      </w:r>
      <w:r w:rsidR="00AB6EF2">
        <w:t xml:space="preserve"> </w:t>
      </w:r>
      <w:r w:rsidR="00AB6EF2" w:rsidRPr="00420391">
        <w:t>(5</w:t>
      </w:r>
      <w:r w:rsidR="00AB6EF2">
        <w:t>%)</w:t>
      </w:r>
      <w:r w:rsidRPr="00DF1D1C">
        <w:t xml:space="preserve"> </w:t>
      </w:r>
      <w:r w:rsidR="0018158F">
        <w:t xml:space="preserve">or more in </w:t>
      </w:r>
      <w:r w:rsidRPr="00DF1D1C">
        <w:t xml:space="preserve">the </w:t>
      </w:r>
      <w:r w:rsidR="0018158F">
        <w:t xml:space="preserve">MCO and </w:t>
      </w:r>
      <w:r w:rsidRPr="00DF1D1C">
        <w:t>who</w:t>
      </w:r>
      <w:r w:rsidR="0018158F">
        <w:t xml:space="preserve">: </w:t>
      </w:r>
    </w:p>
    <w:p w14:paraId="0EFA90B2" w14:textId="77777777" w:rsidR="0018158F" w:rsidRPr="009872D8" w:rsidRDefault="0018158F" w:rsidP="00257641">
      <w:pPr>
        <w:pStyle w:val="bullet1"/>
      </w:pPr>
      <w:r w:rsidRPr="009872D8">
        <w:t>Has been convicted of a criminal offense as described in sections 1128(a) and 1128(b) (1), (2), or (3)</w:t>
      </w:r>
      <w:r w:rsidR="00125592" w:rsidRPr="009872D8">
        <w:t>,</w:t>
      </w:r>
      <w:r w:rsidRPr="009872D8">
        <w:t xml:space="preserve"> of the Social Security Act; </w:t>
      </w:r>
    </w:p>
    <w:p w14:paraId="3D8DC605" w14:textId="77777777" w:rsidR="0018158F" w:rsidRPr="009872D8" w:rsidRDefault="0018158F" w:rsidP="00257641">
      <w:pPr>
        <w:pStyle w:val="bullet1"/>
      </w:pPr>
      <w:r w:rsidRPr="009872D8">
        <w:t>Has had civil money penalties or assessments imposed under section 1128A of the Social Security Act;</w:t>
      </w:r>
      <w:r w:rsidR="00CA2344" w:rsidRPr="009872D8">
        <w:t xml:space="preserve"> or</w:t>
      </w:r>
      <w:r w:rsidRPr="009872D8">
        <w:t xml:space="preserve"> </w:t>
      </w:r>
    </w:p>
    <w:p w14:paraId="02F280FE" w14:textId="1098E4C3" w:rsidR="0018158F" w:rsidRPr="009872D8" w:rsidRDefault="0018158F" w:rsidP="00257641">
      <w:pPr>
        <w:pStyle w:val="bullet1last"/>
      </w:pPr>
      <w:r w:rsidRPr="009872D8">
        <w:t>Has been excluded</w:t>
      </w:r>
      <w:r w:rsidR="00505D60" w:rsidRPr="009872D8">
        <w:t>, suspended</w:t>
      </w:r>
      <w:r w:rsidR="00125592" w:rsidRPr="009872D8">
        <w:t>,</w:t>
      </w:r>
      <w:r w:rsidRPr="009872D8">
        <w:t xml:space="preserve"> </w:t>
      </w:r>
      <w:r w:rsidR="00505D60" w:rsidRPr="009872D8">
        <w:t xml:space="preserve">or debarred </w:t>
      </w:r>
      <w:r w:rsidRPr="009872D8">
        <w:t xml:space="preserve">from participation in Medicare or </w:t>
      </w:r>
      <w:r w:rsidR="00643064" w:rsidRPr="009872D8">
        <w:t>any state</w:t>
      </w:r>
      <w:r w:rsidRPr="009872D8">
        <w:t xml:space="preserve"> health care programs.</w:t>
      </w:r>
      <w:r w:rsidR="003150A4">
        <w:t xml:space="preserve"> </w:t>
      </w:r>
    </w:p>
    <w:p w14:paraId="2C4B3537" w14:textId="30DAA557" w:rsidR="0018158F" w:rsidRDefault="0018158F" w:rsidP="00096A5D">
      <w:pPr>
        <w:pStyle w:val="BodyText"/>
      </w:pPr>
      <w:r>
        <w:t>The MCO must submit information as described above, for any person who was formerly described as a</w:t>
      </w:r>
      <w:r w:rsidR="00F045C7" w:rsidRPr="00F045C7">
        <w:t xml:space="preserve"> </w:t>
      </w:r>
      <w:r w:rsidR="00F045C7" w:rsidRPr="00DF1D1C">
        <w:t xml:space="preserve">director, officer, </w:t>
      </w:r>
      <w:r w:rsidR="00F045C7">
        <w:t xml:space="preserve">principal, </w:t>
      </w:r>
      <w:r w:rsidR="00F045C7" w:rsidRPr="00DF1D1C">
        <w:t xml:space="preserve">partner, </w:t>
      </w:r>
      <w:r w:rsidR="00F045C7">
        <w:t>agent, managing employee</w:t>
      </w:r>
      <w:r w:rsidR="00125592">
        <w:t>,</w:t>
      </w:r>
      <w:r w:rsidR="00F045C7">
        <w:t xml:space="preserve"> </w:t>
      </w:r>
      <w:r w:rsidR="00F045C7" w:rsidRPr="00DF1D1C">
        <w:t xml:space="preserve">or </w:t>
      </w:r>
      <w:r w:rsidR="00F045C7">
        <w:t xml:space="preserve">other </w:t>
      </w:r>
      <w:r w:rsidR="00F045C7" w:rsidRPr="00DF1D1C">
        <w:t xml:space="preserve">person with ownership </w:t>
      </w:r>
      <w:r w:rsidR="00F045C7">
        <w:t xml:space="preserve">or control interest </w:t>
      </w:r>
      <w:r w:rsidR="00F045C7" w:rsidRPr="00DF1D1C">
        <w:t xml:space="preserve">of five percent </w:t>
      </w:r>
      <w:r w:rsidR="00AB6EF2" w:rsidRPr="00420391">
        <w:t>(5</w:t>
      </w:r>
      <w:r w:rsidR="00AB6EF2">
        <w:t>%</w:t>
      </w:r>
      <w:r w:rsidR="00AB6EF2" w:rsidRPr="00420391">
        <w:t xml:space="preserve">) </w:t>
      </w:r>
      <w:r w:rsidR="00F045C7">
        <w:t xml:space="preserve">or more in </w:t>
      </w:r>
      <w:r w:rsidR="00F045C7" w:rsidRPr="00DF1D1C">
        <w:t xml:space="preserve">the </w:t>
      </w:r>
      <w:r w:rsidR="00F045C7">
        <w:t>MCO</w:t>
      </w:r>
      <w:r>
        <w:t xml:space="preserve">, but is no longer so </w:t>
      </w:r>
      <w:r>
        <w:lastRenderedPageBreak/>
        <w:t xml:space="preserve">described because of a transfer of ownership or control interest to an immediate family member or a member of the person’s household, in anticipation of or following a conviction, assessment of a civil monetary penalty, or imposition of an exclusion. </w:t>
      </w:r>
    </w:p>
    <w:p w14:paraId="47343A78" w14:textId="4F05D904" w:rsidR="00AB6EF2" w:rsidRDefault="0085120F" w:rsidP="00096A5D">
      <w:pPr>
        <w:pStyle w:val="BodyText"/>
      </w:pPr>
      <w:r w:rsidRPr="0085120F">
        <w:t>The MCO is prohibited from ha</w:t>
      </w:r>
      <w:r>
        <w:t>ving a consulting</w:t>
      </w:r>
      <w:r w:rsidR="00AB6EF2">
        <w:t>, employment,</w:t>
      </w:r>
      <w:r>
        <w:t xml:space="preserve"> or other agreement with an excluded, </w:t>
      </w:r>
      <w:r w:rsidRPr="0085120F">
        <w:t>debarred or suspended person for the provision of items or services that are significant and material to the MCO’s contractual obligation with the State</w:t>
      </w:r>
      <w:r>
        <w:t>.</w:t>
      </w:r>
      <w:r w:rsidR="00AB6EF2">
        <w:t xml:space="preserve"> Likewise, the MCO may not have a relationship with an affiliate of any person described above.</w:t>
      </w:r>
    </w:p>
    <w:p w14:paraId="39B3F2D3" w14:textId="77777777" w:rsidR="00AB6EF2" w:rsidRDefault="00AB6EF2" w:rsidP="00257641">
      <w:pPr>
        <w:pStyle w:val="normal6"/>
      </w:pPr>
      <w:r>
        <w:t xml:space="preserve">Entities that meet any of the following criteria must be excluded from participation: </w:t>
      </w:r>
    </w:p>
    <w:p w14:paraId="47774B57" w14:textId="77777777" w:rsidR="00AB6EF2" w:rsidRDefault="00AB6EF2" w:rsidP="00096A5D">
      <w:pPr>
        <w:pStyle w:val="BodyText"/>
        <w:numPr>
          <w:ilvl w:val="0"/>
          <w:numId w:val="918"/>
        </w:numPr>
      </w:pPr>
      <w:r>
        <w:t>Could be excluded under section 1128(b)(8) of the Act as being controlled by a sanctioned individual;</w:t>
      </w:r>
    </w:p>
    <w:p w14:paraId="46921568" w14:textId="77777777" w:rsidR="00AB6EF2" w:rsidRDefault="00AB6EF2" w:rsidP="00096A5D">
      <w:pPr>
        <w:pStyle w:val="BodyText"/>
        <w:numPr>
          <w:ilvl w:val="0"/>
          <w:numId w:val="918"/>
        </w:numPr>
      </w:pPr>
      <w:r>
        <w:t>Has a substantial contractual relationship (direct or indirect) with an individual convicted of certain crimes described in section 1128(b)(8)(B) of the Act;</w:t>
      </w:r>
    </w:p>
    <w:p w14:paraId="6D4C1796" w14:textId="77777777" w:rsidR="00AB6EF2" w:rsidRDefault="00AB6EF2" w:rsidP="00096A5D">
      <w:pPr>
        <w:pStyle w:val="BodyText"/>
        <w:numPr>
          <w:ilvl w:val="0"/>
          <w:numId w:val="918"/>
        </w:numPr>
      </w:pPr>
      <w:r>
        <w:t>Employs or contracts directly or indirectly with an individual or entity that is:</w:t>
      </w:r>
    </w:p>
    <w:p w14:paraId="1B31C969" w14:textId="77777777" w:rsidR="00AB6EF2" w:rsidRDefault="00AB6EF2" w:rsidP="00096A5D">
      <w:pPr>
        <w:pStyle w:val="BodyText"/>
        <w:numPr>
          <w:ilvl w:val="0"/>
          <w:numId w:val="919"/>
        </w:numPr>
      </w:pPr>
      <w:r>
        <w:t>Precluded from furnishing health care, utilization review, medical social services, or administrative services pursuant to section 1128 or 1128A of the Act, or</w:t>
      </w:r>
    </w:p>
    <w:p w14:paraId="6008749E" w14:textId="77777777" w:rsidR="00AB6EF2" w:rsidRDefault="00AB6EF2" w:rsidP="00096A5D">
      <w:pPr>
        <w:pStyle w:val="BodyText"/>
        <w:numPr>
          <w:ilvl w:val="0"/>
          <w:numId w:val="919"/>
        </w:numPr>
      </w:pPr>
      <w:r>
        <w:t>Could be exclude under 1128(b)(8) as being controlled by a sanctioned individual.</w:t>
      </w:r>
    </w:p>
    <w:p w14:paraId="68D556D6" w14:textId="0789E0CB" w:rsidR="000550C6" w:rsidRDefault="000550C6" w:rsidP="00096A5D">
      <w:pPr>
        <w:pStyle w:val="BodyText"/>
      </w:pPr>
      <w:r w:rsidRPr="00DF1D1C">
        <w:t xml:space="preserve">The MCO must </w:t>
      </w:r>
      <w:r w:rsidR="00135E25" w:rsidRPr="00DF1D1C">
        <w:t>immediately inform</w:t>
      </w:r>
      <w:r w:rsidRPr="00DF1D1C">
        <w:t xml:space="preserve"> </w:t>
      </w:r>
      <w:r w:rsidR="002028F8">
        <w:t>DHHR</w:t>
      </w:r>
      <w:r w:rsidR="002028F8" w:rsidRPr="00DF1D1C">
        <w:t xml:space="preserve"> </w:t>
      </w:r>
      <w:r w:rsidRPr="00DF1D1C">
        <w:t xml:space="preserve">of any </w:t>
      </w:r>
      <w:r w:rsidR="00465DF2" w:rsidRPr="00DF1D1C">
        <w:t xml:space="preserve">circumstances that are grounds for its exclusion, or the exclusion of its contracted providers, from participation in the Medicaid program, </w:t>
      </w:r>
      <w:r w:rsidRPr="00DF1D1C">
        <w:t>in accordance with 42 CFR 1001.1001 and 42 CFR 1001.1051.</w:t>
      </w:r>
    </w:p>
    <w:p w14:paraId="5B713F4F" w14:textId="2E634333" w:rsidR="00CB1E1F" w:rsidRDefault="00067DF8" w:rsidP="00096A5D">
      <w:pPr>
        <w:pStyle w:val="BodyText"/>
      </w:pPr>
      <w:r>
        <w:t xml:space="preserve">At the time of </w:t>
      </w:r>
      <w:r w:rsidR="009B19C2">
        <w:t xml:space="preserve">Contract </w:t>
      </w:r>
      <w:r>
        <w:t xml:space="preserve">and </w:t>
      </w:r>
      <w:r w:rsidR="009B19C2">
        <w:t xml:space="preserve">Contract </w:t>
      </w:r>
      <w:r>
        <w:t>renewal</w:t>
      </w:r>
      <w:r w:rsidR="005336CC">
        <w:t xml:space="preserve"> or upon written request by </w:t>
      </w:r>
      <w:r w:rsidR="002028F8">
        <w:t>DHHR</w:t>
      </w:r>
      <w:r>
        <w:t>, the</w:t>
      </w:r>
      <w:r w:rsidRPr="001C400E">
        <w:t xml:space="preserve"> MCO must </w:t>
      </w:r>
      <w:r w:rsidR="00F77DB1">
        <w:t xml:space="preserve">submit information on any person </w:t>
      </w:r>
      <w:r w:rsidR="0085120F">
        <w:t xml:space="preserve">who is a </w:t>
      </w:r>
      <w:r w:rsidR="0085120F" w:rsidRPr="00DF1D1C">
        <w:t xml:space="preserve">director, officer, </w:t>
      </w:r>
      <w:r w:rsidR="0085120F">
        <w:t xml:space="preserve">principal, </w:t>
      </w:r>
      <w:r w:rsidR="0085120F" w:rsidRPr="00DF1D1C">
        <w:t xml:space="preserve">partner, </w:t>
      </w:r>
      <w:r w:rsidR="0085120F">
        <w:t>agent, managing employee</w:t>
      </w:r>
      <w:r w:rsidR="00125592">
        <w:t>,</w:t>
      </w:r>
      <w:r w:rsidR="0085120F">
        <w:t xml:space="preserve"> </w:t>
      </w:r>
      <w:r w:rsidR="0085120F" w:rsidRPr="00DF1D1C">
        <w:t xml:space="preserve">or </w:t>
      </w:r>
      <w:r w:rsidR="0085120F">
        <w:t xml:space="preserve">other </w:t>
      </w:r>
      <w:r w:rsidR="0085120F" w:rsidRPr="00DF1D1C">
        <w:t xml:space="preserve">person with ownership </w:t>
      </w:r>
      <w:r w:rsidR="0085120F">
        <w:t xml:space="preserve">or control interest </w:t>
      </w:r>
      <w:r w:rsidR="0085120F" w:rsidRPr="00DF1D1C">
        <w:t xml:space="preserve">of five percent </w:t>
      </w:r>
      <w:r w:rsidR="00240916">
        <w:t xml:space="preserve">(5%) </w:t>
      </w:r>
      <w:r w:rsidR="0085120F">
        <w:t xml:space="preserve">or more in </w:t>
      </w:r>
      <w:r w:rsidR="0085120F" w:rsidRPr="00DF1D1C">
        <w:t xml:space="preserve">the </w:t>
      </w:r>
      <w:r w:rsidR="0085120F">
        <w:t>MCO</w:t>
      </w:r>
      <w:r w:rsidR="0085120F" w:rsidDel="0085120F">
        <w:t xml:space="preserve"> </w:t>
      </w:r>
      <w:r w:rsidR="00F77DB1">
        <w:t xml:space="preserve">and who has </w:t>
      </w:r>
      <w:r w:rsidR="00F77DB1" w:rsidRPr="00F77DB1">
        <w:t>been convicted of a criminal offense related to that person's involvement in any program under Medicare, Medicaid, or the title XX services program since the inception of those programs</w:t>
      </w:r>
      <w:r w:rsidRPr="001C400E">
        <w:t xml:space="preserve">, as required in </w:t>
      </w:r>
      <w:r w:rsidR="00496BEC">
        <w:t xml:space="preserve">42 CFR </w:t>
      </w:r>
      <w:r w:rsidRPr="001C400E">
        <w:t>455.106</w:t>
      </w:r>
      <w:r>
        <w:t xml:space="preserve">. </w:t>
      </w:r>
    </w:p>
    <w:p w14:paraId="2296A54C" w14:textId="69131589" w:rsidR="0071482A" w:rsidRPr="00DF1D1C" w:rsidRDefault="0071482A" w:rsidP="00096A5D">
      <w:pPr>
        <w:pStyle w:val="BodyText"/>
      </w:pPr>
      <w:r w:rsidRPr="00DF1D1C">
        <w:t xml:space="preserve">If </w:t>
      </w:r>
      <w:r w:rsidR="002028F8">
        <w:t>DHHR</w:t>
      </w:r>
      <w:r w:rsidR="002028F8" w:rsidRPr="00DF1D1C">
        <w:t xml:space="preserve"> </w:t>
      </w:r>
      <w:r w:rsidRPr="00DF1D1C">
        <w:t xml:space="preserve">finds that the MCO is not in compliance with this provision, </w:t>
      </w:r>
      <w:r w:rsidR="002028F8">
        <w:t>DHHR</w:t>
      </w:r>
      <w:r w:rsidRPr="00DF1D1C">
        <w:t xml:space="preserve">: (1) will notify the Secretary of the Department of Health and Human Services of such noncompliance; (2) may discontinue the existing agreement with the MCO if so directed by the Secretary (in consultation with the Inspector General of the Department of Health and Human Services); and (3) will not renew or otherwise extend the duration of the existing agreement with the MCO unless the Secretary (in consultation with the Inspector General) provides to </w:t>
      </w:r>
      <w:r w:rsidR="002028F8">
        <w:t>DHHR</w:t>
      </w:r>
      <w:r w:rsidR="002028F8" w:rsidRPr="00DF1D1C">
        <w:t xml:space="preserve"> </w:t>
      </w:r>
      <w:r w:rsidRPr="00DF1D1C">
        <w:t xml:space="preserve">and to Congress a written statement describing compelling reasons that exist for doing so. </w:t>
      </w:r>
    </w:p>
    <w:p w14:paraId="08502828" w14:textId="3115BFB7" w:rsidR="00F77DB1" w:rsidRPr="00DF1D1C" w:rsidRDefault="0065193D" w:rsidP="00257641">
      <w:pPr>
        <w:pStyle w:val="Heading4"/>
      </w:pPr>
      <w:r>
        <w:t>8</w:t>
      </w:r>
      <w:r w:rsidR="001F2183">
        <w:t>.</w:t>
      </w:r>
      <w:r w:rsidR="008574E7">
        <w:t>7</w:t>
      </w:r>
      <w:r w:rsidR="001F2183">
        <w:t xml:space="preserve">.2 </w:t>
      </w:r>
      <w:r w:rsidR="00F77DB1">
        <w:t>Business Transactions of Medicaid Providers</w:t>
      </w:r>
    </w:p>
    <w:p w14:paraId="06214E51" w14:textId="2A97A4B0" w:rsidR="009B2E98" w:rsidRDefault="00FC1A89" w:rsidP="00096A5D">
      <w:pPr>
        <w:pStyle w:val="BodyText"/>
      </w:pPr>
      <w:r w:rsidRPr="00DF1D1C">
        <w:t xml:space="preserve">Federal regulations contained in 42 CFR 455.105 require </w:t>
      </w:r>
      <w:r w:rsidR="006C3919">
        <w:t>the MCO to</w:t>
      </w:r>
      <w:r w:rsidR="004F3CFA">
        <w:t xml:space="preserve"> disclose </w:t>
      </w:r>
      <w:r w:rsidR="00F62409">
        <w:t xml:space="preserve">the following </w:t>
      </w:r>
      <w:r w:rsidRPr="00DF1D1C">
        <w:t xml:space="preserve">information related to business transactions </w:t>
      </w:r>
      <w:r w:rsidR="00E35033">
        <w:t xml:space="preserve">within </w:t>
      </w:r>
      <w:r w:rsidR="00BF3C3E">
        <w:t>thirty-five (</w:t>
      </w:r>
      <w:r w:rsidR="00E35033">
        <w:t>35</w:t>
      </w:r>
      <w:r w:rsidR="00BF3C3E">
        <w:t>)</w:t>
      </w:r>
      <w:r w:rsidR="00E35033">
        <w:t xml:space="preserve"> </w:t>
      </w:r>
      <w:r w:rsidR="008F7061">
        <w:t xml:space="preserve">calendar </w:t>
      </w:r>
      <w:r w:rsidR="00E35033">
        <w:t>days</w:t>
      </w:r>
      <w:r w:rsidR="004F3CFA">
        <w:t xml:space="preserve"> of request</w:t>
      </w:r>
      <w:r w:rsidR="00B4325A">
        <w:t xml:space="preserve"> of the Secretary of </w:t>
      </w:r>
      <w:r w:rsidR="00C76260">
        <w:t>D</w:t>
      </w:r>
      <w:r w:rsidR="00B4325A">
        <w:t>HHS</w:t>
      </w:r>
      <w:r w:rsidR="00E35033">
        <w:t>:</w:t>
      </w:r>
      <w:r w:rsidR="00EB0453" w:rsidRPr="00DF1D1C">
        <w:t xml:space="preserve"> full and complete information about (1) the ownership of any </w:t>
      </w:r>
      <w:r w:rsidR="00642406">
        <w:t>S</w:t>
      </w:r>
      <w:r w:rsidR="00EB0453" w:rsidRPr="00DF1D1C">
        <w:t xml:space="preserve">ubcontractor with whom the </w:t>
      </w:r>
      <w:r w:rsidR="006C3919">
        <w:t>MCO</w:t>
      </w:r>
      <w:r w:rsidR="006C3919" w:rsidRPr="00DF1D1C">
        <w:t xml:space="preserve"> </w:t>
      </w:r>
      <w:r w:rsidR="00EB0453" w:rsidRPr="00DF1D1C">
        <w:t xml:space="preserve">has had business transactions totaling more than $25,000 during the </w:t>
      </w:r>
      <w:r w:rsidR="00EB0453" w:rsidRPr="00DF1D1C">
        <w:lastRenderedPageBreak/>
        <w:t xml:space="preserve">previous </w:t>
      </w:r>
      <w:r w:rsidR="00645470">
        <w:t>twelve (</w:t>
      </w:r>
      <w:r w:rsidR="00EB0453" w:rsidRPr="00DF1D1C">
        <w:t>12</w:t>
      </w:r>
      <w:r w:rsidR="00645470">
        <w:t xml:space="preserve">) </w:t>
      </w:r>
      <w:r w:rsidR="00EB0453" w:rsidRPr="00DF1D1C">
        <w:t xml:space="preserve">month period and (2) any significant business transactions between the </w:t>
      </w:r>
      <w:r w:rsidR="006C3919">
        <w:t xml:space="preserve">MCO </w:t>
      </w:r>
      <w:r w:rsidR="00EB0453" w:rsidRPr="00DF1D1C">
        <w:t xml:space="preserve">and any wholly owned supplier, or between the </w:t>
      </w:r>
      <w:r w:rsidR="00C76260">
        <w:t>MCO</w:t>
      </w:r>
      <w:r w:rsidR="00C76260" w:rsidRPr="00DF1D1C">
        <w:t xml:space="preserve"> </w:t>
      </w:r>
      <w:r w:rsidR="00EB0453" w:rsidRPr="00DF1D1C">
        <w:t xml:space="preserve">and any </w:t>
      </w:r>
      <w:r w:rsidR="00642406">
        <w:t>S</w:t>
      </w:r>
      <w:r w:rsidR="00EB0453" w:rsidRPr="00DF1D1C">
        <w:t>ubcontractor, during the previous five</w:t>
      </w:r>
      <w:r w:rsidR="008F7061">
        <w:t xml:space="preserve"> (5)</w:t>
      </w:r>
      <w:r w:rsidR="00EB0453" w:rsidRPr="00DF1D1C">
        <w:t xml:space="preserve"> years. </w:t>
      </w:r>
    </w:p>
    <w:p w14:paraId="46C62D5A" w14:textId="2A688E32" w:rsidR="009B2E98" w:rsidRDefault="009B2E98" w:rsidP="00257641">
      <w:pPr>
        <w:pStyle w:val="StyleHeading3After0pt"/>
      </w:pPr>
      <w:r>
        <w:t>8.</w:t>
      </w:r>
      <w:r w:rsidR="008574E7">
        <w:t>8</w:t>
      </w:r>
      <w:r w:rsidRPr="00DF1D1C">
        <w:tab/>
      </w:r>
      <w:r>
        <w:t>Disclosure of Legal Proceedings and Related Events</w:t>
      </w:r>
    </w:p>
    <w:p w14:paraId="3BC6AAD0" w14:textId="77777777" w:rsidR="00512647" w:rsidRDefault="00AA325F" w:rsidP="00257641">
      <w:pPr>
        <w:pStyle w:val="normal6"/>
      </w:pPr>
      <w:r>
        <w:t>The MCO must notify the Department</w:t>
      </w:r>
      <w:r w:rsidRPr="00AA325F">
        <w:t xml:space="preserve"> of all </w:t>
      </w:r>
      <w:r>
        <w:t xml:space="preserve">legal </w:t>
      </w:r>
      <w:r w:rsidRPr="00AA325F">
        <w:t xml:space="preserve">proceedings, actions, and events </w:t>
      </w:r>
      <w:r w:rsidR="008C3FDA">
        <w:t>relating to the MCO or its Subcontractors</w:t>
      </w:r>
      <w:r w:rsidR="001E4E40">
        <w:t>,</w:t>
      </w:r>
      <w:r w:rsidR="008C3FDA">
        <w:t xml:space="preserve"> a</w:t>
      </w:r>
      <w:r w:rsidR="008C3FDA" w:rsidRPr="008C3FDA">
        <w:t>ffiliates, including parent companies</w:t>
      </w:r>
      <w:r w:rsidR="008C3FDA">
        <w:t>.</w:t>
      </w:r>
      <w:r w:rsidR="00512647">
        <w:t xml:space="preserve"> At a minimum, the following matters must be disclosed:</w:t>
      </w:r>
    </w:p>
    <w:p w14:paraId="4F93D497" w14:textId="77777777" w:rsidR="00512647" w:rsidRDefault="009872D8" w:rsidP="00257641">
      <w:pPr>
        <w:numPr>
          <w:ilvl w:val="0"/>
          <w:numId w:val="112"/>
        </w:numPr>
        <w:spacing w:after="120"/>
        <w:rPr>
          <w:noProof w:val="0"/>
        </w:rPr>
      </w:pPr>
      <w:r>
        <w:rPr>
          <w:noProof w:val="0"/>
        </w:rPr>
        <w:t>W</w:t>
      </w:r>
      <w:r w:rsidR="00512647" w:rsidRPr="00512647">
        <w:rPr>
          <w:noProof w:val="0"/>
        </w:rPr>
        <w:t>histleblower or qui tam actions, complaints, or litigation</w:t>
      </w:r>
      <w:r w:rsidR="00512647">
        <w:rPr>
          <w:noProof w:val="0"/>
        </w:rPr>
        <w:t>;</w:t>
      </w:r>
    </w:p>
    <w:p w14:paraId="754F7553" w14:textId="77777777" w:rsidR="00512647" w:rsidRDefault="009872D8" w:rsidP="00257641">
      <w:pPr>
        <w:numPr>
          <w:ilvl w:val="0"/>
          <w:numId w:val="112"/>
        </w:numPr>
        <w:spacing w:after="120"/>
        <w:rPr>
          <w:noProof w:val="0"/>
        </w:rPr>
      </w:pPr>
      <w:r>
        <w:rPr>
          <w:noProof w:val="0"/>
        </w:rPr>
        <w:t>C</w:t>
      </w:r>
      <w:r w:rsidR="00512647" w:rsidRPr="00512647">
        <w:rPr>
          <w:noProof w:val="0"/>
        </w:rPr>
        <w:t>las</w:t>
      </w:r>
      <w:r w:rsidR="00512647">
        <w:rPr>
          <w:noProof w:val="0"/>
        </w:rPr>
        <w:t>s-action complaints or lawsuits;</w:t>
      </w:r>
    </w:p>
    <w:p w14:paraId="0454F481" w14:textId="77777777" w:rsidR="00512647" w:rsidRDefault="009872D8" w:rsidP="00257641">
      <w:pPr>
        <w:numPr>
          <w:ilvl w:val="0"/>
          <w:numId w:val="112"/>
        </w:numPr>
        <w:spacing w:after="120"/>
        <w:rPr>
          <w:noProof w:val="0"/>
        </w:rPr>
      </w:pPr>
      <w:r>
        <w:rPr>
          <w:noProof w:val="0"/>
        </w:rPr>
        <w:t>L</w:t>
      </w:r>
      <w:r w:rsidR="00512647" w:rsidRPr="00512647">
        <w:rPr>
          <w:noProof w:val="0"/>
        </w:rPr>
        <w:t>egal actions or governmental investigations, alleging fraud or the possibility of fraud;</w:t>
      </w:r>
    </w:p>
    <w:p w14:paraId="4A34BC60" w14:textId="77777777" w:rsidR="00553812" w:rsidRDefault="009872D8" w:rsidP="00257641">
      <w:pPr>
        <w:numPr>
          <w:ilvl w:val="0"/>
          <w:numId w:val="112"/>
        </w:numPr>
        <w:spacing w:after="120"/>
        <w:rPr>
          <w:noProof w:val="0"/>
        </w:rPr>
      </w:pPr>
      <w:r>
        <w:rPr>
          <w:noProof w:val="0"/>
        </w:rPr>
        <w:t>B</w:t>
      </w:r>
      <w:r w:rsidR="00C30942" w:rsidRPr="00C30942">
        <w:rPr>
          <w:noProof w:val="0"/>
        </w:rPr>
        <w:t>ankruptcy proceedings or petitions</w:t>
      </w:r>
      <w:r w:rsidR="00C30942">
        <w:rPr>
          <w:noProof w:val="0"/>
        </w:rPr>
        <w:t xml:space="preserve"> where</w:t>
      </w:r>
      <w:r w:rsidR="00B70C67">
        <w:rPr>
          <w:noProof w:val="0"/>
        </w:rPr>
        <w:t xml:space="preserve"> </w:t>
      </w:r>
      <w:r w:rsidR="001E4E40">
        <w:rPr>
          <w:noProof w:val="0"/>
        </w:rPr>
        <w:t>the</w:t>
      </w:r>
      <w:r w:rsidR="00C30942">
        <w:rPr>
          <w:noProof w:val="0"/>
        </w:rPr>
        <w:t xml:space="preserve"> MCO, or its Subcontractors, a</w:t>
      </w:r>
      <w:r w:rsidR="00C30942" w:rsidRPr="008C3FDA">
        <w:rPr>
          <w:noProof w:val="0"/>
        </w:rPr>
        <w:t>ffiliates, including parent companies</w:t>
      </w:r>
      <w:r w:rsidR="00B70C67">
        <w:rPr>
          <w:noProof w:val="0"/>
        </w:rPr>
        <w:t>,</w:t>
      </w:r>
      <w:r w:rsidR="00C30942">
        <w:rPr>
          <w:noProof w:val="0"/>
        </w:rPr>
        <w:t xml:space="preserve"> are named as a debtor;</w:t>
      </w:r>
      <w:r w:rsidR="0034743F">
        <w:rPr>
          <w:noProof w:val="0"/>
        </w:rPr>
        <w:t xml:space="preserve"> </w:t>
      </w:r>
    </w:p>
    <w:p w14:paraId="642B7B9A" w14:textId="77777777" w:rsidR="00512647" w:rsidRDefault="009872D8" w:rsidP="00257641">
      <w:pPr>
        <w:numPr>
          <w:ilvl w:val="0"/>
          <w:numId w:val="112"/>
        </w:numPr>
        <w:spacing w:after="120"/>
        <w:rPr>
          <w:noProof w:val="0"/>
        </w:rPr>
      </w:pPr>
      <w:r>
        <w:rPr>
          <w:noProof w:val="0"/>
        </w:rPr>
        <w:t>A</w:t>
      </w:r>
      <w:r w:rsidR="00553812">
        <w:rPr>
          <w:noProof w:val="0"/>
        </w:rPr>
        <w:t xml:space="preserve">ny </w:t>
      </w:r>
      <w:r w:rsidR="00553812" w:rsidRPr="00553812">
        <w:rPr>
          <w:noProof w:val="0"/>
        </w:rPr>
        <w:t xml:space="preserve">litigation, mediation, arbitration, </w:t>
      </w:r>
      <w:r w:rsidR="00553812">
        <w:rPr>
          <w:noProof w:val="0"/>
        </w:rPr>
        <w:t xml:space="preserve">between the MCO and its Subcontractor; </w:t>
      </w:r>
      <w:r w:rsidR="0034743F">
        <w:rPr>
          <w:noProof w:val="0"/>
        </w:rPr>
        <w:t>and</w:t>
      </w:r>
    </w:p>
    <w:p w14:paraId="73319CC8" w14:textId="77777777" w:rsidR="008C3FDA" w:rsidRDefault="009872D8" w:rsidP="00257641">
      <w:pPr>
        <w:numPr>
          <w:ilvl w:val="0"/>
          <w:numId w:val="112"/>
        </w:numPr>
      </w:pPr>
      <w:r>
        <w:rPr>
          <w:noProof w:val="0"/>
        </w:rPr>
        <w:t>C</w:t>
      </w:r>
      <w:r w:rsidR="003C0422" w:rsidRPr="003C0422">
        <w:rPr>
          <w:noProof w:val="0"/>
        </w:rPr>
        <w:t>riminal actions brought against the</w:t>
      </w:r>
      <w:r w:rsidR="003C0422">
        <w:rPr>
          <w:noProof w:val="0"/>
        </w:rPr>
        <w:t xml:space="preserve"> MCO, or its Subcontractors, a</w:t>
      </w:r>
      <w:r w:rsidR="003C0422" w:rsidRPr="008C3FDA">
        <w:rPr>
          <w:noProof w:val="0"/>
        </w:rPr>
        <w:t>ffiliates, including parent companies</w:t>
      </w:r>
      <w:r w:rsidR="003C0422">
        <w:rPr>
          <w:noProof w:val="0"/>
        </w:rPr>
        <w:t xml:space="preserve">. </w:t>
      </w:r>
    </w:p>
    <w:p w14:paraId="51589CB1" w14:textId="65D7FB8B" w:rsidR="009B2E98" w:rsidRPr="001E4E40" w:rsidRDefault="00AA325F" w:rsidP="00096A5D">
      <w:pPr>
        <w:pStyle w:val="BodyText"/>
        <w:rPr>
          <w:sz w:val="20"/>
        </w:rPr>
      </w:pPr>
      <w:r w:rsidRPr="001E4E40">
        <w:t xml:space="preserve">The MCO must provide written notification within </w:t>
      </w:r>
      <w:r w:rsidR="008C3782">
        <w:t>thirty (</w:t>
      </w:r>
      <w:r w:rsidRPr="001E4E40">
        <w:t>30</w:t>
      </w:r>
      <w:r w:rsidR="008C3782">
        <w:t>)</w:t>
      </w:r>
      <w:r w:rsidR="00CA662C">
        <w:t xml:space="preserve"> </w:t>
      </w:r>
      <w:r w:rsidRPr="001E4E40">
        <w:t>calendar days af</w:t>
      </w:r>
      <w:r w:rsidR="005C1369">
        <w:t>ter becoming aware of a matter</w:t>
      </w:r>
      <w:r w:rsidR="005C1369" w:rsidRPr="00CA4626">
        <w:t xml:space="preserve">. A summary, in the form of a memo, </w:t>
      </w:r>
      <w:r w:rsidR="006876E5">
        <w:t>must</w:t>
      </w:r>
      <w:r w:rsidR="006876E5" w:rsidRPr="00CA4626">
        <w:t xml:space="preserve"> </w:t>
      </w:r>
      <w:r w:rsidR="005C1369" w:rsidRPr="00CA4626">
        <w:t xml:space="preserve">meet the requirements of notification to </w:t>
      </w:r>
      <w:r w:rsidR="002028F8">
        <w:t>DHHR</w:t>
      </w:r>
      <w:r w:rsidR="005C1369" w:rsidRPr="00CA4626">
        <w:t xml:space="preserve">. All other legal proceedings, actions, and events may be requested at the </w:t>
      </w:r>
      <w:r w:rsidR="002028F8">
        <w:t>DHHR</w:t>
      </w:r>
      <w:r w:rsidR="002028F8" w:rsidRPr="00CA4626">
        <w:t xml:space="preserve">’s </w:t>
      </w:r>
      <w:r w:rsidR="005C1369" w:rsidRPr="00CA4626">
        <w:t>discretion, but are not required to be reported upon awareness of occurrence.</w:t>
      </w:r>
      <w:r w:rsidR="005C1369">
        <w:t xml:space="preserve"> </w:t>
      </w:r>
    </w:p>
    <w:p w14:paraId="4F800BD7" w14:textId="77777777" w:rsidR="009B2E98" w:rsidRDefault="009B2E98" w:rsidP="00096A5D">
      <w:pPr>
        <w:pStyle w:val="BodyText"/>
      </w:pPr>
    </w:p>
    <w:p w14:paraId="7E531344" w14:textId="77777777" w:rsidR="00CD4383" w:rsidRPr="00DF1D1C" w:rsidRDefault="00CD4383" w:rsidP="007610FD">
      <w:pPr>
        <w:pStyle w:val="Heading2"/>
      </w:pPr>
      <w:r w:rsidRPr="00DF1D1C">
        <w:br w:type="page"/>
      </w:r>
      <w:bookmarkStart w:id="87" w:name="_Toc8129006"/>
      <w:r w:rsidR="00851ED0">
        <w:lastRenderedPageBreak/>
        <w:t xml:space="preserve">9. </w:t>
      </w:r>
      <w:r w:rsidRPr="00DF1D1C">
        <w:t>SIGNATURES</w:t>
      </w:r>
      <w:bookmarkEnd w:id="87"/>
    </w:p>
    <w:p w14:paraId="11A45792" w14:textId="77777777" w:rsidR="00CD4383" w:rsidRPr="00DF1D1C" w:rsidRDefault="00CD4383" w:rsidP="00257641">
      <w:pPr>
        <w:tabs>
          <w:tab w:val="left" w:pos="0"/>
          <w:tab w:val="left" w:pos="360"/>
          <w:tab w:val="right" w:pos="386"/>
          <w:tab w:val="left" w:pos="720"/>
          <w:tab w:val="right" w:pos="8093"/>
        </w:tabs>
      </w:pPr>
      <w:r w:rsidRPr="00DF1D1C">
        <w:t>Each party accepts the Agreement</w:t>
      </w:r>
      <w:r w:rsidR="00FA1C0C" w:rsidRPr="00DF1D1C">
        <w:t>’</w:t>
      </w:r>
      <w:r w:rsidRPr="00DF1D1C">
        <w:t>s terms as formally acknowledged below:</w:t>
      </w:r>
    </w:p>
    <w:p w14:paraId="30F70099" w14:textId="77777777" w:rsidR="00CD4383" w:rsidRPr="00DF1D1C" w:rsidRDefault="00CD4383" w:rsidP="00257641">
      <w:pPr>
        <w:tabs>
          <w:tab w:val="left" w:pos="0"/>
          <w:tab w:val="left" w:pos="360"/>
          <w:tab w:val="right" w:pos="386"/>
          <w:tab w:val="left" w:pos="720"/>
          <w:tab w:val="right" w:pos="8093"/>
        </w:tabs>
        <w:rPr>
          <w:b/>
          <w:noProof w:val="0"/>
        </w:rPr>
      </w:pPr>
      <w:r w:rsidRPr="00DF1D1C">
        <w:rPr>
          <w:b/>
          <w:noProof w:val="0"/>
        </w:rPr>
        <w:t>West Virginia Department of Health and Human Resources</w:t>
      </w:r>
    </w:p>
    <w:p w14:paraId="13926C0A" w14:textId="34ED731E" w:rsidR="00CD4383" w:rsidRPr="00DF1D1C" w:rsidRDefault="00CD4383" w:rsidP="00257641">
      <w:pPr>
        <w:tabs>
          <w:tab w:val="left" w:pos="0"/>
          <w:tab w:val="left" w:pos="360"/>
          <w:tab w:val="right" w:pos="386"/>
          <w:tab w:val="left" w:pos="720"/>
          <w:tab w:val="right" w:pos="3960"/>
        </w:tabs>
        <w:rPr>
          <w:i/>
          <w:noProof w:val="0"/>
          <w:u w:val="single"/>
        </w:rPr>
      </w:pPr>
      <w:r w:rsidRPr="00DF1D1C">
        <w:t>Signature:</w:t>
      </w:r>
      <w:r w:rsidR="00F24820">
        <w:t xml:space="preserve"> </w:t>
      </w:r>
      <w:r w:rsidRPr="00DF1D1C">
        <w:rPr>
          <w:noProof w:val="0"/>
          <w:u w:val="single"/>
        </w:rPr>
        <w:tab/>
      </w:r>
    </w:p>
    <w:p w14:paraId="170B3082" w14:textId="146608AA" w:rsidR="00CD4383" w:rsidRPr="00DF1D1C" w:rsidRDefault="00CD4383" w:rsidP="00257641">
      <w:pPr>
        <w:tabs>
          <w:tab w:val="left" w:pos="0"/>
          <w:tab w:val="left" w:pos="360"/>
          <w:tab w:val="right" w:pos="386"/>
          <w:tab w:val="left" w:pos="720"/>
          <w:tab w:val="right" w:pos="3960"/>
        </w:tabs>
        <w:rPr>
          <w:noProof w:val="0"/>
          <w:u w:val="single"/>
        </w:rPr>
      </w:pPr>
      <w:r w:rsidRPr="00DF1D1C">
        <w:t>Printed Name:</w:t>
      </w:r>
      <w:r w:rsidR="00F24820">
        <w:t xml:space="preserve"> </w:t>
      </w:r>
      <w:r w:rsidRPr="00DF1D1C">
        <w:rPr>
          <w:noProof w:val="0"/>
          <w:u w:val="single"/>
        </w:rPr>
        <w:tab/>
      </w:r>
    </w:p>
    <w:p w14:paraId="6B1280F3" w14:textId="29670F2B" w:rsidR="00CD4383" w:rsidRPr="00DF1D1C" w:rsidRDefault="00CD4383" w:rsidP="00257641">
      <w:pPr>
        <w:tabs>
          <w:tab w:val="left" w:pos="0"/>
          <w:tab w:val="left" w:pos="360"/>
          <w:tab w:val="right" w:pos="386"/>
          <w:tab w:val="left" w:pos="720"/>
          <w:tab w:val="right" w:pos="3960"/>
        </w:tabs>
        <w:rPr>
          <w:noProof w:val="0"/>
          <w:u w:val="single"/>
        </w:rPr>
      </w:pPr>
      <w:r w:rsidRPr="00DF1D1C">
        <w:t>Title:</w:t>
      </w:r>
      <w:r w:rsidR="00F24820">
        <w:t xml:space="preserve"> </w:t>
      </w:r>
      <w:r w:rsidRPr="00DF1D1C">
        <w:rPr>
          <w:noProof w:val="0"/>
          <w:u w:val="single"/>
        </w:rPr>
        <w:tab/>
      </w:r>
      <w:r w:rsidRPr="00DF1D1C">
        <w:rPr>
          <w:noProof w:val="0"/>
          <w:u w:val="single"/>
        </w:rPr>
        <w:tab/>
      </w:r>
    </w:p>
    <w:p w14:paraId="0BFD80A0" w14:textId="71BD9AF1" w:rsidR="00CD4383" w:rsidRDefault="00CD4383" w:rsidP="00257641">
      <w:pPr>
        <w:tabs>
          <w:tab w:val="left" w:pos="0"/>
          <w:tab w:val="left" w:pos="360"/>
          <w:tab w:val="right" w:pos="386"/>
          <w:tab w:val="left" w:pos="720"/>
          <w:tab w:val="right" w:pos="3960"/>
        </w:tabs>
        <w:rPr>
          <w:noProof w:val="0"/>
          <w:u w:val="single"/>
        </w:rPr>
      </w:pPr>
      <w:r w:rsidRPr="00DF1D1C">
        <w:t>Date:</w:t>
      </w:r>
      <w:r w:rsidR="00F24820">
        <w:t xml:space="preserve"> </w:t>
      </w:r>
      <w:r w:rsidRPr="00DF1D1C">
        <w:rPr>
          <w:noProof w:val="0"/>
          <w:u w:val="single"/>
        </w:rPr>
        <w:tab/>
      </w:r>
      <w:r w:rsidRPr="00DF1D1C">
        <w:rPr>
          <w:noProof w:val="0"/>
          <w:u w:val="single"/>
        </w:rPr>
        <w:tab/>
      </w:r>
    </w:p>
    <w:p w14:paraId="78C2B4BB" w14:textId="77777777" w:rsidR="00CE6D70" w:rsidRDefault="00CE6D70" w:rsidP="00257641">
      <w:pPr>
        <w:tabs>
          <w:tab w:val="left" w:pos="0"/>
          <w:tab w:val="left" w:pos="360"/>
          <w:tab w:val="right" w:pos="386"/>
          <w:tab w:val="left" w:pos="720"/>
          <w:tab w:val="right" w:pos="8093"/>
        </w:tabs>
      </w:pPr>
      <w:r w:rsidRPr="00CE6D70">
        <w:rPr>
          <w:b/>
          <w:noProof w:val="0"/>
        </w:rPr>
        <w:t>State of West Virginia, Department of Administration Purchasing Division</w:t>
      </w:r>
    </w:p>
    <w:p w14:paraId="67EEDD15" w14:textId="11EE03D8" w:rsidR="00CE6D70" w:rsidRPr="00DF1D1C" w:rsidRDefault="00CE6D70" w:rsidP="00257641">
      <w:pPr>
        <w:tabs>
          <w:tab w:val="left" w:pos="0"/>
          <w:tab w:val="left" w:pos="360"/>
          <w:tab w:val="right" w:pos="386"/>
          <w:tab w:val="left" w:pos="720"/>
          <w:tab w:val="right" w:pos="3960"/>
        </w:tabs>
        <w:rPr>
          <w:i/>
          <w:noProof w:val="0"/>
          <w:u w:val="single"/>
        </w:rPr>
      </w:pPr>
      <w:r w:rsidRPr="00DF1D1C">
        <w:t>Signature:</w:t>
      </w:r>
      <w:r w:rsidR="00F24820">
        <w:t xml:space="preserve"> </w:t>
      </w:r>
      <w:r w:rsidRPr="00DF1D1C">
        <w:rPr>
          <w:noProof w:val="0"/>
          <w:u w:val="single"/>
        </w:rPr>
        <w:tab/>
      </w:r>
    </w:p>
    <w:p w14:paraId="2A79675B" w14:textId="73162558" w:rsidR="00CE6D70" w:rsidRPr="00DF1D1C" w:rsidRDefault="00CE6D70" w:rsidP="00257641">
      <w:pPr>
        <w:tabs>
          <w:tab w:val="left" w:pos="0"/>
          <w:tab w:val="left" w:pos="360"/>
          <w:tab w:val="right" w:pos="386"/>
          <w:tab w:val="left" w:pos="720"/>
          <w:tab w:val="right" w:pos="3960"/>
        </w:tabs>
        <w:rPr>
          <w:noProof w:val="0"/>
          <w:u w:val="single"/>
        </w:rPr>
      </w:pPr>
      <w:r w:rsidRPr="00DF1D1C">
        <w:t>Printed Name:</w:t>
      </w:r>
      <w:r w:rsidR="00F24820">
        <w:t xml:space="preserve"> </w:t>
      </w:r>
      <w:r w:rsidRPr="00DF1D1C">
        <w:rPr>
          <w:noProof w:val="0"/>
          <w:u w:val="single"/>
        </w:rPr>
        <w:tab/>
      </w:r>
    </w:p>
    <w:p w14:paraId="34BB9DED" w14:textId="33A3A3CB" w:rsidR="00CE6D70" w:rsidRPr="00DF1D1C" w:rsidRDefault="00CE6D70" w:rsidP="00257641">
      <w:pPr>
        <w:tabs>
          <w:tab w:val="left" w:pos="0"/>
          <w:tab w:val="left" w:pos="360"/>
          <w:tab w:val="right" w:pos="386"/>
          <w:tab w:val="left" w:pos="720"/>
          <w:tab w:val="right" w:pos="3960"/>
        </w:tabs>
        <w:rPr>
          <w:noProof w:val="0"/>
          <w:u w:val="single"/>
        </w:rPr>
      </w:pPr>
      <w:r w:rsidRPr="00DF1D1C">
        <w:t>Title:</w:t>
      </w:r>
      <w:r w:rsidR="00F24820">
        <w:t xml:space="preserve"> </w:t>
      </w:r>
      <w:r w:rsidRPr="00DF1D1C">
        <w:rPr>
          <w:noProof w:val="0"/>
          <w:u w:val="single"/>
        </w:rPr>
        <w:tab/>
      </w:r>
      <w:r w:rsidRPr="00DF1D1C">
        <w:rPr>
          <w:noProof w:val="0"/>
          <w:u w:val="single"/>
        </w:rPr>
        <w:tab/>
      </w:r>
    </w:p>
    <w:p w14:paraId="3709F3E3" w14:textId="27CF8248" w:rsidR="00CE6D70" w:rsidRDefault="00CE6D70" w:rsidP="00257641">
      <w:pPr>
        <w:tabs>
          <w:tab w:val="left" w:pos="0"/>
          <w:tab w:val="left" w:pos="360"/>
          <w:tab w:val="right" w:pos="386"/>
          <w:tab w:val="left" w:pos="720"/>
          <w:tab w:val="right" w:pos="3960"/>
        </w:tabs>
        <w:rPr>
          <w:noProof w:val="0"/>
          <w:u w:val="single"/>
        </w:rPr>
      </w:pPr>
      <w:r w:rsidRPr="00DF1D1C">
        <w:t>Date:</w:t>
      </w:r>
      <w:r w:rsidR="00F24820">
        <w:t xml:space="preserve"> </w:t>
      </w:r>
      <w:r w:rsidRPr="00DF1D1C">
        <w:rPr>
          <w:noProof w:val="0"/>
          <w:u w:val="single"/>
        </w:rPr>
        <w:tab/>
      </w:r>
      <w:r w:rsidRPr="00DF1D1C">
        <w:rPr>
          <w:noProof w:val="0"/>
          <w:u w:val="single"/>
        </w:rPr>
        <w:tab/>
      </w:r>
    </w:p>
    <w:p w14:paraId="4983F2F3" w14:textId="77777777" w:rsidR="00CD4383" w:rsidRPr="00DF1D1C" w:rsidRDefault="001D0428" w:rsidP="00257641">
      <w:pPr>
        <w:tabs>
          <w:tab w:val="left" w:pos="0"/>
          <w:tab w:val="left" w:pos="360"/>
          <w:tab w:val="right" w:pos="386"/>
          <w:tab w:val="left" w:pos="720"/>
          <w:tab w:val="right" w:pos="8093"/>
        </w:tabs>
        <w:rPr>
          <w:b/>
          <w:noProof w:val="0"/>
        </w:rPr>
      </w:pPr>
      <w:r w:rsidRPr="00DF1D1C">
        <w:rPr>
          <w:b/>
          <w:noProof w:val="0"/>
        </w:rPr>
        <w:t>Managed Care Organization</w:t>
      </w:r>
    </w:p>
    <w:p w14:paraId="7F518409" w14:textId="5EC5CE55" w:rsidR="00CD4383" w:rsidRPr="00DF1D1C" w:rsidRDefault="00CD4383" w:rsidP="00257641">
      <w:pPr>
        <w:tabs>
          <w:tab w:val="left" w:pos="0"/>
          <w:tab w:val="left" w:pos="360"/>
          <w:tab w:val="right" w:pos="386"/>
          <w:tab w:val="left" w:pos="720"/>
          <w:tab w:val="right" w:pos="3960"/>
        </w:tabs>
        <w:rPr>
          <w:i/>
          <w:noProof w:val="0"/>
          <w:u w:val="single"/>
        </w:rPr>
      </w:pPr>
      <w:r w:rsidRPr="00DF1D1C">
        <w:t>Signature:</w:t>
      </w:r>
      <w:r w:rsidR="00F24820">
        <w:t xml:space="preserve"> </w:t>
      </w:r>
      <w:r w:rsidRPr="00DF1D1C">
        <w:rPr>
          <w:noProof w:val="0"/>
          <w:u w:val="single"/>
        </w:rPr>
        <w:tab/>
      </w:r>
    </w:p>
    <w:p w14:paraId="33C33853" w14:textId="65898C56" w:rsidR="00CD4383" w:rsidRPr="00DF1D1C" w:rsidRDefault="00CD4383" w:rsidP="00257641">
      <w:pPr>
        <w:tabs>
          <w:tab w:val="left" w:pos="0"/>
          <w:tab w:val="left" w:pos="360"/>
          <w:tab w:val="right" w:pos="386"/>
          <w:tab w:val="left" w:pos="720"/>
          <w:tab w:val="right" w:pos="3960"/>
        </w:tabs>
        <w:rPr>
          <w:noProof w:val="0"/>
          <w:u w:val="single"/>
        </w:rPr>
      </w:pPr>
      <w:r w:rsidRPr="00DF1D1C">
        <w:t>Printed Name:</w:t>
      </w:r>
      <w:r w:rsidR="00F24820">
        <w:t xml:space="preserve"> </w:t>
      </w:r>
      <w:r w:rsidRPr="00DF1D1C">
        <w:rPr>
          <w:noProof w:val="0"/>
          <w:u w:val="single"/>
        </w:rPr>
        <w:tab/>
      </w:r>
    </w:p>
    <w:p w14:paraId="418F56AB" w14:textId="68D9A9F0" w:rsidR="00CD4383" w:rsidRPr="00DF1D1C" w:rsidRDefault="00CD4383" w:rsidP="00257641">
      <w:pPr>
        <w:tabs>
          <w:tab w:val="left" w:pos="0"/>
          <w:tab w:val="left" w:pos="360"/>
          <w:tab w:val="right" w:pos="386"/>
          <w:tab w:val="left" w:pos="720"/>
          <w:tab w:val="right" w:pos="3960"/>
        </w:tabs>
        <w:rPr>
          <w:noProof w:val="0"/>
          <w:u w:val="single"/>
        </w:rPr>
      </w:pPr>
      <w:r w:rsidRPr="00DF1D1C">
        <w:t>Title:</w:t>
      </w:r>
      <w:r w:rsidR="00F24820">
        <w:t xml:space="preserve"> </w:t>
      </w:r>
      <w:r w:rsidRPr="00DF1D1C">
        <w:rPr>
          <w:noProof w:val="0"/>
          <w:u w:val="single"/>
        </w:rPr>
        <w:tab/>
      </w:r>
      <w:r w:rsidRPr="00DF1D1C">
        <w:rPr>
          <w:noProof w:val="0"/>
          <w:u w:val="single"/>
        </w:rPr>
        <w:tab/>
      </w:r>
    </w:p>
    <w:p w14:paraId="24D0E28A" w14:textId="01594F35" w:rsidR="00CD4383" w:rsidRPr="00DF1D1C" w:rsidRDefault="00CD4383" w:rsidP="00257641">
      <w:pPr>
        <w:tabs>
          <w:tab w:val="left" w:pos="0"/>
          <w:tab w:val="left" w:pos="360"/>
          <w:tab w:val="right" w:pos="386"/>
          <w:tab w:val="left" w:pos="720"/>
          <w:tab w:val="right" w:pos="3960"/>
        </w:tabs>
        <w:rPr>
          <w:noProof w:val="0"/>
          <w:u w:val="single"/>
        </w:rPr>
      </w:pPr>
      <w:r w:rsidRPr="00DF1D1C">
        <w:t>Date:</w:t>
      </w:r>
      <w:r w:rsidR="00F24820">
        <w:t xml:space="preserve"> </w:t>
      </w:r>
      <w:r w:rsidRPr="00DF1D1C">
        <w:rPr>
          <w:noProof w:val="0"/>
          <w:u w:val="single"/>
        </w:rPr>
        <w:tab/>
      </w:r>
      <w:r w:rsidRPr="00DF1D1C">
        <w:rPr>
          <w:noProof w:val="0"/>
          <w:u w:val="single"/>
        </w:rPr>
        <w:tab/>
      </w:r>
    </w:p>
    <w:p w14:paraId="7C8F98AD" w14:textId="77777777" w:rsidR="00CC5BB1" w:rsidRPr="00DF1D1C" w:rsidRDefault="00CC5BB1" w:rsidP="00257641">
      <w:pPr>
        <w:tabs>
          <w:tab w:val="left" w:pos="0"/>
          <w:tab w:val="left" w:pos="360"/>
          <w:tab w:val="right" w:pos="386"/>
          <w:tab w:val="left" w:pos="720"/>
          <w:tab w:val="right" w:pos="3960"/>
        </w:tabs>
        <w:rPr>
          <w:noProof w:val="0"/>
          <w:u w:val="single"/>
        </w:rPr>
      </w:pPr>
    </w:p>
    <w:p w14:paraId="2BE12F2B" w14:textId="77777777" w:rsidR="009A0060" w:rsidRPr="00DF1D1C" w:rsidRDefault="009A0060" w:rsidP="00257641">
      <w:pPr>
        <w:tabs>
          <w:tab w:val="left" w:pos="0"/>
          <w:tab w:val="left" w:pos="360"/>
          <w:tab w:val="right" w:pos="386"/>
          <w:tab w:val="left" w:pos="720"/>
          <w:tab w:val="right" w:pos="3960"/>
        </w:tabs>
        <w:rPr>
          <w:noProof w:val="0"/>
          <w:u w:val="single"/>
        </w:rPr>
        <w:sectPr w:rsidR="009A0060" w:rsidRPr="00DF1D1C" w:rsidSect="00154FEE">
          <w:footerReference w:type="default" r:id="rId18"/>
          <w:footerReference w:type="first" r:id="rId19"/>
          <w:endnotePr>
            <w:numFmt w:val="decimal"/>
          </w:endnotePr>
          <w:pgSz w:w="12240" w:h="15840" w:code="1"/>
          <w:pgMar w:top="1440" w:right="1440" w:bottom="1440" w:left="1440" w:header="720" w:footer="720" w:gutter="0"/>
          <w:pgNumType w:start="1"/>
          <w:cols w:space="720"/>
        </w:sectPr>
      </w:pPr>
    </w:p>
    <w:p w14:paraId="78DB4415" w14:textId="36FA4E8E" w:rsidR="009A0060" w:rsidRPr="00DF1D1C" w:rsidRDefault="009A0060" w:rsidP="00257641">
      <w:pPr>
        <w:pStyle w:val="Heading1"/>
      </w:pPr>
      <w:bookmarkStart w:id="88" w:name="_Toc73441778"/>
      <w:bookmarkStart w:id="89" w:name="_Toc8129007"/>
      <w:r w:rsidRPr="00DF1D1C">
        <w:lastRenderedPageBreak/>
        <w:t>Article III:</w:t>
      </w:r>
      <w:r w:rsidR="00F24820">
        <w:t xml:space="preserve"> </w:t>
      </w:r>
      <w:r w:rsidRPr="00DF1D1C">
        <w:t>Statement of Work</w:t>
      </w:r>
      <w:bookmarkEnd w:id="88"/>
      <w:bookmarkEnd w:id="89"/>
    </w:p>
    <w:p w14:paraId="7088A96E" w14:textId="5480289F" w:rsidR="005068A8" w:rsidRDefault="00262289" w:rsidP="007610FD">
      <w:pPr>
        <w:pStyle w:val="Heading2"/>
      </w:pPr>
      <w:bookmarkStart w:id="90" w:name="_Toc8129008"/>
      <w:bookmarkStart w:id="91" w:name="_Toc73441779"/>
      <w:r>
        <w:t xml:space="preserve">1. </w:t>
      </w:r>
      <w:r w:rsidR="005068A8">
        <w:t>COVERED POPULATIONS</w:t>
      </w:r>
      <w:bookmarkEnd w:id="90"/>
    </w:p>
    <w:p w14:paraId="379355E2" w14:textId="2A529D83" w:rsidR="005A486E" w:rsidRDefault="005A486E" w:rsidP="00257641">
      <w:pPr>
        <w:pStyle w:val="normal6"/>
      </w:pPr>
      <w:r w:rsidRPr="005A486E">
        <w:t>The following populations will be served by the MCO:</w:t>
      </w:r>
    </w:p>
    <w:p w14:paraId="513835DC" w14:textId="659F4BD6" w:rsidR="005A486E" w:rsidRDefault="005A486E" w:rsidP="00257641">
      <w:pPr>
        <w:pStyle w:val="bullet1"/>
      </w:pPr>
      <w:r>
        <w:t>Children</w:t>
      </w:r>
      <w:r w:rsidR="00AB5F64">
        <w:t xml:space="preserve"> and youth</w:t>
      </w:r>
      <w:r>
        <w:t xml:space="preserve"> who are in foster care</w:t>
      </w:r>
      <w:r w:rsidR="007E6869">
        <w:t xml:space="preserve"> </w:t>
      </w:r>
      <w:r w:rsidR="00944DF9">
        <w:t>(</w:t>
      </w:r>
      <w:r w:rsidR="007E6869">
        <w:t xml:space="preserve">effective </w:t>
      </w:r>
      <w:r w:rsidR="00A22632">
        <w:t xml:space="preserve">January </w:t>
      </w:r>
      <w:r w:rsidR="007E6869">
        <w:t>1, 20</w:t>
      </w:r>
      <w:r w:rsidR="00A22632">
        <w:t>20</w:t>
      </w:r>
      <w:r w:rsidR="00944DF9">
        <w:t>)</w:t>
      </w:r>
      <w:r>
        <w:t>;</w:t>
      </w:r>
      <w:r w:rsidRPr="005A486E">
        <w:t xml:space="preserve"> </w:t>
      </w:r>
    </w:p>
    <w:p w14:paraId="0DA873F4" w14:textId="7FB5FD10" w:rsidR="005A486E" w:rsidRDefault="005A486E" w:rsidP="00257641">
      <w:pPr>
        <w:pStyle w:val="bullet1"/>
      </w:pPr>
      <w:r>
        <w:t>Individuals receiving adoption assistance</w:t>
      </w:r>
      <w:r w:rsidR="007E6869">
        <w:t xml:space="preserve"> </w:t>
      </w:r>
      <w:r w:rsidR="00944DF9">
        <w:t>(</w:t>
      </w:r>
      <w:r w:rsidR="007E6869">
        <w:t xml:space="preserve">effective </w:t>
      </w:r>
      <w:r w:rsidR="00A22632">
        <w:t xml:space="preserve">January </w:t>
      </w:r>
      <w:r w:rsidR="007E6869">
        <w:t>1, 20</w:t>
      </w:r>
      <w:r w:rsidR="00A22632">
        <w:t>20</w:t>
      </w:r>
      <w:r w:rsidR="00944DF9">
        <w:t>)</w:t>
      </w:r>
      <w:r>
        <w:t>;</w:t>
      </w:r>
      <w:r w:rsidRPr="005A486E">
        <w:t xml:space="preserve"> </w:t>
      </w:r>
    </w:p>
    <w:p w14:paraId="0509D16C" w14:textId="20F36CE4" w:rsidR="005A486E" w:rsidRDefault="00AB5F64" w:rsidP="00257641">
      <w:pPr>
        <w:pStyle w:val="bullet1"/>
      </w:pPr>
      <w:r>
        <w:t xml:space="preserve">Individuals between 18 and 26 </w:t>
      </w:r>
      <w:r w:rsidR="005A486E">
        <w:t>who were formerly in foster care</w:t>
      </w:r>
      <w:r w:rsidR="007E6869">
        <w:t xml:space="preserve"> </w:t>
      </w:r>
      <w:r w:rsidR="00944DF9">
        <w:t>(</w:t>
      </w:r>
      <w:r w:rsidR="007E6869">
        <w:t>to be phased in on or after J</w:t>
      </w:r>
      <w:r w:rsidR="00D35157">
        <w:t>uly</w:t>
      </w:r>
      <w:r w:rsidR="001543F3">
        <w:t xml:space="preserve"> </w:t>
      </w:r>
      <w:r w:rsidR="007E6869">
        <w:t>1, 2020</w:t>
      </w:r>
      <w:r w:rsidR="00944DF9">
        <w:t>)</w:t>
      </w:r>
      <w:r w:rsidR="005A486E">
        <w:t xml:space="preserve">; and </w:t>
      </w:r>
    </w:p>
    <w:p w14:paraId="3F4E9134" w14:textId="1F445695" w:rsidR="005A486E" w:rsidRDefault="005A486E" w:rsidP="00257641">
      <w:pPr>
        <w:pStyle w:val="bullet1last"/>
      </w:pPr>
      <w:r>
        <w:t>C</w:t>
      </w:r>
      <w:r w:rsidRPr="005A486E">
        <w:t>hildren</w:t>
      </w:r>
      <w:r w:rsidR="00AB5F64">
        <w:t>, yo</w:t>
      </w:r>
      <w:r w:rsidR="00AB5F64" w:rsidRPr="00C57F68">
        <w:t>uth,</w:t>
      </w:r>
      <w:r w:rsidRPr="00C57F68">
        <w:t xml:space="preserve"> and </w:t>
      </w:r>
      <w:r w:rsidR="001543F3" w:rsidRPr="00C57F68">
        <w:t>parents</w:t>
      </w:r>
      <w:r w:rsidRPr="00C57F68">
        <w:t xml:space="preserve"> at-risk of entering or re-entering foster care</w:t>
      </w:r>
      <w:r w:rsidR="007E6869" w:rsidRPr="00C57F68">
        <w:t xml:space="preserve"> </w:t>
      </w:r>
      <w:r w:rsidR="00944DF9">
        <w:t>(</w:t>
      </w:r>
      <w:r w:rsidR="007E6869" w:rsidRPr="00C57F68">
        <w:t>to be phased in on</w:t>
      </w:r>
      <w:r w:rsidR="007E6869">
        <w:t xml:space="preserve"> or after July 1, 2020</w:t>
      </w:r>
      <w:r w:rsidR="00944DF9">
        <w:t>)</w:t>
      </w:r>
      <w:r>
        <w:t>.</w:t>
      </w:r>
    </w:p>
    <w:p w14:paraId="0ECFD411" w14:textId="4F4875A7" w:rsidR="009A0060" w:rsidRPr="0093307D" w:rsidRDefault="00262289" w:rsidP="007610FD">
      <w:pPr>
        <w:pStyle w:val="Heading2"/>
      </w:pPr>
      <w:bookmarkStart w:id="92" w:name="_Toc8129009"/>
      <w:r>
        <w:t xml:space="preserve">2. </w:t>
      </w:r>
      <w:r w:rsidR="009A0060" w:rsidRPr="00C57F68">
        <w:t>COVERED</w:t>
      </w:r>
      <w:r w:rsidR="009A0060" w:rsidRPr="0093307D">
        <w:t xml:space="preserve"> SERVICES</w:t>
      </w:r>
      <w:bookmarkEnd w:id="91"/>
      <w:bookmarkEnd w:id="92"/>
    </w:p>
    <w:p w14:paraId="56073C28" w14:textId="61677E4A" w:rsidR="009A0060" w:rsidRPr="00DF1D1C" w:rsidRDefault="005068A8" w:rsidP="00257641">
      <w:pPr>
        <w:pStyle w:val="Heading3"/>
      </w:pPr>
      <w:bookmarkStart w:id="93" w:name="_Toc73441780"/>
      <w:bookmarkStart w:id="94" w:name="_Toc8129010"/>
      <w:r>
        <w:t>2</w:t>
      </w:r>
      <w:r w:rsidR="009A0060" w:rsidRPr="00DF1D1C">
        <w:t>.1</w:t>
      </w:r>
      <w:r w:rsidR="009A0060" w:rsidRPr="00DF1D1C">
        <w:tab/>
        <w:t>Covered MCO Services</w:t>
      </w:r>
      <w:bookmarkEnd w:id="93"/>
      <w:bookmarkEnd w:id="94"/>
    </w:p>
    <w:p w14:paraId="6E9BBC45" w14:textId="59F4B717" w:rsidR="009A0060" w:rsidRPr="00DF1D1C" w:rsidRDefault="009A0060" w:rsidP="00096A5D">
      <w:pPr>
        <w:pStyle w:val="BodyText"/>
      </w:pPr>
      <w:r w:rsidRPr="00DF1D1C">
        <w:t xml:space="preserve">The MCO </w:t>
      </w:r>
      <w:r w:rsidR="003D6C79">
        <w:t xml:space="preserve">must </w:t>
      </w:r>
      <w:r w:rsidRPr="00DF1D1C">
        <w:t xml:space="preserve">provide to enrollees enrolled under this </w:t>
      </w:r>
      <w:r w:rsidR="00036D05">
        <w:t>C</w:t>
      </w:r>
      <w:r w:rsidRPr="00DF1D1C">
        <w:t xml:space="preserve">ontract, directly or through arrangements with others, all of the covered services described in </w:t>
      </w:r>
      <w:r w:rsidR="009B19C2">
        <w:t xml:space="preserve">Contract </w:t>
      </w:r>
      <w:r w:rsidR="00F33B38">
        <w:t>Appendix</w:t>
      </w:r>
      <w:r w:rsidRPr="00DF1D1C">
        <w:t xml:space="preserve"> A</w:t>
      </w:r>
      <w:r w:rsidR="00492E72" w:rsidRPr="00DF1D1C">
        <w:t xml:space="preserve"> (Description of Covered and Excluded Services)</w:t>
      </w:r>
      <w:r w:rsidRPr="00DF1D1C">
        <w:t xml:space="preserve">. </w:t>
      </w:r>
      <w:r w:rsidR="009B19C2">
        <w:t xml:space="preserve">Contract </w:t>
      </w:r>
      <w:r w:rsidR="00F33B38">
        <w:t>Appendix</w:t>
      </w:r>
      <w:r w:rsidRPr="00DF1D1C">
        <w:t xml:space="preserve"> A presents an explanation of the medical</w:t>
      </w:r>
      <w:r w:rsidR="006B7A8A">
        <w:t xml:space="preserve">, </w:t>
      </w:r>
      <w:r w:rsidR="00B478A6">
        <w:t xml:space="preserve">dental, </w:t>
      </w:r>
      <w:r w:rsidR="006B7A8A">
        <w:t xml:space="preserve">behavioral health, </w:t>
      </w:r>
      <w:r w:rsidR="00B478A6">
        <w:t xml:space="preserve">and </w:t>
      </w:r>
      <w:r w:rsidR="002028F8">
        <w:t xml:space="preserve">residential, </w:t>
      </w:r>
      <w:r w:rsidRPr="00DF1D1C">
        <w:t>which the MCO is required to provide, as well as those which are excluded</w:t>
      </w:r>
      <w:r w:rsidR="006B7A8A">
        <w:t xml:space="preserve">. </w:t>
      </w:r>
      <w:r w:rsidR="00B478A6">
        <w:t xml:space="preserve">It also includes the types of SNS services provided through the ASO. </w:t>
      </w:r>
      <w:r w:rsidR="006B7A8A">
        <w:t>H</w:t>
      </w:r>
      <w:r w:rsidRPr="00DF1D1C">
        <w:t xml:space="preserve">owever, the Medicaid policy is the final source for defining </w:t>
      </w:r>
      <w:r w:rsidR="006B7A8A">
        <w:t xml:space="preserve">Medicaid covered </w:t>
      </w:r>
      <w:r w:rsidRPr="00DF1D1C">
        <w:t>services. Medicaid policy collectively refers to documents and other written materials including the State Medicaid plan, program instructions, attendant provider manuals, program bulletins</w:t>
      </w:r>
      <w:r w:rsidR="004269FE" w:rsidRPr="00DF1D1C">
        <w:t>,</w:t>
      </w:r>
      <w:r w:rsidRPr="00DF1D1C">
        <w:t xml:space="preserve"> and all published policy decisions issued by BMS. These </w:t>
      </w:r>
      <w:r w:rsidR="006B7A8A">
        <w:t xml:space="preserve">Medicaid </w:t>
      </w:r>
      <w:r w:rsidRPr="00DF1D1C">
        <w:t xml:space="preserve">materials are available through BMS. </w:t>
      </w:r>
      <w:r w:rsidR="002028F8">
        <w:t xml:space="preserve">The </w:t>
      </w:r>
      <w:r w:rsidR="00986A2E">
        <w:t>Title IV</w:t>
      </w:r>
      <w:r w:rsidR="002028F8">
        <w:t xml:space="preserve"> State Plan</w:t>
      </w:r>
      <w:r w:rsidR="002028F8" w:rsidDel="002028F8">
        <w:t xml:space="preserve"> </w:t>
      </w:r>
      <w:r w:rsidR="006B7A8A">
        <w:t xml:space="preserve">is the final source for defining </w:t>
      </w:r>
      <w:r w:rsidR="002028F8" w:rsidRPr="002028F8">
        <w:t>services covered under the child welfare umbrella</w:t>
      </w:r>
      <w:r w:rsidR="006B7A8A">
        <w:t>.</w:t>
      </w:r>
    </w:p>
    <w:p w14:paraId="6AC1D7EB" w14:textId="3EA3A2A5" w:rsidR="00BB7190" w:rsidRPr="00DF1D1C" w:rsidRDefault="009A0060" w:rsidP="00096A5D">
      <w:pPr>
        <w:pStyle w:val="BodyText"/>
      </w:pPr>
      <w:r w:rsidRPr="00DF1D1C">
        <w:t>The MCO must promptly provide or arrange to make availab</w:t>
      </w:r>
      <w:r w:rsidR="001E57CD">
        <w:t>le for enrollees all Medically N</w:t>
      </w:r>
      <w:r w:rsidRPr="00DF1D1C">
        <w:t xml:space="preserve">ecessary </w:t>
      </w:r>
      <w:r w:rsidR="006B7A8A">
        <w:t xml:space="preserve">and </w:t>
      </w:r>
      <w:r w:rsidR="00946B0F">
        <w:t>SNS</w:t>
      </w:r>
      <w:r w:rsidRPr="00DF1D1C">
        <w:t xml:space="preserve"> listed in </w:t>
      </w:r>
      <w:r w:rsidR="009B19C2">
        <w:t xml:space="preserve">Contract </w:t>
      </w:r>
      <w:r w:rsidR="00F33B38">
        <w:t>Appendix</w:t>
      </w:r>
      <w:r w:rsidRPr="00DF1D1C">
        <w:t xml:space="preserve"> A and assume financial responsibility for the provision of these services. The MCO is responsible for de</w:t>
      </w:r>
      <w:r w:rsidR="001E57CD">
        <w:t xml:space="preserve">termining whether services are Medically </w:t>
      </w:r>
      <w:r w:rsidR="002028F8">
        <w:t xml:space="preserve">or Socially </w:t>
      </w:r>
      <w:r w:rsidR="001E57CD">
        <w:t>N</w:t>
      </w:r>
      <w:r w:rsidRPr="00DF1D1C">
        <w:t xml:space="preserve">ecessary and whether the MCO will require prior approval for services. Qualified medical personnel must be accessible </w:t>
      </w:r>
      <w:r w:rsidR="008F7061">
        <w:t>twenty-four (</w:t>
      </w:r>
      <w:r w:rsidRPr="00DF1D1C">
        <w:t>24</w:t>
      </w:r>
      <w:r w:rsidR="008F7061">
        <w:t>)</w:t>
      </w:r>
      <w:r w:rsidRPr="00DF1D1C">
        <w:t xml:space="preserve"> hours each day, seven </w:t>
      </w:r>
      <w:r w:rsidR="00BC1937">
        <w:t xml:space="preserve">(7) </w:t>
      </w:r>
      <w:r w:rsidRPr="00DF1D1C">
        <w:t>days a week, to provide direction to patients in need of urgent or emergency care. Such medical personnel include, but are not limited to, physicians, physicians on</w:t>
      </w:r>
      <w:r w:rsidRPr="00DF1D1C">
        <w:noBreakHyphen/>
        <w:t xml:space="preserve">call, licensed practical nurses, </w:t>
      </w:r>
      <w:r w:rsidR="004269FE" w:rsidRPr="00DF1D1C">
        <w:t>and</w:t>
      </w:r>
      <w:r w:rsidRPr="00DF1D1C">
        <w:t xml:space="preserve"> registered nurses.</w:t>
      </w:r>
      <w:r w:rsidR="00BB7190">
        <w:t xml:space="preserve"> The MCO is also responsible for providing emergency transportation as outlined in Article III, Section </w:t>
      </w:r>
      <w:r w:rsidR="00034FF9">
        <w:t>2</w:t>
      </w:r>
      <w:r w:rsidR="00BB7190">
        <w:t>.2.</w:t>
      </w:r>
      <w:r w:rsidR="00034FF9">
        <w:t>4</w:t>
      </w:r>
      <w:r w:rsidR="00BB7190">
        <w:t xml:space="preserve"> and in Appendix A.</w:t>
      </w:r>
    </w:p>
    <w:p w14:paraId="7E01B1A8" w14:textId="77777777" w:rsidR="009A0060" w:rsidRPr="00DF1D1C" w:rsidRDefault="009A0060" w:rsidP="00096A5D">
      <w:pPr>
        <w:pStyle w:val="BodyText"/>
      </w:pPr>
      <w:r w:rsidRPr="00DF1D1C">
        <w:t>Additionally, the MCO</w:t>
      </w:r>
      <w:r w:rsidR="00FA1C0C" w:rsidRPr="00DF1D1C">
        <w:t>’</w:t>
      </w:r>
      <w:r w:rsidRPr="00DF1D1C">
        <w:t xml:space="preserve">s providers must meet the provider requirements as specified by the West Virginia Medicaid program. </w:t>
      </w:r>
    </w:p>
    <w:p w14:paraId="22097A03" w14:textId="70671EA2" w:rsidR="009A0060" w:rsidRDefault="009A0060" w:rsidP="00096A5D">
      <w:pPr>
        <w:pStyle w:val="BodyText"/>
      </w:pPr>
      <w:r w:rsidRPr="00DF1D1C">
        <w:t>“</w:t>
      </w:r>
      <w:r w:rsidR="00D40265" w:rsidRPr="00DF1D1C">
        <w:t xml:space="preserve">Medically </w:t>
      </w:r>
      <w:r w:rsidR="001E57CD">
        <w:t>N</w:t>
      </w:r>
      <w:r w:rsidRPr="00DF1D1C">
        <w:t xml:space="preserve">ecessary” </w:t>
      </w:r>
      <w:r w:rsidR="00D40265" w:rsidRPr="00DF1D1C">
        <w:t xml:space="preserve">is defined </w:t>
      </w:r>
      <w:r w:rsidRPr="00DF1D1C">
        <w:t>as a determination that items or services furnished or to be furnished to a patient are reasonable and necessary for the diagnosis or treatment of illness or injury, to improve the functioning of a malformed body member,</w:t>
      </w:r>
      <w:r w:rsidR="00545EA0">
        <w:t xml:space="preserve"> to attain, maintain or regain functional capacity,</w:t>
      </w:r>
      <w:r w:rsidR="00F24820">
        <w:t xml:space="preserve"> </w:t>
      </w:r>
      <w:r w:rsidRPr="00DF1D1C">
        <w:t>for the prevention of illness, or to achieve age-appropriate growth and development.</w:t>
      </w:r>
    </w:p>
    <w:p w14:paraId="66DCD1D9" w14:textId="38939A8B" w:rsidR="009A3511" w:rsidRPr="00DF1D1C" w:rsidRDefault="009A3511" w:rsidP="00096A5D">
      <w:pPr>
        <w:pStyle w:val="BodyText"/>
      </w:pPr>
      <w:r>
        <w:lastRenderedPageBreak/>
        <w:t>“</w:t>
      </w:r>
      <w:r w:rsidR="00AD621E">
        <w:t xml:space="preserve">Socially Necessary” is defined as a determination that services or interventions are needed </w:t>
      </w:r>
      <w:r w:rsidR="00AD621E" w:rsidRPr="00AD621E">
        <w:t>to</w:t>
      </w:r>
      <w:r w:rsidR="00AD621E">
        <w:t>:</w:t>
      </w:r>
      <w:r w:rsidR="00AD621E" w:rsidRPr="00AD621E">
        <w:t xml:space="preserve"> improve relationships and social functioning, with the goal of preserving the individual’s tenure in the community or the integrity</w:t>
      </w:r>
      <w:r w:rsidR="00AD621E">
        <w:t xml:space="preserve"> of the family or social system;</w:t>
      </w:r>
      <w:r w:rsidR="00AD621E" w:rsidRPr="00AD621E">
        <w:t xml:space="preserve"> or</w:t>
      </w:r>
      <w:r w:rsidR="00AD621E">
        <w:t xml:space="preserve"> to maintain or</w:t>
      </w:r>
      <w:r w:rsidR="00AD621E" w:rsidRPr="00AD621E">
        <w:t xml:space="preserve"> establish safety, permanency and well-being for </w:t>
      </w:r>
      <w:r w:rsidR="00AD621E">
        <w:t>the individual</w:t>
      </w:r>
      <w:r w:rsidR="00AD621E" w:rsidRPr="00AD621E">
        <w:t>.</w:t>
      </w:r>
    </w:p>
    <w:p w14:paraId="0DEBAFE5" w14:textId="1700A652" w:rsidR="00BC0338" w:rsidRDefault="007D56E3" w:rsidP="00096A5D">
      <w:pPr>
        <w:pStyle w:val="BodyText"/>
      </w:pPr>
      <w:r w:rsidRPr="00DF1D1C">
        <w:t xml:space="preserve">The MCO will be </w:t>
      </w:r>
      <w:r w:rsidR="009A0060" w:rsidRPr="00DF1D1C">
        <w:t xml:space="preserve">at </w:t>
      </w:r>
      <w:r w:rsidRPr="00DF1D1C">
        <w:t>“</w:t>
      </w:r>
      <w:r w:rsidR="009A0060" w:rsidRPr="00DF1D1C">
        <w:t xml:space="preserve">risk” for the services listed in </w:t>
      </w:r>
      <w:r w:rsidR="009B19C2">
        <w:t xml:space="preserve">Contract </w:t>
      </w:r>
      <w:r w:rsidR="00F33B38">
        <w:t>Appendix</w:t>
      </w:r>
      <w:r w:rsidR="009A0060" w:rsidRPr="00DF1D1C">
        <w:t xml:space="preserve"> A (Description of Covered and Excluded Services)</w:t>
      </w:r>
      <w:r w:rsidR="009A0060" w:rsidRPr="00DF1D1C">
        <w:rPr>
          <w:b/>
        </w:rPr>
        <w:t xml:space="preserve"> </w:t>
      </w:r>
      <w:r w:rsidR="009A0060" w:rsidRPr="00DF1D1C">
        <w:t>through a capitation payment system</w:t>
      </w:r>
      <w:r w:rsidR="0078080B" w:rsidRPr="00DF1D1C">
        <w:t xml:space="preserve">. </w:t>
      </w:r>
      <w:r w:rsidR="009A0060" w:rsidRPr="00DF1D1C">
        <w:t xml:space="preserve">The MCO will be paid </w:t>
      </w:r>
      <w:r w:rsidR="00431D99">
        <w:t>a</w:t>
      </w:r>
      <w:r w:rsidR="00BC0338" w:rsidRPr="00DF1D1C">
        <w:t xml:space="preserve"> </w:t>
      </w:r>
      <w:r w:rsidR="009A0060" w:rsidRPr="00DF1D1C">
        <w:t xml:space="preserve">fixed </w:t>
      </w:r>
      <w:r w:rsidR="008D623B" w:rsidRPr="00DF1D1C">
        <w:t xml:space="preserve">capitation </w:t>
      </w:r>
      <w:r w:rsidR="009A0060" w:rsidRPr="00DF1D1C">
        <w:t>rate</w:t>
      </w:r>
      <w:r w:rsidR="00BC0338">
        <w:t>s</w:t>
      </w:r>
      <w:r w:rsidR="009A0060" w:rsidRPr="00DF1D1C">
        <w:t xml:space="preserve"> PMPM and will not be permitted to collect any additional copayments or premiums from enrollees.</w:t>
      </w:r>
      <w:r w:rsidR="003150A4">
        <w:t xml:space="preserve"> </w:t>
      </w:r>
    </w:p>
    <w:p w14:paraId="6D6A8E29" w14:textId="2D4ADF70" w:rsidR="009A0060" w:rsidRPr="00DF1D1C" w:rsidRDefault="003D6C79" w:rsidP="00096A5D">
      <w:pPr>
        <w:pStyle w:val="BodyText"/>
      </w:pPr>
      <w:r>
        <w:t xml:space="preserve">The MCO must </w:t>
      </w:r>
      <w:r w:rsidR="009A0060" w:rsidRPr="00DF1D1C">
        <w:t xml:space="preserve">provide covered services to Medicaid enrollees under this </w:t>
      </w:r>
      <w:r w:rsidR="009B19C2">
        <w:t xml:space="preserve">Contract </w:t>
      </w:r>
      <w:r w:rsidR="009A0060" w:rsidRPr="00DF1D1C">
        <w:t>in the same manner as those services are provided to other enrollees of the MCO, although delivery sites, covered services, and provider payment levels may vary. The MCO must guarantee that the locations of facilities and practitioners providing health care services to enrollees are sufficient in terms of geographic convenience to low</w:t>
      </w:r>
      <w:r w:rsidR="009A0060" w:rsidRPr="00DF1D1C">
        <w:noBreakHyphen/>
        <w:t>income areas, handicapped accessibility</w:t>
      </w:r>
      <w:r w:rsidR="004269FE" w:rsidRPr="00DF1D1C">
        <w:t>,</w:t>
      </w:r>
      <w:r w:rsidR="009A0060" w:rsidRPr="00DF1D1C">
        <w:t xml:space="preserve"> and proximity to public transportation routes, where available</w:t>
      </w:r>
      <w:r w:rsidR="0078080B" w:rsidRPr="00DF1D1C">
        <w:t xml:space="preserve">. </w:t>
      </w:r>
      <w:r w:rsidR="009A0060" w:rsidRPr="00DF1D1C">
        <w:t xml:space="preserve">The MCO is prohibited from refusing to provide or assume financial responsibility for any covered service listed in </w:t>
      </w:r>
      <w:r w:rsidR="009B19C2">
        <w:t xml:space="preserve">Contract </w:t>
      </w:r>
      <w:r w:rsidR="00F33B38">
        <w:t>Appendix</w:t>
      </w:r>
      <w:r w:rsidR="009A0060" w:rsidRPr="00DF1D1C">
        <w:t xml:space="preserve"> A because of moral or religious objections.</w:t>
      </w:r>
    </w:p>
    <w:p w14:paraId="2BDCB794" w14:textId="52350C7C" w:rsidR="009A0060" w:rsidRPr="00DF1D1C" w:rsidRDefault="009A0060" w:rsidP="00096A5D">
      <w:pPr>
        <w:pStyle w:val="BodyText"/>
      </w:pPr>
      <w:r w:rsidRPr="00DF1D1C">
        <w:t>Changes to Medicaid</w:t>
      </w:r>
      <w:r w:rsidR="00AA5FED" w:rsidRPr="00DF1D1C" w:rsidDel="00AA5FED">
        <w:t xml:space="preserve"> </w:t>
      </w:r>
      <w:r w:rsidR="00AA5FED">
        <w:t xml:space="preserve">or SNS </w:t>
      </w:r>
      <w:r w:rsidR="00AA5FED" w:rsidRPr="00DF1D1C">
        <w:t xml:space="preserve">covered services </w:t>
      </w:r>
      <w:r w:rsidRPr="00DF1D1C">
        <w:t xml:space="preserve">mandated by Federal or State law subsequent to the signing of this </w:t>
      </w:r>
      <w:r w:rsidR="009B19C2">
        <w:t xml:space="preserve">Contract </w:t>
      </w:r>
      <w:r w:rsidRPr="00DF1D1C">
        <w:t xml:space="preserve">will not affect the </w:t>
      </w:r>
      <w:r w:rsidR="009B19C2">
        <w:t xml:space="preserve">Contract </w:t>
      </w:r>
      <w:r w:rsidRPr="00DF1D1C">
        <w:t xml:space="preserve">services for the term of this contract, unless (1) agreed to by mutual consent, or (2) unless the change is necessary to continue to receive Federal funds or due to action of a court of law. For example, if Medicaid coverage were expanded to include new services, such services would be paid for via the traditional Medicaid </w:t>
      </w:r>
      <w:r w:rsidR="008574E7">
        <w:t>FFS</w:t>
      </w:r>
      <w:r w:rsidRPr="00DF1D1C">
        <w:t xml:space="preserve"> system unless covered by mutual consent between </w:t>
      </w:r>
      <w:r w:rsidR="002028F8">
        <w:t>DHHR</w:t>
      </w:r>
      <w:r w:rsidR="002028F8" w:rsidRPr="00DF1D1C">
        <w:t xml:space="preserve"> </w:t>
      </w:r>
      <w:r w:rsidRPr="00DF1D1C">
        <w:t>and the MCO (in which case an appropriate adjustment to the payment rates would be made).</w:t>
      </w:r>
    </w:p>
    <w:p w14:paraId="4D7B65D5" w14:textId="52EAA24A" w:rsidR="009A0060" w:rsidRPr="00DF1D1C" w:rsidRDefault="005068A8" w:rsidP="00257641">
      <w:pPr>
        <w:pStyle w:val="Heading3"/>
      </w:pPr>
      <w:bookmarkStart w:id="95" w:name="_Toc73441781"/>
      <w:bookmarkStart w:id="96" w:name="_Toc8129011"/>
      <w:r>
        <w:t>2</w:t>
      </w:r>
      <w:r w:rsidR="009A0060" w:rsidRPr="00DF1D1C">
        <w:t>.2</w:t>
      </w:r>
      <w:r w:rsidR="009A0060" w:rsidRPr="00DF1D1C">
        <w:tab/>
        <w:t>Additional Requirements/Provisions for Certain Services</w:t>
      </w:r>
      <w:bookmarkEnd w:id="95"/>
      <w:bookmarkEnd w:id="96"/>
    </w:p>
    <w:p w14:paraId="051C15FA" w14:textId="582CE449" w:rsidR="00B45430" w:rsidRDefault="005068A8" w:rsidP="00257641">
      <w:pPr>
        <w:pStyle w:val="Heading4"/>
        <w:rPr>
          <w:color w:val="000000"/>
          <w:shd w:val="clear" w:color="auto" w:fill="FFFFFF"/>
        </w:rPr>
      </w:pPr>
      <w:r>
        <w:rPr>
          <w:color w:val="000000"/>
          <w:shd w:val="clear" w:color="auto" w:fill="FFFFFF"/>
        </w:rPr>
        <w:t>2</w:t>
      </w:r>
      <w:r w:rsidR="00B45430">
        <w:rPr>
          <w:color w:val="000000"/>
          <w:shd w:val="clear" w:color="auto" w:fill="FFFFFF"/>
        </w:rPr>
        <w:t>.2.1 </w:t>
      </w:r>
      <w:r w:rsidR="0065656A">
        <w:rPr>
          <w:color w:val="000000"/>
          <w:shd w:val="clear" w:color="auto" w:fill="FFFFFF"/>
        </w:rPr>
        <w:t xml:space="preserve">Initial Health Assessment, </w:t>
      </w:r>
      <w:r w:rsidR="00B45430" w:rsidRPr="0065656A">
        <w:rPr>
          <w:color w:val="000000"/>
          <w:shd w:val="clear" w:color="auto" w:fill="FFFFFF"/>
        </w:rPr>
        <w:t>Comprehensive Exam</w:t>
      </w:r>
      <w:r w:rsidR="0065656A">
        <w:rPr>
          <w:color w:val="000000"/>
          <w:shd w:val="clear" w:color="auto" w:fill="FFFFFF"/>
        </w:rPr>
        <w:t>, and Follow</w:t>
      </w:r>
      <w:r w:rsidR="00944DF9">
        <w:rPr>
          <w:color w:val="000000"/>
          <w:shd w:val="clear" w:color="auto" w:fill="FFFFFF"/>
        </w:rPr>
        <w:t>-</w:t>
      </w:r>
      <w:r w:rsidR="0065656A">
        <w:rPr>
          <w:color w:val="000000"/>
          <w:shd w:val="clear" w:color="auto" w:fill="FFFFFF"/>
        </w:rPr>
        <w:t>up Requirments for C</w:t>
      </w:r>
      <w:r w:rsidR="00B45430" w:rsidRPr="0065656A">
        <w:rPr>
          <w:color w:val="000000"/>
          <w:shd w:val="clear" w:color="auto" w:fill="FFFFFF"/>
        </w:rPr>
        <w:t>hildre</w:t>
      </w:r>
      <w:r w:rsidR="0065656A">
        <w:rPr>
          <w:color w:val="000000"/>
          <w:shd w:val="clear" w:color="auto" w:fill="FFFFFF"/>
        </w:rPr>
        <w:t>n E</w:t>
      </w:r>
      <w:r w:rsidR="00B45430" w:rsidRPr="0065656A">
        <w:rPr>
          <w:color w:val="000000"/>
          <w:shd w:val="clear" w:color="auto" w:fill="FFFFFF"/>
        </w:rPr>
        <w:t>ntering or Re-</w:t>
      </w:r>
      <w:r w:rsidR="006B2F17">
        <w:rPr>
          <w:color w:val="000000"/>
          <w:shd w:val="clear" w:color="auto" w:fill="FFFFFF"/>
        </w:rPr>
        <w:t>e</w:t>
      </w:r>
      <w:r w:rsidR="00B45430" w:rsidRPr="0065656A">
        <w:rPr>
          <w:color w:val="000000"/>
          <w:shd w:val="clear" w:color="auto" w:fill="FFFFFF"/>
        </w:rPr>
        <w:t>ntering Foster Care</w:t>
      </w:r>
    </w:p>
    <w:p w14:paraId="035CC19F" w14:textId="51ED664B" w:rsidR="0065656A" w:rsidRDefault="007E5A42" w:rsidP="00257641">
      <w:pPr>
        <w:pStyle w:val="normal6"/>
      </w:pPr>
      <w:r>
        <w:t>All children entering or re-entering Foster Care must have:</w:t>
      </w:r>
    </w:p>
    <w:p w14:paraId="3932600D" w14:textId="0106F917" w:rsidR="007E5A42" w:rsidRPr="00FC36D1" w:rsidRDefault="007E5A42" w:rsidP="00257641">
      <w:pPr>
        <w:pStyle w:val="bullet1"/>
      </w:pPr>
      <w:r w:rsidRPr="00FC36D1">
        <w:t xml:space="preserve">A comprehensive EPSDT exam within </w:t>
      </w:r>
      <w:r w:rsidR="008B5AAD">
        <w:t>thirty (</w:t>
      </w:r>
      <w:r w:rsidRPr="00FC36D1">
        <w:t>30</w:t>
      </w:r>
      <w:r w:rsidR="008B5AAD">
        <w:t>) calendar</w:t>
      </w:r>
      <w:r w:rsidRPr="00FC36D1">
        <w:t xml:space="preserve"> days of placement in Foster Care</w:t>
      </w:r>
      <w:r w:rsidR="008B5AAD">
        <w:t xml:space="preserve">; and </w:t>
      </w:r>
    </w:p>
    <w:p w14:paraId="14CE166B" w14:textId="299E3BF6" w:rsidR="007E5A42" w:rsidRDefault="007E5A42" w:rsidP="00257641">
      <w:pPr>
        <w:pStyle w:val="bullet1last"/>
      </w:pPr>
      <w:r w:rsidRPr="00FC36D1">
        <w:t xml:space="preserve">A follow-up visit within </w:t>
      </w:r>
      <w:r w:rsidR="008B5AAD">
        <w:t>ninety (</w:t>
      </w:r>
      <w:r w:rsidRPr="00FC36D1">
        <w:t>90</w:t>
      </w:r>
      <w:r w:rsidR="008B5AAD">
        <w:t>) calendar</w:t>
      </w:r>
      <w:r w:rsidRPr="00FC36D1">
        <w:t xml:space="preserve"> days</w:t>
      </w:r>
      <w:r>
        <w:t xml:space="preserve"> </w:t>
      </w:r>
      <w:r w:rsidR="008B5AAD" w:rsidRPr="00FC36D1">
        <w:t>of placement in Foster Care</w:t>
      </w:r>
      <w:r w:rsidR="008B5AAD">
        <w:t>.</w:t>
      </w:r>
    </w:p>
    <w:p w14:paraId="35474C6A" w14:textId="55A7DD5F" w:rsidR="0089352B" w:rsidRPr="006B2F17" w:rsidRDefault="007E5A42" w:rsidP="00257641">
      <w:pPr>
        <w:rPr>
          <w:szCs w:val="24"/>
        </w:rPr>
      </w:pPr>
      <w:r w:rsidRPr="006B2F17">
        <w:rPr>
          <w:szCs w:val="24"/>
        </w:rPr>
        <w:t xml:space="preserve">Once the child is enrolled in the MCO, the MCO will be responsible for working with the assigned CPS worker to ensure these </w:t>
      </w:r>
      <w:r w:rsidR="00655774" w:rsidRPr="006B2F17">
        <w:rPr>
          <w:szCs w:val="24"/>
        </w:rPr>
        <w:t>important health assessments, exams, and follow-up visits are performed timely.</w:t>
      </w:r>
      <w:r w:rsidR="009240CE" w:rsidRPr="006B2F17">
        <w:rPr>
          <w:szCs w:val="24"/>
        </w:rPr>
        <w:t xml:space="preserve"> </w:t>
      </w:r>
    </w:p>
    <w:p w14:paraId="11FE77A5" w14:textId="696A9E54" w:rsidR="009A0060" w:rsidRPr="00DF1D1C" w:rsidRDefault="005068A8" w:rsidP="00257641">
      <w:pPr>
        <w:pStyle w:val="Heading4"/>
      </w:pPr>
      <w:r>
        <w:t>2</w:t>
      </w:r>
      <w:r w:rsidR="00064B70">
        <w:t>.2.</w:t>
      </w:r>
      <w:r w:rsidR="00183D2C">
        <w:t>2</w:t>
      </w:r>
      <w:r w:rsidR="00064B70">
        <w:t xml:space="preserve"> </w:t>
      </w:r>
      <w:r w:rsidR="009A0060" w:rsidRPr="00DF1D1C">
        <w:t>Early and Periodic Screening, Diagnosis and Treatment (EPSDT) Services</w:t>
      </w:r>
    </w:p>
    <w:p w14:paraId="6A40B18E" w14:textId="040E05E4" w:rsidR="009A0060" w:rsidRDefault="009A0060" w:rsidP="00096A5D">
      <w:pPr>
        <w:pStyle w:val="BodyText"/>
      </w:pPr>
      <w:r w:rsidRPr="00DF1D1C">
        <w:t>The Omnibus Budget Reconciliation Act of 19</w:t>
      </w:r>
      <w:r w:rsidR="001E57CD">
        <w:t>89 (OBRA 89) mandated that all Medically N</w:t>
      </w:r>
      <w:r w:rsidRPr="00DF1D1C">
        <w:t>ecessary services listed in section 1905(a) of the Social Security Act be covered under Medicaid for the Early and Periodic Screening, Diagnosis and Treatment (EPSDT) benefit provided for Medicaid eligible children under the age of</w:t>
      </w:r>
      <w:r w:rsidR="00BC1937">
        <w:t xml:space="preserve"> twenty-one</w:t>
      </w:r>
      <w:r w:rsidRPr="00DF1D1C">
        <w:t xml:space="preserve"> </w:t>
      </w:r>
      <w:r w:rsidR="00BC1937">
        <w:t>(</w:t>
      </w:r>
      <w:r w:rsidRPr="00DF1D1C">
        <w:t>21</w:t>
      </w:r>
      <w:r w:rsidR="00BC1937">
        <w:t>)</w:t>
      </w:r>
      <w:r w:rsidR="0078080B" w:rsidRPr="00DF1D1C">
        <w:t xml:space="preserve">. </w:t>
      </w:r>
      <w:r w:rsidRPr="00DF1D1C">
        <w:t xml:space="preserve">EPSDT services are included in the prepaid benefit package for children and adolescents up to age </w:t>
      </w:r>
      <w:r w:rsidR="00BC1937">
        <w:t>twenty-one (</w:t>
      </w:r>
      <w:r w:rsidRPr="00DF1D1C">
        <w:t>21</w:t>
      </w:r>
      <w:r w:rsidR="00BC1937">
        <w:t>)</w:t>
      </w:r>
      <w:r w:rsidR="0078080B" w:rsidRPr="00DF1D1C">
        <w:t xml:space="preserve">. </w:t>
      </w:r>
      <w:r w:rsidRPr="00DF1D1C">
        <w:lastRenderedPageBreak/>
        <w:t xml:space="preserve">The federal government, through the CMS, requires states to demonstrate an </w:t>
      </w:r>
      <w:r w:rsidR="00036D05">
        <w:t xml:space="preserve">eighty </w:t>
      </w:r>
      <w:r w:rsidRPr="00DF1D1C">
        <w:t xml:space="preserve">percent </w:t>
      </w:r>
      <w:r w:rsidR="00DF0203">
        <w:t>(</w:t>
      </w:r>
      <w:r w:rsidR="00DF0203" w:rsidRPr="00DF1D1C">
        <w:t>80</w:t>
      </w:r>
      <w:r w:rsidR="00DF0203">
        <w:t>%)</w:t>
      </w:r>
      <w:r w:rsidR="00DF0203" w:rsidRPr="00DF1D1C">
        <w:t xml:space="preserve"> </w:t>
      </w:r>
      <w:r w:rsidRPr="00DF1D1C">
        <w:t>compliance rate for EPSDT screening schedules</w:t>
      </w:r>
      <w:r w:rsidR="0078080B" w:rsidRPr="00DF1D1C">
        <w:t xml:space="preserve">. </w:t>
      </w:r>
    </w:p>
    <w:p w14:paraId="786BD9D6" w14:textId="27CFF07B" w:rsidR="00905552" w:rsidRPr="00056B10" w:rsidRDefault="00975109" w:rsidP="00096A5D">
      <w:pPr>
        <w:pStyle w:val="BodyText"/>
      </w:pPr>
      <w:r w:rsidRPr="00056B10">
        <w:t xml:space="preserve">In West Virginia, EPSDT is called HealthCheck. </w:t>
      </w:r>
      <w:r w:rsidR="00905552" w:rsidRPr="00056B10">
        <w:t>The MCO is responsible for working with parents, caregivers, and CPS workers to ensure all children and youth</w:t>
      </w:r>
      <w:r w:rsidR="00B50AAF" w:rsidRPr="00056B10">
        <w:t xml:space="preserve"> covered through this contract </w:t>
      </w:r>
      <w:r w:rsidR="00905552" w:rsidRPr="00056B10">
        <w:t xml:space="preserve">receive the EPSDT </w:t>
      </w:r>
      <w:r w:rsidRPr="00056B10">
        <w:t xml:space="preserve">HealthCheck </w:t>
      </w:r>
      <w:r w:rsidR="00B50AAF" w:rsidRPr="00056B10">
        <w:t>screenings</w:t>
      </w:r>
      <w:r w:rsidR="00905552" w:rsidRPr="00056B10">
        <w:t xml:space="preserve"> according to the periodicity schedule or as </w:t>
      </w:r>
      <w:r w:rsidR="00B50AAF" w:rsidRPr="00056B10">
        <w:t xml:space="preserve">determined to be </w:t>
      </w:r>
      <w:r w:rsidR="00905552" w:rsidRPr="00056B10">
        <w:t>medically necessary</w:t>
      </w:r>
      <w:r w:rsidR="00C64B86" w:rsidRPr="00056B10">
        <w:t xml:space="preserve"> for the child</w:t>
      </w:r>
      <w:r w:rsidR="00905552" w:rsidRPr="00056B10">
        <w:t>.</w:t>
      </w:r>
    </w:p>
    <w:p w14:paraId="4EE892C4" w14:textId="2904A185" w:rsidR="009A0060" w:rsidRPr="00DF1D1C" w:rsidRDefault="005068A8" w:rsidP="00257641">
      <w:pPr>
        <w:pStyle w:val="Heading5"/>
      </w:pPr>
      <w:r>
        <w:t>2.2.</w:t>
      </w:r>
      <w:r w:rsidR="00183D2C">
        <w:t>2</w:t>
      </w:r>
      <w:r>
        <w:t xml:space="preserve">.1 </w:t>
      </w:r>
      <w:r w:rsidR="00DB2862">
        <w:t xml:space="preserve">EPSDT </w:t>
      </w:r>
      <w:r w:rsidR="00975109">
        <w:t xml:space="preserve">HealthCheck </w:t>
      </w:r>
      <w:r w:rsidR="00DB2862">
        <w:t xml:space="preserve">Requirements for the </w:t>
      </w:r>
      <w:r w:rsidR="009A0060" w:rsidRPr="00DF1D1C">
        <w:t xml:space="preserve">MCO </w:t>
      </w:r>
    </w:p>
    <w:p w14:paraId="7CDB080D" w14:textId="2C40CED9" w:rsidR="00DB2862" w:rsidRDefault="00DB2862" w:rsidP="00257641">
      <w:pPr>
        <w:pStyle w:val="normal6"/>
      </w:pPr>
      <w:r>
        <w:t>The MCO is required to:</w:t>
      </w:r>
    </w:p>
    <w:p w14:paraId="4B533E8C" w14:textId="3237BFE8" w:rsidR="009A0060" w:rsidRPr="00DF1D1C" w:rsidRDefault="004269FE" w:rsidP="00257641">
      <w:pPr>
        <w:numPr>
          <w:ilvl w:val="0"/>
          <w:numId w:val="113"/>
        </w:numPr>
        <w:spacing w:after="120"/>
        <w:rPr>
          <w:noProof w:val="0"/>
        </w:rPr>
      </w:pPr>
      <w:r w:rsidRPr="00DF1D1C">
        <w:rPr>
          <w:noProof w:val="0"/>
        </w:rPr>
        <w:t>P</w:t>
      </w:r>
      <w:r w:rsidR="009A0060" w:rsidRPr="00DF1D1C">
        <w:rPr>
          <w:noProof w:val="0"/>
        </w:rPr>
        <w:t>rovide notification of screening due dates</w:t>
      </w:r>
      <w:r w:rsidR="00FC36D1">
        <w:rPr>
          <w:noProof w:val="0"/>
        </w:rPr>
        <w:t xml:space="preserve"> to the enrollee or his representative</w:t>
      </w:r>
      <w:r w:rsidRPr="00DF1D1C">
        <w:rPr>
          <w:noProof w:val="0"/>
        </w:rPr>
        <w:t>;</w:t>
      </w:r>
    </w:p>
    <w:p w14:paraId="5393566D" w14:textId="77777777" w:rsidR="009A0060" w:rsidRPr="00DF1D1C" w:rsidRDefault="004269FE" w:rsidP="00257641">
      <w:pPr>
        <w:numPr>
          <w:ilvl w:val="0"/>
          <w:numId w:val="113"/>
        </w:numPr>
        <w:spacing w:after="120"/>
        <w:rPr>
          <w:noProof w:val="0"/>
        </w:rPr>
      </w:pPr>
      <w:r w:rsidRPr="00DF1D1C">
        <w:rPr>
          <w:noProof w:val="0"/>
        </w:rPr>
        <w:t>P</w:t>
      </w:r>
      <w:r w:rsidR="009A0060" w:rsidRPr="00DF1D1C">
        <w:rPr>
          <w:noProof w:val="0"/>
        </w:rPr>
        <w:t xml:space="preserve">erform the screenings according to the </w:t>
      </w:r>
      <w:r w:rsidRPr="00DF1D1C">
        <w:rPr>
          <w:noProof w:val="0"/>
        </w:rPr>
        <w:t>S</w:t>
      </w:r>
      <w:r w:rsidR="009A0060" w:rsidRPr="00DF1D1C">
        <w:rPr>
          <w:noProof w:val="0"/>
        </w:rPr>
        <w:t>tate-determined periodicity schedule</w:t>
      </w:r>
      <w:r w:rsidRPr="00DF1D1C">
        <w:rPr>
          <w:noProof w:val="0"/>
        </w:rPr>
        <w:t>;</w:t>
      </w:r>
      <w:r w:rsidR="009A0060" w:rsidRPr="00DF1D1C">
        <w:rPr>
          <w:noProof w:val="0"/>
        </w:rPr>
        <w:t xml:space="preserve"> </w:t>
      </w:r>
    </w:p>
    <w:p w14:paraId="56677E12" w14:textId="77777777" w:rsidR="009A0060" w:rsidRPr="00DF1D1C" w:rsidRDefault="004269FE" w:rsidP="00257641">
      <w:pPr>
        <w:numPr>
          <w:ilvl w:val="0"/>
          <w:numId w:val="113"/>
        </w:numPr>
        <w:spacing w:after="120"/>
        <w:rPr>
          <w:noProof w:val="0"/>
        </w:rPr>
      </w:pPr>
      <w:r w:rsidRPr="00DF1D1C">
        <w:rPr>
          <w:noProof w:val="0"/>
        </w:rPr>
        <w:t>M</w:t>
      </w:r>
      <w:r w:rsidR="009A0060" w:rsidRPr="00DF1D1C">
        <w:rPr>
          <w:noProof w:val="0"/>
        </w:rPr>
        <w:t>ake the necessary referrals</w:t>
      </w:r>
      <w:r w:rsidRPr="00DF1D1C">
        <w:rPr>
          <w:noProof w:val="0"/>
        </w:rPr>
        <w:t>;</w:t>
      </w:r>
      <w:r w:rsidR="009A0060" w:rsidRPr="00DF1D1C">
        <w:rPr>
          <w:noProof w:val="0"/>
        </w:rPr>
        <w:t xml:space="preserve"> </w:t>
      </w:r>
    </w:p>
    <w:p w14:paraId="5B5C56A6" w14:textId="77777777" w:rsidR="009A0060" w:rsidRPr="00DF1D1C" w:rsidRDefault="004269FE" w:rsidP="00257641">
      <w:pPr>
        <w:numPr>
          <w:ilvl w:val="0"/>
          <w:numId w:val="113"/>
        </w:numPr>
        <w:spacing w:after="120"/>
        <w:rPr>
          <w:noProof w:val="0"/>
        </w:rPr>
      </w:pPr>
      <w:r w:rsidRPr="00DF1D1C">
        <w:rPr>
          <w:noProof w:val="0"/>
        </w:rPr>
        <w:t>T</w:t>
      </w:r>
      <w:r w:rsidR="009A0060" w:rsidRPr="00DF1D1C">
        <w:rPr>
          <w:noProof w:val="0"/>
        </w:rPr>
        <w:t>rack referrals and treatments</w:t>
      </w:r>
      <w:r w:rsidRPr="00DF1D1C">
        <w:rPr>
          <w:noProof w:val="0"/>
        </w:rPr>
        <w:t>;</w:t>
      </w:r>
      <w:r w:rsidR="009A0060" w:rsidRPr="00DF1D1C">
        <w:rPr>
          <w:noProof w:val="0"/>
        </w:rPr>
        <w:t xml:space="preserve"> </w:t>
      </w:r>
    </w:p>
    <w:p w14:paraId="0074FD8B" w14:textId="77777777" w:rsidR="00903A12" w:rsidRPr="00DF1D1C" w:rsidRDefault="004269FE" w:rsidP="00257641">
      <w:pPr>
        <w:numPr>
          <w:ilvl w:val="0"/>
          <w:numId w:val="113"/>
        </w:numPr>
        <w:spacing w:after="120"/>
        <w:rPr>
          <w:noProof w:val="0"/>
        </w:rPr>
      </w:pPr>
      <w:r w:rsidRPr="00DF1D1C">
        <w:rPr>
          <w:noProof w:val="0"/>
        </w:rPr>
        <w:t>R</w:t>
      </w:r>
      <w:r w:rsidR="009A0060" w:rsidRPr="00DF1D1C">
        <w:rPr>
          <w:noProof w:val="0"/>
        </w:rPr>
        <w:t>eport the results via the encounter reporting system</w:t>
      </w:r>
      <w:r w:rsidRPr="00DF1D1C">
        <w:rPr>
          <w:noProof w:val="0"/>
        </w:rPr>
        <w:t>;</w:t>
      </w:r>
      <w:r w:rsidR="00903A12" w:rsidRPr="00DF1D1C">
        <w:rPr>
          <w:noProof w:val="0"/>
        </w:rPr>
        <w:t xml:space="preserve"> and</w:t>
      </w:r>
    </w:p>
    <w:p w14:paraId="232F6BCE" w14:textId="412115A5" w:rsidR="009A0060" w:rsidRPr="00DF1D1C" w:rsidRDefault="004269FE" w:rsidP="00257641">
      <w:pPr>
        <w:numPr>
          <w:ilvl w:val="0"/>
          <w:numId w:val="113"/>
        </w:numPr>
      </w:pPr>
      <w:r w:rsidRPr="00DF1D1C">
        <w:rPr>
          <w:noProof w:val="0"/>
        </w:rPr>
        <w:t>R</w:t>
      </w:r>
      <w:r w:rsidR="00903A12" w:rsidRPr="00DF1D1C">
        <w:rPr>
          <w:noProof w:val="0"/>
        </w:rPr>
        <w:t>eport</w:t>
      </w:r>
      <w:r w:rsidR="00FF5099" w:rsidRPr="00DF1D1C">
        <w:rPr>
          <w:noProof w:val="0"/>
        </w:rPr>
        <w:t xml:space="preserve"> results as necessary </w:t>
      </w:r>
      <w:r w:rsidR="00903A12" w:rsidRPr="00DF1D1C">
        <w:rPr>
          <w:noProof w:val="0"/>
        </w:rPr>
        <w:t>to meet federal requirements</w:t>
      </w:r>
      <w:r w:rsidR="00FF5099" w:rsidRPr="00DF1D1C">
        <w:rPr>
          <w:noProof w:val="0"/>
        </w:rPr>
        <w:t>,</w:t>
      </w:r>
      <w:r w:rsidR="00903A12" w:rsidRPr="00DF1D1C">
        <w:rPr>
          <w:noProof w:val="0"/>
        </w:rPr>
        <w:t xml:space="preserve"> as requested by </w:t>
      </w:r>
      <w:r w:rsidR="00DB2862">
        <w:rPr>
          <w:noProof w:val="0"/>
        </w:rPr>
        <w:t>DHHR</w:t>
      </w:r>
      <w:r w:rsidR="009A0060" w:rsidRPr="00DF1D1C">
        <w:t>.</w:t>
      </w:r>
    </w:p>
    <w:p w14:paraId="6D477B0D" w14:textId="31B52CCE" w:rsidR="00A3146D" w:rsidRDefault="00DB2862" w:rsidP="00096A5D">
      <w:pPr>
        <w:pStyle w:val="BodyText"/>
      </w:pPr>
      <w:r>
        <w:t xml:space="preserve">The </w:t>
      </w:r>
      <w:r w:rsidR="009A0060" w:rsidRPr="00DF1D1C">
        <w:t xml:space="preserve">MCO must have written policies and procedures </w:t>
      </w:r>
      <w:r w:rsidR="007D56E3" w:rsidRPr="00DF1D1C">
        <w:t xml:space="preserve">for </w:t>
      </w:r>
      <w:r w:rsidR="009A0060" w:rsidRPr="00DF1D1C">
        <w:t>providing the full range of EPSDT</w:t>
      </w:r>
      <w:r w:rsidR="00975109">
        <w:t xml:space="preserve"> </w:t>
      </w:r>
      <w:r w:rsidR="009A0060" w:rsidRPr="00DF1D1C">
        <w:t xml:space="preserve">services to all eligible children and young adults up to age </w:t>
      </w:r>
      <w:r w:rsidR="00645470">
        <w:t>twenty-one (</w:t>
      </w:r>
      <w:r w:rsidR="009A0060" w:rsidRPr="00DF1D1C">
        <w:t>21</w:t>
      </w:r>
      <w:r w:rsidR="00645470">
        <w:t>)</w:t>
      </w:r>
      <w:r w:rsidR="0078080B" w:rsidRPr="00DF1D1C">
        <w:t xml:space="preserve">. </w:t>
      </w:r>
      <w:r w:rsidR="009A0060" w:rsidRPr="00DF1D1C">
        <w:t>This information must be available for the hearing- and visually-impaired</w:t>
      </w:r>
      <w:r w:rsidR="0078080B" w:rsidRPr="00DF1D1C">
        <w:t xml:space="preserve">. </w:t>
      </w:r>
      <w:r w:rsidR="009A0060" w:rsidRPr="00DF1D1C">
        <w:t>Translation services should be made available as necessary</w:t>
      </w:r>
      <w:r w:rsidR="0078080B" w:rsidRPr="00DF1D1C">
        <w:t xml:space="preserve">. </w:t>
      </w:r>
      <w:r w:rsidR="009A0060" w:rsidRPr="00DF1D1C">
        <w:t>The full scope of EPSDT service requirements is described below.</w:t>
      </w:r>
    </w:p>
    <w:p w14:paraId="6A48966C" w14:textId="0275A7CC" w:rsidR="009A0060" w:rsidRPr="007E03D0" w:rsidRDefault="005068A8" w:rsidP="00257641">
      <w:pPr>
        <w:pStyle w:val="Heading5"/>
      </w:pPr>
      <w:r>
        <w:t>2.2.</w:t>
      </w:r>
      <w:r w:rsidR="000B02B8">
        <w:t>3</w:t>
      </w:r>
      <w:r>
        <w:t xml:space="preserve">.2 </w:t>
      </w:r>
      <w:r w:rsidR="009A0060" w:rsidRPr="007E03D0">
        <w:t xml:space="preserve">Provide Information on EPSDT </w:t>
      </w:r>
      <w:r w:rsidR="00975109">
        <w:t xml:space="preserve">HealthCheck </w:t>
      </w:r>
      <w:r w:rsidR="009A0060" w:rsidRPr="007E03D0">
        <w:t>and Notification of Screening Due Dates</w:t>
      </w:r>
    </w:p>
    <w:p w14:paraId="7DBF96A8" w14:textId="12A9F2D1" w:rsidR="009A0060" w:rsidRPr="00DF1D1C" w:rsidRDefault="009A0060" w:rsidP="00096A5D">
      <w:pPr>
        <w:pStyle w:val="BodyText"/>
      </w:pPr>
      <w:r w:rsidRPr="00DF1D1C">
        <w:t>The MCO must provide a combination of written and oral methods designed to effectively inform all EPSDT-eligible individuals</w:t>
      </w:r>
      <w:r w:rsidR="00975109">
        <w:t>,</w:t>
      </w:r>
      <w:r w:rsidRPr="00DF1D1C">
        <w:t xml:space="preserve"> their families</w:t>
      </w:r>
      <w:r w:rsidR="00975109">
        <w:t>, and their foster care parents and CPS worker if applicable</w:t>
      </w:r>
      <w:r w:rsidRPr="00DF1D1C">
        <w:t xml:space="preserve"> about the EPSDT program. MCOs must have an established process for reminders, follow-ups</w:t>
      </w:r>
      <w:r w:rsidR="004269FE" w:rsidRPr="00DF1D1C">
        <w:t>,</w:t>
      </w:r>
      <w:r w:rsidRPr="00DF1D1C">
        <w:t xml:space="preserve"> and outreach to EPSDT service enrollees.</w:t>
      </w:r>
    </w:p>
    <w:p w14:paraId="3A039AAD" w14:textId="74584FDC" w:rsidR="00784EDE" w:rsidRPr="00DF1D1C" w:rsidRDefault="009A0060" w:rsidP="00257641">
      <w:pPr>
        <w:pStyle w:val="normal6"/>
      </w:pPr>
      <w:r w:rsidRPr="00DF1D1C">
        <w:t xml:space="preserve">The MCO must inform all EPSDT eligible individuals </w:t>
      </w:r>
      <w:r w:rsidR="00B45430">
        <w:t xml:space="preserve">or </w:t>
      </w:r>
      <w:r w:rsidR="00FC36D1">
        <w:t xml:space="preserve">their </w:t>
      </w:r>
      <w:r w:rsidR="00B45430">
        <w:t>representatives</w:t>
      </w:r>
      <w:r w:rsidRPr="00DF1D1C">
        <w:t xml:space="preserve"> about the EPSDT program using clear and non-technical language</w:t>
      </w:r>
      <w:r w:rsidR="0078080B" w:rsidRPr="00DF1D1C">
        <w:t xml:space="preserve">. </w:t>
      </w:r>
      <w:r w:rsidRPr="00DF1D1C">
        <w:t xml:space="preserve">The MCO must meet the federal EPSDT </w:t>
      </w:r>
      <w:r w:rsidR="00784EDE" w:rsidRPr="00DF1D1C">
        <w:t>informing requirements as specified in 42 CFR 441.56 and must provide information that includes the following:</w:t>
      </w:r>
    </w:p>
    <w:p w14:paraId="3751AB33" w14:textId="77777777" w:rsidR="00784EDE" w:rsidRPr="00DF1D1C" w:rsidRDefault="00784EDE" w:rsidP="00257641">
      <w:pPr>
        <w:numPr>
          <w:ilvl w:val="0"/>
          <w:numId w:val="6"/>
        </w:numPr>
        <w:tabs>
          <w:tab w:val="clear" w:pos="360"/>
        </w:tabs>
        <w:spacing w:after="120"/>
        <w:ind w:left="720"/>
      </w:pPr>
      <w:r w:rsidRPr="00DF1D1C">
        <w:t>The benefits of preventive health care;</w:t>
      </w:r>
    </w:p>
    <w:p w14:paraId="5321A0E3" w14:textId="77777777" w:rsidR="00784EDE" w:rsidRPr="00DF1D1C" w:rsidRDefault="00784EDE" w:rsidP="00257641">
      <w:pPr>
        <w:numPr>
          <w:ilvl w:val="0"/>
          <w:numId w:val="6"/>
        </w:numPr>
        <w:tabs>
          <w:tab w:val="clear" w:pos="360"/>
        </w:tabs>
        <w:spacing w:after="120"/>
        <w:ind w:left="720"/>
      </w:pPr>
      <w:r w:rsidRPr="00DF1D1C">
        <w:t>The services available under the EPSDT program and where and how to obtain those services;</w:t>
      </w:r>
    </w:p>
    <w:p w14:paraId="4C260ABE" w14:textId="77777777" w:rsidR="00784EDE" w:rsidRPr="00DF1D1C" w:rsidRDefault="00784EDE" w:rsidP="00257641">
      <w:pPr>
        <w:numPr>
          <w:ilvl w:val="0"/>
          <w:numId w:val="6"/>
        </w:numPr>
        <w:tabs>
          <w:tab w:val="clear" w:pos="360"/>
        </w:tabs>
        <w:spacing w:after="120"/>
        <w:ind w:left="720"/>
      </w:pPr>
      <w:r w:rsidRPr="00DF1D1C">
        <w:t xml:space="preserve">A statement that the services provided under the EPSDT program are without cost to eligible individuals under </w:t>
      </w:r>
      <w:r w:rsidR="00645470">
        <w:t>twenty-one (</w:t>
      </w:r>
      <w:r w:rsidRPr="00DF1D1C">
        <w:t>21</w:t>
      </w:r>
      <w:r w:rsidR="00645470">
        <w:t>)</w:t>
      </w:r>
      <w:r w:rsidRPr="00DF1D1C">
        <w:t xml:space="preserve"> years of age; and</w:t>
      </w:r>
    </w:p>
    <w:p w14:paraId="6A76F28A" w14:textId="77777777" w:rsidR="00784EDE" w:rsidRPr="00DF1D1C" w:rsidRDefault="00784EDE" w:rsidP="00257641">
      <w:pPr>
        <w:numPr>
          <w:ilvl w:val="0"/>
          <w:numId w:val="6"/>
        </w:numPr>
        <w:tabs>
          <w:tab w:val="clear" w:pos="360"/>
        </w:tabs>
        <w:ind w:left="720"/>
      </w:pPr>
      <w:r w:rsidRPr="00DF1D1C">
        <w:t xml:space="preserve">A statement that necessary transportation and scheduling assistance is available to the EPSDT eligible individual upon request (non-emergency transportation is paid </w:t>
      </w:r>
      <w:r w:rsidR="00CD7508" w:rsidRPr="00CD7508">
        <w:t>by the Department outside of the</w:t>
      </w:r>
      <w:r w:rsidR="00CD7508">
        <w:t xml:space="preserve"> MCO</w:t>
      </w:r>
      <w:r w:rsidR="00CD7508" w:rsidRPr="00CD7508">
        <w:t xml:space="preserve"> capitation system</w:t>
      </w:r>
      <w:r w:rsidRPr="00DF1D1C">
        <w:t>).</w:t>
      </w:r>
    </w:p>
    <w:p w14:paraId="704377F7" w14:textId="4D4C261E" w:rsidR="00784EDE" w:rsidRPr="00DF1D1C" w:rsidRDefault="005068A8" w:rsidP="00257641">
      <w:pPr>
        <w:pStyle w:val="Heading5"/>
      </w:pPr>
      <w:r>
        <w:lastRenderedPageBreak/>
        <w:t>2.2.</w:t>
      </w:r>
      <w:r w:rsidR="000B02B8">
        <w:t>3</w:t>
      </w:r>
      <w:r>
        <w:t xml:space="preserve">.3 </w:t>
      </w:r>
      <w:r w:rsidR="00784EDE" w:rsidRPr="00DF1D1C">
        <w:t xml:space="preserve">Perform the </w:t>
      </w:r>
      <w:r w:rsidR="006E701F">
        <w:t xml:space="preserve">EPSDT HealthCheck </w:t>
      </w:r>
      <w:r w:rsidR="00784EDE" w:rsidRPr="00DF1D1C">
        <w:t>Screenings</w:t>
      </w:r>
    </w:p>
    <w:p w14:paraId="675E24C8" w14:textId="2F04B91C" w:rsidR="00F375C9" w:rsidRDefault="00784EDE" w:rsidP="00096A5D">
      <w:pPr>
        <w:pStyle w:val="BodyText"/>
      </w:pPr>
      <w:r w:rsidRPr="00DF1D1C">
        <w:t xml:space="preserve">MCOs must provide screenings (periodic comprehensive child health assessments) </w:t>
      </w:r>
      <w:r w:rsidR="00915AE2">
        <w:t>according to the West Virginia Periodicity S</w:t>
      </w:r>
      <w:r w:rsidRPr="00DF1D1C">
        <w:t>chedule to all enrollees</w:t>
      </w:r>
      <w:r w:rsidR="00915AE2">
        <w:t xml:space="preserve"> eligible to receive them. The Periodicity S</w:t>
      </w:r>
      <w:r w:rsidRPr="00DF1D1C">
        <w:t xml:space="preserve">chedule is maintained by the Office of Maternal and Child Health within the Bureau for Public Health at </w:t>
      </w:r>
      <w:r w:rsidR="00D566E2">
        <w:t>DHHR</w:t>
      </w:r>
      <w:r w:rsidRPr="00DF1D1C">
        <w:t xml:space="preserve">, </w:t>
      </w:r>
      <w:r w:rsidR="006A53A4">
        <w:t xml:space="preserve">and corresponds </w:t>
      </w:r>
      <w:r w:rsidRPr="00DF1D1C">
        <w:t xml:space="preserve">to the </w:t>
      </w:r>
      <w:r w:rsidR="00536134">
        <w:t>AAP’</w:t>
      </w:r>
      <w:r w:rsidRPr="00DF1D1C">
        <w:t>s</w:t>
      </w:r>
      <w:r w:rsidR="009F40D2">
        <w:t xml:space="preserve"> </w:t>
      </w:r>
      <w:r w:rsidRPr="00DF1D1C">
        <w:t>Bright Futures Guidelines</w:t>
      </w:r>
      <w:r w:rsidR="00DE08AE">
        <w:t xml:space="preserve"> </w:t>
      </w:r>
      <w:r w:rsidR="00DE08AE" w:rsidRPr="00205E80">
        <w:t>for Health Supervision of Infants, Children and Adolescents</w:t>
      </w:r>
      <w:r w:rsidR="0078080B" w:rsidRPr="00DF1D1C">
        <w:t xml:space="preserve">. </w:t>
      </w:r>
    </w:p>
    <w:p w14:paraId="21B5F5C8" w14:textId="77777777" w:rsidR="00784EDE" w:rsidRPr="00DF1D1C" w:rsidRDefault="00F375C9" w:rsidP="00257641">
      <w:pPr>
        <w:pStyle w:val="normal6"/>
      </w:pPr>
      <w:r w:rsidRPr="00B20D6C">
        <w:t xml:space="preserve">Covered screening services are </w:t>
      </w:r>
      <w:r w:rsidR="00784EDE" w:rsidRPr="00DF1D1C">
        <w:t xml:space="preserve">regularly scheduled examinations and evaluations of the general physical and mental health, growth, development, </w:t>
      </w:r>
      <w:r w:rsidR="00784EDE" w:rsidRPr="004B3BEC">
        <w:t>and nutritional status of infants, children, and youth</w:t>
      </w:r>
      <w:r w:rsidR="0078080B" w:rsidRPr="004B3BEC">
        <w:t xml:space="preserve">. </w:t>
      </w:r>
      <w:r w:rsidR="00784EDE" w:rsidRPr="004B3BEC">
        <w:t>At a minimum, these screenings must includ</w:t>
      </w:r>
      <w:r w:rsidR="00784EDE" w:rsidRPr="00DF1D1C">
        <w:t>e, but are not limited to:</w:t>
      </w:r>
    </w:p>
    <w:p w14:paraId="5CA2CD6D" w14:textId="633E2F53" w:rsidR="00784EDE" w:rsidRPr="00DF1D1C" w:rsidRDefault="00784EDE" w:rsidP="00257641">
      <w:pPr>
        <w:numPr>
          <w:ilvl w:val="0"/>
          <w:numId w:val="7"/>
        </w:numPr>
        <w:tabs>
          <w:tab w:val="clear" w:pos="360"/>
        </w:tabs>
        <w:spacing w:after="120"/>
        <w:ind w:left="720"/>
      </w:pPr>
      <w:r w:rsidRPr="00DF1D1C">
        <w:t xml:space="preserve">A comprehensive </w:t>
      </w:r>
      <w:r w:rsidR="008A1680">
        <w:t xml:space="preserve">health </w:t>
      </w:r>
      <w:r w:rsidRPr="00DF1D1C">
        <w:t>and developmental history</w:t>
      </w:r>
      <w:r w:rsidR="005669FE">
        <w:t xml:space="preserve"> </w:t>
      </w:r>
      <w:r w:rsidR="005669FE" w:rsidRPr="008330FA">
        <w:t>(including assessment of both physical and mental health development)</w:t>
      </w:r>
      <w:r w:rsidR="005669FE">
        <w:t xml:space="preserve">; </w:t>
      </w:r>
    </w:p>
    <w:p w14:paraId="6CAFAB48" w14:textId="77777777" w:rsidR="00784EDE" w:rsidRPr="00DF1D1C" w:rsidRDefault="00784EDE" w:rsidP="00257641">
      <w:pPr>
        <w:numPr>
          <w:ilvl w:val="0"/>
          <w:numId w:val="7"/>
        </w:numPr>
        <w:tabs>
          <w:tab w:val="clear" w:pos="360"/>
        </w:tabs>
        <w:spacing w:after="120"/>
        <w:ind w:left="720"/>
      </w:pPr>
      <w:r w:rsidRPr="00DF1D1C">
        <w:t>An unclothed physical exam;</w:t>
      </w:r>
    </w:p>
    <w:p w14:paraId="2A4ADD72" w14:textId="77777777" w:rsidR="00784EDE" w:rsidRPr="00DF1D1C" w:rsidRDefault="00784EDE" w:rsidP="00257641">
      <w:pPr>
        <w:numPr>
          <w:ilvl w:val="0"/>
          <w:numId w:val="7"/>
        </w:numPr>
        <w:tabs>
          <w:tab w:val="clear" w:pos="360"/>
        </w:tabs>
        <w:spacing w:after="120"/>
        <w:ind w:left="720"/>
      </w:pPr>
      <w:r w:rsidRPr="00DF1D1C">
        <w:t>Laboratory tests</w:t>
      </w:r>
      <w:r w:rsidR="00AA4A8C">
        <w:t xml:space="preserve"> </w:t>
      </w:r>
      <w:r w:rsidR="00AA4A8C" w:rsidRPr="00BD0DF1">
        <w:t>(including blood lead screening appropriate for age and risk factors)</w:t>
      </w:r>
      <w:r w:rsidRPr="00DF1D1C">
        <w:t>;</w:t>
      </w:r>
    </w:p>
    <w:p w14:paraId="151E34A9" w14:textId="77777777" w:rsidR="00784EDE" w:rsidRDefault="00784EDE" w:rsidP="00257641">
      <w:pPr>
        <w:numPr>
          <w:ilvl w:val="0"/>
          <w:numId w:val="7"/>
        </w:numPr>
        <w:tabs>
          <w:tab w:val="clear" w:pos="360"/>
        </w:tabs>
        <w:spacing w:after="120"/>
        <w:ind w:left="720"/>
      </w:pPr>
      <w:r w:rsidRPr="00DF1D1C">
        <w:t>Vision testing;</w:t>
      </w:r>
    </w:p>
    <w:p w14:paraId="42D6ED7E" w14:textId="6677F7A1" w:rsidR="00491E33" w:rsidRPr="00DF1D1C" w:rsidRDefault="00491E33" w:rsidP="00257641">
      <w:pPr>
        <w:numPr>
          <w:ilvl w:val="0"/>
          <w:numId w:val="7"/>
        </w:numPr>
        <w:tabs>
          <w:tab w:val="clear" w:pos="360"/>
        </w:tabs>
        <w:spacing w:after="120"/>
        <w:ind w:left="720"/>
      </w:pPr>
      <w:r w:rsidRPr="008330FA">
        <w:t>Appropriate immunizations, in accordance with the schedule for pediatric vaccines established by the Advisory Committee on Immunization Practices</w:t>
      </w:r>
      <w:r w:rsidR="00AA5FED">
        <w:t xml:space="preserve"> (ACIP)</w:t>
      </w:r>
      <w:r>
        <w:t>;</w:t>
      </w:r>
    </w:p>
    <w:p w14:paraId="4A61DA28" w14:textId="77777777" w:rsidR="00784EDE" w:rsidRPr="00DF1D1C" w:rsidRDefault="00784EDE" w:rsidP="00257641">
      <w:pPr>
        <w:numPr>
          <w:ilvl w:val="0"/>
          <w:numId w:val="7"/>
        </w:numPr>
        <w:tabs>
          <w:tab w:val="clear" w:pos="360"/>
        </w:tabs>
        <w:spacing w:after="120"/>
        <w:ind w:left="720"/>
      </w:pPr>
      <w:r w:rsidRPr="00DF1D1C">
        <w:t>Hearing testing;</w:t>
      </w:r>
    </w:p>
    <w:p w14:paraId="26FB1324" w14:textId="77777777" w:rsidR="00784EDE" w:rsidRPr="00DF1D1C" w:rsidRDefault="00784EDE" w:rsidP="00257641">
      <w:pPr>
        <w:numPr>
          <w:ilvl w:val="0"/>
          <w:numId w:val="7"/>
        </w:numPr>
        <w:tabs>
          <w:tab w:val="clear" w:pos="360"/>
        </w:tabs>
        <w:spacing w:after="120"/>
        <w:ind w:left="720"/>
      </w:pPr>
      <w:r w:rsidRPr="00DF1D1C">
        <w:t xml:space="preserve">Dental </w:t>
      </w:r>
      <w:r w:rsidR="006E64FD">
        <w:t xml:space="preserve">services </w:t>
      </w:r>
      <w:r w:rsidRPr="00DF1D1C">
        <w:t xml:space="preserve">(furnished by direct referral to a dentist for children beginning </w:t>
      </w:r>
      <w:r w:rsidR="006E64FD" w:rsidRPr="00DF1D1C">
        <w:t xml:space="preserve">beginning </w:t>
      </w:r>
      <w:r w:rsidR="003E77C5">
        <w:t>six (</w:t>
      </w:r>
      <w:r w:rsidR="006E64FD" w:rsidRPr="00E40AFF">
        <w:t>6</w:t>
      </w:r>
      <w:r w:rsidR="003E77C5">
        <w:t xml:space="preserve">) </w:t>
      </w:r>
      <w:r w:rsidR="006E64FD" w:rsidRPr="00E40AFF">
        <w:t xml:space="preserve">months after the first tooth erupts or by </w:t>
      </w:r>
      <w:r w:rsidR="000B2251">
        <w:t>twelve (</w:t>
      </w:r>
      <w:r w:rsidR="006E64FD" w:rsidRPr="00E40AFF">
        <w:t>12</w:t>
      </w:r>
      <w:r w:rsidR="000B2251">
        <w:t>)</w:t>
      </w:r>
      <w:r w:rsidR="006E64FD" w:rsidRPr="00E40AFF">
        <w:t xml:space="preserve"> months of ag</w:t>
      </w:r>
      <w:r w:rsidR="006E64FD">
        <w:t>e</w:t>
      </w:r>
      <w:r w:rsidR="00C86D35">
        <w:t xml:space="preserve"> </w:t>
      </w:r>
      <w:r w:rsidRPr="00DF1D1C">
        <w:t>);</w:t>
      </w:r>
      <w:r w:rsidRPr="00DF1D1C">
        <w:rPr>
          <w:rStyle w:val="FootnoteReference"/>
        </w:rPr>
        <w:t xml:space="preserve"> </w:t>
      </w:r>
    </w:p>
    <w:p w14:paraId="091A010E" w14:textId="77777777" w:rsidR="00784EDE" w:rsidRDefault="00784EDE" w:rsidP="00257641">
      <w:pPr>
        <w:numPr>
          <w:ilvl w:val="0"/>
          <w:numId w:val="7"/>
        </w:numPr>
        <w:tabs>
          <w:tab w:val="clear" w:pos="360"/>
        </w:tabs>
        <w:spacing w:after="120"/>
        <w:ind w:left="720"/>
      </w:pPr>
      <w:r w:rsidRPr="00DF1D1C">
        <w:t>Behavioral health screening</w:t>
      </w:r>
      <w:r w:rsidR="00957AC2">
        <w:t>; and</w:t>
      </w:r>
    </w:p>
    <w:p w14:paraId="45A739AC" w14:textId="77777777" w:rsidR="00957AC2" w:rsidRPr="00DF1D1C" w:rsidRDefault="00957AC2" w:rsidP="00257641">
      <w:pPr>
        <w:numPr>
          <w:ilvl w:val="0"/>
          <w:numId w:val="7"/>
        </w:numPr>
        <w:tabs>
          <w:tab w:val="clear" w:pos="360"/>
        </w:tabs>
        <w:ind w:left="720"/>
      </w:pPr>
      <w:r>
        <w:t>H</w:t>
      </w:r>
      <w:r w:rsidRPr="008330FA">
        <w:t>ealth education (including anticipatory guidance</w:t>
      </w:r>
      <w:r>
        <w:t>).</w:t>
      </w:r>
    </w:p>
    <w:p w14:paraId="3B5C4F2E" w14:textId="77777777" w:rsidR="00BB3A3C" w:rsidRPr="00DF1D1C" w:rsidRDefault="005D039E" w:rsidP="00096A5D">
      <w:pPr>
        <w:pStyle w:val="BodyText"/>
      </w:pPr>
      <w:r w:rsidRPr="00DF1D1C">
        <w:t xml:space="preserve">MCOs must also provide interperiodic screenings, which are </w:t>
      </w:r>
      <w:r w:rsidR="00BB3A3C" w:rsidRPr="00DF1D1C">
        <w:t>any encounters with a health professional practicing within the scope of his or her practice and who</w:t>
      </w:r>
      <w:r w:rsidR="001E57CD">
        <w:t xml:space="preserve"> provides Medically N</w:t>
      </w:r>
      <w:r w:rsidR="00BB3A3C" w:rsidRPr="00DF1D1C">
        <w:t>ecessary health care, diagnosis, or treatment to determine the existence of a suspected illness or condition, or a change or complication to a pre-existing condition</w:t>
      </w:r>
      <w:r w:rsidR="0078080B" w:rsidRPr="00DF1D1C">
        <w:t xml:space="preserve">. </w:t>
      </w:r>
      <w:r w:rsidR="00BB3A3C" w:rsidRPr="00DF1D1C">
        <w:t>The interperiodic screen is used to determine if there is a problem that was not evident at the time of the regularly scheduled screen, but needs to be addressed before the next scheduled screen</w:t>
      </w:r>
      <w:r w:rsidR="0078080B" w:rsidRPr="00DF1D1C">
        <w:t xml:space="preserve">. </w:t>
      </w:r>
    </w:p>
    <w:p w14:paraId="5F566D6D" w14:textId="63AA8048" w:rsidR="00784EDE" w:rsidRPr="00DF1D1C" w:rsidRDefault="005068A8" w:rsidP="00257641">
      <w:pPr>
        <w:pStyle w:val="Heading5"/>
      </w:pPr>
      <w:r>
        <w:t>2.2.</w:t>
      </w:r>
      <w:r w:rsidR="000B02B8">
        <w:t>3</w:t>
      </w:r>
      <w:r>
        <w:t xml:space="preserve">.4 </w:t>
      </w:r>
      <w:r w:rsidR="00784EDE" w:rsidRPr="00DF1D1C">
        <w:t>Make the Necessary Referrals</w:t>
      </w:r>
    </w:p>
    <w:p w14:paraId="11B0E703" w14:textId="77777777" w:rsidR="00784EDE" w:rsidRPr="00DF1D1C" w:rsidRDefault="00784EDE" w:rsidP="00257641">
      <w:pPr>
        <w:pStyle w:val="normal6"/>
      </w:pPr>
      <w:r w:rsidRPr="00DF1D1C">
        <w:t>In addition to any diagnostic and treatment services included in the defined benefit package, the MCO must provide the following services to eligible EPSDT enrollees, if the need for such services is indicated by screening:</w:t>
      </w:r>
    </w:p>
    <w:p w14:paraId="4A9B0D98" w14:textId="77777777" w:rsidR="00784EDE" w:rsidRPr="00DF1D1C" w:rsidRDefault="00784EDE" w:rsidP="00257641">
      <w:pPr>
        <w:numPr>
          <w:ilvl w:val="0"/>
          <w:numId w:val="46"/>
        </w:numPr>
        <w:tabs>
          <w:tab w:val="clear" w:pos="360"/>
        </w:tabs>
        <w:spacing w:after="120"/>
        <w:ind w:left="720"/>
      </w:pPr>
      <w:r w:rsidRPr="00DF1D1C">
        <w:t>Diagnosis of and treatment for defects in vision and hearing;</w:t>
      </w:r>
    </w:p>
    <w:p w14:paraId="39656034" w14:textId="77777777" w:rsidR="00496D91" w:rsidRPr="00DF1D1C" w:rsidRDefault="0082274A" w:rsidP="00257641">
      <w:pPr>
        <w:numPr>
          <w:ilvl w:val="0"/>
          <w:numId w:val="46"/>
        </w:numPr>
        <w:tabs>
          <w:tab w:val="clear" w:pos="360"/>
        </w:tabs>
        <w:spacing w:after="120"/>
        <w:ind w:left="720"/>
      </w:pPr>
      <w:r w:rsidRPr="00DF1D1C">
        <w:t>Dental care (at as early an age as necessary) needed for relief of pain and infections, restoration of teeth, and/or maintenance of dental health;</w:t>
      </w:r>
      <w:r w:rsidRPr="00DF1D1C" w:rsidDel="0082274A">
        <w:t xml:space="preserve"> </w:t>
      </w:r>
      <w:r w:rsidR="0001594F" w:rsidRPr="00DF1D1C">
        <w:t>and</w:t>
      </w:r>
    </w:p>
    <w:p w14:paraId="01287885" w14:textId="77777777" w:rsidR="00784EDE" w:rsidRPr="00DF1D1C" w:rsidRDefault="00784EDE" w:rsidP="00257641">
      <w:pPr>
        <w:numPr>
          <w:ilvl w:val="0"/>
          <w:numId w:val="46"/>
        </w:numPr>
        <w:tabs>
          <w:tab w:val="clear" w:pos="360"/>
        </w:tabs>
        <w:ind w:left="720"/>
      </w:pPr>
      <w:r w:rsidRPr="00DF1D1C">
        <w:t>Appropriate immunizations (if it is determined at the time of screening that immunization is needed and appropriate to provide at that time, then immunization treatment must be provided at the time of screening).</w:t>
      </w:r>
    </w:p>
    <w:p w14:paraId="08A440B0" w14:textId="77777777" w:rsidR="00784EDE" w:rsidRPr="00DF1D1C" w:rsidRDefault="00784EDE" w:rsidP="00257641">
      <w:r w:rsidRPr="00DF1D1C">
        <w:lastRenderedPageBreak/>
        <w:t>If a suspected problem is detected during a screening examination, the child must be evaluated as necessary for further diagnosis</w:t>
      </w:r>
      <w:r w:rsidR="0078080B" w:rsidRPr="00DF1D1C">
        <w:t xml:space="preserve">. </w:t>
      </w:r>
      <w:r w:rsidRPr="00DF1D1C">
        <w:t>This diagnosis is used to determine treatment needs.</w:t>
      </w:r>
    </w:p>
    <w:p w14:paraId="20526686" w14:textId="78830428" w:rsidR="005E0CBF" w:rsidRDefault="00784EDE" w:rsidP="00257641">
      <w:r w:rsidRPr="00DF1D1C">
        <w:t xml:space="preserve">The MCO is financially responsible for providing </w:t>
      </w:r>
      <w:r w:rsidR="00C86D35">
        <w:t xml:space="preserve">such other necessary health care and </w:t>
      </w:r>
      <w:r w:rsidRPr="00DF1D1C">
        <w:t>all follow-up diagnostic</w:t>
      </w:r>
      <w:r w:rsidR="001E57CD">
        <w:t xml:space="preserve"> and treatment services deemed Medically N</w:t>
      </w:r>
      <w:r w:rsidRPr="00DF1D1C">
        <w:t xml:space="preserve">ecessary to ameliorate or correct </w:t>
      </w:r>
      <w:r w:rsidR="00FA358B" w:rsidRPr="001A76D9">
        <w:t>defects and physical and mental illnesses and conditions discovered by the screening services</w:t>
      </w:r>
      <w:r w:rsidR="00FA358B">
        <w:t>.</w:t>
      </w:r>
      <w:r w:rsidR="00F24820">
        <w:t xml:space="preserve"> </w:t>
      </w:r>
      <w:r w:rsidR="00FA358B" w:rsidRPr="00E27AC4">
        <w:t xml:space="preserve">Medically necessary services </w:t>
      </w:r>
      <w:r w:rsidR="00FA358B">
        <w:t>must be contained</w:t>
      </w:r>
      <w:r w:rsidR="00FA358B" w:rsidRPr="00E27AC4">
        <w:t xml:space="preserve"> within the categories of mandatory a</w:t>
      </w:r>
      <w:r w:rsidR="00FA358B">
        <w:t>nd optional services listed in S</w:t>
      </w:r>
      <w:r w:rsidR="00FA358B" w:rsidRPr="00E27AC4">
        <w:t>ection 1905(a)</w:t>
      </w:r>
      <w:r w:rsidR="00FA358B">
        <w:t xml:space="preserve"> of the Social Security Act</w:t>
      </w:r>
      <w:r w:rsidR="00FA358B" w:rsidRPr="001A76D9">
        <w:t xml:space="preserve">, whether or not such services are covered under the State </w:t>
      </w:r>
      <w:r w:rsidR="004C2785">
        <w:t>P</w:t>
      </w:r>
      <w:r w:rsidR="00FA358B" w:rsidRPr="001A76D9">
        <w:t>lan</w:t>
      </w:r>
      <w:r w:rsidR="00FA358B">
        <w:t xml:space="preserve">. </w:t>
      </w:r>
    </w:p>
    <w:p w14:paraId="1433E5B5" w14:textId="77777777" w:rsidR="0096777D" w:rsidRDefault="001E5BB7" w:rsidP="00257641">
      <w:r>
        <w:t xml:space="preserve">Per </w:t>
      </w:r>
      <w:r w:rsidRPr="007F202D">
        <w:t>42 CFR 441.61</w:t>
      </w:r>
      <w:r>
        <w:t>(a), i</w:t>
      </w:r>
      <w:r w:rsidR="0096777D" w:rsidRPr="0096777D">
        <w:t>n the event a child needs a treatment that is not coverable under the categories listed in Section 1905(a) of the Social Security Act, the MCO must provide referral assistance that includes giving the family or beneficiary the names, addresses, and telephone numbers of providers who have expressed a willingness to furnish uncovered services at little or no expense to the family.</w:t>
      </w:r>
    </w:p>
    <w:p w14:paraId="2600035F" w14:textId="2363CA02" w:rsidR="00E53A00" w:rsidRDefault="00E53A00" w:rsidP="00257641">
      <w:r w:rsidRPr="00DF1D1C">
        <w:t>The MCO is responsible f</w:t>
      </w:r>
      <w:r w:rsidR="0094043B">
        <w:t>or determining if covered services are Medically N</w:t>
      </w:r>
      <w:r w:rsidRPr="00DF1D1C">
        <w:t>ecessary.</w:t>
      </w:r>
      <w:r>
        <w:t xml:space="preserve"> </w:t>
      </w:r>
      <w:r w:rsidRPr="005F60F3">
        <w:t>The determi</w:t>
      </w:r>
      <w:r w:rsidR="0094043B">
        <w:t>nation of whether a service is Medically N</w:t>
      </w:r>
      <w:r w:rsidRPr="005F60F3">
        <w:t>ecessary for an individual child must be made on a case-by-case basis, taking into account the particular needs of the child.</w:t>
      </w:r>
      <w:r>
        <w:t xml:space="preserve"> </w:t>
      </w:r>
      <w:r w:rsidRPr="005F60F3">
        <w:t>Because medical necessity decisions are individualized, flat limits or hard limits based on a monetary cap or budgetary constraints ar</w:t>
      </w:r>
      <w:r>
        <w:t>e</w:t>
      </w:r>
      <w:r w:rsidRPr="005F60F3">
        <w:t xml:space="preserve"> not consistent with EPSDT requirements</w:t>
      </w:r>
      <w:r w:rsidR="00AA5FED">
        <w:t>.</w:t>
      </w:r>
    </w:p>
    <w:p w14:paraId="698E0E97" w14:textId="07587024" w:rsidR="00784EDE" w:rsidRPr="00DF1D1C" w:rsidRDefault="005068A8" w:rsidP="00257641">
      <w:pPr>
        <w:pStyle w:val="Heading5"/>
      </w:pPr>
      <w:r>
        <w:t>2.2.</w:t>
      </w:r>
      <w:r w:rsidR="000B02B8">
        <w:t>3</w:t>
      </w:r>
      <w:r>
        <w:t xml:space="preserve">.5 </w:t>
      </w:r>
      <w:r w:rsidR="00784EDE" w:rsidRPr="00DF1D1C">
        <w:t xml:space="preserve">Track </w:t>
      </w:r>
      <w:r w:rsidR="00975109">
        <w:t xml:space="preserve">EPSDT HealthCheck </w:t>
      </w:r>
      <w:r w:rsidR="00784EDE" w:rsidRPr="00DF1D1C">
        <w:t>Referrals and Treatments</w:t>
      </w:r>
    </w:p>
    <w:p w14:paraId="09D2AC76" w14:textId="77777777" w:rsidR="00784EDE" w:rsidRPr="00DF1D1C" w:rsidRDefault="00784EDE" w:rsidP="00257641">
      <w:pPr>
        <w:pStyle w:val="normal6"/>
      </w:pPr>
      <w:r w:rsidRPr="00DF1D1C">
        <w:t>MCOs must establish a tracking system that provides up-to-date information on compliance with EPSDT service prov</w:t>
      </w:r>
      <w:r w:rsidR="00915AE2">
        <w:t>ision requirements including a Periodicity S</w:t>
      </w:r>
      <w:r w:rsidRPr="00DF1D1C">
        <w:t>chedule of preventive services and standards of care in the followi</w:t>
      </w:r>
      <w:r w:rsidRPr="00116758">
        <w:t>n</w:t>
      </w:r>
      <w:r w:rsidRPr="00DF1D1C">
        <w:t>g areas:</w:t>
      </w:r>
    </w:p>
    <w:p w14:paraId="722ECE61" w14:textId="1CD5037C" w:rsidR="006853A9" w:rsidRDefault="00784EDE" w:rsidP="00257641">
      <w:pPr>
        <w:numPr>
          <w:ilvl w:val="0"/>
          <w:numId w:val="79"/>
        </w:numPr>
        <w:spacing w:after="120"/>
      </w:pPr>
      <w:r w:rsidRPr="00DF1D1C">
        <w:t>Initial visit for newborns</w:t>
      </w:r>
      <w:r w:rsidR="0078080B" w:rsidRPr="00DF1D1C">
        <w:t xml:space="preserve">. </w:t>
      </w:r>
      <w:r w:rsidRPr="00DF1D1C">
        <w:t>The initial E</w:t>
      </w:r>
      <w:r w:rsidR="003D6C79">
        <w:t xml:space="preserve">PSDT screen must </w:t>
      </w:r>
      <w:r w:rsidRPr="00DF1D1C">
        <w:t>be the newborn physical exam in the hospital, birthing center, at home or other setting</w:t>
      </w:r>
      <w:r w:rsidR="0078080B" w:rsidRPr="00DF1D1C">
        <w:t xml:space="preserve">. </w:t>
      </w:r>
      <w:r w:rsidRPr="00DF1D1C">
        <w:t xml:space="preserve">Based in part upon the results of the birth score procedure conducted through the hospital or birthing center under the auspices of the Bureau for Public Health, the periodicity of preventive pediatric visits </w:t>
      </w:r>
      <w:r w:rsidR="003D6C79">
        <w:t>must</w:t>
      </w:r>
      <w:r w:rsidRPr="00DF1D1C">
        <w:t xml:space="preserve"> follow </w:t>
      </w:r>
      <w:r w:rsidR="009339A6" w:rsidRPr="00DF1D1C">
        <w:t xml:space="preserve">schedule </w:t>
      </w:r>
      <w:r w:rsidRPr="00DF1D1C">
        <w:t xml:space="preserve">recommended by the </w:t>
      </w:r>
      <w:r w:rsidR="00AA5FED">
        <w:t>AAP</w:t>
      </w:r>
      <w:r w:rsidRPr="00DF1D1C">
        <w:t xml:space="preserve"> or the accelerated visit schedule set for infants identified as “at risk” through the birth score system.</w:t>
      </w:r>
    </w:p>
    <w:p w14:paraId="08B06331" w14:textId="77777777" w:rsidR="006853A9" w:rsidRDefault="00784EDE" w:rsidP="00257641">
      <w:pPr>
        <w:numPr>
          <w:ilvl w:val="0"/>
          <w:numId w:val="79"/>
        </w:numPr>
        <w:spacing w:after="120"/>
      </w:pPr>
      <w:r w:rsidRPr="00DF1D1C">
        <w:t xml:space="preserve">Preventive pediatric visits according to the </w:t>
      </w:r>
      <w:r w:rsidR="008E1B20" w:rsidRPr="005D7307">
        <w:t>West Virginia</w:t>
      </w:r>
      <w:r w:rsidR="008E1B20">
        <w:t>’s</w:t>
      </w:r>
      <w:r w:rsidR="008E1B20" w:rsidRPr="005D7307">
        <w:t xml:space="preserve"> </w:t>
      </w:r>
      <w:r w:rsidR="00186FD8">
        <w:t>P</w:t>
      </w:r>
      <w:r w:rsidR="008E1B20" w:rsidRPr="005D7307">
        <w:t xml:space="preserve">eriodicity </w:t>
      </w:r>
      <w:r w:rsidR="00186FD8">
        <w:t>S</w:t>
      </w:r>
      <w:r w:rsidR="008E1B20" w:rsidRPr="005D7307">
        <w:t xml:space="preserve">chedule </w:t>
      </w:r>
      <w:r w:rsidRPr="00DF1D1C">
        <w:t xml:space="preserve">up to age </w:t>
      </w:r>
      <w:r w:rsidR="000B2251">
        <w:t>twenty-one (</w:t>
      </w:r>
      <w:r w:rsidRPr="00DF1D1C">
        <w:t>21</w:t>
      </w:r>
      <w:r w:rsidR="000B2251">
        <w:t>)</w:t>
      </w:r>
      <w:r w:rsidRPr="00DF1D1C">
        <w:t>.</w:t>
      </w:r>
    </w:p>
    <w:p w14:paraId="71D9FD54" w14:textId="77777777" w:rsidR="00784EDE" w:rsidRPr="00DF1D1C" w:rsidRDefault="00784EDE" w:rsidP="00257641">
      <w:pPr>
        <w:numPr>
          <w:ilvl w:val="0"/>
          <w:numId w:val="79"/>
        </w:numPr>
      </w:pPr>
      <w:r w:rsidRPr="00DF1D1C">
        <w:t>Diagnosis and/or treatment, or other referral in accordance with EPSDT screen results.</w:t>
      </w:r>
      <w:r w:rsidR="00915AE2">
        <w:t xml:space="preserve"> The MCO </w:t>
      </w:r>
      <w:r w:rsidR="00915AE2" w:rsidRPr="005D7307">
        <w:t xml:space="preserve">must employ processes to ensure timely initiation of treatment, if required, generally within an outer limit of </w:t>
      </w:r>
      <w:r w:rsidR="00F82388">
        <w:t>six (</w:t>
      </w:r>
      <w:r w:rsidR="00915AE2" w:rsidRPr="005D7307">
        <w:t>6</w:t>
      </w:r>
      <w:r w:rsidR="00F82388">
        <w:t>)</w:t>
      </w:r>
      <w:r w:rsidR="00915AE2" w:rsidRPr="005D7307">
        <w:t xml:space="preserve"> months after </w:t>
      </w:r>
      <w:r w:rsidR="00915AE2">
        <w:t>the</w:t>
      </w:r>
      <w:r w:rsidR="00915AE2" w:rsidRPr="005D7307">
        <w:t xml:space="preserve"> screening services</w:t>
      </w:r>
      <w:r w:rsidR="00915AE2">
        <w:t>.</w:t>
      </w:r>
    </w:p>
    <w:p w14:paraId="52D87800" w14:textId="1A42E563" w:rsidR="00784EDE" w:rsidRPr="00DF1D1C" w:rsidRDefault="005068A8" w:rsidP="00257641">
      <w:pPr>
        <w:pStyle w:val="Heading5"/>
      </w:pPr>
      <w:r>
        <w:t>2.2.</w:t>
      </w:r>
      <w:r w:rsidR="000B02B8">
        <w:t>3</w:t>
      </w:r>
      <w:r>
        <w:t xml:space="preserve">.6 </w:t>
      </w:r>
      <w:r w:rsidR="00784EDE" w:rsidRPr="00DF1D1C">
        <w:t xml:space="preserve">Report the </w:t>
      </w:r>
      <w:r w:rsidR="00975109">
        <w:t xml:space="preserve">EPSDT HealthCheck </w:t>
      </w:r>
      <w:r w:rsidR="00784EDE" w:rsidRPr="00DF1D1C">
        <w:t>Results</w:t>
      </w:r>
    </w:p>
    <w:p w14:paraId="558074D6" w14:textId="77777777" w:rsidR="00982B7D" w:rsidRDefault="00982B7D" w:rsidP="00257641">
      <w:r>
        <w:t>The Department is</w:t>
      </w:r>
      <w:r w:rsidRPr="00381321">
        <w:t xml:space="preserve"> responsible for ensuring </w:t>
      </w:r>
      <w:r>
        <w:t>that the MCO</w:t>
      </w:r>
      <w:r w:rsidRPr="00381321">
        <w:t xml:space="preserve"> fulfill</w:t>
      </w:r>
      <w:r>
        <w:t>s</w:t>
      </w:r>
      <w:r w:rsidRPr="00381321">
        <w:t xml:space="preserve"> </w:t>
      </w:r>
      <w:r>
        <w:t>its</w:t>
      </w:r>
      <w:r w:rsidRPr="00381321">
        <w:t xml:space="preserve"> contractual responsibilities to inform all families of the services available under EPSDT and how to access them</w:t>
      </w:r>
      <w:r>
        <w:t>.</w:t>
      </w:r>
    </w:p>
    <w:p w14:paraId="3C0F119B" w14:textId="7FE90C0F" w:rsidR="00784EDE" w:rsidRPr="00DF1D1C" w:rsidRDefault="003D6C79" w:rsidP="00257641">
      <w:r>
        <w:t>MCOs must</w:t>
      </w:r>
      <w:r w:rsidR="00784EDE" w:rsidRPr="00DF1D1C">
        <w:t xml:space="preserve"> submit to </w:t>
      </w:r>
      <w:r w:rsidR="00DB2862">
        <w:t>DHHR</w:t>
      </w:r>
      <w:r w:rsidR="00DB2862" w:rsidRPr="00DF1D1C">
        <w:t xml:space="preserve"> </w:t>
      </w:r>
      <w:r w:rsidR="00784EDE" w:rsidRPr="00DF1D1C">
        <w:t xml:space="preserve">a report due </w:t>
      </w:r>
      <w:r w:rsidR="00036D05">
        <w:t>forty-five (</w:t>
      </w:r>
      <w:r w:rsidR="00784EDE" w:rsidRPr="00DF1D1C">
        <w:t>45</w:t>
      </w:r>
      <w:r w:rsidR="00036D05">
        <w:t>)</w:t>
      </w:r>
      <w:r w:rsidR="00784EDE" w:rsidRPr="00DF1D1C">
        <w:t xml:space="preserve"> </w:t>
      </w:r>
      <w:r w:rsidR="008F7061">
        <w:t xml:space="preserve">calendar </w:t>
      </w:r>
      <w:r w:rsidR="00784EDE" w:rsidRPr="00DF1D1C">
        <w:t>days after the end of each quarter which identifies its performance regarding</w:t>
      </w:r>
      <w:r w:rsidR="00645612" w:rsidRPr="00DF1D1C">
        <w:t xml:space="preserve"> EPSDT </w:t>
      </w:r>
      <w:r w:rsidR="00721F38">
        <w:t>outreach/enabling s</w:t>
      </w:r>
      <w:r w:rsidR="00721F38" w:rsidRPr="00611458">
        <w:t>ervices</w:t>
      </w:r>
      <w:r w:rsidR="00721F38">
        <w:t xml:space="preserve">, </w:t>
      </w:r>
      <w:r w:rsidR="00645612" w:rsidRPr="00DF1D1C">
        <w:t xml:space="preserve">screening </w:t>
      </w:r>
      <w:r w:rsidR="00645612" w:rsidRPr="00DF1D1C">
        <w:lastRenderedPageBreak/>
        <w:t>and referral rates, well-care child visit rates, dental visits, and immunization rates</w:t>
      </w:r>
      <w:r w:rsidR="0078080B" w:rsidRPr="00DF1D1C">
        <w:t xml:space="preserve"> </w:t>
      </w:r>
      <w:r w:rsidR="00A1116E" w:rsidRPr="00DF1D1C">
        <w:t>(see Section 5.11, Reporting Requirements)</w:t>
      </w:r>
      <w:r w:rsidR="00932058" w:rsidRPr="00DF1D1C">
        <w:t>.</w:t>
      </w:r>
      <w:r w:rsidR="004C2785">
        <w:t xml:space="preserve"> </w:t>
      </w:r>
    </w:p>
    <w:p w14:paraId="29233550" w14:textId="7E2DC58A" w:rsidR="009A0060" w:rsidRPr="00DF1D1C" w:rsidRDefault="005068A8" w:rsidP="00257641">
      <w:pPr>
        <w:pStyle w:val="Heading4"/>
      </w:pPr>
      <w:r>
        <w:t>2</w:t>
      </w:r>
      <w:r w:rsidR="00064B70">
        <w:t>.2.</w:t>
      </w:r>
      <w:r w:rsidR="000B02B8">
        <w:t>4</w:t>
      </w:r>
      <w:r w:rsidR="00064B70">
        <w:t xml:space="preserve"> </w:t>
      </w:r>
      <w:r w:rsidR="009A0060" w:rsidRPr="00DF1D1C">
        <w:t>Emergency Care</w:t>
      </w:r>
    </w:p>
    <w:p w14:paraId="46C0F4E9" w14:textId="51984F3A" w:rsidR="00155D40" w:rsidRDefault="004F28C1" w:rsidP="00257641">
      <w:r>
        <w:t xml:space="preserve">MCO policy and procedures, covered Medicaid services, claims adjudication methodology, and reimbursement performance for emergency care services must comply with all applicable state and federal laws, rules, and regulations, including 42 CFR 438.114, whether the provider is in the MCO’s network or out-of-network. </w:t>
      </w:r>
      <w:r w:rsidR="009A0060" w:rsidRPr="00DF1D1C">
        <w:t xml:space="preserve">The MCO </w:t>
      </w:r>
      <w:r w:rsidR="003D6C79">
        <w:t>must</w:t>
      </w:r>
      <w:r w:rsidR="009A0060" w:rsidRPr="00DF1D1C">
        <w:t xml:space="preserve"> cover and pay for all medical</w:t>
      </w:r>
      <w:r w:rsidR="004B74BB">
        <w:t xml:space="preserve">, behavioral, </w:t>
      </w:r>
      <w:r w:rsidR="008E2115">
        <w:t xml:space="preserve">inpatient </w:t>
      </w:r>
      <w:r w:rsidR="004B74BB">
        <w:t>pharmacy</w:t>
      </w:r>
      <w:r w:rsidR="009E76B0">
        <w:t>,</w:t>
      </w:r>
      <w:r w:rsidR="001F16C3">
        <w:t xml:space="preserve"> dental </w:t>
      </w:r>
      <w:r w:rsidR="009A0060" w:rsidRPr="00DF1D1C">
        <w:t>services</w:t>
      </w:r>
      <w:r w:rsidR="00A23CA2">
        <w:t>,</w:t>
      </w:r>
      <w:r w:rsidR="009A0060" w:rsidRPr="00DF1D1C">
        <w:t xml:space="preserve"> </w:t>
      </w:r>
      <w:r w:rsidR="00A23CA2" w:rsidRPr="00A23CA2">
        <w:t xml:space="preserve">and emergency transportation </w:t>
      </w:r>
      <w:r w:rsidR="009A0060" w:rsidRPr="00DF1D1C">
        <w:t xml:space="preserve">described in </w:t>
      </w:r>
      <w:r w:rsidR="009B19C2">
        <w:t xml:space="preserve">Contract </w:t>
      </w:r>
      <w:r w:rsidR="00F33B38">
        <w:t>Appendix</w:t>
      </w:r>
      <w:r w:rsidR="009A0060" w:rsidRPr="00DF1D1C">
        <w:t xml:space="preserve"> A that may be required on an emergency basis </w:t>
      </w:r>
      <w:r w:rsidR="006C4663">
        <w:t>twenty-four (</w:t>
      </w:r>
      <w:r w:rsidR="009A0060" w:rsidRPr="00DF1D1C">
        <w:t>24</w:t>
      </w:r>
      <w:r w:rsidR="006C4663">
        <w:t>)</w:t>
      </w:r>
      <w:r w:rsidR="009A0060" w:rsidRPr="00DF1D1C">
        <w:t xml:space="preserve"> hours each day, seven</w:t>
      </w:r>
      <w:r w:rsidR="00BC1937">
        <w:t xml:space="preserve"> (7)</w:t>
      </w:r>
      <w:r w:rsidR="009A0060" w:rsidRPr="00DF1D1C">
        <w:t xml:space="preserve"> days a week, either in the MCO</w:t>
      </w:r>
      <w:r w:rsidR="00FA1C0C" w:rsidRPr="00DF1D1C">
        <w:t>’</w:t>
      </w:r>
      <w:r w:rsidR="009A0060" w:rsidRPr="00DF1D1C">
        <w:t xml:space="preserve">s facilities or through arrangements approved by </w:t>
      </w:r>
      <w:r w:rsidR="00DB2862">
        <w:t>DHHR</w:t>
      </w:r>
      <w:r w:rsidR="009A0060" w:rsidRPr="00DF1D1C">
        <w:t>.</w:t>
      </w:r>
      <w:r w:rsidR="009A0060" w:rsidRPr="00DF1D1C">
        <w:rPr>
          <w:rStyle w:val="FootnoteReference"/>
        </w:rPr>
        <w:footnoteReference w:id="2"/>
      </w:r>
      <w:r w:rsidR="00F24820">
        <w:t xml:space="preserve"> </w:t>
      </w:r>
      <w:r w:rsidR="009A0060" w:rsidRPr="00DF1D1C">
        <w:t xml:space="preserve">The terms </w:t>
      </w:r>
      <w:r w:rsidR="007D56E3" w:rsidRPr="00DF1D1C">
        <w:t>“</w:t>
      </w:r>
      <w:r w:rsidR="00E81615">
        <w:t>Emergency C</w:t>
      </w:r>
      <w:r w:rsidR="009A0060" w:rsidRPr="00DF1D1C">
        <w:t>are,</w:t>
      </w:r>
      <w:r w:rsidR="007D56E3" w:rsidRPr="00DF1D1C">
        <w:t>”</w:t>
      </w:r>
      <w:r w:rsidR="009A0060" w:rsidRPr="00DF1D1C">
        <w:t xml:space="preserve"> </w:t>
      </w:r>
      <w:r w:rsidR="007D56E3" w:rsidRPr="00DF1D1C">
        <w:t>“</w:t>
      </w:r>
      <w:r w:rsidR="00E81615">
        <w:t>Urgent C</w:t>
      </w:r>
      <w:r w:rsidR="009A0060" w:rsidRPr="00DF1D1C">
        <w:t>are,</w:t>
      </w:r>
      <w:r w:rsidR="007D56E3" w:rsidRPr="00DF1D1C">
        <w:t>”</w:t>
      </w:r>
      <w:r w:rsidR="009A0060" w:rsidRPr="00DF1D1C">
        <w:t xml:space="preserve"> </w:t>
      </w:r>
      <w:r w:rsidR="007D56E3" w:rsidRPr="00DF1D1C">
        <w:t>“</w:t>
      </w:r>
      <w:r w:rsidR="00E81615">
        <w:t>Emergency Medical C</w:t>
      </w:r>
      <w:r w:rsidR="009A0060" w:rsidRPr="00DF1D1C">
        <w:t>onditions</w:t>
      </w:r>
      <w:r w:rsidR="001F16C3">
        <w:t>,</w:t>
      </w:r>
      <w:r w:rsidR="007D56E3" w:rsidRPr="00DF1D1C">
        <w:t>”</w:t>
      </w:r>
      <w:r w:rsidR="009A0060" w:rsidRPr="00DF1D1C">
        <w:t xml:space="preserve"> </w:t>
      </w:r>
      <w:r w:rsidR="001F16C3">
        <w:t>and “</w:t>
      </w:r>
      <w:r w:rsidR="00AB2B02">
        <w:t>E</w:t>
      </w:r>
      <w:r w:rsidR="001F16C3">
        <w:t xml:space="preserve">mergency </w:t>
      </w:r>
      <w:r w:rsidR="00AB2B02">
        <w:t>D</w:t>
      </w:r>
      <w:r w:rsidR="001F16C3">
        <w:t xml:space="preserve">ental </w:t>
      </w:r>
      <w:r w:rsidR="00AB2B02">
        <w:t>C</w:t>
      </w:r>
      <w:r w:rsidR="001F16C3">
        <w:t xml:space="preserve">ondition” </w:t>
      </w:r>
      <w:r w:rsidR="009A0060" w:rsidRPr="00DF1D1C">
        <w:t xml:space="preserve">are defined in Article II of this </w:t>
      </w:r>
      <w:r w:rsidR="00CA09C9">
        <w:t>C</w:t>
      </w:r>
      <w:r w:rsidR="009A0060" w:rsidRPr="00DF1D1C">
        <w:t>ontract</w:t>
      </w:r>
      <w:r w:rsidR="0078080B" w:rsidRPr="00DF1D1C">
        <w:t xml:space="preserve">. </w:t>
      </w:r>
    </w:p>
    <w:p w14:paraId="738066FB" w14:textId="40536A71" w:rsidR="009A0060" w:rsidRDefault="009A0060" w:rsidP="00257641">
      <w:r w:rsidRPr="00DF1D1C">
        <w:t xml:space="preserve">Reimbursement for emergency services provided out-of-network </w:t>
      </w:r>
      <w:r w:rsidR="00060103" w:rsidRPr="00DF1D1C">
        <w:t xml:space="preserve">must </w:t>
      </w:r>
      <w:r w:rsidRPr="00DF1D1C">
        <w:t xml:space="preserve">be </w:t>
      </w:r>
      <w:r w:rsidR="00060103" w:rsidRPr="00DF1D1C">
        <w:t xml:space="preserve">equal to </w:t>
      </w:r>
      <w:r w:rsidRPr="00DF1D1C">
        <w:t xml:space="preserve">the Medicaid </w:t>
      </w:r>
      <w:r w:rsidR="00155D40">
        <w:t xml:space="preserve">prevailing </w:t>
      </w:r>
      <w:r w:rsidR="00FF5099" w:rsidRPr="00DF1D1C">
        <w:t>FFS</w:t>
      </w:r>
      <w:r w:rsidR="00060103" w:rsidRPr="00DF1D1C">
        <w:t xml:space="preserve"> </w:t>
      </w:r>
      <w:r w:rsidRPr="00DF1D1C">
        <w:t>reimbursement level for emergency services</w:t>
      </w:r>
      <w:r w:rsidR="00060103" w:rsidRPr="00DF1D1C">
        <w:t>, less any payments for direct costs of medical education and direct costs of graduate medical education included in the FFS reimbursement rate</w:t>
      </w:r>
      <w:r w:rsidRPr="00DF1D1C">
        <w:t>. In emergency situations, no pre</w:t>
      </w:r>
      <w:r w:rsidRPr="00DF1D1C">
        <w:noBreakHyphen/>
        <w:t>authorization is required to provide necessary medical care and enrollees may seek care from non</w:t>
      </w:r>
      <w:r w:rsidR="004E5854">
        <w:t>-</w:t>
      </w:r>
      <w:r w:rsidRPr="00DF1D1C">
        <w:t>participating providers.</w:t>
      </w:r>
    </w:p>
    <w:p w14:paraId="17BE80EE" w14:textId="0F3FA9AF" w:rsidR="00A23CA2" w:rsidRDefault="00CE4F37" w:rsidP="00257641">
      <w:r>
        <w:t>The MCO must r</w:t>
      </w:r>
      <w:r w:rsidR="00A23CA2">
        <w:t xml:space="preserve">eimburse for emergency transportation </w:t>
      </w:r>
      <w:r w:rsidR="00C2304E">
        <w:t xml:space="preserve">at a rate of </w:t>
      </w:r>
      <w:r>
        <w:t xml:space="preserve">at least one-hundred percent </w:t>
      </w:r>
      <w:r w:rsidR="00402D0D">
        <w:t xml:space="preserve">(100%) </w:t>
      </w:r>
      <w:r>
        <w:t xml:space="preserve">of the Medicaid fee schedule </w:t>
      </w:r>
      <w:r w:rsidR="00A23CA2" w:rsidRPr="005C02F6">
        <w:t xml:space="preserve">for </w:t>
      </w:r>
      <w:r w:rsidR="00A23CA2">
        <w:t xml:space="preserve">emergency </w:t>
      </w:r>
      <w:r w:rsidR="00A23CA2" w:rsidRPr="005C02F6">
        <w:t>ground</w:t>
      </w:r>
      <w:r w:rsidR="00A23CA2">
        <w:t xml:space="preserve"> transportation and emergency </w:t>
      </w:r>
      <w:r w:rsidR="00A23CA2" w:rsidRPr="005C02F6">
        <w:t>air</w:t>
      </w:r>
      <w:r w:rsidR="00A23CA2">
        <w:t xml:space="preserve"> transportation.</w:t>
      </w:r>
    </w:p>
    <w:p w14:paraId="1FFBB14F" w14:textId="33571965" w:rsidR="00F349D2" w:rsidRDefault="009A0060" w:rsidP="00257641">
      <w:r w:rsidRPr="00DF1D1C">
        <w:t>The MCO is required to inform enrollees</w:t>
      </w:r>
      <w:r w:rsidR="00DC30E3">
        <w:t xml:space="preserve"> or their representatives</w:t>
      </w:r>
      <w:r w:rsidRPr="00DF1D1C">
        <w:t xml:space="preserve"> regarding their rights of access to and coverage of emergency services, both inside and outside of the plan</w:t>
      </w:r>
      <w:r w:rsidR="00FA1C0C" w:rsidRPr="00DF1D1C">
        <w:t>’</w:t>
      </w:r>
      <w:r w:rsidRPr="00DF1D1C">
        <w:t>s network.</w:t>
      </w:r>
      <w:r w:rsidR="00195099">
        <w:t xml:space="preserve"> </w:t>
      </w:r>
    </w:p>
    <w:p w14:paraId="15CDDC93" w14:textId="29D9FC35" w:rsidR="009A0060" w:rsidRPr="00E81615" w:rsidRDefault="009A0060" w:rsidP="00257641">
      <w:r w:rsidRPr="00DF1D1C">
        <w:t xml:space="preserve">Coverage of emergency services by the MCO will be determined under the </w:t>
      </w:r>
      <w:r w:rsidR="007D56E3" w:rsidRPr="00DF1D1C">
        <w:t>“</w:t>
      </w:r>
      <w:r w:rsidRPr="00DF1D1C">
        <w:t>prudent layperson</w:t>
      </w:r>
      <w:r w:rsidR="007D56E3" w:rsidRPr="00DF1D1C">
        <w:t>”</w:t>
      </w:r>
      <w:r w:rsidRPr="00DF1D1C">
        <w:t xml:space="preserve"> standard. That standard considers the symptoms (including severe pain) of the presenting enrollee</w:t>
      </w:r>
      <w:r w:rsidRPr="00DF1D1C">
        <w:rPr>
          <w:b/>
        </w:rPr>
        <w:t>.</w:t>
      </w:r>
      <w:r w:rsidR="00E81615">
        <w:rPr>
          <w:b/>
        </w:rPr>
        <w:t xml:space="preserve"> </w:t>
      </w:r>
      <w:r w:rsidR="00E81615" w:rsidRPr="00E81615">
        <w:t xml:space="preserve">The MCO </w:t>
      </w:r>
      <w:r w:rsidR="003C42BB">
        <w:t>may not</w:t>
      </w:r>
      <w:r w:rsidR="003C42BB" w:rsidRPr="00E81615">
        <w:t xml:space="preserve"> </w:t>
      </w:r>
      <w:r w:rsidR="00E81615" w:rsidRPr="00E81615">
        <w:t xml:space="preserve">limit what constitutes an Emergency Medical </w:t>
      </w:r>
      <w:r w:rsidR="00993CC4">
        <w:t xml:space="preserve">or Behavioral Health </w:t>
      </w:r>
      <w:r w:rsidR="00E81615" w:rsidRPr="00E81615">
        <w:t>Condition on the basis of lists of diagnoses or symptoms.</w:t>
      </w:r>
    </w:p>
    <w:p w14:paraId="1593A1B6" w14:textId="77777777" w:rsidR="009A0060" w:rsidRPr="00DF1D1C" w:rsidRDefault="009A0060" w:rsidP="00257641">
      <w:r w:rsidRPr="00DF1D1C">
        <w:t xml:space="preserve">The MCO may not deny payment for treatment obtained when an enrollee had an emergency medical </w:t>
      </w:r>
      <w:r w:rsidR="001F16C3">
        <w:t xml:space="preserve">or dental </w:t>
      </w:r>
      <w:r w:rsidRPr="00DF1D1C">
        <w:t>condition in which the absence of immediate medical attention would have placed the health of the individual, or in the case of a pregnant women, the woman or her unborn child, in serious jeopardy; resulted in serious impairment to bodily functions; or resulted in serious dysfunction of any bodily organ or part</w:t>
      </w:r>
      <w:r w:rsidR="0078080B" w:rsidRPr="00DF1D1C">
        <w:t xml:space="preserve">. </w:t>
      </w:r>
      <w:r w:rsidRPr="00DF1D1C">
        <w:t>The MCO may not deny payment for treatment when a representative of the MCO instructs the enrollee to seek emergency care.</w:t>
      </w:r>
    </w:p>
    <w:p w14:paraId="5BAF8055" w14:textId="2AAD48A2" w:rsidR="009A0060" w:rsidRPr="00DF1D1C" w:rsidRDefault="009A0060" w:rsidP="00257641">
      <w:r w:rsidRPr="00DF1D1C">
        <w:t xml:space="preserve">The MCO may not retroactively deny a claim for an emergency screening examination because the condition, which appeared to be an emergency medical condition under the prudent layperson standard (as defined above), turned out to be non-emergency in nature. Hospitals are required to </w:t>
      </w:r>
      <w:r w:rsidRPr="00DF1D1C">
        <w:lastRenderedPageBreak/>
        <w:t>evaluate each enrollee presenting for services in the emergency room and must be reimbursed for this evaluation</w:t>
      </w:r>
      <w:r w:rsidR="0078080B" w:rsidRPr="00DF1D1C">
        <w:t xml:space="preserve">. </w:t>
      </w:r>
      <w:r w:rsidRPr="00DF1D1C">
        <w:t>If emergency room care is later deemed non-emergency, the MCO is not permitted to bill the Medicaid patient; the MCO and the hospital should determine who pays for this care</w:t>
      </w:r>
      <w:r w:rsidR="001F16C3">
        <w:t xml:space="preserve">, except for the applicable non-emergency copays paid by the </w:t>
      </w:r>
      <w:r w:rsidR="001E2F32">
        <w:t>enrollee</w:t>
      </w:r>
      <w:r w:rsidRPr="00DF1D1C">
        <w:t>.</w:t>
      </w:r>
    </w:p>
    <w:p w14:paraId="76DB2613" w14:textId="7725CA2B" w:rsidR="009A0060" w:rsidRPr="00DF1D1C" w:rsidRDefault="009A0060" w:rsidP="00257641">
      <w:r w:rsidRPr="00DF1D1C">
        <w:t>The MCO may not require prior authorization for emergency services. This applies to out-of-network as well as to in-network services which an enrollee seeks in an emergency.</w:t>
      </w:r>
      <w:r w:rsidR="00A23CA2">
        <w:t xml:space="preserve"> </w:t>
      </w:r>
      <w:r w:rsidR="00A23CA2" w:rsidRPr="00A23CA2">
        <w:t>Placement in an IMD is considered an emergency services and as such, the MCO cannot require a prior authorization for placement in the IMD the first forty-eight (48) hours.</w:t>
      </w:r>
    </w:p>
    <w:p w14:paraId="5050A801" w14:textId="54C83E59" w:rsidR="009A0060" w:rsidRPr="00DF1D1C" w:rsidRDefault="00D06164" w:rsidP="00257641">
      <w:r>
        <w:t xml:space="preserve">A medical screening examination needed to diagnose </w:t>
      </w:r>
      <w:r w:rsidR="00306F03">
        <w:t>an enrollee</w:t>
      </w:r>
      <w:r>
        <w:t xml:space="preserve">’s emergency medical condition must be provided in a hospital-based emergency department that meets the requirements of the Emergency Medical Treatment and Active Labor Act (EMTALA) (42 CFR 489.20, 489.24 and 438.114(b)&amp;(c)). The MCO must pay for the </w:t>
      </w:r>
      <w:r w:rsidR="001E2F32">
        <w:t xml:space="preserve">enrollee’s </w:t>
      </w:r>
      <w:r>
        <w:t xml:space="preserve">emergency medical screening examination, as required by 42 U.S.C. 1395dd. The MCO must reimburse </w:t>
      </w:r>
      <w:r w:rsidR="003C42BB">
        <w:t xml:space="preserve">the providers </w:t>
      </w:r>
      <w:r>
        <w:t>for both the physician's services and the hospital's emergency services, including the emergency room and its ancillary services</w:t>
      </w:r>
      <w:r w:rsidR="006A66EB">
        <w:t xml:space="preserve">, </w:t>
      </w:r>
      <w:r w:rsidR="006A66EB" w:rsidRPr="006A66EB">
        <w:t xml:space="preserve">so long as the </w:t>
      </w:r>
      <w:r w:rsidR="00BE636D">
        <w:t>“</w:t>
      </w:r>
      <w:r w:rsidR="006A66EB" w:rsidRPr="006A66EB">
        <w:t>prudent layperson</w:t>
      </w:r>
      <w:r w:rsidR="00BE636D">
        <w:t>”</w:t>
      </w:r>
      <w:r w:rsidR="006A66EB" w:rsidRPr="006A66EB">
        <w:t xml:space="preserve"> standard (as defined above) has been met</w:t>
      </w:r>
      <w:r>
        <w:t>.</w:t>
      </w:r>
    </w:p>
    <w:p w14:paraId="414A0701" w14:textId="523DC7F3" w:rsidR="009A0060" w:rsidRPr="00DF1D1C" w:rsidRDefault="005068A8" w:rsidP="00257641">
      <w:pPr>
        <w:pStyle w:val="Heading4"/>
      </w:pPr>
      <w:r>
        <w:t>2</w:t>
      </w:r>
      <w:r w:rsidR="00064B70">
        <w:t>.2.</w:t>
      </w:r>
      <w:r w:rsidR="000B02B8">
        <w:t>5</w:t>
      </w:r>
      <w:r w:rsidR="00064B70">
        <w:t xml:space="preserve"> </w:t>
      </w:r>
      <w:r w:rsidR="009A0060" w:rsidRPr="00DF1D1C">
        <w:t>Post-</w:t>
      </w:r>
      <w:r w:rsidR="0001594F" w:rsidRPr="00DF1D1C">
        <w:t>S</w:t>
      </w:r>
      <w:r w:rsidR="009A0060" w:rsidRPr="00DF1D1C">
        <w:t>tabilization Care</w:t>
      </w:r>
    </w:p>
    <w:p w14:paraId="4FFB86A2" w14:textId="77777777" w:rsidR="009E76B0" w:rsidRDefault="00F96F25" w:rsidP="00257641">
      <w:r w:rsidRPr="00F96F25">
        <w:t>The MCO must cover and p</w:t>
      </w:r>
      <w:r>
        <w:t xml:space="preserve">ay for </w:t>
      </w:r>
      <w:r w:rsidR="00306F03">
        <w:t>p</w:t>
      </w:r>
      <w:r>
        <w:t>ost-</w:t>
      </w:r>
      <w:r w:rsidR="000A261E">
        <w:t>s</w:t>
      </w:r>
      <w:r>
        <w:t>tabilization care s</w:t>
      </w:r>
      <w:r w:rsidRPr="00F96F25">
        <w:t xml:space="preserve">ervices in the amount, duration, and scope necessary to comply with 42 </w:t>
      </w:r>
      <w:r>
        <w:t xml:space="preserve">CFR </w:t>
      </w:r>
      <w:r w:rsidR="00592FF0">
        <w:t>438.114</w:t>
      </w:r>
      <w:r>
        <w:t xml:space="preserve"> and 42 CFR 422.113</w:t>
      </w:r>
      <w:r w:rsidR="006071D9">
        <w:t>(c)</w:t>
      </w:r>
      <w:r w:rsidRPr="00F96F25">
        <w:t>.</w:t>
      </w:r>
    </w:p>
    <w:p w14:paraId="7F68C373" w14:textId="77777777" w:rsidR="009A0060" w:rsidRPr="00DF1D1C" w:rsidRDefault="009A0060" w:rsidP="00257641">
      <w:pPr>
        <w:pStyle w:val="normal6"/>
      </w:pPr>
      <w:r w:rsidRPr="00DF1D1C">
        <w:t xml:space="preserve">These regulations state that the </w:t>
      </w:r>
      <w:r w:rsidR="00332B12" w:rsidRPr="00DF1D1C">
        <w:t xml:space="preserve">MCO </w:t>
      </w:r>
      <w:r w:rsidRPr="00DF1D1C">
        <w:t xml:space="preserve">must make timely and reasonable payment to or on behalf of the plan enrollee for the following services obtained from a provider or supplier whether or not that provider or supplier contracts with the </w:t>
      </w:r>
      <w:r w:rsidR="00332B12" w:rsidRPr="00DF1D1C">
        <w:t xml:space="preserve">MCO </w:t>
      </w:r>
      <w:r w:rsidRPr="00DF1D1C">
        <w:t xml:space="preserve">to provide services covered by the </w:t>
      </w:r>
      <w:r w:rsidR="00332B12" w:rsidRPr="00DF1D1C">
        <w:t>MCO</w:t>
      </w:r>
      <w:r w:rsidRPr="00DF1D1C">
        <w:t>.</w:t>
      </w:r>
      <w:r w:rsidR="007D56E3" w:rsidRPr="00DF1D1C">
        <w:t xml:space="preserve"> </w:t>
      </w:r>
      <w:r w:rsidR="000A261E">
        <w:t>Post-s</w:t>
      </w:r>
      <w:r w:rsidRPr="00DF1D1C">
        <w:t>tabilization care services are covered services that:</w:t>
      </w:r>
    </w:p>
    <w:p w14:paraId="711F015E" w14:textId="77777777" w:rsidR="009A0060" w:rsidRPr="00CA09C9" w:rsidRDefault="00910704" w:rsidP="00257641">
      <w:pPr>
        <w:pStyle w:val="bullet1"/>
      </w:pPr>
      <w:r w:rsidRPr="00CA09C9">
        <w:t>W</w:t>
      </w:r>
      <w:r w:rsidR="009A0060" w:rsidRPr="00CA09C9">
        <w:t xml:space="preserve">ere pre-approved by the organization; or </w:t>
      </w:r>
    </w:p>
    <w:p w14:paraId="4D84773F" w14:textId="4E8AA48A" w:rsidR="009A0060" w:rsidRPr="00CA09C9" w:rsidRDefault="00910704" w:rsidP="00257641">
      <w:pPr>
        <w:pStyle w:val="bullet1last"/>
      </w:pPr>
      <w:r w:rsidRPr="00CA09C9">
        <w:t>W</w:t>
      </w:r>
      <w:r w:rsidR="009A0060" w:rsidRPr="00CA09C9">
        <w:t>ere not pre-approved by the organization because the organization did not respond to the provider of post-stabilization care services</w:t>
      </w:r>
      <w:r w:rsidR="00FA1C0C" w:rsidRPr="00CA09C9">
        <w:t>’</w:t>
      </w:r>
      <w:r w:rsidR="009A0060" w:rsidRPr="00CA09C9">
        <w:t xml:space="preserve"> request for pre-approval within </w:t>
      </w:r>
      <w:r w:rsidRPr="00CA09C9">
        <w:t>one</w:t>
      </w:r>
      <w:r w:rsidR="009A0060" w:rsidRPr="00CA09C9">
        <w:t xml:space="preserve"> </w:t>
      </w:r>
      <w:r w:rsidR="009628FA">
        <w:t xml:space="preserve">(1) </w:t>
      </w:r>
      <w:r w:rsidR="009A0060" w:rsidRPr="00CA09C9">
        <w:t>hour after being requested to approve such care, or could not be contacted for pre-approval.</w:t>
      </w:r>
    </w:p>
    <w:p w14:paraId="6DDF8EB7" w14:textId="77777777" w:rsidR="009A0060" w:rsidRPr="00DF1D1C" w:rsidRDefault="009A0060" w:rsidP="00257641">
      <w:r w:rsidRPr="00DF1D1C">
        <w:t xml:space="preserve">Post-stabilization services are not </w:t>
      </w:r>
      <w:r w:rsidR="00910704" w:rsidRPr="00DF1D1C">
        <w:t>“</w:t>
      </w:r>
      <w:r w:rsidRPr="00DF1D1C">
        <w:t>emergency services,</w:t>
      </w:r>
      <w:r w:rsidR="00910704" w:rsidRPr="00DF1D1C">
        <w:t>”</w:t>
      </w:r>
      <w:r w:rsidRPr="00DF1D1C">
        <w:t xml:space="preserve"> which the </w:t>
      </w:r>
      <w:r w:rsidR="00332B12" w:rsidRPr="00DF1D1C">
        <w:t xml:space="preserve">MCO </w:t>
      </w:r>
      <w:r w:rsidRPr="00DF1D1C">
        <w:t xml:space="preserve">is obligated to cover in-or-out of plan according to the </w:t>
      </w:r>
      <w:r w:rsidR="00910704" w:rsidRPr="00DF1D1C">
        <w:t>“</w:t>
      </w:r>
      <w:r w:rsidRPr="00DF1D1C">
        <w:t>prudent layperson</w:t>
      </w:r>
      <w:r w:rsidR="00910704" w:rsidRPr="00DF1D1C">
        <w:t>”</w:t>
      </w:r>
      <w:r w:rsidRPr="00DF1D1C">
        <w:t xml:space="preserve"> standard</w:t>
      </w:r>
      <w:r w:rsidR="0078080B" w:rsidRPr="00DF1D1C">
        <w:t xml:space="preserve">. </w:t>
      </w:r>
      <w:r w:rsidRPr="00DF1D1C">
        <w:t xml:space="preserve">Rather, they are non-emergency services that the </w:t>
      </w:r>
      <w:r w:rsidR="00332B12" w:rsidRPr="00DF1D1C">
        <w:t xml:space="preserve">MCO </w:t>
      </w:r>
      <w:r w:rsidRPr="00DF1D1C">
        <w:t xml:space="preserve">could choose not to cover out-of-plan except in the circumstances described above. </w:t>
      </w:r>
    </w:p>
    <w:p w14:paraId="3472F2B9" w14:textId="77777777" w:rsidR="009A0060" w:rsidRPr="00DF1D1C" w:rsidRDefault="009A0060" w:rsidP="00257641">
      <w:r w:rsidRPr="00DF1D1C">
        <w:t>The intent of this provision is to promote efficient and timely coordination of appropriate care of a managed care enrollee after the enrollee</w:t>
      </w:r>
      <w:r w:rsidR="00FA1C0C" w:rsidRPr="00DF1D1C">
        <w:t>’</w:t>
      </w:r>
      <w:r w:rsidRPr="00DF1D1C">
        <w:t>s condition has been determined to be stable.</w:t>
      </w:r>
    </w:p>
    <w:p w14:paraId="38D680F1" w14:textId="2738DBD8" w:rsidR="009A0060" w:rsidRPr="00DF1D1C" w:rsidRDefault="005068A8" w:rsidP="00257641">
      <w:pPr>
        <w:pStyle w:val="Heading4"/>
      </w:pPr>
      <w:r>
        <w:t>2</w:t>
      </w:r>
      <w:r w:rsidR="00064B70">
        <w:t>.2.</w:t>
      </w:r>
      <w:r w:rsidR="000B02B8">
        <w:t>6</w:t>
      </w:r>
      <w:r w:rsidR="00064B70">
        <w:t xml:space="preserve"> </w:t>
      </w:r>
      <w:r w:rsidR="009A0060" w:rsidRPr="00DF1D1C">
        <w:t>Family Planning</w:t>
      </w:r>
    </w:p>
    <w:p w14:paraId="181D804F" w14:textId="210CD1D2" w:rsidR="009A0060" w:rsidRPr="00DF1D1C" w:rsidRDefault="00402D0D" w:rsidP="00257641">
      <w:r>
        <w:t>The MCO must ensure</w:t>
      </w:r>
      <w:r w:rsidRPr="007E3824">
        <w:t xml:space="preserve"> that its network includes sufficient family planning providers to ensure timely access to covered </w:t>
      </w:r>
      <w:r>
        <w:t xml:space="preserve">family planning </w:t>
      </w:r>
      <w:r w:rsidRPr="007E3824">
        <w:t>services</w:t>
      </w:r>
      <w:r>
        <w:t xml:space="preserve"> for </w:t>
      </w:r>
      <w:r w:rsidR="001E2F32">
        <w:t>enrollees</w:t>
      </w:r>
      <w:r>
        <w:t>.</w:t>
      </w:r>
      <w:r w:rsidRPr="00DF1D1C">
        <w:t xml:space="preserve"> </w:t>
      </w:r>
      <w:r w:rsidR="009A0060" w:rsidRPr="00DF1D1C">
        <w:t>Although family planning services are included within the MCO</w:t>
      </w:r>
      <w:r w:rsidR="00FA1C0C" w:rsidRPr="00DF1D1C">
        <w:t>’</w:t>
      </w:r>
      <w:r w:rsidR="009A0060" w:rsidRPr="00DF1D1C">
        <w:t xml:space="preserve">s list of covered benefits, Medicaid enrollees are entitled </w:t>
      </w:r>
      <w:r w:rsidR="009A0060" w:rsidRPr="00DF1D1C">
        <w:lastRenderedPageBreak/>
        <w:t xml:space="preserve">to obtain </w:t>
      </w:r>
      <w:r w:rsidR="00B152DD">
        <w:t xml:space="preserve">all </w:t>
      </w:r>
      <w:r w:rsidR="00FE62A2">
        <w:t xml:space="preserve">Medicaid </w:t>
      </w:r>
      <w:r w:rsidR="00B152DD">
        <w:t xml:space="preserve">covered </w:t>
      </w:r>
      <w:r w:rsidR="009A0060" w:rsidRPr="00DF1D1C">
        <w:t>family planning services without prior authorization through any Medicaid provider</w:t>
      </w:r>
      <w:r w:rsidR="007D56E3" w:rsidRPr="00DF1D1C">
        <w:t xml:space="preserve">, </w:t>
      </w:r>
      <w:r w:rsidR="009A0060" w:rsidRPr="00DF1D1C">
        <w:t xml:space="preserve">who will bill the MCO and be </w:t>
      </w:r>
      <w:r w:rsidR="007D56E3" w:rsidRPr="00DF1D1C">
        <w:t xml:space="preserve">paid on a </w:t>
      </w:r>
      <w:r>
        <w:t>FFS</w:t>
      </w:r>
      <w:r w:rsidR="007D56E3" w:rsidRPr="00DF1D1C">
        <w:t xml:space="preserve"> basis</w:t>
      </w:r>
      <w:r w:rsidR="009A0060" w:rsidRPr="00DF1D1C">
        <w:t>.</w:t>
      </w:r>
      <w:r w:rsidR="009A0060" w:rsidRPr="00DF1D1C">
        <w:rPr>
          <w:rStyle w:val="FootnoteReference"/>
        </w:rPr>
        <w:footnoteReference w:id="3"/>
      </w:r>
      <w:r w:rsidR="00F24820">
        <w:t xml:space="preserve"> </w:t>
      </w:r>
    </w:p>
    <w:p w14:paraId="3ED0199C" w14:textId="77777777" w:rsidR="009A0060" w:rsidRPr="00DF1D1C" w:rsidRDefault="00120678" w:rsidP="00257641">
      <w:r>
        <w:t>The MCO must</w:t>
      </w:r>
      <w:r w:rsidR="009A0060" w:rsidRPr="00DF1D1C">
        <w:t xml:space="preserve"> give each enrollee, including adolescents, the opportunity to use his/her own primary care provider or go to any family planning center for family planning services without</w:t>
      </w:r>
      <w:r>
        <w:t xml:space="preserve"> requiring a referral. The MCO must </w:t>
      </w:r>
      <w:r w:rsidR="009A0060" w:rsidRPr="00DF1D1C">
        <w:t xml:space="preserve">make a reasonable effort to </w:t>
      </w:r>
      <w:r w:rsidR="006C4663">
        <w:t>S</w:t>
      </w:r>
      <w:r w:rsidR="009A0060" w:rsidRPr="00DF1D1C">
        <w:t>ub</w:t>
      </w:r>
      <w:r w:rsidR="006C4663">
        <w:t>c</w:t>
      </w:r>
      <w:r w:rsidR="009B19C2">
        <w:t xml:space="preserve">ontract </w:t>
      </w:r>
      <w:r w:rsidR="009A0060" w:rsidRPr="00DF1D1C">
        <w:t>with all local family planning clinics and providers, including those funded by Title X of the Publi</w:t>
      </w:r>
      <w:r>
        <w:t>c Health Services Act, and must</w:t>
      </w:r>
      <w:r w:rsidR="009A0060" w:rsidRPr="00DF1D1C">
        <w:t xml:space="preserve"> reimburse providers for all family planning services regardless of whether they are rendered by a participating or non</w:t>
      </w:r>
      <w:r w:rsidR="009A0060" w:rsidRPr="00DF1D1C">
        <w:noBreakHyphen/>
        <w:t xml:space="preserve">participating provider. Unless otherwise negotiated, the MCO </w:t>
      </w:r>
      <w:r>
        <w:t xml:space="preserve">must </w:t>
      </w:r>
      <w:r w:rsidR="009A0060" w:rsidRPr="00DF1D1C">
        <w:t>reimburse providers of family planning services at the Medicaid rate. The MCO may, however, at its discretion, impose a withhold on a contracted primary care provider for such family planning services. The MCO may require family planning providers to submit claims or reports in specified formats before reimbursing services.</w:t>
      </w:r>
    </w:p>
    <w:p w14:paraId="50735761" w14:textId="6102C547" w:rsidR="009A0060" w:rsidRPr="00DF1D1C" w:rsidRDefault="009A0060" w:rsidP="00257641">
      <w:r w:rsidRPr="00DF1D1C">
        <w:t xml:space="preserve">MCOs must provide their Medicaid enrollees with sufficient information to allow them to make an informed choice including: the types of family planning services available, </w:t>
      </w:r>
      <w:r w:rsidR="008B46FD">
        <w:t xml:space="preserve">the availability of </w:t>
      </w:r>
      <w:r w:rsidR="008B46FD" w:rsidRPr="008B46FD">
        <w:t>long-acting reversible contraceptives (LARC)</w:t>
      </w:r>
      <w:r w:rsidR="008B46FD">
        <w:t xml:space="preserve">, </w:t>
      </w:r>
      <w:r w:rsidRPr="00DF1D1C">
        <w:t>their right to access these services in a timely and confidential manner, and their freedom to choose a qualified family planning provider both within and outside the MCO</w:t>
      </w:r>
      <w:r w:rsidR="00FA1C0C" w:rsidRPr="00DF1D1C">
        <w:t>’</w:t>
      </w:r>
      <w:r w:rsidRPr="00DF1D1C">
        <w:t>s network of providers</w:t>
      </w:r>
      <w:r w:rsidR="0078080B" w:rsidRPr="00DF1D1C">
        <w:t xml:space="preserve">. </w:t>
      </w:r>
      <w:r w:rsidRPr="00DF1D1C">
        <w:t xml:space="preserve">In addition, MCOs must ensure that network procedures for accessing family planning services are convenient and easily comprehensible to </w:t>
      </w:r>
      <w:r w:rsidR="001E2F32">
        <w:t>enrollee</w:t>
      </w:r>
      <w:r w:rsidR="001E2F32" w:rsidRPr="00DF1D1C">
        <w:t>s</w:t>
      </w:r>
      <w:r w:rsidR="0078080B" w:rsidRPr="00DF1D1C">
        <w:t xml:space="preserve">. </w:t>
      </w:r>
      <w:r w:rsidRPr="00DF1D1C">
        <w:t xml:space="preserve">MCOs must also educate </w:t>
      </w:r>
      <w:r w:rsidR="003E7331">
        <w:t>enrollee</w:t>
      </w:r>
      <w:r w:rsidR="003E7331" w:rsidRPr="00DF1D1C">
        <w:t xml:space="preserve">s </w:t>
      </w:r>
      <w:r w:rsidRPr="00DF1D1C">
        <w:t xml:space="preserve">regarding the positive impact of coordinated care on their health outcomes, so </w:t>
      </w:r>
      <w:r w:rsidR="003E7331">
        <w:t>enrollee</w:t>
      </w:r>
      <w:r w:rsidR="003E7331" w:rsidRPr="00DF1D1C">
        <w:t xml:space="preserve">s </w:t>
      </w:r>
      <w:r w:rsidRPr="00DF1D1C">
        <w:t>will prefer to access in-network services or, if they should decide to see out-of-network providers, they will agree to the exchange of medical information between providers for better coordination of care.</w:t>
      </w:r>
    </w:p>
    <w:p w14:paraId="73EBF8AE" w14:textId="4D5E42B3" w:rsidR="009A0060" w:rsidRPr="00DF1D1C" w:rsidRDefault="009A0060" w:rsidP="00257641">
      <w:r w:rsidRPr="00DF1D1C">
        <w:t>In addition, MCOs are required to provide timely reimbursement for out-of-network family planning and related STD services consistent with services covered in their contracts</w:t>
      </w:r>
      <w:r w:rsidR="0078080B" w:rsidRPr="00DF1D1C">
        <w:t xml:space="preserve">. </w:t>
      </w:r>
      <w:r w:rsidRPr="00DF1D1C">
        <w:t xml:space="preserve">The reimbursement must be provided at least at the applicable West Virginia Medicaid </w:t>
      </w:r>
      <w:r w:rsidR="00402D0D">
        <w:t>FFS</w:t>
      </w:r>
      <w:r w:rsidRPr="00DF1D1C">
        <w:t xml:space="preserve"> rate appropriate to the provider type (current family planning services fee schedule available from </w:t>
      </w:r>
      <w:r w:rsidR="00EB5C5F">
        <w:t>DHHR</w:t>
      </w:r>
      <w:r w:rsidRPr="00DF1D1C">
        <w:t>).</w:t>
      </w:r>
    </w:p>
    <w:p w14:paraId="3EB02040" w14:textId="77777777" w:rsidR="009A0060" w:rsidRPr="00DF1D1C" w:rsidRDefault="009A0060" w:rsidP="00257641">
      <w:r w:rsidRPr="00DF1D1C">
        <w:t xml:space="preserve">The MCO, its staff, contracted providers and its contractors that are providing cost, quality, or medical appropriateness reviews or coordination </w:t>
      </w:r>
      <w:r w:rsidR="00120678">
        <w:t>of benefits or subrogation must</w:t>
      </w:r>
      <w:r w:rsidRPr="00DF1D1C">
        <w:t xml:space="preserve"> keep family planning information and records confidential in favor of the individual patient, even if the patient is a minor. The MCO, its staff, contracted providers and its contractors that are providing cost, quality, or medical appropriateness reviews, or coordination o</w:t>
      </w:r>
      <w:r w:rsidR="00C54CE5">
        <w:t xml:space="preserve">f benefits or subrogation must </w:t>
      </w:r>
      <w:r w:rsidRPr="00DF1D1C">
        <w:t>also keep family planning information and records received from non</w:t>
      </w:r>
      <w:r w:rsidRPr="00DF1D1C">
        <w:noBreakHyphen/>
        <w:t xml:space="preserve">participating providers </w:t>
      </w:r>
      <w:r w:rsidRPr="00DF1D1C">
        <w:lastRenderedPageBreak/>
        <w:t>confidential in favor of the individual patient even if the patient is a minor</w:t>
      </w:r>
      <w:r w:rsidR="0078080B" w:rsidRPr="00DF1D1C">
        <w:t xml:space="preserve">. </w:t>
      </w:r>
      <w:r w:rsidRPr="00DF1D1C">
        <w:t>Maternity services, hysterectomies, and pregnancy terminations are not considered family planning services.</w:t>
      </w:r>
    </w:p>
    <w:p w14:paraId="05D2069A" w14:textId="4D4C2742" w:rsidR="009A0060" w:rsidRPr="00DF1D1C" w:rsidRDefault="00DB2862" w:rsidP="00257641">
      <w:pPr>
        <w:pStyle w:val="Heading5"/>
      </w:pPr>
      <w:r>
        <w:t xml:space="preserve">2.2.6.1 </w:t>
      </w:r>
      <w:r w:rsidR="009A0060" w:rsidRPr="00DF1D1C">
        <w:t>Conditions for Out-of-Network Reimbursement of Family Planning Services</w:t>
      </w:r>
    </w:p>
    <w:p w14:paraId="65540322" w14:textId="77777777" w:rsidR="009A0060" w:rsidRPr="00DF1D1C" w:rsidRDefault="009A0060" w:rsidP="00257641">
      <w:pPr>
        <w:pStyle w:val="normal6"/>
      </w:pPr>
      <w:r w:rsidRPr="00DF1D1C">
        <w:t>All MCOs must reimburse out-of-network providers for family planning services rendered to enrollees. Unless oth</w:t>
      </w:r>
      <w:r w:rsidR="00120678">
        <w:t>erwise negotiated, the MCO must</w:t>
      </w:r>
      <w:r w:rsidRPr="00DF1D1C">
        <w:t xml:space="preserve"> reimburse providers of family planning services at the Medicaid rate. The following are the conditions under which family planning providers will be reimbursed for family planning services provided to Medicaid enrollees:</w:t>
      </w:r>
    </w:p>
    <w:p w14:paraId="63090A3D" w14:textId="77777777" w:rsidR="009A0060" w:rsidRPr="00DF1D1C" w:rsidRDefault="009A0060" w:rsidP="00257641">
      <w:pPr>
        <w:numPr>
          <w:ilvl w:val="0"/>
          <w:numId w:val="8"/>
        </w:numPr>
        <w:tabs>
          <w:tab w:val="clear" w:pos="360"/>
        </w:tabs>
        <w:spacing w:after="120"/>
        <w:ind w:left="720"/>
      </w:pPr>
      <w:r w:rsidRPr="00DF1D1C">
        <w:t>The family planning provider must be qualified to provide family planning services based on licensed scope of practice;</w:t>
      </w:r>
    </w:p>
    <w:p w14:paraId="6CDAACA9" w14:textId="77777777" w:rsidR="009A0060" w:rsidRPr="00DF1D1C" w:rsidRDefault="009A0060" w:rsidP="00257641">
      <w:pPr>
        <w:numPr>
          <w:ilvl w:val="0"/>
          <w:numId w:val="8"/>
        </w:numPr>
        <w:tabs>
          <w:tab w:val="clear" w:pos="360"/>
        </w:tabs>
        <w:spacing w:after="120"/>
        <w:ind w:left="720"/>
      </w:pPr>
      <w:r w:rsidRPr="00DF1D1C">
        <w:t>The family planning provider must submit claims on appropriate MCO-specific billing forms; and</w:t>
      </w:r>
    </w:p>
    <w:p w14:paraId="1C1EBBD1" w14:textId="77777777" w:rsidR="009A0060" w:rsidRPr="00DF1D1C" w:rsidRDefault="009A0060" w:rsidP="00257641">
      <w:pPr>
        <w:numPr>
          <w:ilvl w:val="0"/>
          <w:numId w:val="8"/>
        </w:numPr>
        <w:tabs>
          <w:tab w:val="clear" w:pos="360"/>
        </w:tabs>
        <w:ind w:left="720"/>
      </w:pPr>
      <w:r w:rsidRPr="00DF1D1C">
        <w:t xml:space="preserve">The family planning provider must provide medical records sufficient to allow the </w:t>
      </w:r>
      <w:r w:rsidR="007D56E3" w:rsidRPr="00DF1D1C">
        <w:t>MCO</w:t>
      </w:r>
      <w:r w:rsidRPr="00DF1D1C">
        <w:t xml:space="preserve"> to meet </w:t>
      </w:r>
      <w:r w:rsidR="007D56E3" w:rsidRPr="00DF1D1C">
        <w:t xml:space="preserve">its </w:t>
      </w:r>
      <w:r w:rsidRPr="00DF1D1C">
        <w:t>case management responsibilities</w:t>
      </w:r>
      <w:r w:rsidR="0078080B" w:rsidRPr="00DF1D1C">
        <w:t xml:space="preserve">. </w:t>
      </w:r>
      <w:r w:rsidRPr="00DF1D1C">
        <w:t>If an enrollee refuses the release of medical information, the out-of-network provider must submit documentation of such refusal.</w:t>
      </w:r>
    </w:p>
    <w:p w14:paraId="62181478" w14:textId="77777777" w:rsidR="009A0060" w:rsidRPr="00DF1D1C" w:rsidRDefault="009A0060" w:rsidP="00257641">
      <w:r w:rsidRPr="00DF1D1C">
        <w:t>In order to avoid duplication of services, promote continuity of care, and achieve the optimum clinical outcome for Medicaid enrollees, MCOs should encourage out-of-network family planning providers to coordinate services with MCO providers and to educate MCO enrollees to return to MCO providers for continuity of care. If a non</w:t>
      </w:r>
      <w:r w:rsidRPr="00DF1D1C">
        <w:noBreakHyphen/>
        <w:t>participating provider of family planning services detects a problem outside of the scope of services listed above, th</w:t>
      </w:r>
      <w:r w:rsidR="00120678">
        <w:t xml:space="preserve">e provider must </w:t>
      </w:r>
      <w:r w:rsidRPr="00DF1D1C">
        <w:t>refer the enrollee back to the MCO.</w:t>
      </w:r>
    </w:p>
    <w:p w14:paraId="50D62DBD" w14:textId="77777777" w:rsidR="009A0060" w:rsidRPr="00DF1D1C" w:rsidRDefault="009A0060" w:rsidP="00257641">
      <w:r w:rsidRPr="00DF1D1C">
        <w:t>Non</w:t>
      </w:r>
      <w:r w:rsidRPr="00DF1D1C">
        <w:noBreakHyphen/>
        <w:t>participating providers are responsible for keeping family planning information confidential in favor of the individual patient even if the patient is a minor. The MCO is not responsible for the confidentiality of medical records maintained by non</w:t>
      </w:r>
      <w:r w:rsidRPr="00DF1D1C">
        <w:noBreakHyphen/>
        <w:t>participating providers.</w:t>
      </w:r>
    </w:p>
    <w:p w14:paraId="43A585F3" w14:textId="7A4F5685" w:rsidR="00784EDE" w:rsidRPr="00DF1D1C" w:rsidRDefault="005068A8" w:rsidP="00257641">
      <w:pPr>
        <w:pStyle w:val="Heading4"/>
      </w:pPr>
      <w:r>
        <w:t>2</w:t>
      </w:r>
      <w:r w:rsidR="00064B70">
        <w:t>.2.</w:t>
      </w:r>
      <w:r w:rsidR="000B02B8">
        <w:t>7</w:t>
      </w:r>
      <w:r w:rsidR="00064B70">
        <w:t xml:space="preserve"> </w:t>
      </w:r>
      <w:r w:rsidR="00784EDE" w:rsidRPr="00DF1D1C">
        <w:t>Maternity Services</w:t>
      </w:r>
    </w:p>
    <w:p w14:paraId="40109065" w14:textId="77777777" w:rsidR="00784EDE" w:rsidRPr="00DF1D1C" w:rsidRDefault="00784EDE" w:rsidP="00257641">
      <w:pPr>
        <w:pStyle w:val="normal6"/>
      </w:pPr>
      <w:bookmarkStart w:id="97" w:name="OLE_LINK8"/>
      <w:bookmarkStart w:id="98" w:name="OLE_LINK9"/>
      <w:r w:rsidRPr="00DF1D1C">
        <w:t>Under the Newborns and Mothers Health Protection Act, the MCO may not:</w:t>
      </w:r>
    </w:p>
    <w:p w14:paraId="568059B7" w14:textId="77777777" w:rsidR="00784EDE" w:rsidRPr="00DF1D1C" w:rsidRDefault="00784EDE" w:rsidP="00257641">
      <w:pPr>
        <w:pStyle w:val="bullet1"/>
      </w:pPr>
      <w:r w:rsidRPr="00DF1D1C">
        <w:t xml:space="preserve">Limit benefits for postpartum hospital stays to less than </w:t>
      </w:r>
      <w:r w:rsidR="00FC293E">
        <w:t>forty-eight (</w:t>
      </w:r>
      <w:r w:rsidRPr="00DF1D1C">
        <w:t>48</w:t>
      </w:r>
      <w:r w:rsidR="00FC293E">
        <w:t>)</w:t>
      </w:r>
      <w:r w:rsidRPr="00DF1D1C">
        <w:t xml:space="preserve"> hours following a normal vaginal delivery or </w:t>
      </w:r>
      <w:r w:rsidR="00CA09C9">
        <w:t>ninety-six (</w:t>
      </w:r>
      <w:r w:rsidRPr="00DF1D1C">
        <w:t>96</w:t>
      </w:r>
      <w:r w:rsidR="00CA09C9">
        <w:t>)</w:t>
      </w:r>
      <w:r w:rsidRPr="00DF1D1C">
        <w:t xml:space="preserve"> hours following a cesarean section unless the attending provider, in consultation with the mother, makes the decision to discharge the mother or the newborn before that time; or</w:t>
      </w:r>
    </w:p>
    <w:p w14:paraId="14FEB852" w14:textId="77777777" w:rsidR="009C0B40" w:rsidRDefault="00784EDE" w:rsidP="00257641">
      <w:pPr>
        <w:pStyle w:val="bullet1last"/>
      </w:pPr>
      <w:r w:rsidRPr="00DF1D1C">
        <w:t>Require that a provider obtain authorization from the plan before prescribing this length of stay.</w:t>
      </w:r>
      <w:bookmarkStart w:id="99" w:name="_Toc73441782"/>
      <w:r w:rsidR="009C0B40" w:rsidRPr="009C0B40">
        <w:t xml:space="preserve"> </w:t>
      </w:r>
    </w:p>
    <w:p w14:paraId="0AF1D86A" w14:textId="42572BC7" w:rsidR="009C0B40" w:rsidRDefault="009C0B40" w:rsidP="00257641">
      <w:r w:rsidRPr="009C0B40">
        <w:t xml:space="preserve">This requirement </w:t>
      </w:r>
      <w:r w:rsidR="006876E5">
        <w:t>must</w:t>
      </w:r>
      <w:r w:rsidR="006876E5" w:rsidRPr="009C0B40">
        <w:t xml:space="preserve"> </w:t>
      </w:r>
      <w:r w:rsidRPr="009C0B40">
        <w:t>not preclude the MCO from requiring pr</w:t>
      </w:r>
      <w:r>
        <w:t xml:space="preserve">ior authorization or denying coverage for elective </w:t>
      </w:r>
      <w:r w:rsidRPr="009C0B40">
        <w:t>inductions and elective C-sections.</w:t>
      </w:r>
    </w:p>
    <w:p w14:paraId="7B081DF1" w14:textId="2A37804A" w:rsidR="00784EDE" w:rsidRPr="00DF1D1C" w:rsidRDefault="005068A8" w:rsidP="00257641">
      <w:pPr>
        <w:pStyle w:val="Heading3"/>
      </w:pPr>
      <w:bookmarkStart w:id="100" w:name="_Toc8129012"/>
      <w:bookmarkStart w:id="101" w:name="OLE_LINK2"/>
      <w:bookmarkStart w:id="102" w:name="OLE_LINK3"/>
      <w:bookmarkEnd w:id="97"/>
      <w:bookmarkEnd w:id="98"/>
      <w:r>
        <w:t>2</w:t>
      </w:r>
      <w:r w:rsidR="00784EDE" w:rsidRPr="00DF1D1C">
        <w:t>.3</w:t>
      </w:r>
      <w:r w:rsidR="00784EDE" w:rsidRPr="00DF1D1C">
        <w:tab/>
        <w:t>Medicaid Benefits Covered but Excluded from Capitation</w:t>
      </w:r>
      <w:bookmarkEnd w:id="99"/>
      <w:r w:rsidR="007E5C9E">
        <w:t xml:space="preserve"> that Require Coordination</w:t>
      </w:r>
      <w:bookmarkEnd w:id="100"/>
    </w:p>
    <w:p w14:paraId="017192AD" w14:textId="3431A13F" w:rsidR="00784EDE" w:rsidRPr="00DF1D1C" w:rsidRDefault="0099058E" w:rsidP="00257641">
      <w:r w:rsidRPr="00DF1D1C">
        <w:t>Additional services are covered by Medicaid</w:t>
      </w:r>
      <w:r w:rsidR="00563DED">
        <w:t>,</w:t>
      </w:r>
      <w:r w:rsidRPr="00DF1D1C">
        <w:t xml:space="preserve"> but excluded from the MCOs</w:t>
      </w:r>
      <w:r w:rsidR="00FA1C0C" w:rsidRPr="00DF1D1C">
        <w:t>’</w:t>
      </w:r>
      <w:r w:rsidRPr="00DF1D1C">
        <w:t xml:space="preserve"> capitation rates.</w:t>
      </w:r>
      <w:r w:rsidR="0078080B" w:rsidRPr="00DF1D1C">
        <w:t xml:space="preserve"> </w:t>
      </w:r>
      <w:r w:rsidR="00784EDE" w:rsidRPr="00DF1D1C">
        <w:t xml:space="preserve">The State will continue to reimburse the billing provider directly for these services on a </w:t>
      </w:r>
      <w:r w:rsidR="00402D0D">
        <w:t>FFS</w:t>
      </w:r>
      <w:r w:rsidR="00784EDE" w:rsidRPr="00DF1D1C">
        <w:t xml:space="preserve"> basis</w:t>
      </w:r>
      <w:r w:rsidRPr="00DF1D1C">
        <w:t xml:space="preserve">. </w:t>
      </w:r>
      <w:r w:rsidRPr="00DF1D1C">
        <w:lastRenderedPageBreak/>
        <w:t xml:space="preserve">Please see </w:t>
      </w:r>
      <w:r w:rsidR="00F33B38">
        <w:t>Appendix</w:t>
      </w:r>
      <w:r w:rsidRPr="00DF1D1C">
        <w:t xml:space="preserve"> A for a complete list of Medicaid-covered services that are excluded from the capitation rates, and additional details regarding these services.</w:t>
      </w:r>
    </w:p>
    <w:p w14:paraId="7D14AE84" w14:textId="77777777" w:rsidR="0099058E" w:rsidRPr="00DF1D1C" w:rsidRDefault="001F16C3" w:rsidP="00257641">
      <w:r>
        <w:t xml:space="preserve">Those </w:t>
      </w:r>
      <w:r w:rsidR="0099058E" w:rsidRPr="00DF1D1C">
        <w:t>Medicaid-covered services that are excluded from the capitation rates (</w:t>
      </w:r>
      <w:r w:rsidR="00C854DF">
        <w:t xml:space="preserve">e.g., </w:t>
      </w:r>
      <w:r w:rsidR="0099058E" w:rsidRPr="00DF1D1C">
        <w:t>non-emergency transportati</w:t>
      </w:r>
      <w:r w:rsidR="00876550">
        <w:t>on</w:t>
      </w:r>
      <w:r w:rsidR="0099058E" w:rsidRPr="00DF1D1C">
        <w:t xml:space="preserve">) have particular coordination requirements for MCOs, which are outlined below. </w:t>
      </w:r>
    </w:p>
    <w:p w14:paraId="1D77FC96" w14:textId="2E4164A9" w:rsidR="00784EDE" w:rsidRPr="00DF1D1C" w:rsidRDefault="005068A8" w:rsidP="00257641">
      <w:pPr>
        <w:pStyle w:val="Heading4"/>
      </w:pPr>
      <w:r>
        <w:t>2</w:t>
      </w:r>
      <w:r w:rsidR="00064B70">
        <w:t xml:space="preserve">.3.1 </w:t>
      </w:r>
      <w:r w:rsidR="00784EDE" w:rsidRPr="00DF1D1C">
        <w:t>Non-emergency Transportation</w:t>
      </w:r>
    </w:p>
    <w:p w14:paraId="1F21C476" w14:textId="58AB6B74" w:rsidR="00784EDE" w:rsidRPr="00C77110" w:rsidRDefault="00604812" w:rsidP="00257641">
      <w:pPr>
        <w:rPr>
          <w:rFonts w:ascii="Calibri" w:hAnsi="Calibri"/>
          <w:color w:val="1F497D"/>
        </w:rPr>
      </w:pPr>
      <w:r>
        <w:t>Routine</w:t>
      </w:r>
      <w:r w:rsidR="00784EDE" w:rsidRPr="00DF1D1C">
        <w:t xml:space="preserve"> medical transportation to and from Medicaid</w:t>
      </w:r>
      <w:r w:rsidR="00F01043">
        <w:t>-</w:t>
      </w:r>
      <w:r w:rsidR="00784EDE" w:rsidRPr="00DF1D1C">
        <w:t xml:space="preserve">covered scheduled medical appointments is covered by the </w:t>
      </w:r>
      <w:r w:rsidR="00C77110">
        <w:t xml:space="preserve">non-emergency </w:t>
      </w:r>
      <w:r w:rsidR="005D42A4">
        <w:t xml:space="preserve">medical </w:t>
      </w:r>
      <w:r w:rsidR="00C77110">
        <w:t>transportation</w:t>
      </w:r>
      <w:r w:rsidR="005D42A4">
        <w:t xml:space="preserve"> (NEMT)</w:t>
      </w:r>
      <w:r w:rsidR="00C77110">
        <w:t xml:space="preserve"> broker</w:t>
      </w:r>
      <w:r w:rsidR="00C77110" w:rsidRPr="00C77110">
        <w:t xml:space="preserve"> </w:t>
      </w:r>
      <w:r w:rsidR="00784EDE" w:rsidRPr="00DF1D1C">
        <w:t>Medicaid program. This includes transportation via multi-passenger van services and common carriers such as public railways, buses, cabs, airlines,</w:t>
      </w:r>
      <w:r>
        <w:t xml:space="preserve"> ambulance as appropriate,</w:t>
      </w:r>
      <w:r w:rsidR="00784EDE" w:rsidRPr="00DF1D1C">
        <w:t xml:space="preserve"> and private vehicle transportation by individuals. </w:t>
      </w:r>
      <w:r w:rsidR="005D42A4">
        <w:t>The NEMT broker</w:t>
      </w:r>
      <w:r w:rsidR="00784EDE" w:rsidRPr="00DF1D1C">
        <w:t xml:space="preserve"> must approve </w:t>
      </w:r>
      <w:r>
        <w:t xml:space="preserve">ambulance, </w:t>
      </w:r>
      <w:r w:rsidR="00784EDE" w:rsidRPr="00DF1D1C">
        <w:t>multi-passenger van services</w:t>
      </w:r>
      <w:r w:rsidR="00F01043">
        <w:t>,</w:t>
      </w:r>
      <w:r w:rsidR="00047A44">
        <w:t xml:space="preserve"> </w:t>
      </w:r>
      <w:r w:rsidR="00E96698">
        <w:t>and</w:t>
      </w:r>
      <w:r w:rsidR="00784EDE" w:rsidRPr="00DF1D1C">
        <w:t xml:space="preserve"> transportation by common carriers. The MCO must inform enrollees of how to access non-emergency transportation as appropriate.</w:t>
      </w:r>
    </w:p>
    <w:p w14:paraId="6D7A9EA8" w14:textId="1DBF6FB4" w:rsidR="009A0060" w:rsidRPr="00DF1D1C" w:rsidRDefault="005068A8" w:rsidP="00257641">
      <w:pPr>
        <w:pStyle w:val="Heading4"/>
      </w:pPr>
      <w:r>
        <w:t>2</w:t>
      </w:r>
      <w:r w:rsidR="00064B70">
        <w:t xml:space="preserve">.3.2 </w:t>
      </w:r>
      <w:r w:rsidR="009A0060" w:rsidRPr="00143DAC">
        <w:t>Outpatient Pharmacy</w:t>
      </w:r>
    </w:p>
    <w:p w14:paraId="1425914A" w14:textId="6016BEA7" w:rsidR="00815163" w:rsidRDefault="00C92C68" w:rsidP="00257641">
      <w:r w:rsidRPr="00C92C68">
        <w:t xml:space="preserve">Simple or compound substances prescribed for the cure, mitigation, or prevention of disease or for health maintenance (e.g., prescription drugs, family planning supplies, vitamins for children to age </w:t>
      </w:r>
      <w:r w:rsidR="000B2251">
        <w:t>twenty-one (</w:t>
      </w:r>
      <w:r w:rsidRPr="00C92C68">
        <w:t>21</w:t>
      </w:r>
      <w:r w:rsidR="000B2251">
        <w:t>)</w:t>
      </w:r>
      <w:r w:rsidRPr="00C92C68">
        <w:t xml:space="preserve">, and prenatal vitamins) are covered by </w:t>
      </w:r>
      <w:r w:rsidR="00402D0D">
        <w:t>FFS</w:t>
      </w:r>
      <w:r w:rsidR="003B61B0">
        <w:t xml:space="preserve"> Medicaid</w:t>
      </w:r>
      <w:r w:rsidRPr="00C92C68">
        <w:t>. Hemophilia-related clotting factor drugs</w:t>
      </w:r>
      <w:r w:rsidR="00C559B0">
        <w:t xml:space="preserve">, </w:t>
      </w:r>
      <w:r w:rsidR="00C559B0" w:rsidRPr="00C559B0">
        <w:t>Spinraza</w:t>
      </w:r>
      <w:r w:rsidR="003C066D">
        <w:t>,</w:t>
      </w:r>
      <w:r w:rsidR="00C559B0" w:rsidRPr="00C559B0">
        <w:t xml:space="preserve"> other drugs deemed by </w:t>
      </w:r>
      <w:r w:rsidR="00EB5C5F">
        <w:t>DHHR</w:t>
      </w:r>
      <w:r w:rsidR="00EB5C5F" w:rsidRPr="00C559B0">
        <w:t xml:space="preserve"> </w:t>
      </w:r>
      <w:r w:rsidR="00C559B0" w:rsidRPr="00C559B0">
        <w:t xml:space="preserve">as appropriate for </w:t>
      </w:r>
      <w:r w:rsidR="00402D0D">
        <w:t>FFS</w:t>
      </w:r>
      <w:r w:rsidR="00C559B0" w:rsidRPr="00C559B0">
        <w:t xml:space="preserve"> coverage,</w:t>
      </w:r>
      <w:r w:rsidRPr="00C92C68">
        <w:t xml:space="preserve"> </w:t>
      </w:r>
      <w:r w:rsidR="00FB618B">
        <w:t xml:space="preserve">and Hepatitis-C virus-related drugs </w:t>
      </w:r>
      <w:r w:rsidRPr="00C92C68">
        <w:t>will be covered by fee-for-service Medicaid. Drugs and supplies dispensed by a physician</w:t>
      </w:r>
      <w:r w:rsidR="003C066D">
        <w:t>,</w:t>
      </w:r>
      <w:r w:rsidRPr="00C92C68">
        <w:t xml:space="preserve"> acquired by the physician at no cost</w:t>
      </w:r>
      <w:r w:rsidR="003C066D">
        <w:t>,</w:t>
      </w:r>
      <w:r w:rsidRPr="00C92C68">
        <w:t xml:space="preserve"> are not covered by Medicaid. </w:t>
      </w:r>
      <w:bookmarkEnd w:id="101"/>
      <w:bookmarkEnd w:id="102"/>
      <w:r w:rsidR="006D39F3">
        <w:t xml:space="preserve">The Department will provide the MCO with pharmacy utilization data to support coordination of care for the </w:t>
      </w:r>
      <w:r w:rsidR="003E7331">
        <w:t>enrollee</w:t>
      </w:r>
      <w:r w:rsidR="006D39F3">
        <w:t>.</w:t>
      </w:r>
    </w:p>
    <w:p w14:paraId="004379E9" w14:textId="77777777" w:rsidR="00BD0B6E" w:rsidRDefault="00BD0B6E" w:rsidP="00257641">
      <w:r>
        <w:t>The MCO remains responsible for all physician-administered drugs, such as those provided as part of an inpatient stay, a bundled ER visit, or administered vaccinations.</w:t>
      </w:r>
    </w:p>
    <w:p w14:paraId="37A891B3" w14:textId="3D09B11F" w:rsidR="00B67EFE" w:rsidRDefault="005068A8" w:rsidP="00257641">
      <w:pPr>
        <w:pStyle w:val="Heading4"/>
      </w:pPr>
      <w:r>
        <w:t>2</w:t>
      </w:r>
      <w:r w:rsidR="00B67EFE">
        <w:t xml:space="preserve">.3.3 Organ </w:t>
      </w:r>
      <w:r w:rsidR="00531C65">
        <w:t xml:space="preserve">and Tissue </w:t>
      </w:r>
      <w:r w:rsidR="00B67EFE">
        <w:t>Transplant</w:t>
      </w:r>
      <w:r w:rsidR="00AF59F0">
        <w:t>ations</w:t>
      </w:r>
      <w:r w:rsidR="00B67EFE">
        <w:t xml:space="preserve"> </w:t>
      </w:r>
    </w:p>
    <w:p w14:paraId="58EA4064" w14:textId="639CEDEC" w:rsidR="00BC3311" w:rsidRDefault="00BC3311" w:rsidP="00257641">
      <w:r>
        <w:t xml:space="preserve">MCO </w:t>
      </w:r>
      <w:r w:rsidR="003E7331">
        <w:t xml:space="preserve">enrollees </w:t>
      </w:r>
      <w:r>
        <w:t>receiving services for transplantation of organs or</w:t>
      </w:r>
      <w:r w:rsidRPr="00BC3311">
        <w:t xml:space="preserve"> tissues</w:t>
      </w:r>
      <w:r w:rsidR="00604812">
        <w:t>, other than corneal transplants,</w:t>
      </w:r>
      <w:r>
        <w:t xml:space="preserve"> are covered under</w:t>
      </w:r>
      <w:r w:rsidR="007E51D6">
        <w:t xml:space="preserve"> </w:t>
      </w:r>
      <w:r w:rsidR="00402D0D">
        <w:t>FFS</w:t>
      </w:r>
      <w:r>
        <w:t xml:space="preserve"> Medicaid for the entire duration of</w:t>
      </w:r>
      <w:r w:rsidR="001E4E40">
        <w:t xml:space="preserve"> their</w:t>
      </w:r>
      <w:r>
        <w:t xml:space="preserve"> treatment.</w:t>
      </w:r>
    </w:p>
    <w:p w14:paraId="2DB525AE" w14:textId="7CCCB317" w:rsidR="007B4EF8" w:rsidRDefault="007E51D6" w:rsidP="00257641">
      <w:r>
        <w:t xml:space="preserve">The MCO </w:t>
      </w:r>
      <w:r w:rsidR="006876E5">
        <w:t xml:space="preserve">must </w:t>
      </w:r>
      <w:r>
        <w:t xml:space="preserve">have the ability to notify the State of any past, present, or future transplant recipient and request transfer to </w:t>
      </w:r>
      <w:r w:rsidR="00402D0D">
        <w:t>FFS</w:t>
      </w:r>
      <w:r>
        <w:t xml:space="preserve"> Medicaid. </w:t>
      </w:r>
      <w:r w:rsidR="00347967">
        <w:t xml:space="preserve">The Department will coordinate with Utilization Management vendor and MMIS vendor to transition </w:t>
      </w:r>
      <w:r w:rsidR="003E7331">
        <w:t xml:space="preserve">enrollees </w:t>
      </w:r>
      <w:r w:rsidR="00347967">
        <w:t xml:space="preserve">to the </w:t>
      </w:r>
      <w:r w:rsidR="00402D0D">
        <w:t>FFS</w:t>
      </w:r>
      <w:r w:rsidR="00347967">
        <w:t xml:space="preserve"> system and coordinate care at that time.</w:t>
      </w:r>
      <w:r w:rsidR="00F24820">
        <w:t xml:space="preserve"> </w:t>
      </w:r>
      <w:r w:rsidR="008E2115">
        <w:t xml:space="preserve">The </w:t>
      </w:r>
      <w:r w:rsidR="003E7331">
        <w:t xml:space="preserve">enrollee </w:t>
      </w:r>
      <w:r w:rsidR="008E2115">
        <w:t xml:space="preserve">will be covered under </w:t>
      </w:r>
      <w:r w:rsidR="00402D0D">
        <w:t>FFS</w:t>
      </w:r>
      <w:r w:rsidR="008E2115">
        <w:t xml:space="preserve"> retroactively to the beginning of the month that the MCO notifies the State. Capitation will be recouped for this month. Any claims paid during the month by the MCO may be reversed and directed to the fiscal agent for payment. </w:t>
      </w:r>
    </w:p>
    <w:p w14:paraId="19734686" w14:textId="721332F9" w:rsidR="009A0060" w:rsidRPr="00DF1D1C" w:rsidRDefault="005068A8" w:rsidP="00257641">
      <w:pPr>
        <w:pStyle w:val="Heading3"/>
      </w:pPr>
      <w:bookmarkStart w:id="103" w:name="_Toc73441783"/>
      <w:bookmarkStart w:id="104" w:name="_Toc8129013"/>
      <w:r>
        <w:t>2</w:t>
      </w:r>
      <w:r w:rsidR="009A0060" w:rsidRPr="00DF1D1C">
        <w:t xml:space="preserve">.4 </w:t>
      </w:r>
      <w:r w:rsidR="009A0060" w:rsidRPr="00DF1D1C">
        <w:tab/>
        <w:t>Non-covered Services</w:t>
      </w:r>
      <w:bookmarkEnd w:id="103"/>
      <w:bookmarkEnd w:id="104"/>
    </w:p>
    <w:p w14:paraId="76655300" w14:textId="77777777" w:rsidR="009A0060" w:rsidRPr="00DF1D1C" w:rsidRDefault="009A0060" w:rsidP="00257641">
      <w:pPr>
        <w:pStyle w:val="normal6"/>
      </w:pPr>
      <w:r w:rsidRPr="00DF1D1C">
        <w:t xml:space="preserve">MCOs are not permitted to provide </w:t>
      </w:r>
      <w:r w:rsidR="000B331F">
        <w:t xml:space="preserve">Medicaid </w:t>
      </w:r>
      <w:r w:rsidRPr="00DF1D1C">
        <w:t>excluded services that include, but are not limited to, the following:</w:t>
      </w:r>
    </w:p>
    <w:p w14:paraId="282E1C6A" w14:textId="692E53DC" w:rsidR="009A0060" w:rsidRPr="00DF1D1C" w:rsidRDefault="009A0060" w:rsidP="00257641">
      <w:pPr>
        <w:numPr>
          <w:ilvl w:val="0"/>
          <w:numId w:val="16"/>
        </w:numPr>
        <w:tabs>
          <w:tab w:val="clear" w:pos="360"/>
        </w:tabs>
        <w:spacing w:after="120"/>
        <w:ind w:left="720"/>
      </w:pPr>
      <w:r w:rsidRPr="00DF1D1C">
        <w:t>All non-medically necessary services</w:t>
      </w:r>
      <w:r w:rsidR="00BC0338">
        <w:t>*</w:t>
      </w:r>
      <w:r w:rsidR="00FC293E">
        <w:t>;</w:t>
      </w:r>
    </w:p>
    <w:p w14:paraId="0C04DA44" w14:textId="77777777" w:rsidR="009A0060" w:rsidRPr="00DF1D1C" w:rsidRDefault="009A0060" w:rsidP="00257641">
      <w:pPr>
        <w:numPr>
          <w:ilvl w:val="0"/>
          <w:numId w:val="16"/>
        </w:numPr>
        <w:tabs>
          <w:tab w:val="clear" w:pos="360"/>
        </w:tabs>
        <w:spacing w:after="120"/>
        <w:ind w:left="720"/>
      </w:pPr>
      <w:r w:rsidRPr="00DF1D1C">
        <w:t>Sterilization of a mentally incompetent or institutionalized individual</w:t>
      </w:r>
      <w:r w:rsidR="00FC293E">
        <w:t>;</w:t>
      </w:r>
    </w:p>
    <w:p w14:paraId="31360852" w14:textId="77777777" w:rsidR="009A0060" w:rsidRPr="00DF1D1C" w:rsidRDefault="009A0060" w:rsidP="00257641">
      <w:pPr>
        <w:numPr>
          <w:ilvl w:val="0"/>
          <w:numId w:val="16"/>
        </w:numPr>
        <w:tabs>
          <w:tab w:val="clear" w:pos="360"/>
        </w:tabs>
        <w:spacing w:after="120"/>
        <w:ind w:left="720"/>
      </w:pPr>
      <w:r w:rsidRPr="00DF1D1C">
        <w:lastRenderedPageBreak/>
        <w:t>Except in an emergency, inpatient hospital tests that are not ordered by the attending physician or other licensed practitioner, acting within the scope of practices, who is responsible for the diagnosis or treatment of a particular patient</w:t>
      </w:r>
      <w:r w:rsidR="00FA1C0C" w:rsidRPr="00DF1D1C">
        <w:t>’</w:t>
      </w:r>
      <w:r w:rsidRPr="00DF1D1C">
        <w:t>s condition</w:t>
      </w:r>
      <w:r w:rsidR="00FC293E">
        <w:t>;</w:t>
      </w:r>
    </w:p>
    <w:p w14:paraId="00E9EC50" w14:textId="77777777" w:rsidR="009A0060" w:rsidRPr="00DF1D1C" w:rsidRDefault="009A0060" w:rsidP="00257641">
      <w:pPr>
        <w:numPr>
          <w:ilvl w:val="0"/>
          <w:numId w:val="16"/>
        </w:numPr>
        <w:tabs>
          <w:tab w:val="clear" w:pos="360"/>
        </w:tabs>
        <w:spacing w:after="120"/>
        <w:ind w:left="720"/>
      </w:pPr>
      <w:r w:rsidRPr="00DF1D1C">
        <w:t xml:space="preserve">All organ transplants, except for </w:t>
      </w:r>
      <w:r w:rsidR="0076571B" w:rsidRPr="00DF1D1C">
        <w:t xml:space="preserve">those specified in </w:t>
      </w:r>
      <w:r w:rsidR="00F33B38">
        <w:t>Appendix</w:t>
      </w:r>
      <w:r w:rsidR="0076571B" w:rsidRPr="00DF1D1C">
        <w:t xml:space="preserve"> A</w:t>
      </w:r>
      <w:r w:rsidR="00FC293E">
        <w:t>;</w:t>
      </w:r>
    </w:p>
    <w:p w14:paraId="291B6738" w14:textId="77777777" w:rsidR="009A0060" w:rsidRPr="00DF1D1C" w:rsidRDefault="009A0060" w:rsidP="00257641">
      <w:pPr>
        <w:numPr>
          <w:ilvl w:val="0"/>
          <w:numId w:val="16"/>
        </w:numPr>
        <w:tabs>
          <w:tab w:val="clear" w:pos="360"/>
        </w:tabs>
        <w:spacing w:after="120"/>
        <w:ind w:left="720"/>
      </w:pPr>
      <w:r w:rsidRPr="00DF1D1C">
        <w:t>Treatments for infertility</w:t>
      </w:r>
      <w:r w:rsidRPr="00DF1D1C">
        <w:rPr>
          <w:rStyle w:val="FootnoteReference"/>
        </w:rPr>
        <w:footnoteReference w:id="4"/>
      </w:r>
      <w:r w:rsidRPr="00DF1D1C">
        <w:t xml:space="preserve"> and for the reversal of sterilization</w:t>
      </w:r>
      <w:r w:rsidR="00FC293E">
        <w:t>;</w:t>
      </w:r>
    </w:p>
    <w:p w14:paraId="1B53A4FE" w14:textId="77777777" w:rsidR="009A0060" w:rsidRPr="00DF1D1C" w:rsidRDefault="009A0060" w:rsidP="00257641">
      <w:pPr>
        <w:numPr>
          <w:ilvl w:val="0"/>
          <w:numId w:val="16"/>
        </w:numPr>
        <w:tabs>
          <w:tab w:val="clear" w:pos="360"/>
        </w:tabs>
        <w:spacing w:after="120"/>
        <w:ind w:left="720"/>
      </w:pPr>
      <w:r w:rsidRPr="00DF1D1C">
        <w:t>Sex transformation procedures and hormone therapy associated with sex transformation procedures</w:t>
      </w:r>
    </w:p>
    <w:p w14:paraId="72ED547D" w14:textId="77777777" w:rsidR="009A0060" w:rsidRPr="00DF1D1C" w:rsidRDefault="009A0060" w:rsidP="00257641">
      <w:pPr>
        <w:numPr>
          <w:ilvl w:val="0"/>
          <w:numId w:val="16"/>
        </w:numPr>
        <w:tabs>
          <w:tab w:val="clear" w:pos="360"/>
        </w:tabs>
        <w:spacing w:after="120"/>
        <w:ind w:left="720"/>
      </w:pPr>
      <w:r w:rsidRPr="00DF1D1C">
        <w:t>All cosmetic services, except for those provided as a result of accidents or birth defects</w:t>
      </w:r>
      <w:r w:rsidR="00FC293E">
        <w:t>; and</w:t>
      </w:r>
    </w:p>
    <w:p w14:paraId="15CF280D" w14:textId="77777777" w:rsidR="009A0060" w:rsidRPr="00DF1D1C" w:rsidRDefault="009A0060" w:rsidP="00257641">
      <w:pPr>
        <w:numPr>
          <w:ilvl w:val="0"/>
          <w:numId w:val="16"/>
        </w:numPr>
        <w:tabs>
          <w:tab w:val="clear" w:pos="360"/>
        </w:tabs>
        <w:ind w:left="720"/>
      </w:pPr>
      <w:r w:rsidRPr="00DF1D1C">
        <w:t>Christian Science nurses and sanitariums.</w:t>
      </w:r>
    </w:p>
    <w:p w14:paraId="19A296C2" w14:textId="43CAED6C" w:rsidR="004A5A7C" w:rsidRDefault="00BC0338" w:rsidP="00257641">
      <w:r>
        <w:t>*</w:t>
      </w:r>
      <w:r w:rsidR="004A5A7C" w:rsidRPr="004A5A7C">
        <w:t xml:space="preserve">The above language is not inclusive of </w:t>
      </w:r>
      <w:r>
        <w:t xml:space="preserve">children’s </w:t>
      </w:r>
      <w:r w:rsidR="004A5A7C" w:rsidRPr="004A5A7C">
        <w:t>residential</w:t>
      </w:r>
      <w:r w:rsidRPr="00BC0338">
        <w:t xml:space="preserve"> </w:t>
      </w:r>
      <w:r>
        <w:t>treatment services which is covered using a bundled funding model of Medicaid and ACF funds</w:t>
      </w:r>
      <w:r w:rsidR="004A5A7C" w:rsidRPr="004A5A7C">
        <w:t>.</w:t>
      </w:r>
    </w:p>
    <w:p w14:paraId="4740347E" w14:textId="77777777" w:rsidR="007A7BDB" w:rsidRDefault="007A7BDB" w:rsidP="00257641">
      <w:r>
        <w:t>The MCO must not reimburse for drugs, drug products, and related services, which are defined as a non-covered benefit by the Department’s Outpatient Drug Pharmacy Program.</w:t>
      </w:r>
    </w:p>
    <w:p w14:paraId="052AA157" w14:textId="77777777" w:rsidR="007A7BDB" w:rsidRDefault="007A7BDB" w:rsidP="00257641">
      <w:r>
        <w:t>In accordance with 42 U.S.C. § 1396r-8, the MCO must exclude coverage for any drug marketed by a drug company (or labeler) that does not participate in the federal drug rebate program. The MCO is not permitted to provide coverage for any drug product, brand name or generic, legend or non-legend, sold or distributed by a company that did not sign an agreement with the federal government to provide Medicaid rebates for that product.</w:t>
      </w:r>
    </w:p>
    <w:p w14:paraId="4F7C38BB" w14:textId="77777777" w:rsidR="007A7BDB" w:rsidRDefault="007A7BDB" w:rsidP="00257641">
      <w:r>
        <w:t xml:space="preserve">The MCO must not provide coverage under any circumstances for drug products that have been classified as less-than-effective by the Food and Drug Administration (FDA) Drug Efficacy Study Implementation (DESI). </w:t>
      </w:r>
    </w:p>
    <w:p w14:paraId="6B994BA0" w14:textId="30A36C1C" w:rsidR="007A7BDB" w:rsidRDefault="009A0060" w:rsidP="00257641">
      <w:r w:rsidRPr="00DF1D1C">
        <w:t xml:space="preserve">MCOs cannot enhance the benefits provided to Medicaid enrollees, with the exception of clinical preventive services, without the prior approval of </w:t>
      </w:r>
      <w:r w:rsidR="00EB5C5F">
        <w:t>DHHR</w:t>
      </w:r>
      <w:r w:rsidRPr="00DF1D1C">
        <w:t>.</w:t>
      </w:r>
    </w:p>
    <w:p w14:paraId="72F73654" w14:textId="2C87908D" w:rsidR="009A0060" w:rsidRPr="00DF1D1C" w:rsidRDefault="005068A8" w:rsidP="00257641">
      <w:pPr>
        <w:pStyle w:val="Heading3"/>
      </w:pPr>
      <w:bookmarkStart w:id="105" w:name="_Toc73441784"/>
      <w:bookmarkStart w:id="106" w:name="_Toc8129014"/>
      <w:r>
        <w:t>2</w:t>
      </w:r>
      <w:r w:rsidR="009A0060" w:rsidRPr="00DF1D1C">
        <w:t>.5</w:t>
      </w:r>
      <w:r w:rsidR="009A0060" w:rsidRPr="00DF1D1C">
        <w:tab/>
        <w:t>Other Requirements Pertaining to Covered Services</w:t>
      </w:r>
      <w:bookmarkEnd w:id="105"/>
      <w:bookmarkEnd w:id="106"/>
    </w:p>
    <w:p w14:paraId="10EC2270" w14:textId="77777777" w:rsidR="009A0060" w:rsidRPr="00DF1D1C" w:rsidRDefault="009A0060" w:rsidP="00257641">
      <w:r w:rsidRPr="00DF1D1C">
        <w:t>MCOs must assume responsibility for all covered medical conditions, inclusive of pre-existing conditions of each enrollee as of the effective date of enrollment in the plan. MCOs may not prohibit or otherwise restrict a covered health professional from advising his/her patient about the health status of the individual or medical care or treatment for the individual</w:t>
      </w:r>
      <w:r w:rsidR="00FA1C0C" w:rsidRPr="00DF1D1C">
        <w:t>’</w:t>
      </w:r>
      <w:r w:rsidRPr="00DF1D1C">
        <w:t xml:space="preserve">s condition or disease, regardless of whether benefits for that care or treatment are provided under the </w:t>
      </w:r>
      <w:r w:rsidR="00032A5C">
        <w:t>C</w:t>
      </w:r>
      <w:r w:rsidRPr="00DF1D1C">
        <w:t>ontract, if the professional is acting within the lawful scope of practice.</w:t>
      </w:r>
      <w:r w:rsidRPr="00DF1D1C">
        <w:rPr>
          <w:rStyle w:val="FootnoteReference"/>
        </w:rPr>
        <w:footnoteReference w:id="5"/>
      </w:r>
      <w:r w:rsidRPr="00DF1D1C">
        <w:t xml:space="preserve"> </w:t>
      </w:r>
    </w:p>
    <w:p w14:paraId="4DF1E825" w14:textId="3E47B23F" w:rsidR="009A0060" w:rsidRPr="00DF1D1C" w:rsidRDefault="009A0060" w:rsidP="00257641">
      <w:r w:rsidRPr="00DF1D1C">
        <w:lastRenderedPageBreak/>
        <w:t>MCOs and their participating providers may not bill or collect any payment from</w:t>
      </w:r>
      <w:r w:rsidR="003150A4">
        <w:t xml:space="preserve"> </w:t>
      </w:r>
      <w:r w:rsidRPr="00DF1D1C">
        <w:t xml:space="preserve">enrollees for </w:t>
      </w:r>
      <w:r w:rsidR="00C4627A">
        <w:t>a Medicaid service</w:t>
      </w:r>
      <w:r w:rsidR="006215B0">
        <w:t xml:space="preserve"> that was determined not to be Medically N</w:t>
      </w:r>
      <w:r w:rsidRPr="00DF1D1C">
        <w:t>ecessary</w:t>
      </w:r>
      <w:r w:rsidR="00C4627A">
        <w:t xml:space="preserve"> or an SNS that was determined not to be Socially Necessary</w:t>
      </w:r>
      <w:r w:rsidR="0078080B" w:rsidRPr="00DF1D1C">
        <w:t xml:space="preserve">. </w:t>
      </w:r>
      <w:r w:rsidRPr="00DF1D1C">
        <w:t xml:space="preserve">Anyone who knowingly and willfully charges for any service provided to a patient under a State </w:t>
      </w:r>
      <w:r w:rsidR="00E40041" w:rsidRPr="00DF1D1C">
        <w:t>P</w:t>
      </w:r>
      <w:r w:rsidRPr="00DF1D1C">
        <w:t xml:space="preserve">lan approved under Title XIX or under a MCO </w:t>
      </w:r>
      <w:r w:rsidR="009B19C2">
        <w:t xml:space="preserve">Contract </w:t>
      </w:r>
      <w:r w:rsidRPr="00DF1D1C">
        <w:t>under 1903(m) of the Social Security Act, money or other consideration at a rate in excess of the rates estab</w:t>
      </w:r>
      <w:r w:rsidR="00120678">
        <w:t xml:space="preserve">lished by </w:t>
      </w:r>
      <w:r w:rsidR="00EB5C5F">
        <w:t xml:space="preserve">DHHR </w:t>
      </w:r>
      <w:r w:rsidR="00120678">
        <w:t xml:space="preserve">or </w:t>
      </w:r>
      <w:r w:rsidR="009B19C2">
        <w:t xml:space="preserve">Contract </w:t>
      </w:r>
      <w:r w:rsidR="00120678">
        <w:t xml:space="preserve">will </w:t>
      </w:r>
      <w:r w:rsidRPr="00DF1D1C">
        <w:t xml:space="preserve">be guilty of a </w:t>
      </w:r>
      <w:r w:rsidR="00120678">
        <w:t>felony and upon conviction will</w:t>
      </w:r>
      <w:r w:rsidRPr="00DF1D1C">
        <w:t xml:space="preserve"> be fined no more than $25,000 or imprisoned for no more than five years, or both.</w:t>
      </w:r>
    </w:p>
    <w:p w14:paraId="5463BBE4" w14:textId="01F8F65C" w:rsidR="00E75FAF" w:rsidRPr="00DF1D1C" w:rsidRDefault="005068A8" w:rsidP="00257641">
      <w:pPr>
        <w:pStyle w:val="Heading3"/>
      </w:pPr>
      <w:bookmarkStart w:id="107" w:name="_Toc8129015"/>
      <w:r>
        <w:t>2</w:t>
      </w:r>
      <w:r w:rsidR="00E75FAF" w:rsidRPr="00DF1D1C">
        <w:t>.6</w:t>
      </w:r>
      <w:r w:rsidR="00E75FAF" w:rsidRPr="00DF1D1C">
        <w:tab/>
        <w:t xml:space="preserve">Requirements Pertaining to Medicaid </w:t>
      </w:r>
      <w:r w:rsidR="00EC6217">
        <w:t>Managed Care Programs</w:t>
      </w:r>
      <w:bookmarkEnd w:id="107"/>
    </w:p>
    <w:p w14:paraId="112BFB9D" w14:textId="1400E180" w:rsidR="001F16C3" w:rsidRDefault="001F16C3" w:rsidP="00257641">
      <w:r w:rsidRPr="001F16C3">
        <w:t xml:space="preserve">The MCO must follow the benefit packages and policies of </w:t>
      </w:r>
      <w:r w:rsidR="004A203A">
        <w:t>Medicaid managed care programs</w:t>
      </w:r>
      <w:r w:rsidR="00814D1A">
        <w:t xml:space="preserve"> </w:t>
      </w:r>
      <w:r w:rsidRPr="001F16C3">
        <w:t xml:space="preserve">as required by this </w:t>
      </w:r>
      <w:r w:rsidR="009B19C2">
        <w:t xml:space="preserve">Contract </w:t>
      </w:r>
      <w:r w:rsidRPr="001F16C3">
        <w:t xml:space="preserve">and </w:t>
      </w:r>
      <w:r w:rsidR="009B19C2">
        <w:t xml:space="preserve">Contract </w:t>
      </w:r>
      <w:r w:rsidR="00F33B38">
        <w:t>Appendice</w:t>
      </w:r>
      <w:r w:rsidR="00A42F15">
        <w:t>s</w:t>
      </w:r>
      <w:r w:rsidRPr="001F16C3">
        <w:t xml:space="preserve">. </w:t>
      </w:r>
      <w:r w:rsidR="00306F03">
        <w:t xml:space="preserve">The </w:t>
      </w:r>
      <w:r w:rsidRPr="001F16C3">
        <w:t xml:space="preserve">MCO should refer to the </w:t>
      </w:r>
      <w:r w:rsidR="00C23AD9">
        <w:t>FFS</w:t>
      </w:r>
      <w:r w:rsidRPr="001F16C3">
        <w:t xml:space="preserve"> Medicaid provider manuals available on the DHHR website for an explanation of service limitations.</w:t>
      </w:r>
    </w:p>
    <w:p w14:paraId="5F606B15" w14:textId="58540207" w:rsidR="001506ED" w:rsidRPr="00DF1D1C" w:rsidRDefault="005068A8" w:rsidP="00257641">
      <w:pPr>
        <w:pStyle w:val="Heading4"/>
      </w:pPr>
      <w:r>
        <w:t>2</w:t>
      </w:r>
      <w:r w:rsidR="004D5AC6">
        <w:t xml:space="preserve">.6.1 </w:t>
      </w:r>
      <w:r w:rsidR="001506ED">
        <w:t>PCP Responsibilities</w:t>
      </w:r>
    </w:p>
    <w:p w14:paraId="10F8F58D" w14:textId="779F642F" w:rsidR="00073459" w:rsidRPr="00DF1D1C" w:rsidRDefault="00073459" w:rsidP="00257641">
      <w:r w:rsidRPr="00DF1D1C">
        <w:t>PCPs will be the MCO enrollee</w:t>
      </w:r>
      <w:r w:rsidR="00FA1C0C" w:rsidRPr="00DF1D1C">
        <w:t>’</w:t>
      </w:r>
      <w:r w:rsidRPr="00DF1D1C">
        <w:t xml:space="preserve">s initial and most important contact with the </w:t>
      </w:r>
      <w:r w:rsidR="00E23E74">
        <w:t xml:space="preserve">Medicaid </w:t>
      </w:r>
      <w:r w:rsidRPr="00DF1D1C">
        <w:t>MCO</w:t>
      </w:r>
      <w:r w:rsidR="006C596E">
        <w:t>.</w:t>
      </w:r>
      <w:r w:rsidR="009E76B0">
        <w:t xml:space="preserve"> </w:t>
      </w:r>
      <w:r w:rsidR="007E4E1C" w:rsidRPr="00DF1D1C">
        <w:t xml:space="preserve">The </w:t>
      </w:r>
      <w:r w:rsidRPr="000E1CAC">
        <w:t>PCPs</w:t>
      </w:r>
      <w:r w:rsidR="00FA1C0C" w:rsidRPr="000E1CAC">
        <w:t>’</w:t>
      </w:r>
      <w:r w:rsidRPr="00DF1D1C">
        <w:t xml:space="preserve"> responsibilities </w:t>
      </w:r>
      <w:r w:rsidR="007E4E1C" w:rsidRPr="00DF1D1C">
        <w:t>are outlined</w:t>
      </w:r>
      <w:r w:rsidRPr="00DF1D1C">
        <w:t xml:space="preserve"> in Article III, Section </w:t>
      </w:r>
      <w:r w:rsidR="00063F9C">
        <w:t>3</w:t>
      </w:r>
      <w:r w:rsidRPr="00DF1D1C">
        <w:t>.2 of the contract.</w:t>
      </w:r>
    </w:p>
    <w:p w14:paraId="211C5243" w14:textId="45CACAE8" w:rsidR="00910EC3" w:rsidRPr="006E61D4" w:rsidRDefault="00910EC3" w:rsidP="00257641">
      <w:pPr>
        <w:pStyle w:val="Heading4"/>
      </w:pPr>
      <w:r w:rsidRPr="006E61D4">
        <w:t>2.6.2 Multidisciplinary Teams (MDT)</w:t>
      </w:r>
    </w:p>
    <w:p w14:paraId="2CF66BB5" w14:textId="2DFEA088" w:rsidR="00910EC3" w:rsidRPr="00DF1D1C" w:rsidRDefault="00910EC3" w:rsidP="00257641">
      <w:r>
        <w:t xml:space="preserve">The MCO </w:t>
      </w:r>
      <w:r w:rsidR="006876E5">
        <w:t xml:space="preserve">must </w:t>
      </w:r>
      <w:r>
        <w:t>be responsible for participating in the MDT process at the request of the worker, judge, or MDT itself.</w:t>
      </w:r>
      <w:r w:rsidR="003150A4">
        <w:t xml:space="preserve"> </w:t>
      </w:r>
      <w:r>
        <w:t xml:space="preserve">The MCO need not participate in every MDT but is expected to serve as a resource to caseworkers to help in facilitating the process if needed, to ensure the </w:t>
      </w:r>
      <w:r w:rsidR="003E7331">
        <w:t xml:space="preserve">enrollee </w:t>
      </w:r>
      <w:r>
        <w:t xml:space="preserve">is receiving the most appropriate, effective treatment options. </w:t>
      </w:r>
    </w:p>
    <w:p w14:paraId="65B9376A" w14:textId="485AAEBC" w:rsidR="009A0060" w:rsidRPr="00482733" w:rsidRDefault="005068A8" w:rsidP="007610FD">
      <w:pPr>
        <w:pStyle w:val="Heading2"/>
      </w:pPr>
      <w:bookmarkStart w:id="108" w:name="_Toc73441785"/>
      <w:bookmarkStart w:id="109" w:name="_Toc8129016"/>
      <w:r>
        <w:t>3</w:t>
      </w:r>
      <w:r w:rsidR="00851ED0">
        <w:t xml:space="preserve">. </w:t>
      </w:r>
      <w:r w:rsidR="009A0060" w:rsidRPr="00482733">
        <w:t>PROVIDER NETWORK</w:t>
      </w:r>
      <w:bookmarkEnd w:id="108"/>
      <w:bookmarkEnd w:id="109"/>
    </w:p>
    <w:p w14:paraId="0D8FD266" w14:textId="0B4E1C8B" w:rsidR="009A0060" w:rsidRPr="00DF1D1C" w:rsidRDefault="005068A8" w:rsidP="00257641">
      <w:pPr>
        <w:pStyle w:val="Heading3"/>
      </w:pPr>
      <w:bookmarkStart w:id="110" w:name="_Toc73441786"/>
      <w:bookmarkStart w:id="111" w:name="_Toc8129017"/>
      <w:r>
        <w:t>3</w:t>
      </w:r>
      <w:r w:rsidR="009A0060" w:rsidRPr="00DF1D1C">
        <w:t>.1</w:t>
      </w:r>
      <w:r w:rsidR="009A0060" w:rsidRPr="00DF1D1C">
        <w:tab/>
        <w:t>General Requirements</w:t>
      </w:r>
      <w:bookmarkEnd w:id="110"/>
      <w:bookmarkEnd w:id="111"/>
    </w:p>
    <w:p w14:paraId="61875451" w14:textId="58FCE5A7" w:rsidR="009A0060" w:rsidRPr="00DF1D1C" w:rsidRDefault="005068A8" w:rsidP="00257641">
      <w:pPr>
        <w:pStyle w:val="Heading4"/>
      </w:pPr>
      <w:r>
        <w:t>3</w:t>
      </w:r>
      <w:r w:rsidR="00AE7358">
        <w:t xml:space="preserve">.1.1 </w:t>
      </w:r>
      <w:r w:rsidR="009A0060" w:rsidRPr="00DF1D1C">
        <w:t>Network Capable of Full Array of Services</w:t>
      </w:r>
    </w:p>
    <w:p w14:paraId="1FBA8949" w14:textId="0FD70D03" w:rsidR="009A0060" w:rsidRPr="00DF1D1C" w:rsidRDefault="009A0060" w:rsidP="00257641">
      <w:r w:rsidRPr="00DF1D1C">
        <w:t>The MCO must establish and maintain provider networks in geographically accessible locations for the populations to be served</w:t>
      </w:r>
      <w:r w:rsidR="0078080B" w:rsidRPr="00DF1D1C">
        <w:t xml:space="preserve">. </w:t>
      </w:r>
      <w:r w:rsidRPr="00DF1D1C">
        <w:t xml:space="preserve">These networks must be comprised of hospitals, primary care providers (PCPs), </w:t>
      </w:r>
      <w:r w:rsidR="001F16C3">
        <w:t xml:space="preserve">dental, </w:t>
      </w:r>
      <w:r w:rsidRPr="00DF1D1C">
        <w:t>specialty care providers</w:t>
      </w:r>
      <w:r w:rsidR="008920A1">
        <w:t xml:space="preserve">, </w:t>
      </w:r>
      <w:r w:rsidR="00FA62AF">
        <w:t xml:space="preserve">residential treatment providers, </w:t>
      </w:r>
      <w:r w:rsidR="008920A1">
        <w:t xml:space="preserve">and non-traditional providers who provide </w:t>
      </w:r>
      <w:r w:rsidR="00946B0F">
        <w:t>SNS</w:t>
      </w:r>
      <w:r w:rsidRPr="00DF1D1C">
        <w:t xml:space="preserve"> in sufficient numbers to make available all covered services</w:t>
      </w:r>
      <w:r w:rsidR="006443FC">
        <w:t xml:space="preserve"> as required by the availability and access standards of the contract</w:t>
      </w:r>
      <w:r w:rsidR="0078080B" w:rsidRPr="00DF1D1C">
        <w:t xml:space="preserve">. </w:t>
      </w:r>
      <w:r w:rsidR="00120678">
        <w:t>The MCO must</w:t>
      </w:r>
      <w:r w:rsidRPr="00DF1D1C">
        <w:t xml:space="preserve"> maintain a sufficient number, mix, and geographic distribution of providers.</w:t>
      </w:r>
    </w:p>
    <w:p w14:paraId="55FD73C2" w14:textId="5BD500C0" w:rsidR="00D15AC9" w:rsidRDefault="009A0060" w:rsidP="00257641">
      <w:r w:rsidRPr="00DF1D1C">
        <w:t xml:space="preserve">The MCO must </w:t>
      </w:r>
      <w:r w:rsidR="00085938">
        <w:t>c</w:t>
      </w:r>
      <w:r w:rsidR="009B19C2">
        <w:t xml:space="preserve">ontract </w:t>
      </w:r>
      <w:r w:rsidRPr="00DF1D1C">
        <w:t xml:space="preserve">with sufficient numbers of providers to maintain </w:t>
      </w:r>
      <w:r w:rsidR="00D40265" w:rsidRPr="00DF1D1C">
        <w:t xml:space="preserve">sufficient </w:t>
      </w:r>
      <w:r w:rsidRPr="00DF1D1C">
        <w:t xml:space="preserve">access </w:t>
      </w:r>
      <w:r w:rsidR="00D40265" w:rsidRPr="00DF1D1C">
        <w:t xml:space="preserve">in accordance with </w:t>
      </w:r>
      <w:r w:rsidR="00FA62AF">
        <w:t>DHHR</w:t>
      </w:r>
      <w:r w:rsidR="00FA62AF" w:rsidRPr="00DF1D1C">
        <w:t>’</w:t>
      </w:r>
      <w:r w:rsidR="00FA62AF">
        <w:t>s</w:t>
      </w:r>
      <w:r w:rsidR="00FA62AF" w:rsidRPr="00DF1D1C">
        <w:t xml:space="preserve"> </w:t>
      </w:r>
      <w:r w:rsidR="00D40265" w:rsidRPr="00DF1D1C">
        <w:t>Medicaid managed care network standards</w:t>
      </w:r>
      <w:r w:rsidR="00633A8E">
        <w:t xml:space="preserve"> and SNS provider network standards</w:t>
      </w:r>
      <w:r w:rsidR="007C0867">
        <w:t xml:space="preserve"> for all enrollees, including those with limited English proficiency or physical or mental disabilities</w:t>
      </w:r>
      <w:r w:rsidR="0078080B" w:rsidRPr="00DF1D1C">
        <w:t xml:space="preserve">. </w:t>
      </w:r>
    </w:p>
    <w:p w14:paraId="4E39FD81" w14:textId="698007BE" w:rsidR="00D15AC9" w:rsidRDefault="00D15AC9" w:rsidP="00257641">
      <w:pPr>
        <w:pStyle w:val="normal6"/>
      </w:pPr>
      <w:r>
        <w:t>The Provider network must</w:t>
      </w:r>
      <w:r w:rsidR="00BA0994">
        <w:t xml:space="preserve"> </w:t>
      </w:r>
      <w:r>
        <w:t xml:space="preserve">include the following: </w:t>
      </w:r>
    </w:p>
    <w:p w14:paraId="251BEFBE" w14:textId="5CA600B0" w:rsidR="00D15AC9" w:rsidRDefault="00D15AC9" w:rsidP="00257641">
      <w:pPr>
        <w:pStyle w:val="bullet1"/>
      </w:pPr>
      <w:r>
        <w:lastRenderedPageBreak/>
        <w:t xml:space="preserve">Primary care and specialist providers who are trained or experienced in trauma-informed </w:t>
      </w:r>
      <w:r w:rsidR="007B17D4">
        <w:t xml:space="preserve">approach to </w:t>
      </w:r>
      <w:r>
        <w:t xml:space="preserve">care and in treating individuals with complex special needs, including the population which comprises the </w:t>
      </w:r>
      <w:r w:rsidR="003E7331">
        <w:t xml:space="preserve">enrollees </w:t>
      </w:r>
      <w:r>
        <w:t xml:space="preserve">covered under this </w:t>
      </w:r>
      <w:r w:rsidR="003E7331">
        <w:t>C</w:t>
      </w:r>
      <w:r>
        <w:t>ontract;</w:t>
      </w:r>
      <w:r w:rsidR="00BA0994">
        <w:t xml:space="preserve"> and</w:t>
      </w:r>
    </w:p>
    <w:p w14:paraId="632E4F91" w14:textId="5CE4C045" w:rsidR="00D15AC9" w:rsidRDefault="00D15AC9" w:rsidP="00257641">
      <w:pPr>
        <w:pStyle w:val="bullet1last"/>
      </w:pPr>
      <w:r>
        <w:t>Providers who have knowledge and experience in iden</w:t>
      </w:r>
      <w:r w:rsidR="00BA0994">
        <w:t>tifying child abuse and neglect.</w:t>
      </w:r>
    </w:p>
    <w:p w14:paraId="6421C6DC" w14:textId="506B4C64" w:rsidR="00BC0338" w:rsidRDefault="00BC0338" w:rsidP="00257641">
      <w:r>
        <w:t>In addition, t</w:t>
      </w:r>
      <w:r w:rsidRPr="00BC0338">
        <w:t>he MCO is required to make all reasonable effort</w:t>
      </w:r>
      <w:r>
        <w:t>s</w:t>
      </w:r>
      <w:r w:rsidRPr="00BC0338">
        <w:t xml:space="preserve"> to contract with all SNS provider</w:t>
      </w:r>
      <w:r>
        <w:t xml:space="preserve"> in West Virginia.</w:t>
      </w:r>
    </w:p>
    <w:p w14:paraId="68DC9B7A" w14:textId="77777777" w:rsidR="00C23AD9" w:rsidRDefault="009A0060" w:rsidP="00257641">
      <w:r w:rsidRPr="00DF1D1C">
        <w:t xml:space="preserve">The MCO must submit </w:t>
      </w:r>
      <w:r w:rsidR="00C23AD9">
        <w:t xml:space="preserve">to the Department </w:t>
      </w:r>
      <w:r w:rsidRPr="00DF1D1C">
        <w:t xml:space="preserve">written documentation of the adequacy of its provider network as set forth in this </w:t>
      </w:r>
      <w:r w:rsidR="00DB7CB5">
        <w:t>C</w:t>
      </w:r>
      <w:r w:rsidRPr="00DF1D1C">
        <w:t>ontract</w:t>
      </w:r>
      <w:r w:rsidR="00C23AD9" w:rsidRPr="00C23AD9">
        <w:t xml:space="preserve"> </w:t>
      </w:r>
      <w:r w:rsidR="00C23AD9">
        <w:t>at the following times:</w:t>
      </w:r>
    </w:p>
    <w:p w14:paraId="6E6CAEAD" w14:textId="481AE0B0" w:rsidR="00C23AD9" w:rsidRDefault="00C23AD9" w:rsidP="007C7EA5">
      <w:pPr>
        <w:pStyle w:val="bullet1"/>
        <w:ind w:left="720"/>
      </w:pPr>
      <w:r>
        <w:t>When</w:t>
      </w:r>
      <w:r w:rsidR="009A0060" w:rsidRPr="00DF1D1C">
        <w:t xml:space="preserve"> the MCO enters into a </w:t>
      </w:r>
      <w:r w:rsidR="009B19C2">
        <w:t xml:space="preserve">Contract </w:t>
      </w:r>
      <w:r w:rsidR="009A0060" w:rsidRPr="00DF1D1C">
        <w:t xml:space="preserve">with </w:t>
      </w:r>
      <w:r w:rsidR="00FA62AF">
        <w:t>DHHR</w:t>
      </w:r>
      <w:r w:rsidR="009A0060" w:rsidRPr="00DF1D1C">
        <w:t xml:space="preserve">; </w:t>
      </w:r>
    </w:p>
    <w:p w14:paraId="149150FD" w14:textId="4A2AAD68" w:rsidR="00C23AD9" w:rsidRDefault="00C23AD9" w:rsidP="007C7EA5">
      <w:pPr>
        <w:pStyle w:val="bullet1"/>
        <w:ind w:left="720"/>
      </w:pPr>
      <w:r>
        <w:t>O</w:t>
      </w:r>
      <w:r w:rsidR="00BC03C5">
        <w:t xml:space="preserve">n an annual basis; </w:t>
      </w:r>
    </w:p>
    <w:p w14:paraId="60E1AA91" w14:textId="624B5714" w:rsidR="00C23AD9" w:rsidRDefault="00C23AD9" w:rsidP="007C7EA5">
      <w:pPr>
        <w:pStyle w:val="bullet1"/>
        <w:ind w:left="720"/>
      </w:pPr>
      <w:r>
        <w:t>W</w:t>
      </w:r>
      <w:r w:rsidR="009A0060" w:rsidRPr="00DF1D1C">
        <w:t xml:space="preserve">hen there has been a significant change in MCO operations; </w:t>
      </w:r>
    </w:p>
    <w:p w14:paraId="49A41E0F" w14:textId="7F589478" w:rsidR="00C23AD9" w:rsidRDefault="00C23AD9" w:rsidP="007C7EA5">
      <w:pPr>
        <w:pStyle w:val="bullet1"/>
        <w:ind w:left="720"/>
      </w:pPr>
      <w:r>
        <w:t>W</w:t>
      </w:r>
      <w:r w:rsidR="009A0060" w:rsidRPr="00DF1D1C">
        <w:t xml:space="preserve">hen services, benefits, geographic service areas, or payments have been changed; or </w:t>
      </w:r>
    </w:p>
    <w:p w14:paraId="52317189" w14:textId="0B964832" w:rsidR="009A0060" w:rsidRPr="00DF1D1C" w:rsidRDefault="00C23AD9" w:rsidP="007C7EA5">
      <w:pPr>
        <w:pStyle w:val="bullet1"/>
        <w:ind w:left="720"/>
      </w:pPr>
      <w:r>
        <w:t xml:space="preserve">When </w:t>
      </w:r>
      <w:r w:rsidR="009A0060" w:rsidRPr="00DF1D1C">
        <w:t xml:space="preserve">there is enrollment of a new population in the MCO. </w:t>
      </w:r>
    </w:p>
    <w:p w14:paraId="4DDD8191" w14:textId="77777777" w:rsidR="009A0060" w:rsidRPr="00DF1D1C" w:rsidRDefault="009A0060" w:rsidP="00096A5D">
      <w:pPr>
        <w:pStyle w:val="BodyText"/>
      </w:pPr>
      <w:r w:rsidRPr="00DF1D1C">
        <w:t xml:space="preserve">The MCO must </w:t>
      </w:r>
      <w:r w:rsidR="00DB7CB5">
        <w:t>c</w:t>
      </w:r>
      <w:r w:rsidR="009B19C2">
        <w:t xml:space="preserve">ontract </w:t>
      </w:r>
      <w:r w:rsidRPr="00DF1D1C">
        <w:t xml:space="preserve">with the full array of providers necessary to deliver a level of care that is at least equal to the community </w:t>
      </w:r>
      <w:r w:rsidRPr="002B6C15">
        <w:t>norms and meet the travel time, appointment scheduling, and waiting time standards included in this</w:t>
      </w:r>
      <w:r w:rsidRPr="00DF1D1C">
        <w:t xml:space="preserve"> contract</w:t>
      </w:r>
      <w:r w:rsidR="0078080B" w:rsidRPr="00DF1D1C">
        <w:t xml:space="preserve">. </w:t>
      </w:r>
    </w:p>
    <w:p w14:paraId="45C067A0" w14:textId="0512F343" w:rsidR="009A0060" w:rsidRPr="00DF1D1C" w:rsidRDefault="009A0060" w:rsidP="00257641">
      <w:pPr>
        <w:pStyle w:val="normal6"/>
      </w:pPr>
      <w:r w:rsidRPr="00DF1D1C">
        <w:t xml:space="preserve">The MCO must maintain and monitor a network of appropriate, credentialed providers, supported by written arrangements, that is sufficient to provide adequate access (as defined by </w:t>
      </w:r>
      <w:r w:rsidR="00FA62AF">
        <w:t>DHHR</w:t>
      </w:r>
      <w:r w:rsidRPr="00DF1D1C">
        <w:t xml:space="preserve">) to covered services </w:t>
      </w:r>
      <w:r w:rsidR="00EF4B1B">
        <w:t xml:space="preserve">(including the </w:t>
      </w:r>
      <w:r w:rsidR="00EF4B1B" w:rsidRPr="002B6C15">
        <w:t>appropriate</w:t>
      </w:r>
      <w:r w:rsidR="00EF4B1B">
        <w:t xml:space="preserve"> range of preventive, primary care, and specialty services) </w:t>
      </w:r>
      <w:r w:rsidRPr="00DF1D1C">
        <w:t>and to meet the needs of the population served</w:t>
      </w:r>
      <w:r w:rsidR="0078080B" w:rsidRPr="00DF1D1C">
        <w:t xml:space="preserve">. </w:t>
      </w:r>
      <w:r w:rsidRPr="00DF1D1C">
        <w:t>In establishing and mainta</w:t>
      </w:r>
      <w:r w:rsidR="00120678">
        <w:t>ining the network, the MCO must</w:t>
      </w:r>
      <w:r w:rsidRPr="00DF1D1C">
        <w:t xml:space="preserve"> consider the following:</w:t>
      </w:r>
    </w:p>
    <w:p w14:paraId="015437B3" w14:textId="1A69941C" w:rsidR="009A0060" w:rsidRPr="00CB40F8" w:rsidRDefault="009A0060" w:rsidP="00257641">
      <w:pPr>
        <w:pStyle w:val="bullet1"/>
      </w:pPr>
      <w:r w:rsidRPr="00DF1D1C">
        <w:t xml:space="preserve">Anticipated </w:t>
      </w:r>
      <w:r w:rsidRPr="00CB40F8">
        <w:t>enrollment</w:t>
      </w:r>
      <w:r w:rsidR="00633A8E" w:rsidRPr="00CB40F8">
        <w:t xml:space="preserve"> under this </w:t>
      </w:r>
      <w:r w:rsidR="00731727">
        <w:t>C</w:t>
      </w:r>
      <w:r w:rsidR="00633A8E" w:rsidRPr="00CB40F8">
        <w:t>ontract</w:t>
      </w:r>
      <w:r w:rsidRPr="00CB40F8">
        <w:t>;</w:t>
      </w:r>
    </w:p>
    <w:p w14:paraId="16E987F3" w14:textId="3F954AC2" w:rsidR="009A0060" w:rsidRPr="00CB40F8" w:rsidRDefault="009A0060" w:rsidP="00257641">
      <w:pPr>
        <w:pStyle w:val="bullet1"/>
      </w:pPr>
      <w:r w:rsidRPr="00CB40F8">
        <w:t xml:space="preserve">Expected utilization of services, taking into consideration the characteristics and health care needs of </w:t>
      </w:r>
      <w:r w:rsidR="00633A8E" w:rsidRPr="00CB40F8">
        <w:t xml:space="preserve">the </w:t>
      </w:r>
      <w:r w:rsidRPr="00CB40F8">
        <w:t xml:space="preserve">specific populations </w:t>
      </w:r>
      <w:r w:rsidR="00633A8E" w:rsidRPr="00CB40F8">
        <w:t xml:space="preserve">covered </w:t>
      </w:r>
      <w:r w:rsidRPr="00CB40F8">
        <w:t>by the MCO;</w:t>
      </w:r>
    </w:p>
    <w:p w14:paraId="1811386B" w14:textId="0DF536ED" w:rsidR="009A0060" w:rsidRPr="00CB40F8" w:rsidRDefault="009A0060" w:rsidP="00257641">
      <w:pPr>
        <w:pStyle w:val="bullet1"/>
      </w:pPr>
      <w:r w:rsidRPr="00CB40F8">
        <w:t xml:space="preserve">Numbers and types (in terms of training, experience, and specialization) of providers required to furnish </w:t>
      </w:r>
      <w:r w:rsidR="00633A8E" w:rsidRPr="00CB40F8">
        <w:t xml:space="preserve">all </w:t>
      </w:r>
      <w:r w:rsidRPr="00CB40F8">
        <w:t>contracted services;</w:t>
      </w:r>
    </w:p>
    <w:p w14:paraId="67AE1641" w14:textId="1348DE6B" w:rsidR="009A0060" w:rsidRPr="00DF1D1C" w:rsidRDefault="009A0060" w:rsidP="00257641">
      <w:pPr>
        <w:pStyle w:val="bullet1"/>
      </w:pPr>
      <w:r w:rsidRPr="00CB40F8">
        <w:t>Numbers of network</w:t>
      </w:r>
      <w:r w:rsidRPr="00DF1D1C">
        <w:t xml:space="preserve"> providers who are not accepting new patients; and</w:t>
      </w:r>
    </w:p>
    <w:p w14:paraId="1C98B8B5" w14:textId="7EBEF61E" w:rsidR="009A0060" w:rsidRDefault="009A0060" w:rsidP="00257641">
      <w:pPr>
        <w:pStyle w:val="bullet1last"/>
      </w:pPr>
      <w:r w:rsidRPr="00DF1D1C">
        <w:t xml:space="preserve">Geographic location of providers and enrollees, considering distance, travel time, the means of </w:t>
      </w:r>
      <w:r w:rsidRPr="0073331D">
        <w:t>t</w:t>
      </w:r>
      <w:r w:rsidRPr="00DF1D1C">
        <w:t xml:space="preserve">ransportation ordinarily used by </w:t>
      </w:r>
      <w:r w:rsidR="00633A8E">
        <w:t>these</w:t>
      </w:r>
      <w:r w:rsidR="00633A8E" w:rsidRPr="00DF1D1C">
        <w:t xml:space="preserve"> </w:t>
      </w:r>
      <w:r w:rsidRPr="00DF1D1C">
        <w:t>enrollees, and whether the location provides physical access for enrollees with disabilities.</w:t>
      </w:r>
    </w:p>
    <w:p w14:paraId="20CD6419" w14:textId="0F951E47" w:rsidR="00CE50C5" w:rsidRPr="00DF1D1C" w:rsidRDefault="00CE50C5" w:rsidP="00257641">
      <w:r>
        <w:t xml:space="preserve">If the MCO fails to build and/or maintain a provider network that meets the managed care network adequacy standards established by </w:t>
      </w:r>
      <w:r w:rsidR="00FA62AF">
        <w:t>DHHR</w:t>
      </w:r>
      <w:r w:rsidR="007A05C7">
        <w:t>,</w:t>
      </w:r>
      <w:r>
        <w:t xml:space="preserve"> or is unable to ensure </w:t>
      </w:r>
      <w:r w:rsidR="00E44575">
        <w:t xml:space="preserve">enrollees’ </w:t>
      </w:r>
      <w:r>
        <w:t xml:space="preserve">access to the full array of covered services, the MCO will be prohibited from serving </w:t>
      </w:r>
      <w:r w:rsidR="00E44575">
        <w:t xml:space="preserve">enrollees </w:t>
      </w:r>
      <w:r>
        <w:t>in the deficient geographic areas.</w:t>
      </w:r>
    </w:p>
    <w:p w14:paraId="29F2C7EE" w14:textId="13B3361C" w:rsidR="009A0060" w:rsidRPr="00B01265" w:rsidRDefault="005068A8" w:rsidP="00257641">
      <w:pPr>
        <w:pStyle w:val="Heading4"/>
        <w:rPr>
          <w:sz w:val="24"/>
          <w:szCs w:val="24"/>
        </w:rPr>
      </w:pPr>
      <w:r w:rsidRPr="00013293">
        <w:lastRenderedPageBreak/>
        <w:t>3</w:t>
      </w:r>
      <w:r w:rsidR="00AE7358" w:rsidRPr="00013293">
        <w:t xml:space="preserve">.1.2 </w:t>
      </w:r>
      <w:r w:rsidR="009A0060" w:rsidRPr="00013293">
        <w:t>Availability and Access Standards</w:t>
      </w:r>
    </w:p>
    <w:p w14:paraId="1999A842" w14:textId="77777777" w:rsidR="00C23AD9" w:rsidRDefault="00C23AD9" w:rsidP="00257641">
      <w:r w:rsidRPr="00DF1D1C">
        <w:t xml:space="preserve">The MCO must ensure that all covered services, including additional or supplemental services contracted by or on behalf of Medicaid enrollees, are available and accessible. The MCO must have policies and procedures, including coverage rules, practice guidelines, payment policies and utilization management, that allow for individual medical necessity determinations. </w:t>
      </w:r>
    </w:p>
    <w:p w14:paraId="61ECB692" w14:textId="101C2038" w:rsidR="009A0060" w:rsidRPr="004A5A7C" w:rsidRDefault="00C23AD9" w:rsidP="00257641">
      <w:pPr>
        <w:pStyle w:val="normal6"/>
        <w:rPr>
          <w:rStyle w:val="StyleBodyTextIndentTimesNewRoman12ptChar"/>
          <w:rFonts w:ascii="Times New Roman" w:hAnsi="Times New Roman"/>
          <w:spacing w:val="0"/>
          <w:sz w:val="24"/>
          <w:szCs w:val="24"/>
        </w:rPr>
      </w:pPr>
      <w:r w:rsidRPr="00BC0338">
        <w:rPr>
          <w:noProof w:val="0"/>
          <w:szCs w:val="24"/>
        </w:rPr>
        <w:t>The Department has set minimum provider network adequacy standards that the MCO must meet or exceed in all geographic areas in which the MCO operates. The full list of network adequacy standards are included in Appendix K. They include standards for</w:t>
      </w:r>
      <w:r w:rsidR="009A0060" w:rsidRPr="004A5A7C">
        <w:rPr>
          <w:rStyle w:val="StyleBodyTextIndentTimesNewRoman12ptChar"/>
          <w:rFonts w:ascii="Times New Roman" w:hAnsi="Times New Roman"/>
          <w:spacing w:val="0"/>
          <w:sz w:val="24"/>
          <w:szCs w:val="24"/>
        </w:rPr>
        <w:t>:</w:t>
      </w:r>
    </w:p>
    <w:p w14:paraId="143C91C0" w14:textId="2C55A708" w:rsidR="00C23AD9" w:rsidRDefault="009A0060" w:rsidP="00257641">
      <w:pPr>
        <w:pStyle w:val="bullet1"/>
        <w:rPr>
          <w:szCs w:val="24"/>
        </w:rPr>
      </w:pPr>
      <w:r w:rsidRPr="004A5A7C">
        <w:rPr>
          <w:szCs w:val="24"/>
        </w:rPr>
        <w:t>PCPs</w:t>
      </w:r>
      <w:r w:rsidR="00FA1C0C" w:rsidRPr="004A5A7C">
        <w:rPr>
          <w:szCs w:val="24"/>
        </w:rPr>
        <w:t>’</w:t>
      </w:r>
      <w:r w:rsidR="00A1283E">
        <w:rPr>
          <w:szCs w:val="24"/>
        </w:rPr>
        <w:t>,</w:t>
      </w:r>
    </w:p>
    <w:p w14:paraId="416E470F" w14:textId="092167BC" w:rsidR="00D63B36" w:rsidRDefault="00C23AD9" w:rsidP="00257641">
      <w:pPr>
        <w:pStyle w:val="bullet1"/>
        <w:rPr>
          <w:szCs w:val="24"/>
        </w:rPr>
      </w:pPr>
      <w:r>
        <w:rPr>
          <w:szCs w:val="24"/>
        </w:rPr>
        <w:t>S</w:t>
      </w:r>
      <w:r w:rsidR="009A0060" w:rsidRPr="004A5A7C">
        <w:rPr>
          <w:szCs w:val="24"/>
        </w:rPr>
        <w:t>pecialists</w:t>
      </w:r>
      <w:r w:rsidR="00D63B36">
        <w:rPr>
          <w:szCs w:val="24"/>
        </w:rPr>
        <w:t>;</w:t>
      </w:r>
      <w:r w:rsidR="009A0060" w:rsidRPr="004A5A7C">
        <w:rPr>
          <w:szCs w:val="24"/>
        </w:rPr>
        <w:t xml:space="preserve"> </w:t>
      </w:r>
    </w:p>
    <w:p w14:paraId="5124F952" w14:textId="2AF4797F" w:rsidR="009A0060" w:rsidRPr="00AB033C" w:rsidRDefault="00FA62AF" w:rsidP="00257641">
      <w:pPr>
        <w:pStyle w:val="bullet1"/>
        <w:rPr>
          <w:szCs w:val="24"/>
        </w:rPr>
      </w:pPr>
      <w:r w:rsidRPr="00D61267">
        <w:rPr>
          <w:szCs w:val="24"/>
        </w:rPr>
        <w:t>OB/GYN</w:t>
      </w:r>
      <w:r w:rsidR="00D63B36">
        <w:rPr>
          <w:szCs w:val="24"/>
        </w:rPr>
        <w:t>s;</w:t>
      </w:r>
      <w:r w:rsidRPr="00D61267">
        <w:rPr>
          <w:szCs w:val="24"/>
        </w:rPr>
        <w:t xml:space="preserve"> </w:t>
      </w:r>
    </w:p>
    <w:p w14:paraId="127DA96A" w14:textId="15CD7644" w:rsidR="009A0060" w:rsidRPr="00233688" w:rsidRDefault="009A0060" w:rsidP="00257641">
      <w:pPr>
        <w:pStyle w:val="bullet1"/>
        <w:rPr>
          <w:szCs w:val="24"/>
        </w:rPr>
      </w:pPr>
      <w:r w:rsidRPr="00117461">
        <w:rPr>
          <w:szCs w:val="24"/>
        </w:rPr>
        <w:t>Basic hospital services</w:t>
      </w:r>
      <w:r w:rsidR="00D63B36">
        <w:rPr>
          <w:szCs w:val="24"/>
        </w:rPr>
        <w:t>;</w:t>
      </w:r>
      <w:r w:rsidRPr="00117461">
        <w:rPr>
          <w:szCs w:val="24"/>
        </w:rPr>
        <w:t xml:space="preserve"> </w:t>
      </w:r>
    </w:p>
    <w:p w14:paraId="699B65FA" w14:textId="6FCB64B6" w:rsidR="00D63B36" w:rsidRDefault="009A0060" w:rsidP="00257641">
      <w:pPr>
        <w:pStyle w:val="bullet1last"/>
        <w:spacing w:after="120"/>
        <w:rPr>
          <w:szCs w:val="24"/>
        </w:rPr>
      </w:pPr>
      <w:r w:rsidRPr="00356156">
        <w:rPr>
          <w:szCs w:val="24"/>
        </w:rPr>
        <w:t xml:space="preserve">Tertiary </w:t>
      </w:r>
      <w:r w:rsidR="00D63B36">
        <w:rPr>
          <w:szCs w:val="24"/>
        </w:rPr>
        <w:t xml:space="preserve">hospital </w:t>
      </w:r>
      <w:r w:rsidRPr="00356156">
        <w:rPr>
          <w:szCs w:val="24"/>
        </w:rPr>
        <w:t>services</w:t>
      </w:r>
      <w:r w:rsidR="00D63B36">
        <w:rPr>
          <w:rStyle w:val="FootnoteReference"/>
          <w:szCs w:val="24"/>
        </w:rPr>
        <w:footnoteReference w:id="6"/>
      </w:r>
      <w:r w:rsidR="00D63B36">
        <w:rPr>
          <w:szCs w:val="24"/>
        </w:rPr>
        <w:t>;</w:t>
      </w:r>
    </w:p>
    <w:p w14:paraId="1C41CACE" w14:textId="68F6CAB1" w:rsidR="00D63B36" w:rsidRDefault="00D63B36" w:rsidP="00257641">
      <w:pPr>
        <w:pStyle w:val="bullet1last"/>
        <w:spacing w:after="120"/>
        <w:rPr>
          <w:szCs w:val="24"/>
        </w:rPr>
      </w:pPr>
      <w:r>
        <w:rPr>
          <w:szCs w:val="24"/>
        </w:rPr>
        <w:t>P</w:t>
      </w:r>
      <w:r w:rsidRPr="00AB033C">
        <w:rPr>
          <w:szCs w:val="24"/>
        </w:rPr>
        <w:t>ediatric dental</w:t>
      </w:r>
      <w:r>
        <w:rPr>
          <w:szCs w:val="24"/>
        </w:rPr>
        <w:t xml:space="preserve"> providers</w:t>
      </w:r>
      <w:r w:rsidRPr="00AB033C">
        <w:rPr>
          <w:szCs w:val="24"/>
        </w:rPr>
        <w:t>;</w:t>
      </w:r>
    </w:p>
    <w:p w14:paraId="44171554" w14:textId="77777777" w:rsidR="00D63B36" w:rsidRDefault="00D63B36" w:rsidP="00257641">
      <w:pPr>
        <w:pStyle w:val="bullet1"/>
        <w:tabs>
          <w:tab w:val="clear" w:pos="1440"/>
        </w:tabs>
      </w:pPr>
      <w:r>
        <w:t xml:space="preserve">Behavioral Health providers and facilities; </w:t>
      </w:r>
    </w:p>
    <w:p w14:paraId="64D98F98" w14:textId="77777777" w:rsidR="00D63B36" w:rsidRPr="00D63B36" w:rsidRDefault="00D63B36" w:rsidP="00257641">
      <w:pPr>
        <w:pStyle w:val="bullet1last"/>
        <w:spacing w:after="120"/>
        <w:rPr>
          <w:szCs w:val="24"/>
        </w:rPr>
      </w:pPr>
      <w:r w:rsidRPr="00D61267">
        <w:rPr>
          <w:szCs w:val="24"/>
        </w:rPr>
        <w:t>Substance Use Disorder (SUD)</w:t>
      </w:r>
      <w:r>
        <w:rPr>
          <w:szCs w:val="24"/>
        </w:rPr>
        <w:t xml:space="preserve"> </w:t>
      </w:r>
      <w:r>
        <w:t>providers and facilities; and</w:t>
      </w:r>
    </w:p>
    <w:p w14:paraId="79D90D30" w14:textId="68832818" w:rsidR="009A0060" w:rsidRPr="00FF0A07" w:rsidRDefault="00D63B36" w:rsidP="00257641">
      <w:pPr>
        <w:pStyle w:val="bullet1"/>
        <w:spacing w:after="240"/>
        <w:rPr>
          <w:szCs w:val="24"/>
        </w:rPr>
      </w:pPr>
      <w:r>
        <w:t>Additional providers when it promotes</w:t>
      </w:r>
      <w:r w:rsidRPr="007E6B40">
        <w:t xml:space="preserve"> the objectives of the Medicaid program</w:t>
      </w:r>
      <w:r>
        <w:t xml:space="preserve"> as determined by CMS</w:t>
      </w:r>
      <w:r w:rsidR="009A0060" w:rsidRPr="00FF0A07">
        <w:rPr>
          <w:szCs w:val="24"/>
        </w:rPr>
        <w:t>.</w:t>
      </w:r>
    </w:p>
    <w:p w14:paraId="49AE4FD8" w14:textId="200A2227" w:rsidR="00052425" w:rsidRDefault="009A0060" w:rsidP="00096A5D">
      <w:pPr>
        <w:pStyle w:val="BodyText"/>
      </w:pPr>
      <w:r w:rsidRPr="0099539F">
        <w:t>The intent of these standards is to provide for access to services at least as good, if not better, than access to care under the traditional Medicaid program</w:t>
      </w:r>
      <w:r w:rsidR="0078080B" w:rsidRPr="0099539F">
        <w:t xml:space="preserve">. </w:t>
      </w:r>
      <w:r w:rsidR="00FA62AF" w:rsidRPr="00DA379A">
        <w:t xml:space="preserve">DHHR </w:t>
      </w:r>
      <w:r w:rsidR="00A93C56" w:rsidRPr="00DA379A">
        <w:t xml:space="preserve">will periodically publish specific network standards that define which provider types are considered </w:t>
      </w:r>
      <w:r w:rsidR="004509BC">
        <w:t>adult and pediatric specialists</w:t>
      </w:r>
      <w:r w:rsidR="00A93C56" w:rsidRPr="00F75251">
        <w:t xml:space="preserve">. </w:t>
      </w:r>
      <w:r w:rsidR="00052425">
        <w:t xml:space="preserve">The </w:t>
      </w:r>
      <w:r w:rsidR="00052425" w:rsidRPr="00225429">
        <w:t xml:space="preserve">MCO will be required to comply with updated network standards within </w:t>
      </w:r>
      <w:r w:rsidR="00052425" w:rsidRPr="00D2147D">
        <w:t>ninety (</w:t>
      </w:r>
      <w:r w:rsidR="00052425" w:rsidRPr="00427BBA">
        <w:t>90) calendar days</w:t>
      </w:r>
      <w:r w:rsidR="00052425" w:rsidRPr="00703C58">
        <w:t xml:space="preserve"> of issuance, unless otherwise agreed to in writing by DHHR within sixty (60) calendar days of issuance</w:t>
      </w:r>
      <w:r w:rsidR="00052425" w:rsidRPr="006F5B38">
        <w:t>.</w:t>
      </w:r>
    </w:p>
    <w:p w14:paraId="5E66A9DB" w14:textId="26C6BB22" w:rsidR="00052425" w:rsidRDefault="00052425" w:rsidP="00257641">
      <w:r>
        <w:t>During any period in which the MCO does not meet minimum network standards, the MCO must ensure that appropriate processes are implemented to adequately cover services in a timely manner out-of-network, including paying claims to out-of-network providers and ensuring that enrollees incur no additional costs</w:t>
      </w:r>
      <w:r w:rsidR="00BC0338" w:rsidRPr="00BC0338">
        <w:t>, as specified in §438.206(b) and §457.1230(a)</w:t>
      </w:r>
      <w:r>
        <w:t>.</w:t>
      </w:r>
    </w:p>
    <w:p w14:paraId="312F5080" w14:textId="6F2BEC6E" w:rsidR="00052425" w:rsidRDefault="00052425" w:rsidP="00257641">
      <w:pPr>
        <w:pStyle w:val="Heading5"/>
      </w:pPr>
      <w:r>
        <w:t>3.1.2.1 Exceptions to Network Standards</w:t>
      </w:r>
    </w:p>
    <w:p w14:paraId="16DBE7CC" w14:textId="79BD3DEA" w:rsidR="009A0060" w:rsidRDefault="00052425" w:rsidP="00257641">
      <w:r>
        <w:t xml:space="preserve">The Department will </w:t>
      </w:r>
      <w:r w:rsidRPr="00B00248">
        <w:t xml:space="preserve">consider requests for exceptions to the </w:t>
      </w:r>
      <w:r>
        <w:t xml:space="preserve">provider </w:t>
      </w:r>
      <w:r w:rsidRPr="00B00248">
        <w:t>access standards under limited circumstances (e.g. if no appropriate provider types are located within the mileage standards)</w:t>
      </w:r>
      <w:r>
        <w:t xml:space="preserve"> and </w:t>
      </w:r>
      <w:r w:rsidRPr="00AC3F64">
        <w:t xml:space="preserve">may, in its sole discretion, grant exceptions to </w:t>
      </w:r>
      <w:r>
        <w:t>these</w:t>
      </w:r>
      <w:r w:rsidRPr="00AC3F64">
        <w:t xml:space="preserve"> standards</w:t>
      </w:r>
      <w:r w:rsidRPr="00B00248">
        <w:t xml:space="preserve">. Each exception request </w:t>
      </w:r>
      <w:r>
        <w:t xml:space="preserve">from the MCO to the Department </w:t>
      </w:r>
      <w:r w:rsidRPr="00B00248">
        <w:t xml:space="preserve">must be </w:t>
      </w:r>
      <w:r>
        <w:t xml:space="preserve">in writing and </w:t>
      </w:r>
      <w:r w:rsidRPr="00B00248">
        <w:t xml:space="preserve">supported by information and </w:t>
      </w:r>
      <w:r w:rsidRPr="00B00248">
        <w:lastRenderedPageBreak/>
        <w:t>documentation</w:t>
      </w:r>
      <w:r>
        <w:t xml:space="preserve"> from the MCO</w:t>
      </w:r>
      <w:r w:rsidRPr="00B00248">
        <w:t>.</w:t>
      </w:r>
      <w:r>
        <w:t xml:space="preserve"> </w:t>
      </w:r>
      <w:r w:rsidRPr="00F345BD">
        <w:t xml:space="preserve">Exceptions to network requirements will be considered based on </w:t>
      </w:r>
      <w:r>
        <w:t xml:space="preserve">the information provided, </w:t>
      </w:r>
      <w:r w:rsidRPr="00F345BD">
        <w:t>current patterns of care</w:t>
      </w:r>
      <w:r>
        <w:t>,</w:t>
      </w:r>
      <w:r w:rsidRPr="00F345BD">
        <w:t xml:space="preserve"> and locations where the travel time and distance standards differ significantly from providers in the community, as allowed in West Virginia’s 1915(b) Waiver.</w:t>
      </w:r>
    </w:p>
    <w:p w14:paraId="6D4340EE" w14:textId="45D9A991" w:rsidR="00052425" w:rsidRDefault="00052425" w:rsidP="00257641">
      <w:pPr>
        <w:pStyle w:val="Heading5"/>
      </w:pPr>
      <w:r>
        <w:t>3.1.2.2 Provider Hours Operation</w:t>
      </w:r>
    </w:p>
    <w:p w14:paraId="0D582C3E" w14:textId="6BFD3D21" w:rsidR="009A0060" w:rsidRPr="00B747F6" w:rsidRDefault="009A0060" w:rsidP="00257641">
      <w:r w:rsidRPr="006F5B38">
        <w:t xml:space="preserve">The MCO must ensure that the hours of operation of its providers are convenient, do not discriminate against enrollees, and are no less than the hours of operation offered to commercial enrollees or comparable to Medicaid </w:t>
      </w:r>
      <w:r w:rsidR="00052425">
        <w:t>FFS</w:t>
      </w:r>
      <w:r w:rsidRPr="006F5B38">
        <w:t xml:space="preserve">. MCOs must ensure that waiting times at sites of care are kept to a minimum and ensure that the waiting </w:t>
      </w:r>
      <w:r w:rsidRPr="00080B72">
        <w:t>time standard for Medicaid enrollees is the same standard used for commercial enrollees</w:t>
      </w:r>
      <w:r w:rsidR="0078080B" w:rsidRPr="00080B72">
        <w:t xml:space="preserve">. </w:t>
      </w:r>
      <w:r w:rsidRPr="00080B72">
        <w:t xml:space="preserve">Providers cannot discriminate against Medicaid enrollees in the order that patients are seen </w:t>
      </w:r>
      <w:r w:rsidRPr="00B747F6">
        <w:t xml:space="preserve">or in the order that appointments are given (providers are not permitted to schedule Medicaid-only days). </w:t>
      </w:r>
    </w:p>
    <w:p w14:paraId="673B5951" w14:textId="77777777" w:rsidR="00D21EDD" w:rsidRDefault="009622B6" w:rsidP="00257641">
      <w:r w:rsidRPr="00772DED">
        <w:t>When Medically N</w:t>
      </w:r>
      <w:r w:rsidR="009A0060" w:rsidRPr="00772DED">
        <w:t xml:space="preserve">ecessary, the MCO makes services available </w:t>
      </w:r>
      <w:r w:rsidR="004D1CDB" w:rsidRPr="00986A2E">
        <w:t>twenty-four (</w:t>
      </w:r>
      <w:r w:rsidR="009A0060" w:rsidRPr="00986A2E">
        <w:t>24</w:t>
      </w:r>
      <w:r w:rsidR="004D1CDB" w:rsidRPr="00410355">
        <w:t>)</w:t>
      </w:r>
      <w:r w:rsidR="009A0060" w:rsidRPr="00410355">
        <w:t xml:space="preserve"> hours a day, </w:t>
      </w:r>
      <w:r w:rsidR="00D63660" w:rsidRPr="00410355">
        <w:t>seven</w:t>
      </w:r>
      <w:r w:rsidR="009A0060" w:rsidRPr="00410355">
        <w:t xml:space="preserve"> </w:t>
      </w:r>
      <w:r w:rsidR="004D1CDB" w:rsidRPr="00410355">
        <w:t xml:space="preserve">(7) </w:t>
      </w:r>
      <w:r w:rsidR="009A0060" w:rsidRPr="00410355">
        <w:t>days a week. The MCO must establish a mechanism to ensure that providers comply with the access standards set forth in this contract</w:t>
      </w:r>
      <w:r w:rsidR="0078080B" w:rsidRPr="00410355">
        <w:t xml:space="preserve">. </w:t>
      </w:r>
      <w:r w:rsidR="009A0060" w:rsidRPr="00410355">
        <w:t>The MCO should regularly measure the extent to which providers in the network comply with these requirements and take remedial action if necessary</w:t>
      </w:r>
      <w:r w:rsidR="0078080B" w:rsidRPr="00410355">
        <w:t xml:space="preserve">. </w:t>
      </w:r>
    </w:p>
    <w:p w14:paraId="718D63C4" w14:textId="57FCA699" w:rsidR="00D21EDD" w:rsidRDefault="00D21EDD" w:rsidP="00257641">
      <w:pPr>
        <w:pStyle w:val="Heading5"/>
      </w:pPr>
      <w:r>
        <w:t>3.1.2.3 Provider Cultural Competency Requirements</w:t>
      </w:r>
    </w:p>
    <w:p w14:paraId="0AA603AB" w14:textId="6ADE69CA" w:rsidR="009A0060" w:rsidRPr="00410355" w:rsidRDefault="009A0060" w:rsidP="00257641">
      <w:r w:rsidRPr="00410355">
        <w:t>The MCO must ensure that services are provided in a culturally competent manner to all enrollees, including: those with limited English proficiency or reading skills, those with diverse cultural and ethnic backgrounds, the homeless, and individuals with physical and mental disabilities</w:t>
      </w:r>
      <w:r w:rsidR="00F36483" w:rsidRPr="00410355">
        <w:t>, regardless of gender, sexual orientation, or gender identity</w:t>
      </w:r>
      <w:r w:rsidRPr="00410355">
        <w:t>.</w:t>
      </w:r>
      <w:r w:rsidR="00753AA2" w:rsidRPr="00410355">
        <w:t xml:space="preserve"> The MCO must also ensure that network providers provide physical access, reasonable accommodations, and accessible equipment for Medicaid enrollees with physical or mental disabilities. </w:t>
      </w:r>
    </w:p>
    <w:p w14:paraId="235C3DAE" w14:textId="1A5AD600" w:rsidR="00D21EDD" w:rsidRPr="00AC3E07" w:rsidRDefault="00D21EDD" w:rsidP="00257641">
      <w:pPr>
        <w:pStyle w:val="Heading5"/>
      </w:pPr>
      <w:r>
        <w:t>3</w:t>
      </w:r>
      <w:r w:rsidRPr="00AC3E07">
        <w:t>.1.2.</w:t>
      </w:r>
      <w:r>
        <w:t>4</w:t>
      </w:r>
      <w:r w:rsidRPr="00AC3E07">
        <w:t xml:space="preserve"> Timeliness of Access to Care</w:t>
      </w:r>
    </w:p>
    <w:p w14:paraId="1DE772FE" w14:textId="66B74F53" w:rsidR="009A0060" w:rsidRPr="00B01265" w:rsidRDefault="009A0060" w:rsidP="00257641">
      <w:pPr>
        <w:pStyle w:val="normal6"/>
      </w:pPr>
      <w:r w:rsidRPr="00B01265">
        <w:t xml:space="preserve">The MCO must have standards for timeliness of access to care and </w:t>
      </w:r>
      <w:r w:rsidR="00E44575">
        <w:t>enrollee</w:t>
      </w:r>
      <w:r w:rsidR="00E44575" w:rsidRPr="00B01265">
        <w:t xml:space="preserve"> </w:t>
      </w:r>
      <w:r w:rsidRPr="00B01265">
        <w:t xml:space="preserve">services that take into account the urgency of the need for services and that meet or exceed such standards as may be established by </w:t>
      </w:r>
      <w:r w:rsidR="004D1CDB" w:rsidRPr="00B01265">
        <w:t>DHHR</w:t>
      </w:r>
      <w:r w:rsidR="0078080B" w:rsidRPr="00B01265">
        <w:t xml:space="preserve">. </w:t>
      </w:r>
      <w:r w:rsidRPr="00B01265">
        <w:t>The MCO must also regularly monitor its provider network</w:t>
      </w:r>
      <w:r w:rsidR="00FA1C0C" w:rsidRPr="00B01265">
        <w:t>’</w:t>
      </w:r>
      <w:r w:rsidRPr="00B01265">
        <w:t>s compliance with these standards, and take corrective action as necessary</w:t>
      </w:r>
      <w:r w:rsidR="0078080B" w:rsidRPr="00B01265">
        <w:t xml:space="preserve">. </w:t>
      </w:r>
      <w:r w:rsidRPr="00B01265">
        <w:t xml:space="preserve">Current </w:t>
      </w:r>
      <w:r w:rsidR="004D1CDB" w:rsidRPr="00B01265">
        <w:t xml:space="preserve">DHHR </w:t>
      </w:r>
      <w:r w:rsidRPr="00B01265">
        <w:t>standards for timeliness state that:</w:t>
      </w:r>
    </w:p>
    <w:p w14:paraId="533332C5" w14:textId="77777777" w:rsidR="009A0060" w:rsidRPr="00D61267" w:rsidRDefault="009A0060" w:rsidP="00257641">
      <w:pPr>
        <w:pStyle w:val="bullet1"/>
        <w:rPr>
          <w:szCs w:val="24"/>
        </w:rPr>
      </w:pPr>
      <w:r w:rsidRPr="00CD1178">
        <w:rPr>
          <w:szCs w:val="24"/>
        </w:rPr>
        <w:t>Emergency cases must be seen immediate</w:t>
      </w:r>
      <w:r w:rsidRPr="00D61267">
        <w:rPr>
          <w:szCs w:val="24"/>
        </w:rPr>
        <w:t>ly or referred to an emergency facility;</w:t>
      </w:r>
    </w:p>
    <w:p w14:paraId="6E2F87C1" w14:textId="77777777" w:rsidR="009A0060" w:rsidRPr="00117461" w:rsidRDefault="009A0060" w:rsidP="00257641">
      <w:pPr>
        <w:pStyle w:val="bullet1"/>
        <w:rPr>
          <w:szCs w:val="24"/>
        </w:rPr>
      </w:pPr>
      <w:r w:rsidRPr="00D61267">
        <w:rPr>
          <w:szCs w:val="24"/>
        </w:rPr>
        <w:t xml:space="preserve">Urgent cases must be seen within </w:t>
      </w:r>
      <w:r w:rsidR="000E2BFA" w:rsidRPr="00AB033C">
        <w:rPr>
          <w:szCs w:val="24"/>
        </w:rPr>
        <w:t>forty-eight (</w:t>
      </w:r>
      <w:r w:rsidRPr="00AB033C">
        <w:rPr>
          <w:szCs w:val="24"/>
        </w:rPr>
        <w:t>48</w:t>
      </w:r>
      <w:r w:rsidR="000E2BFA" w:rsidRPr="00117461">
        <w:rPr>
          <w:szCs w:val="24"/>
        </w:rPr>
        <w:t>)</w:t>
      </w:r>
      <w:r w:rsidRPr="00117461">
        <w:rPr>
          <w:szCs w:val="24"/>
        </w:rPr>
        <w:t xml:space="preserve"> hours;</w:t>
      </w:r>
    </w:p>
    <w:p w14:paraId="3077EF4D" w14:textId="63FF1927" w:rsidR="009A0060" w:rsidRPr="004D1244" w:rsidRDefault="009A0060" w:rsidP="00257641">
      <w:pPr>
        <w:pStyle w:val="bullet1"/>
        <w:rPr>
          <w:szCs w:val="24"/>
        </w:rPr>
      </w:pPr>
      <w:r w:rsidRPr="001276A8">
        <w:rPr>
          <w:szCs w:val="24"/>
        </w:rPr>
        <w:t xml:space="preserve">Routine cases other than clinical preventive services, must be seen within </w:t>
      </w:r>
      <w:r w:rsidR="00595981" w:rsidRPr="004F097D">
        <w:rPr>
          <w:szCs w:val="24"/>
        </w:rPr>
        <w:t>twenty-one (</w:t>
      </w:r>
      <w:r w:rsidRPr="00233688">
        <w:rPr>
          <w:szCs w:val="24"/>
        </w:rPr>
        <w:t>21</w:t>
      </w:r>
      <w:r w:rsidR="00595981" w:rsidRPr="00233688">
        <w:rPr>
          <w:szCs w:val="24"/>
        </w:rPr>
        <w:t>)</w:t>
      </w:r>
      <w:r w:rsidRPr="00356156">
        <w:rPr>
          <w:szCs w:val="24"/>
        </w:rPr>
        <w:t xml:space="preserve"> </w:t>
      </w:r>
      <w:r w:rsidR="00F863FE" w:rsidRPr="004D1244">
        <w:rPr>
          <w:szCs w:val="24"/>
        </w:rPr>
        <w:t xml:space="preserve">calendar </w:t>
      </w:r>
      <w:r w:rsidRPr="004D1244">
        <w:rPr>
          <w:szCs w:val="24"/>
        </w:rPr>
        <w:t>days (exceptions are permitted at specific times when PCP capacity is temporarily limited);</w:t>
      </w:r>
    </w:p>
    <w:p w14:paraId="04241DF1" w14:textId="77777777" w:rsidR="009A0060" w:rsidRPr="00FF0A07" w:rsidRDefault="009A0060" w:rsidP="00257641">
      <w:pPr>
        <w:pStyle w:val="bullet1"/>
        <w:rPr>
          <w:szCs w:val="24"/>
        </w:rPr>
      </w:pPr>
      <w:r w:rsidRPr="00FF0A07">
        <w:rPr>
          <w:szCs w:val="24"/>
        </w:rPr>
        <w:t xml:space="preserve">EPSDT services must be scheduled in accordance to EPSDT guidelines and the EPSDT Periodicity Schedule; </w:t>
      </w:r>
    </w:p>
    <w:p w14:paraId="789D462B" w14:textId="4C74CE0D" w:rsidR="00BC2CD5" w:rsidRPr="00F75251" w:rsidRDefault="009A0060" w:rsidP="00257641">
      <w:pPr>
        <w:pStyle w:val="bullet1"/>
        <w:rPr>
          <w:szCs w:val="24"/>
        </w:rPr>
      </w:pPr>
      <w:r w:rsidRPr="0099539F">
        <w:rPr>
          <w:szCs w:val="24"/>
        </w:rPr>
        <w:t xml:space="preserve">An initial prenatal care visit must be scheduled within </w:t>
      </w:r>
      <w:r w:rsidR="00595981" w:rsidRPr="0099539F">
        <w:rPr>
          <w:szCs w:val="24"/>
        </w:rPr>
        <w:t>fourteen (</w:t>
      </w:r>
      <w:r w:rsidRPr="00DA379A">
        <w:rPr>
          <w:szCs w:val="24"/>
        </w:rPr>
        <w:t>14</w:t>
      </w:r>
      <w:r w:rsidR="00595981" w:rsidRPr="00DA379A">
        <w:rPr>
          <w:szCs w:val="24"/>
        </w:rPr>
        <w:t>)</w:t>
      </w:r>
      <w:r w:rsidRPr="00DA379A">
        <w:rPr>
          <w:szCs w:val="24"/>
        </w:rPr>
        <w:t xml:space="preserve"> </w:t>
      </w:r>
      <w:r w:rsidR="00F863FE" w:rsidRPr="00DA379A">
        <w:rPr>
          <w:szCs w:val="24"/>
        </w:rPr>
        <w:t xml:space="preserve">calendar </w:t>
      </w:r>
      <w:r w:rsidRPr="00DA379A">
        <w:rPr>
          <w:szCs w:val="24"/>
        </w:rPr>
        <w:t>days of the date on which the woman is found t</w:t>
      </w:r>
      <w:r w:rsidRPr="00F75251">
        <w:rPr>
          <w:szCs w:val="24"/>
        </w:rPr>
        <w:t>o be pregnant</w:t>
      </w:r>
      <w:r w:rsidR="00BC2CD5" w:rsidRPr="00F75251">
        <w:rPr>
          <w:szCs w:val="24"/>
        </w:rPr>
        <w:t>; and</w:t>
      </w:r>
    </w:p>
    <w:p w14:paraId="4499D27C" w14:textId="58295656" w:rsidR="00396621" w:rsidRPr="008015ED" w:rsidRDefault="00BC2CD5" w:rsidP="00257641">
      <w:pPr>
        <w:pStyle w:val="bullet1last"/>
        <w:rPr>
          <w:szCs w:val="24"/>
        </w:rPr>
      </w:pPr>
      <w:r w:rsidRPr="00F75251">
        <w:rPr>
          <w:szCs w:val="24"/>
        </w:rPr>
        <w:lastRenderedPageBreak/>
        <w:t xml:space="preserve">MCOs should encourage </w:t>
      </w:r>
      <w:r w:rsidR="00E44575">
        <w:rPr>
          <w:szCs w:val="24"/>
        </w:rPr>
        <w:t>enrollee</w:t>
      </w:r>
      <w:r w:rsidR="00E44575" w:rsidRPr="00A22632">
        <w:rPr>
          <w:szCs w:val="24"/>
        </w:rPr>
        <w:t>s</w:t>
      </w:r>
      <w:r w:rsidR="00E44575">
        <w:rPr>
          <w:szCs w:val="24"/>
        </w:rPr>
        <w:t xml:space="preserve"> </w:t>
      </w:r>
      <w:r w:rsidR="00D21EDD">
        <w:rPr>
          <w:szCs w:val="24"/>
        </w:rPr>
        <w:t xml:space="preserve">with </w:t>
      </w:r>
      <w:r w:rsidR="00D21EDD" w:rsidRPr="00F75251">
        <w:rPr>
          <w:szCs w:val="24"/>
        </w:rPr>
        <w:t>Supplemental Security Income (</w:t>
      </w:r>
      <w:r w:rsidR="00D21EDD" w:rsidRPr="0063409B">
        <w:rPr>
          <w:szCs w:val="24"/>
        </w:rPr>
        <w:t>SSI</w:t>
      </w:r>
      <w:r w:rsidR="00D21EDD" w:rsidRPr="002645B5">
        <w:rPr>
          <w:szCs w:val="24"/>
        </w:rPr>
        <w:t>)</w:t>
      </w:r>
      <w:r w:rsidR="00D21EDD" w:rsidRPr="00A22632">
        <w:rPr>
          <w:szCs w:val="24"/>
        </w:rPr>
        <w:t xml:space="preserve"> </w:t>
      </w:r>
      <w:r w:rsidRPr="00A22632">
        <w:rPr>
          <w:szCs w:val="24"/>
        </w:rPr>
        <w:t xml:space="preserve">to schedule an appointment with a PCP or specialist who manages the </w:t>
      </w:r>
      <w:r w:rsidR="00E44575">
        <w:rPr>
          <w:szCs w:val="24"/>
        </w:rPr>
        <w:t>enrollee</w:t>
      </w:r>
      <w:r w:rsidR="00E44575" w:rsidRPr="00A22632">
        <w:rPr>
          <w:szCs w:val="24"/>
        </w:rPr>
        <w:t xml:space="preserve">’s </w:t>
      </w:r>
      <w:r w:rsidRPr="00A22632">
        <w:rPr>
          <w:szCs w:val="24"/>
        </w:rPr>
        <w:t xml:space="preserve">care within </w:t>
      </w:r>
      <w:r w:rsidR="00595981" w:rsidRPr="006B61A9">
        <w:rPr>
          <w:szCs w:val="24"/>
        </w:rPr>
        <w:t>forty-five (</w:t>
      </w:r>
      <w:r w:rsidRPr="006B61A9">
        <w:rPr>
          <w:szCs w:val="24"/>
        </w:rPr>
        <w:t>45</w:t>
      </w:r>
      <w:r w:rsidR="00595981" w:rsidRPr="00FE46B4">
        <w:rPr>
          <w:szCs w:val="24"/>
        </w:rPr>
        <w:t>)</w:t>
      </w:r>
      <w:r w:rsidRPr="00C4627A">
        <w:rPr>
          <w:szCs w:val="24"/>
        </w:rPr>
        <w:t xml:space="preserve"> </w:t>
      </w:r>
      <w:r w:rsidR="00F863FE" w:rsidRPr="00C4627A">
        <w:rPr>
          <w:szCs w:val="24"/>
        </w:rPr>
        <w:t xml:space="preserve">calendar </w:t>
      </w:r>
      <w:r w:rsidRPr="00C4627A">
        <w:rPr>
          <w:szCs w:val="24"/>
        </w:rPr>
        <w:t xml:space="preserve">days of initial enrollment. If requested by the </w:t>
      </w:r>
      <w:r w:rsidR="00E44575">
        <w:rPr>
          <w:szCs w:val="24"/>
        </w:rPr>
        <w:t>enrollee</w:t>
      </w:r>
      <w:r w:rsidR="00E44575" w:rsidRPr="00C4627A">
        <w:rPr>
          <w:szCs w:val="24"/>
        </w:rPr>
        <w:t xml:space="preserve"> </w:t>
      </w:r>
      <w:r w:rsidRPr="00C4627A">
        <w:rPr>
          <w:szCs w:val="24"/>
        </w:rPr>
        <w:t xml:space="preserve">or provider, the MCO should schedule or facilitate an appointment with the </w:t>
      </w:r>
      <w:r w:rsidR="00E44575">
        <w:rPr>
          <w:szCs w:val="24"/>
        </w:rPr>
        <w:t>enrollee</w:t>
      </w:r>
      <w:r w:rsidR="00E44575" w:rsidRPr="00C4627A">
        <w:rPr>
          <w:szCs w:val="24"/>
        </w:rPr>
        <w:t xml:space="preserve">’s </w:t>
      </w:r>
      <w:r w:rsidRPr="00C4627A">
        <w:rPr>
          <w:szCs w:val="24"/>
        </w:rPr>
        <w:t>PCP</w:t>
      </w:r>
      <w:r w:rsidRPr="008015ED">
        <w:rPr>
          <w:szCs w:val="24"/>
        </w:rPr>
        <w:t>.</w:t>
      </w:r>
    </w:p>
    <w:p w14:paraId="3D5E4FE0" w14:textId="2F3AD5D1" w:rsidR="009A0060" w:rsidRPr="00013293" w:rsidRDefault="005068A8" w:rsidP="00257641">
      <w:pPr>
        <w:pStyle w:val="Heading4"/>
      </w:pPr>
      <w:r w:rsidRPr="00013293">
        <w:t>3</w:t>
      </w:r>
      <w:r w:rsidR="00AE7358" w:rsidRPr="00013293">
        <w:t xml:space="preserve">.1.3 </w:t>
      </w:r>
      <w:r w:rsidR="009A0060" w:rsidRPr="00013293">
        <w:t>Specialty Care</w:t>
      </w:r>
    </w:p>
    <w:p w14:paraId="662B1884" w14:textId="53C827E5" w:rsidR="009A0060" w:rsidRPr="001276A8" w:rsidRDefault="009A0060" w:rsidP="00257641">
      <w:r w:rsidRPr="004A5A7C">
        <w:t xml:space="preserve">The MCO must provide or arrange for necessary specialty care, including </w:t>
      </w:r>
      <w:r w:rsidR="008C763C" w:rsidRPr="004A5A7C">
        <w:t xml:space="preserve">behavioral health services, SUD services, and </w:t>
      </w:r>
      <w:r w:rsidRPr="004A5A7C">
        <w:t>women</w:t>
      </w:r>
      <w:r w:rsidR="00FA1C0C" w:rsidRPr="004A5A7C">
        <w:t>’</w:t>
      </w:r>
      <w:r w:rsidRPr="004A5A7C">
        <w:t>s health services. The MCO must allow women direct access to a women</w:t>
      </w:r>
      <w:r w:rsidR="00FA1C0C" w:rsidRPr="004A5A7C">
        <w:t>’</w:t>
      </w:r>
      <w:r w:rsidRPr="004A5A7C">
        <w:t>s health specialist (e.g., gynecologist, certified nurse midwife) within the network for wom</w:t>
      </w:r>
      <w:r w:rsidRPr="00CD1178">
        <w:t>en</w:t>
      </w:r>
      <w:r w:rsidR="00FA1C0C" w:rsidRPr="00D61267">
        <w:t>’</w:t>
      </w:r>
      <w:r w:rsidRPr="00D61267">
        <w:t xml:space="preserve">s routine and preventive health care services, in addition to direct access to a </w:t>
      </w:r>
      <w:r w:rsidR="0079729B">
        <w:t>PCP</w:t>
      </w:r>
      <w:r w:rsidRPr="00D61267">
        <w:t xml:space="preserve"> for routine services, if the </w:t>
      </w:r>
      <w:r w:rsidR="0079729B">
        <w:t>PCP</w:t>
      </w:r>
      <w:r w:rsidRPr="00D61267">
        <w:t xml:space="preserve"> is not a women</w:t>
      </w:r>
      <w:r w:rsidR="00FA1C0C" w:rsidRPr="00D61267">
        <w:t>’</w:t>
      </w:r>
      <w:r w:rsidRPr="000A32BE">
        <w:t>s health specialist</w:t>
      </w:r>
      <w:r w:rsidR="0078080B" w:rsidRPr="00AB033C">
        <w:t xml:space="preserve">. </w:t>
      </w:r>
      <w:r w:rsidRPr="00AB033C">
        <w:t>The MCO should have a policy encouraging provider consideration of be</w:t>
      </w:r>
      <w:r w:rsidRPr="00117461">
        <w:t>neficiary input in the provider</w:t>
      </w:r>
      <w:r w:rsidR="00FA1C0C" w:rsidRPr="00117461">
        <w:t>’</w:t>
      </w:r>
      <w:r w:rsidRPr="001276A8">
        <w:t xml:space="preserve">s proposed treatment plan. </w:t>
      </w:r>
    </w:p>
    <w:p w14:paraId="1E587F7C" w14:textId="7F297C6D" w:rsidR="009A0060" w:rsidRPr="00013293" w:rsidRDefault="005068A8" w:rsidP="00257641">
      <w:pPr>
        <w:pStyle w:val="Heading4"/>
      </w:pPr>
      <w:r w:rsidRPr="00013293">
        <w:t>3</w:t>
      </w:r>
      <w:r w:rsidR="007A07A4" w:rsidRPr="00013293">
        <w:t>.1.</w:t>
      </w:r>
      <w:r w:rsidR="00126753" w:rsidRPr="00013293">
        <w:t>4</w:t>
      </w:r>
      <w:r w:rsidR="007A07A4" w:rsidRPr="00013293">
        <w:t xml:space="preserve"> </w:t>
      </w:r>
      <w:r w:rsidR="009A0060" w:rsidRPr="00013293">
        <w:t>Provider Qualification and Selection</w:t>
      </w:r>
    </w:p>
    <w:p w14:paraId="441F715E" w14:textId="77777777" w:rsidR="00FE09EC" w:rsidRPr="00233688" w:rsidRDefault="00C61384" w:rsidP="00257641">
      <w:r w:rsidRPr="004A5A7C">
        <w:t xml:space="preserve">The </w:t>
      </w:r>
      <w:r w:rsidR="00120678" w:rsidRPr="004A5A7C">
        <w:t>MCO must</w:t>
      </w:r>
      <w:r w:rsidR="009A0060" w:rsidRPr="004A5A7C">
        <w:t xml:space="preserve"> implement written policies and procedures for selection and retention of affiliated providers</w:t>
      </w:r>
      <w:r w:rsidR="0078080B" w:rsidRPr="004A5A7C">
        <w:t xml:space="preserve">. </w:t>
      </w:r>
      <w:r w:rsidR="009A0060" w:rsidRPr="004A5A7C">
        <w:t>If such functions are delegated, credentialing and recredentialing policies and procedures must meet the requirements of this section</w:t>
      </w:r>
      <w:r w:rsidR="0078080B" w:rsidRPr="004A5A7C">
        <w:t xml:space="preserve">. </w:t>
      </w:r>
      <w:r w:rsidR="006C559A" w:rsidRPr="004A5A7C">
        <w:t xml:space="preserve">In contracting with </w:t>
      </w:r>
      <w:r w:rsidR="001115FB" w:rsidRPr="004A5A7C">
        <w:t xml:space="preserve">its providers, the </w:t>
      </w:r>
      <w:r w:rsidR="000F15A1" w:rsidRPr="00CD1178">
        <w:t xml:space="preserve">MCO must </w:t>
      </w:r>
      <w:r w:rsidR="00FE09EC" w:rsidRPr="00D61267">
        <w:t xml:space="preserve">abide by all applicable federal regulations including </w:t>
      </w:r>
      <w:r w:rsidR="00490663" w:rsidRPr="00D61267">
        <w:t xml:space="preserve">but not limited to </w:t>
      </w:r>
      <w:r w:rsidR="00FF608E" w:rsidRPr="00D61267">
        <w:t xml:space="preserve">W. Va. </w:t>
      </w:r>
      <w:r w:rsidR="00A90AB1" w:rsidRPr="00D61267">
        <w:t>C.S.R.</w:t>
      </w:r>
      <w:r w:rsidR="00FF608E" w:rsidRPr="00D61267">
        <w:t xml:space="preserve"> §114-53-6 and </w:t>
      </w:r>
      <w:r w:rsidR="00ED572B" w:rsidRPr="00AB033C">
        <w:t>42 CFR</w:t>
      </w:r>
      <w:r w:rsidR="00490663" w:rsidRPr="00AB033C">
        <w:t xml:space="preserve"> 438.</w:t>
      </w:r>
      <w:r w:rsidR="00ED572B" w:rsidRPr="00117461">
        <w:t xml:space="preserve">610 and 42 CFR </w:t>
      </w:r>
      <w:r w:rsidR="00490663" w:rsidRPr="001276A8">
        <w:t>455, Subpart B</w:t>
      </w:r>
      <w:r w:rsidR="00ED572B" w:rsidRPr="004F097D">
        <w:t>.</w:t>
      </w:r>
    </w:p>
    <w:p w14:paraId="054CFB45" w14:textId="77777777" w:rsidR="009A0060" w:rsidRPr="00233688" w:rsidRDefault="009A0060" w:rsidP="00257641">
      <w:pPr>
        <w:pStyle w:val="normal6"/>
        <w:rPr>
          <w:szCs w:val="24"/>
        </w:rPr>
      </w:pPr>
      <w:r w:rsidRPr="00233688">
        <w:rPr>
          <w:szCs w:val="24"/>
        </w:rPr>
        <w:t xml:space="preserve">For physicians and other licensed health care professionals, including members of physician groups, the process includes: </w:t>
      </w:r>
    </w:p>
    <w:p w14:paraId="75502A8E" w14:textId="77777777" w:rsidR="009A0060" w:rsidRPr="00356156" w:rsidRDefault="009A0060" w:rsidP="00257641">
      <w:pPr>
        <w:pStyle w:val="bullet1"/>
        <w:rPr>
          <w:szCs w:val="24"/>
        </w:rPr>
      </w:pPr>
      <w:r w:rsidRPr="00356156">
        <w:rPr>
          <w:szCs w:val="24"/>
        </w:rPr>
        <w:t>Procedures for initial credentialing;</w:t>
      </w:r>
    </w:p>
    <w:p w14:paraId="1F7D7509" w14:textId="34536418" w:rsidR="009A0060" w:rsidRPr="00FF0A07" w:rsidRDefault="009A0060" w:rsidP="00257641">
      <w:pPr>
        <w:pStyle w:val="bullet1"/>
        <w:rPr>
          <w:szCs w:val="24"/>
        </w:rPr>
      </w:pPr>
      <w:r w:rsidRPr="004D1244">
        <w:rPr>
          <w:szCs w:val="24"/>
        </w:rPr>
        <w:t xml:space="preserve">Procedures for recredentialing at least every three </w:t>
      </w:r>
      <w:r w:rsidR="006409B6" w:rsidRPr="004D1244">
        <w:rPr>
          <w:szCs w:val="24"/>
        </w:rPr>
        <w:t xml:space="preserve">(3) </w:t>
      </w:r>
      <w:r w:rsidRPr="004D1244">
        <w:rPr>
          <w:szCs w:val="24"/>
        </w:rPr>
        <w:t>years, recerti</w:t>
      </w:r>
      <w:r w:rsidRPr="00FF0A07">
        <w:rPr>
          <w:szCs w:val="24"/>
        </w:rPr>
        <w:t>fying, and/or reappointment of providers;</w:t>
      </w:r>
    </w:p>
    <w:p w14:paraId="2AFFA008" w14:textId="77777777" w:rsidR="009A0060" w:rsidRPr="008015ED" w:rsidRDefault="009A0060" w:rsidP="00257641">
      <w:pPr>
        <w:pStyle w:val="bullet1"/>
        <w:rPr>
          <w:szCs w:val="24"/>
        </w:rPr>
      </w:pPr>
      <w:r w:rsidRPr="008015ED">
        <w:rPr>
          <w:szCs w:val="24"/>
        </w:rPr>
        <w:t>A process for receiving advice from contracting health care professionals with respect to criteria for credentialing and recredentialing of individual health care professionals; and</w:t>
      </w:r>
    </w:p>
    <w:p w14:paraId="2BAB0A81" w14:textId="77777777" w:rsidR="009A0060" w:rsidRPr="00F75251" w:rsidRDefault="009A0060" w:rsidP="00257641">
      <w:pPr>
        <w:pStyle w:val="bullet1last"/>
        <w:rPr>
          <w:szCs w:val="24"/>
        </w:rPr>
      </w:pPr>
      <w:r w:rsidRPr="0099539F">
        <w:rPr>
          <w:szCs w:val="24"/>
        </w:rPr>
        <w:t xml:space="preserve">Written policies and procedures for </w:t>
      </w:r>
      <w:r w:rsidR="006800AD" w:rsidRPr="00DA379A">
        <w:rPr>
          <w:szCs w:val="24"/>
        </w:rPr>
        <w:t>denying, suspending</w:t>
      </w:r>
      <w:r w:rsidR="00125592" w:rsidRPr="00DA379A">
        <w:rPr>
          <w:szCs w:val="24"/>
        </w:rPr>
        <w:t>,</w:t>
      </w:r>
      <w:r w:rsidR="006800AD" w:rsidRPr="00DA379A">
        <w:rPr>
          <w:szCs w:val="24"/>
        </w:rPr>
        <w:t xml:space="preserve"> </w:t>
      </w:r>
      <w:r w:rsidRPr="00DA379A">
        <w:rPr>
          <w:szCs w:val="24"/>
        </w:rPr>
        <w:t>or terminating affiliation with a contracting health care professional, including an appeals process</w:t>
      </w:r>
      <w:r w:rsidR="00D63660" w:rsidRPr="00DA379A">
        <w:rPr>
          <w:szCs w:val="24"/>
        </w:rPr>
        <w:t>,</w:t>
      </w:r>
      <w:r w:rsidRPr="00F75251">
        <w:rPr>
          <w:szCs w:val="24"/>
        </w:rPr>
        <w:t xml:space="preserve"> and for reporting serious quality deficiencies to appropriate authorities. </w:t>
      </w:r>
    </w:p>
    <w:p w14:paraId="4111A9CE" w14:textId="77777777" w:rsidR="00036F9A" w:rsidRPr="002645B5" w:rsidRDefault="00113511" w:rsidP="00257641">
      <w:r w:rsidRPr="00F75251">
        <w:t>For each institutional provider or supplier, the MCO must determine, and redetermine at specified intervals, that the provider or supplier is licensed to operate in the state, is in compliance with any other applicable state or federal requirements, a</w:t>
      </w:r>
      <w:r w:rsidRPr="0063409B">
        <w:t xml:space="preserve">nd is reviewed and approved by an appropriate accrediting body or is determined by the MCO to meet standards established by the MCO itself. </w:t>
      </w:r>
    </w:p>
    <w:p w14:paraId="5DAC26AA" w14:textId="38D35D8E" w:rsidR="00113511" w:rsidRPr="00B747F6" w:rsidRDefault="00113511" w:rsidP="00257641">
      <w:r w:rsidRPr="00A22632">
        <w:t xml:space="preserve">The MCO must submit a report to the Department </w:t>
      </w:r>
      <w:r w:rsidR="0079729B">
        <w:t>monthly</w:t>
      </w:r>
      <w:r w:rsidR="0079729B" w:rsidRPr="006B61A9">
        <w:t xml:space="preserve"> </w:t>
      </w:r>
      <w:r w:rsidRPr="00FE46B4">
        <w:t>with the names</w:t>
      </w:r>
      <w:r w:rsidR="00F057AD" w:rsidRPr="00C4627A">
        <w:t xml:space="preserve">, </w:t>
      </w:r>
      <w:r w:rsidR="00C90158" w:rsidRPr="00C4627A">
        <w:t>National Provider Identifiers (</w:t>
      </w:r>
      <w:r w:rsidR="00F057AD" w:rsidRPr="00C4627A">
        <w:t>NPIs</w:t>
      </w:r>
      <w:r w:rsidR="00C90158" w:rsidRPr="00C4627A">
        <w:t>)</w:t>
      </w:r>
      <w:r w:rsidR="00F057AD" w:rsidRPr="00C4627A">
        <w:t xml:space="preserve">, and </w:t>
      </w:r>
      <w:r w:rsidR="00C90158" w:rsidRPr="00225429">
        <w:t>Employer Identification Number (</w:t>
      </w:r>
      <w:r w:rsidR="00F057AD" w:rsidRPr="00225429">
        <w:t>EIN</w:t>
      </w:r>
      <w:r w:rsidR="00C90158" w:rsidRPr="00225429">
        <w:t>)</w:t>
      </w:r>
      <w:r w:rsidR="00F057AD" w:rsidRPr="00225429">
        <w:t xml:space="preserve"> or Medicaid ID </w:t>
      </w:r>
      <w:r w:rsidRPr="00225429">
        <w:t xml:space="preserve">of any health care professional, institutional provider, or supplier that </w:t>
      </w:r>
      <w:r w:rsidR="00F057AD" w:rsidRPr="00D2147D">
        <w:t xml:space="preserve">has been the subject of program integrity actions. Actions may include </w:t>
      </w:r>
      <w:r w:rsidRPr="00427BBA">
        <w:t>denied credentialing</w:t>
      </w:r>
      <w:r w:rsidR="00AF48B0" w:rsidRPr="00427BBA">
        <w:t>,</w:t>
      </w:r>
      <w:r w:rsidRPr="00427BBA">
        <w:t xml:space="preserve"> suspen</w:t>
      </w:r>
      <w:r w:rsidR="00F057AD" w:rsidRPr="00427BBA">
        <w:t>sion</w:t>
      </w:r>
      <w:r w:rsidR="00AF48B0" w:rsidRPr="00427BBA">
        <w:t>,</w:t>
      </w:r>
      <w:r w:rsidRPr="00427BBA">
        <w:t xml:space="preserve"> termin</w:t>
      </w:r>
      <w:r w:rsidR="00F057AD" w:rsidRPr="00703C58">
        <w:t>ation</w:t>
      </w:r>
      <w:r w:rsidR="00AF48B0" w:rsidRPr="00703C58">
        <w:t>,</w:t>
      </w:r>
      <w:r w:rsidR="00F057AD" w:rsidRPr="00703C58">
        <w:t xml:space="preserve"> </w:t>
      </w:r>
      <w:r w:rsidR="00AC350C" w:rsidRPr="00703C58">
        <w:t>CAP</w:t>
      </w:r>
      <w:r w:rsidR="00F057AD" w:rsidRPr="00703C58">
        <w:t>s</w:t>
      </w:r>
      <w:r w:rsidR="00AF48B0" w:rsidRPr="00703C58">
        <w:t>,</w:t>
      </w:r>
      <w:r w:rsidR="00F057AD" w:rsidRPr="00703C58">
        <w:t xml:space="preserve"> fines</w:t>
      </w:r>
      <w:r w:rsidR="00AF48B0" w:rsidRPr="00703C58">
        <w:t>,</w:t>
      </w:r>
      <w:r w:rsidR="00F057AD" w:rsidRPr="006F5B38">
        <w:t xml:space="preserve"> or sanctions</w:t>
      </w:r>
      <w:r w:rsidRPr="006F5B38">
        <w:t xml:space="preserve"> because of concerns about provider fraud, integrity, or quality deficiencies during the </w:t>
      </w:r>
      <w:r w:rsidRPr="006F5B38">
        <w:lastRenderedPageBreak/>
        <w:t xml:space="preserve">prior calendar </w:t>
      </w:r>
      <w:r w:rsidR="0079729B">
        <w:t>month</w:t>
      </w:r>
      <w:r w:rsidRPr="006F5B38">
        <w:t>. The report must also state the action taken by the MCO (e.g., denied credentialing</w:t>
      </w:r>
      <w:r w:rsidR="00F057AD" w:rsidRPr="00080B72">
        <w:t>, education</w:t>
      </w:r>
      <w:r w:rsidRPr="00080B72">
        <w:t xml:space="preserve">). </w:t>
      </w:r>
      <w:r w:rsidR="0079729B">
        <w:t>This information must be reported using the appropriate template created by the Department.</w:t>
      </w:r>
      <w:r w:rsidR="003150A4">
        <w:t xml:space="preserve"> </w:t>
      </w:r>
      <w:r w:rsidR="0079729B">
        <w:t>Suspensions, terminations, providers denied credentialing, and providers not renewed are reported on the Suspension and Adverse Enrollment Action Report template.</w:t>
      </w:r>
      <w:r w:rsidR="003150A4">
        <w:t xml:space="preserve"> </w:t>
      </w:r>
      <w:r w:rsidR="0079729B">
        <w:t>Other program integrity actions are reported on the Fraud, Waste, and Abuse (FWA) Monthly Report template.</w:t>
      </w:r>
      <w:r w:rsidR="003150A4">
        <w:t xml:space="preserve"> </w:t>
      </w:r>
      <w:r w:rsidR="0079729B">
        <w:t xml:space="preserve">Additional information can be found in Article III, Section </w:t>
      </w:r>
      <w:r w:rsidR="0034187E">
        <w:t>9</w:t>
      </w:r>
      <w:r w:rsidR="0079729B">
        <w:t xml:space="preserve">.1 of this Contract. </w:t>
      </w:r>
      <w:r w:rsidRPr="00080B72">
        <w:t>The MCO must also report any health care-related criminal convictions, when disclosed, to the Department. The MCO must also notify appropri</w:t>
      </w:r>
      <w:r w:rsidRPr="00B747F6">
        <w:t xml:space="preserve">ate licensing and/or disciplinary bodies and other appropriate authorities. </w:t>
      </w:r>
    </w:p>
    <w:p w14:paraId="30543800" w14:textId="4702367F" w:rsidR="00113511" w:rsidRPr="00410355" w:rsidRDefault="00113511" w:rsidP="00257641">
      <w:r w:rsidRPr="00772DED">
        <w:t>The MCO must ensure compliance with Federal requirements prohibiting employment or contracts with individuals excluded from participation under Medicaid, Medicare, or the Children</w:t>
      </w:r>
      <w:r w:rsidRPr="00410355">
        <w:t xml:space="preserve">’s Health Insurance Program, as required by 42 CFR 438.610. </w:t>
      </w:r>
      <w:r w:rsidR="0079729B">
        <w:t>The MCO must provide written disclosure of any prohibited affiliation, as directed in 42 CFR 438.608 (c)(1).</w:t>
      </w:r>
    </w:p>
    <w:p w14:paraId="29F53596" w14:textId="77777777" w:rsidR="00113511" w:rsidRPr="00410355" w:rsidRDefault="00113511" w:rsidP="00257641">
      <w:r w:rsidRPr="00410355">
        <w:t>The MCO may not discriminate with respect to participation, reimbursement, or indemnification as to any provider who is acting within the scope of the provider’s license or certification under applicable State law, solely on the basis of such license or certification. This law may not be construed to prohibit the MCO from including providers only to the extent necessary to meet the needs of the MCO’s enrollees from using different reimbursement amounts for different specialties or for different practitioners in the same specialty, or from establishing any measure designed to maintain quality and control costs consistent with the responsibilities of the MCO. If the MCO declines to include providers in its network, the MCO must give the affected providers written notice of the reason for its decision.</w:t>
      </w:r>
    </w:p>
    <w:p w14:paraId="3F159050" w14:textId="77777777" w:rsidR="00036F9A" w:rsidRPr="00410355" w:rsidRDefault="00036F9A" w:rsidP="00257641">
      <w:r w:rsidRPr="00410355">
        <w:t xml:space="preserve">The formal selection and retention criteria used by the MCO may not discriminate against health care professionals who serve high-risk populations or who specialize in the treatment of costly conditions. </w:t>
      </w:r>
    </w:p>
    <w:p w14:paraId="394E1837" w14:textId="7997D737" w:rsidR="00FC4962" w:rsidRDefault="004D1CDB" w:rsidP="00257641">
      <w:pPr>
        <w:pStyle w:val="Heading5"/>
      </w:pPr>
      <w:r>
        <w:t>3.1.4.1</w:t>
      </w:r>
      <w:r w:rsidR="003150A4">
        <w:t xml:space="preserve"> </w:t>
      </w:r>
      <w:r w:rsidR="00FC4962">
        <w:t>Enrollment with the State</w:t>
      </w:r>
    </w:p>
    <w:p w14:paraId="0403D6F1" w14:textId="402E572D" w:rsidR="00370F64" w:rsidRDefault="00370F64" w:rsidP="00257641">
      <w:r>
        <w:t xml:space="preserve">All network providers that order, refer, or render </w:t>
      </w:r>
      <w:r w:rsidR="00540893">
        <w:t xml:space="preserve">Medicaid </w:t>
      </w:r>
      <w:r>
        <w:t>covered services must enroll with the Department</w:t>
      </w:r>
      <w:r w:rsidR="00FC4962">
        <w:t>, through the fiscal agent,</w:t>
      </w:r>
      <w:r>
        <w:t xml:space="preserve"> as a Medicaid provider</w:t>
      </w:r>
      <w:r w:rsidR="00FC4962">
        <w:t>, as required by 42 CFR 438.602(b)</w:t>
      </w:r>
      <w:r>
        <w:t xml:space="preserve">. Enrollment with the Department does not obligate the MCO provider to offer services under the </w:t>
      </w:r>
      <w:r w:rsidR="0079729B">
        <w:t>FFS</w:t>
      </w:r>
      <w:r>
        <w:t xml:space="preserve"> delivery system. The MCO is not required to </w:t>
      </w:r>
      <w:r w:rsidR="00221249">
        <w:t>c</w:t>
      </w:r>
      <w:r w:rsidR="009B19C2">
        <w:t xml:space="preserve">ontract </w:t>
      </w:r>
      <w:r>
        <w:t>with a pro</w:t>
      </w:r>
      <w:r w:rsidR="00FC4962">
        <w:t>vider enrolled with the Department that does not meet their credentialing or other requirements.</w:t>
      </w:r>
    </w:p>
    <w:p w14:paraId="4737768F" w14:textId="1FB8DB71" w:rsidR="00540893" w:rsidRDefault="008E6FA6" w:rsidP="00257641">
      <w:r>
        <w:t>As part of the provider en</w:t>
      </w:r>
      <w:r w:rsidR="001D5803">
        <w:t xml:space="preserve">rollment process, the fiscal agent, on behalf </w:t>
      </w:r>
      <w:r w:rsidR="005159DF">
        <w:t>o</w:t>
      </w:r>
      <w:r w:rsidR="001D5803">
        <w:t>f the Department,</w:t>
      </w:r>
      <w:r>
        <w:t xml:space="preserve"> will </w:t>
      </w:r>
      <w:r w:rsidRPr="001463A1">
        <w:t xml:space="preserve">perform </w:t>
      </w:r>
      <w:r>
        <w:t xml:space="preserve">monthly </w:t>
      </w:r>
      <w:r w:rsidRPr="001463A1">
        <w:t>federal data</w:t>
      </w:r>
      <w:r>
        <w:t xml:space="preserve">bases checks as required by 42 CFR </w:t>
      </w:r>
      <w:r w:rsidRPr="001463A1">
        <w:t>455.436</w:t>
      </w:r>
      <w:r w:rsidR="001D5803">
        <w:t xml:space="preserve"> and share results with the MCO</w:t>
      </w:r>
      <w:r w:rsidR="0067672B">
        <w:t>.</w:t>
      </w:r>
      <w:r w:rsidR="003150A4">
        <w:t xml:space="preserve"> </w:t>
      </w:r>
      <w:r w:rsidRPr="001463A1">
        <w:t>The MCO must</w:t>
      </w:r>
      <w:r w:rsidR="001D5803">
        <w:t xml:space="preserve"> </w:t>
      </w:r>
      <w:r w:rsidR="000F6F24">
        <w:t xml:space="preserve">collaborate with the fiscal agent </w:t>
      </w:r>
      <w:r w:rsidR="001D5803">
        <w:t>to ensure compliance</w:t>
      </w:r>
      <w:r w:rsidR="000F6F24">
        <w:t xml:space="preserve"> of all entities</w:t>
      </w:r>
      <w:r w:rsidR="001D5803">
        <w:t xml:space="preserve"> per Article II, Section 8.</w:t>
      </w:r>
      <w:r w:rsidR="008E3CA9">
        <w:t>7</w:t>
      </w:r>
      <w:r w:rsidRPr="006D77AA">
        <w:t xml:space="preserve">. </w:t>
      </w:r>
    </w:p>
    <w:p w14:paraId="4894F459" w14:textId="77777777" w:rsidR="0079729B" w:rsidRDefault="0079729B" w:rsidP="00257641">
      <w:r>
        <w:t>The MCO</w:t>
      </w:r>
      <w:r w:rsidRPr="00170AAF">
        <w:t xml:space="preserve"> may execute </w:t>
      </w:r>
      <w:r>
        <w:t>a provider agreement</w:t>
      </w:r>
      <w:r w:rsidRPr="00170AAF">
        <w:t xml:space="preserve">, pending the outcome of </w:t>
      </w:r>
      <w:r>
        <w:t xml:space="preserve">this </w:t>
      </w:r>
      <w:r w:rsidRPr="00170AAF">
        <w:t xml:space="preserve">screening, </w:t>
      </w:r>
      <w:r>
        <w:t>enrollment, and revalidation, for</w:t>
      </w:r>
      <w:r w:rsidRPr="00170AAF">
        <w:t xml:space="preserve"> up to </w:t>
      </w:r>
      <w:r>
        <w:t>one hundred twenty (</w:t>
      </w:r>
      <w:r w:rsidRPr="00170AAF">
        <w:t>120</w:t>
      </w:r>
      <w:r>
        <w:t>)</w:t>
      </w:r>
      <w:r w:rsidRPr="00170AAF">
        <w:t xml:space="preserve"> days</w:t>
      </w:r>
      <w:r>
        <w:t>. However, the MCO</w:t>
      </w:r>
      <w:r w:rsidRPr="00170AAF">
        <w:t xml:space="preserve"> must terminate </w:t>
      </w:r>
      <w:r>
        <w:t>the</w:t>
      </w:r>
      <w:r w:rsidRPr="00170AAF">
        <w:t xml:space="preserve"> network provider immediately upon notification from the state that the network provider cannot be enrolled, or </w:t>
      </w:r>
      <w:r>
        <w:t xml:space="preserve">if </w:t>
      </w:r>
      <w:r w:rsidRPr="00170AAF">
        <w:t xml:space="preserve">the </w:t>
      </w:r>
      <w:r>
        <w:t>one hundred twenty (</w:t>
      </w:r>
      <w:r w:rsidRPr="00170AAF">
        <w:t>120</w:t>
      </w:r>
      <w:r>
        <w:t>)</w:t>
      </w:r>
      <w:r w:rsidRPr="00170AAF">
        <w:t xml:space="preserve"> day period </w:t>
      </w:r>
      <w:r>
        <w:t xml:space="preserve">expired </w:t>
      </w:r>
      <w:r w:rsidRPr="00170AAF">
        <w:t xml:space="preserve">without </w:t>
      </w:r>
      <w:r>
        <w:t xml:space="preserve">state </w:t>
      </w:r>
      <w:r w:rsidRPr="00170AAF">
        <w:t>enrollment of the provider</w:t>
      </w:r>
      <w:r>
        <w:t>. Upon termination of the provider from the MCO’s network, the MCO must</w:t>
      </w:r>
      <w:r w:rsidRPr="00170AAF">
        <w:t xml:space="preserve"> notify </w:t>
      </w:r>
      <w:r>
        <w:t xml:space="preserve">all </w:t>
      </w:r>
      <w:r w:rsidRPr="00170AAF">
        <w:t>affected enrollees.</w:t>
      </w:r>
    </w:p>
    <w:p w14:paraId="225990AD" w14:textId="4CA69A99" w:rsidR="00AD34B1" w:rsidRDefault="005068A8" w:rsidP="00257641">
      <w:pPr>
        <w:pStyle w:val="Heading4"/>
      </w:pPr>
      <w:r>
        <w:lastRenderedPageBreak/>
        <w:t>3</w:t>
      </w:r>
      <w:r w:rsidR="00AD34B1">
        <w:t>.1.</w:t>
      </w:r>
      <w:r w:rsidR="001E4E40">
        <w:t>5</w:t>
      </w:r>
      <w:r w:rsidR="00AD34B1">
        <w:t xml:space="preserve"> C</w:t>
      </w:r>
      <w:r w:rsidR="00AD34B1" w:rsidRPr="00DF1D1C">
        <w:t xml:space="preserve">redentialing </w:t>
      </w:r>
      <w:r w:rsidR="00AD34B1">
        <w:t>and Recredentialing C</w:t>
      </w:r>
      <w:r w:rsidR="00AD34B1" w:rsidRPr="00DF1D1C">
        <w:t xml:space="preserve">riteria </w:t>
      </w:r>
    </w:p>
    <w:p w14:paraId="61100E5E" w14:textId="4CD335E2" w:rsidR="009A0060" w:rsidRPr="00DF1D1C" w:rsidRDefault="009A0060" w:rsidP="00257641">
      <w:pPr>
        <w:pStyle w:val="normal6"/>
      </w:pPr>
      <w:r w:rsidRPr="00DF1D1C">
        <w:t>The</w:t>
      </w:r>
      <w:r w:rsidR="00AD34B1">
        <w:t xml:space="preserve"> credentialing </w:t>
      </w:r>
      <w:r w:rsidRPr="00DF1D1C">
        <w:t xml:space="preserve">process must </w:t>
      </w:r>
      <w:r w:rsidR="00753B8C">
        <w:t xml:space="preserve">comply with </w:t>
      </w:r>
      <w:r w:rsidR="0079729B">
        <w:t>West Virginia</w:t>
      </w:r>
      <w:r w:rsidR="00753B8C" w:rsidRPr="00753B8C">
        <w:t xml:space="preserve"> </w:t>
      </w:r>
      <w:r w:rsidR="003059FC">
        <w:t xml:space="preserve">C.S.R. </w:t>
      </w:r>
      <w:r w:rsidR="00753B8C" w:rsidRPr="00753B8C">
        <w:t>§114-53-6</w:t>
      </w:r>
      <w:r w:rsidR="00753B8C">
        <w:t xml:space="preserve"> and 42 CFR 455, Subpart B and at a minimum </w:t>
      </w:r>
      <w:r w:rsidRPr="00DF1D1C">
        <w:t>include a statement by the applicant regarding:</w:t>
      </w:r>
    </w:p>
    <w:p w14:paraId="40041DF7" w14:textId="77777777" w:rsidR="009A0060" w:rsidRPr="006D4B2A" w:rsidRDefault="009A0060" w:rsidP="00257641">
      <w:pPr>
        <w:pStyle w:val="bullet1"/>
      </w:pPr>
      <w:r w:rsidRPr="006D4B2A">
        <w:t>Any physical or mental health problems that may affect current ability to provide health care;</w:t>
      </w:r>
    </w:p>
    <w:p w14:paraId="78FE6332" w14:textId="5DC70574" w:rsidR="009A0060" w:rsidRPr="006D4B2A" w:rsidRDefault="009A0060" w:rsidP="00257641">
      <w:pPr>
        <w:pStyle w:val="bullet1"/>
      </w:pPr>
      <w:r w:rsidRPr="006D4B2A">
        <w:t>Any history of chemical dependency/</w:t>
      </w:r>
      <w:r w:rsidR="0079729B">
        <w:t>SUD</w:t>
      </w:r>
      <w:r w:rsidRPr="006D4B2A">
        <w:t>;</w:t>
      </w:r>
    </w:p>
    <w:p w14:paraId="52306688" w14:textId="77777777" w:rsidR="00753B8C" w:rsidRPr="006D4B2A" w:rsidRDefault="009A0060" w:rsidP="00257641">
      <w:pPr>
        <w:pStyle w:val="bullet1"/>
      </w:pPr>
      <w:r w:rsidRPr="006D4B2A">
        <w:t>History of loss of license</w:t>
      </w:r>
      <w:r w:rsidR="00753B8C" w:rsidRPr="006D4B2A">
        <w:t>;</w:t>
      </w:r>
    </w:p>
    <w:p w14:paraId="25DA4281" w14:textId="372911A0" w:rsidR="009A0060" w:rsidRPr="006D4B2A" w:rsidRDefault="00753B8C" w:rsidP="00257641">
      <w:pPr>
        <w:pStyle w:val="bullet1"/>
      </w:pPr>
      <w:r w:rsidRPr="006D4B2A">
        <w:t>F</w:t>
      </w:r>
      <w:r w:rsidR="009A0060" w:rsidRPr="006D4B2A">
        <w:t>elony convictions</w:t>
      </w:r>
      <w:r w:rsidRPr="006D4B2A">
        <w:t xml:space="preserve"> as required by </w:t>
      </w:r>
      <w:r w:rsidR="0079729B">
        <w:t>West Virginia</w:t>
      </w:r>
      <w:r w:rsidRPr="006D4B2A">
        <w:t xml:space="preserve"> </w:t>
      </w:r>
      <w:r w:rsidR="003059FC" w:rsidRPr="006D4B2A">
        <w:t xml:space="preserve">C.S.R. </w:t>
      </w:r>
      <w:r w:rsidRPr="006D4B2A">
        <w:t xml:space="preserve">§114-53-6.3 and other </w:t>
      </w:r>
      <w:r w:rsidR="008F11B8" w:rsidRPr="006D4B2A">
        <w:t xml:space="preserve">criminal </w:t>
      </w:r>
      <w:r w:rsidRPr="006D4B2A">
        <w:t>convictions as required by 42 CFR 455.106</w:t>
      </w:r>
      <w:r w:rsidR="009A0060" w:rsidRPr="006D4B2A">
        <w:t>;</w:t>
      </w:r>
    </w:p>
    <w:p w14:paraId="41361333" w14:textId="77777777" w:rsidR="009A0060" w:rsidRPr="006D4B2A" w:rsidRDefault="009A0060" w:rsidP="00257641">
      <w:pPr>
        <w:pStyle w:val="bullet1"/>
      </w:pPr>
      <w:r w:rsidRPr="006D4B2A">
        <w:t xml:space="preserve">History of loss or limitation of privileges or disciplinary activity; </w:t>
      </w:r>
    </w:p>
    <w:p w14:paraId="528B582E" w14:textId="77777777" w:rsidR="00753B8C" w:rsidRPr="006D4B2A" w:rsidRDefault="00753B8C" w:rsidP="00257641">
      <w:pPr>
        <w:pStyle w:val="bullet1"/>
      </w:pPr>
      <w:r w:rsidRPr="006D4B2A">
        <w:t>History of debarment, suspension or exclusion from any Federal or State healthcare programs;</w:t>
      </w:r>
      <w:r w:rsidR="00896085" w:rsidRPr="006D4B2A">
        <w:t xml:space="preserve"> and</w:t>
      </w:r>
    </w:p>
    <w:p w14:paraId="46C2AF95" w14:textId="77777777" w:rsidR="009A0060" w:rsidRPr="006D4B2A" w:rsidRDefault="009A0060" w:rsidP="00257641">
      <w:pPr>
        <w:pStyle w:val="bullet1last"/>
      </w:pPr>
      <w:r w:rsidRPr="006D4B2A">
        <w:t>An attestation to correctness/completeness of the application.</w:t>
      </w:r>
    </w:p>
    <w:p w14:paraId="35D6BCEC" w14:textId="77777777" w:rsidR="00C951BB" w:rsidRPr="00DF1D1C" w:rsidRDefault="009A0060" w:rsidP="00257641">
      <w:pPr>
        <w:pStyle w:val="normal6"/>
      </w:pPr>
      <w:r w:rsidRPr="00DF1D1C">
        <w:t>During the initial credentialing process, the MCO must verify:</w:t>
      </w:r>
    </w:p>
    <w:p w14:paraId="0A1A82C1" w14:textId="77777777" w:rsidR="00C951BB" w:rsidRPr="006D4B2A" w:rsidRDefault="00C951BB" w:rsidP="00257641">
      <w:pPr>
        <w:pStyle w:val="bullet1"/>
      </w:pPr>
      <w:r w:rsidRPr="006D4B2A">
        <w:t>The identity and the exclusion status of provider and any person with an ownership or control interest or who is an agent or managing employee of the provider through checks of Federal databases as described in 42 CFR 455.436;</w:t>
      </w:r>
    </w:p>
    <w:p w14:paraId="3616D17F" w14:textId="77777777" w:rsidR="009A0060" w:rsidRPr="006D4B2A" w:rsidRDefault="009A0060" w:rsidP="00257641">
      <w:pPr>
        <w:pStyle w:val="bullet1"/>
      </w:pPr>
      <w:r w:rsidRPr="006D4B2A">
        <w:t xml:space="preserve">The </w:t>
      </w:r>
      <w:r w:rsidR="00C951BB" w:rsidRPr="006D4B2A">
        <w:t xml:space="preserve">provider </w:t>
      </w:r>
      <w:r w:rsidRPr="006D4B2A">
        <w:t>holds a current valid license to practice;</w:t>
      </w:r>
    </w:p>
    <w:p w14:paraId="246FD57F" w14:textId="6AC5C810" w:rsidR="009A0060" w:rsidRPr="006D4B2A" w:rsidRDefault="009A0060" w:rsidP="00257641">
      <w:pPr>
        <w:pStyle w:val="bullet1"/>
      </w:pPr>
      <w:r w:rsidRPr="006D4B2A">
        <w:t xml:space="preserve">Valid </w:t>
      </w:r>
      <w:r w:rsidR="00C90158">
        <w:t>Drug Enforcement Administration (</w:t>
      </w:r>
      <w:r w:rsidRPr="006D4B2A">
        <w:t>DEA</w:t>
      </w:r>
      <w:r w:rsidR="00C90158">
        <w:t>)</w:t>
      </w:r>
      <w:r w:rsidRPr="006D4B2A">
        <w:t xml:space="preserve"> or </w:t>
      </w:r>
      <w:r w:rsidR="006409B6">
        <w:t>C</w:t>
      </w:r>
      <w:r w:rsidR="006409B6" w:rsidRPr="00B4616C">
        <w:t>ont</w:t>
      </w:r>
      <w:r w:rsidR="006409B6">
        <w:t>rolled Dangerous Substance (</w:t>
      </w:r>
      <w:r w:rsidRPr="006D4B2A">
        <w:t>CDS</w:t>
      </w:r>
      <w:r w:rsidR="00C90158">
        <w:t>)</w:t>
      </w:r>
      <w:r w:rsidRPr="006D4B2A">
        <w:t xml:space="preserve"> certificate, as applicable;</w:t>
      </w:r>
    </w:p>
    <w:p w14:paraId="715E333D" w14:textId="77777777" w:rsidR="009A0060" w:rsidRPr="006D4B2A" w:rsidRDefault="009A0060" w:rsidP="00257641">
      <w:pPr>
        <w:pStyle w:val="bullet1"/>
      </w:pPr>
      <w:r w:rsidRPr="006D4B2A">
        <w:t>Graduation from medical school and completion of a residency, or other post-graduate training, as applicable;</w:t>
      </w:r>
    </w:p>
    <w:p w14:paraId="45E09DA7" w14:textId="77777777" w:rsidR="009A0060" w:rsidRPr="006D4B2A" w:rsidRDefault="009A0060" w:rsidP="00257641">
      <w:pPr>
        <w:pStyle w:val="bullet1"/>
      </w:pPr>
      <w:r w:rsidRPr="006D4B2A">
        <w:t xml:space="preserve">Board certification or eligibility, or specialized training as appropriate; </w:t>
      </w:r>
    </w:p>
    <w:p w14:paraId="550CD81F" w14:textId="77777777" w:rsidR="009A0060" w:rsidRPr="006D4B2A" w:rsidRDefault="009A0060" w:rsidP="00257641">
      <w:pPr>
        <w:pStyle w:val="bullet1"/>
      </w:pPr>
      <w:r w:rsidRPr="006D4B2A">
        <w:t>Work history;</w:t>
      </w:r>
    </w:p>
    <w:p w14:paraId="68CC0FE6" w14:textId="77777777" w:rsidR="009A0060" w:rsidRPr="006D4B2A" w:rsidRDefault="009A0060" w:rsidP="00257641">
      <w:pPr>
        <w:pStyle w:val="bullet1"/>
      </w:pPr>
      <w:r w:rsidRPr="006D4B2A">
        <w:t>Professional liability claims history;</w:t>
      </w:r>
    </w:p>
    <w:p w14:paraId="778AE74F" w14:textId="77777777" w:rsidR="009A0060" w:rsidRPr="006D4B2A" w:rsidRDefault="009A0060" w:rsidP="00257641">
      <w:pPr>
        <w:pStyle w:val="bullet1"/>
      </w:pPr>
      <w:r w:rsidRPr="006D4B2A">
        <w:t xml:space="preserve">Good standing of clinical privileges at the hospital designated by the </w:t>
      </w:r>
      <w:r w:rsidR="00C951BB" w:rsidRPr="006D4B2A">
        <w:t xml:space="preserve">provider </w:t>
      </w:r>
      <w:r w:rsidRPr="006D4B2A">
        <w:t xml:space="preserve">as the primary admitting facility (this requirement may be waived for practices which do not have or do not need access to hospitals); </w:t>
      </w:r>
    </w:p>
    <w:p w14:paraId="26D8AC19" w14:textId="77777777" w:rsidR="009A0060" w:rsidRPr="006D4B2A" w:rsidRDefault="009A0060" w:rsidP="00257641">
      <w:pPr>
        <w:pStyle w:val="bullet1"/>
      </w:pPr>
      <w:r w:rsidRPr="006D4B2A">
        <w:t xml:space="preserve">The </w:t>
      </w:r>
      <w:r w:rsidR="00C951BB" w:rsidRPr="006D4B2A">
        <w:t xml:space="preserve">provider </w:t>
      </w:r>
      <w:r w:rsidRPr="006D4B2A">
        <w:t>holds current, adequate malpractice insurance with minimum coverage requirements of $1 million per individual episode and $1 million in the aggregate;</w:t>
      </w:r>
    </w:p>
    <w:p w14:paraId="614F1239" w14:textId="3DFBC791" w:rsidR="009A0060" w:rsidRPr="006D4B2A" w:rsidRDefault="009A0060" w:rsidP="00257641">
      <w:pPr>
        <w:pStyle w:val="bullet1"/>
      </w:pPr>
      <w:r w:rsidRPr="006D4B2A">
        <w:t>Any revocation or suspension of a state license or DEA/</w:t>
      </w:r>
      <w:r w:rsidR="006409B6" w:rsidRPr="006409B6">
        <w:t xml:space="preserve"> </w:t>
      </w:r>
      <w:r w:rsidR="006409B6" w:rsidRPr="004719DD">
        <w:t>Bureau of Narcotics and Dangerous Drugs</w:t>
      </w:r>
      <w:r w:rsidR="006409B6">
        <w:t xml:space="preserve"> (</w:t>
      </w:r>
      <w:r w:rsidRPr="006D4B2A">
        <w:t>BNDD</w:t>
      </w:r>
      <w:r w:rsidR="006409B6">
        <w:t>)</w:t>
      </w:r>
      <w:r w:rsidRPr="006D4B2A">
        <w:t xml:space="preserve"> number;</w:t>
      </w:r>
    </w:p>
    <w:p w14:paraId="317AF810" w14:textId="77777777" w:rsidR="009A0060" w:rsidRPr="006D4B2A" w:rsidRDefault="009A0060" w:rsidP="00257641">
      <w:pPr>
        <w:pStyle w:val="bullet1"/>
      </w:pPr>
      <w:r w:rsidRPr="006D4B2A">
        <w:t xml:space="preserve">Any curtailment or suspension of medical staff privileges (other than for incomplete records); </w:t>
      </w:r>
    </w:p>
    <w:p w14:paraId="558B521B" w14:textId="77777777" w:rsidR="009A0060" w:rsidRPr="006D4B2A" w:rsidRDefault="009A0060" w:rsidP="00257641">
      <w:pPr>
        <w:pStyle w:val="bullet1"/>
      </w:pPr>
      <w:r w:rsidRPr="006D4B2A">
        <w:t xml:space="preserve">Any censure by the State or County Medical Association; </w:t>
      </w:r>
      <w:r w:rsidR="000F5AAD" w:rsidRPr="006D4B2A">
        <w:t>and</w:t>
      </w:r>
    </w:p>
    <w:p w14:paraId="5CD9BCE9" w14:textId="77777777" w:rsidR="00A947E5" w:rsidRPr="006D4B2A" w:rsidRDefault="009A0060" w:rsidP="00257641">
      <w:pPr>
        <w:pStyle w:val="bullet1last"/>
      </w:pPr>
      <w:r w:rsidRPr="006D4B2A">
        <w:lastRenderedPageBreak/>
        <w:t>Any enrollee complaints</w:t>
      </w:r>
      <w:r w:rsidR="000F5AAD" w:rsidRPr="006D4B2A">
        <w:t>.</w:t>
      </w:r>
    </w:p>
    <w:p w14:paraId="28310E16" w14:textId="77777777" w:rsidR="009A0060" w:rsidRDefault="009A0060" w:rsidP="00257641">
      <w:r w:rsidRPr="00DF1D1C">
        <w:t xml:space="preserve">In addition, the MCO must request information on the </w:t>
      </w:r>
      <w:r w:rsidR="00C951BB">
        <w:t xml:space="preserve">provider </w:t>
      </w:r>
      <w:r w:rsidRPr="00DF1D1C">
        <w:t xml:space="preserve">from the National Practitioner Data Bank and </w:t>
      </w:r>
      <w:r w:rsidR="00756B8C" w:rsidRPr="00756B8C">
        <w:t>appropriate state licensing boards such as the Board of Medicine, Chiropractic Board, Osteopathic Board and/or Dental Board</w:t>
      </w:r>
      <w:r w:rsidR="00756B8C">
        <w:t>.</w:t>
      </w:r>
    </w:p>
    <w:p w14:paraId="7CF63ADB" w14:textId="11C74323" w:rsidR="002272CA" w:rsidRDefault="002272CA" w:rsidP="00257641">
      <w:r w:rsidRPr="00DF1D1C">
        <w:t xml:space="preserve">During the recredentialing process, the MCO must re-verify and update all of the above information, and consider performance indicators such as those collected through the quality assurance and performance improvement program (see Article III, Section </w:t>
      </w:r>
      <w:r w:rsidR="006D4624">
        <w:t>7</w:t>
      </w:r>
      <w:r w:rsidRPr="00DF1D1C">
        <w:t xml:space="preserve"> of this contract), the utilization management system, the grievance system, enrollee satisfaction surveys, enrollee complaints, and other activities of the MCO.</w:t>
      </w:r>
    </w:p>
    <w:p w14:paraId="0D3CCDBC" w14:textId="559DD9D6" w:rsidR="002272CA" w:rsidRDefault="002272CA" w:rsidP="00257641">
      <w:r w:rsidRPr="00DF1D1C">
        <w:t xml:space="preserve">All contracted providers must meet the credentialing and recredentialing requirements listed in this </w:t>
      </w:r>
      <w:r w:rsidR="00441298">
        <w:t>C</w:t>
      </w:r>
      <w:r w:rsidR="00C44785">
        <w:t>ontract.</w:t>
      </w:r>
    </w:p>
    <w:p w14:paraId="70AD679B" w14:textId="5E6E9024" w:rsidR="00102BAF" w:rsidRDefault="00A2280F" w:rsidP="00257641">
      <w:pPr>
        <w:pStyle w:val="Heading4"/>
      </w:pPr>
      <w:r>
        <w:t>3</w:t>
      </w:r>
      <w:r w:rsidR="00102BAF">
        <w:t>.1.</w:t>
      </w:r>
      <w:r w:rsidR="00126753">
        <w:t>6</w:t>
      </w:r>
      <w:r w:rsidR="00826B4F">
        <w:t xml:space="preserve"> </w:t>
      </w:r>
      <w:r w:rsidR="00C17F0B">
        <w:t>Additional C</w:t>
      </w:r>
      <w:r w:rsidR="009A0060" w:rsidRPr="00DF1D1C">
        <w:t xml:space="preserve">redentialing </w:t>
      </w:r>
      <w:r w:rsidR="00C17F0B">
        <w:t>and R</w:t>
      </w:r>
      <w:r w:rsidR="00756B8C">
        <w:t xml:space="preserve">ecredentialing </w:t>
      </w:r>
      <w:r w:rsidR="007520C5">
        <w:t>C</w:t>
      </w:r>
      <w:r w:rsidR="009A0060" w:rsidRPr="00DF1D1C">
        <w:t xml:space="preserve">riteria </w:t>
      </w:r>
      <w:r w:rsidR="002472DA">
        <w:t xml:space="preserve">for </w:t>
      </w:r>
      <w:r w:rsidR="00C17F0B">
        <w:t>C</w:t>
      </w:r>
      <w:r w:rsidR="002472DA">
        <w:t xml:space="preserve">ertain </w:t>
      </w:r>
      <w:r w:rsidR="00C17F0B">
        <w:t>Providers</w:t>
      </w:r>
    </w:p>
    <w:p w14:paraId="7F8608B3" w14:textId="6DA4BC85" w:rsidR="006409B6" w:rsidRPr="003F5187" w:rsidRDefault="006409B6" w:rsidP="00257641">
      <w:pPr>
        <w:pStyle w:val="Heading5"/>
      </w:pPr>
      <w:r>
        <w:t>3</w:t>
      </w:r>
      <w:r w:rsidRPr="003F5187">
        <w:t xml:space="preserve">.1.6.1 </w:t>
      </w:r>
      <w:r w:rsidRPr="00125A73">
        <w:t>Credentialing and Recredentialing Criteria for PCPs, OBGYNs, and Other Specialists</w:t>
      </w:r>
    </w:p>
    <w:p w14:paraId="476C9BFF" w14:textId="51F678FE" w:rsidR="009A0060" w:rsidRDefault="002272CA" w:rsidP="00257641">
      <w:r w:rsidRPr="00CA4626">
        <w:t xml:space="preserve">Additional credentialing criteria </w:t>
      </w:r>
      <w:r w:rsidR="009A0060" w:rsidRPr="00CA4626">
        <w:t xml:space="preserve">for </w:t>
      </w:r>
      <w:r w:rsidR="00756B8C" w:rsidRPr="00CA4626">
        <w:t xml:space="preserve">PCPs, obstetricians/gynecologists </w:t>
      </w:r>
      <w:r w:rsidR="006409B6">
        <w:t xml:space="preserve">(OBGYNs) </w:t>
      </w:r>
      <w:r w:rsidR="00756B8C" w:rsidRPr="00CA4626">
        <w:t xml:space="preserve">and other high-volume specialists must </w:t>
      </w:r>
      <w:r w:rsidR="009A0060" w:rsidRPr="00CA4626">
        <w:t>include</w:t>
      </w:r>
      <w:r w:rsidR="00756B8C" w:rsidRPr="00CA4626">
        <w:t xml:space="preserve"> a</w:t>
      </w:r>
      <w:r w:rsidR="009A0060" w:rsidRPr="00CA4626">
        <w:t xml:space="preserve"> visit to the </w:t>
      </w:r>
      <w:r w:rsidR="00C951BB" w:rsidRPr="00CA4626">
        <w:t xml:space="preserve">provider’s </w:t>
      </w:r>
      <w:r w:rsidR="009A0060" w:rsidRPr="00CA4626">
        <w:t xml:space="preserve">office, </w:t>
      </w:r>
      <w:r w:rsidR="00756B8C" w:rsidRPr="00CA4626">
        <w:t xml:space="preserve">documenting </w:t>
      </w:r>
      <w:r w:rsidR="009A0060" w:rsidRPr="00CA4626">
        <w:t>a structured review of the site and medical record keeping practices to ensure conformance with the MCO standards</w:t>
      </w:r>
      <w:r w:rsidR="00756B8C" w:rsidRPr="00CA4626">
        <w:t>.</w:t>
      </w:r>
      <w:r w:rsidR="001230DE" w:rsidRPr="00CA4626">
        <w:t xml:space="preserve"> The MCO must maintain a recredentialing policy with all activities continuing to be conducted every three (3) years. Site visits are not required at the time of recredentialing.</w:t>
      </w:r>
    </w:p>
    <w:p w14:paraId="2A4BF5C7" w14:textId="1321D10F" w:rsidR="006409B6" w:rsidRPr="00125A73" w:rsidRDefault="006409B6" w:rsidP="00257641">
      <w:pPr>
        <w:pStyle w:val="Heading5"/>
      </w:pPr>
      <w:r w:rsidRPr="003F5187">
        <w:t>2</w:t>
      </w:r>
      <w:r w:rsidRPr="00125A73">
        <w:t>.1.6.2</w:t>
      </w:r>
      <w:r w:rsidR="003150A4">
        <w:t xml:space="preserve"> </w:t>
      </w:r>
      <w:r w:rsidRPr="00125A73">
        <w:t>Credentialing and Recredentialing Criteria for Dental Providers</w:t>
      </w:r>
    </w:p>
    <w:p w14:paraId="2CA954B0" w14:textId="77777777" w:rsidR="005C191A" w:rsidRDefault="001F16C3" w:rsidP="00257641">
      <w:r w:rsidRPr="001F16C3">
        <w:t>Additional credentialing and recredentialing criteria for dental providers must include:</w:t>
      </w:r>
      <w:r>
        <w:t xml:space="preserve"> </w:t>
      </w:r>
      <w:r w:rsidRPr="001F16C3">
        <w:t xml:space="preserve">Anesthesia permit and/or certificate from the West Virginia Board of Dental Examiners for </w:t>
      </w:r>
      <w:r w:rsidRPr="009E0DC4">
        <w:t>those dental providers who induce central nervous system anesthesia.</w:t>
      </w:r>
    </w:p>
    <w:p w14:paraId="4CC8EE85" w14:textId="16AE92E1" w:rsidR="006409B6" w:rsidRPr="00125A73" w:rsidRDefault="006409B6" w:rsidP="00257641">
      <w:pPr>
        <w:pStyle w:val="Heading5"/>
      </w:pPr>
      <w:r w:rsidRPr="003F5187">
        <w:t>2.1.6.</w:t>
      </w:r>
      <w:r>
        <w:t>3</w:t>
      </w:r>
      <w:r w:rsidR="003150A4">
        <w:t xml:space="preserve"> </w:t>
      </w:r>
      <w:r w:rsidRPr="00125A73">
        <w:t>Credentialing and Recredentialing Criteria for Behavioral Health Care Providers and Agencies</w:t>
      </w:r>
    </w:p>
    <w:p w14:paraId="16B44BDD" w14:textId="77777777" w:rsidR="005C191A" w:rsidRPr="00247311" w:rsidRDefault="005C191A" w:rsidP="00257641">
      <w:pPr>
        <w:pStyle w:val="normal6"/>
      </w:pPr>
      <w:r w:rsidRPr="00247311">
        <w:t>Additional credentialing and re</w:t>
      </w:r>
      <w:r w:rsidR="00824B21">
        <w:t>c</w:t>
      </w:r>
      <w:r w:rsidRPr="00247311">
        <w:t xml:space="preserve">redentialing criteria for behavioral </w:t>
      </w:r>
      <w:r w:rsidR="00347373" w:rsidRPr="00247311">
        <w:t xml:space="preserve">health </w:t>
      </w:r>
      <w:r w:rsidRPr="00247311">
        <w:t>care provider</w:t>
      </w:r>
      <w:r w:rsidR="009D0C5C" w:rsidRPr="00247311">
        <w:t xml:space="preserve">s and </w:t>
      </w:r>
      <w:r w:rsidRPr="00247311">
        <w:t>agencies must include:</w:t>
      </w:r>
    </w:p>
    <w:p w14:paraId="1DCF1209" w14:textId="77777777" w:rsidR="005C191A" w:rsidRPr="003B6C58" w:rsidRDefault="005C191A" w:rsidP="00257641">
      <w:pPr>
        <w:pStyle w:val="bullet1"/>
      </w:pPr>
      <w:r w:rsidRPr="003E542D">
        <w:t xml:space="preserve">The </w:t>
      </w:r>
      <w:r w:rsidR="00B636AD" w:rsidRPr="007843B2">
        <w:t xml:space="preserve">MCO must verify </w:t>
      </w:r>
      <w:r w:rsidR="009B73B8" w:rsidRPr="003B6C58">
        <w:t>that</w:t>
      </w:r>
      <w:r w:rsidR="00482735" w:rsidRPr="003B6C58">
        <w:t xml:space="preserve"> </w:t>
      </w:r>
      <w:r w:rsidR="005F5AE9" w:rsidRPr="003B6C58">
        <w:t>a</w:t>
      </w:r>
      <w:r w:rsidR="00482735" w:rsidRPr="003B6C58">
        <w:t xml:space="preserve"> Comprehensive Behavioral Health Center </w:t>
      </w:r>
      <w:r w:rsidR="00837E5F" w:rsidRPr="003B6C58">
        <w:t xml:space="preserve">or </w:t>
      </w:r>
      <w:r w:rsidR="005F5AE9" w:rsidRPr="003B6C58">
        <w:t>a</w:t>
      </w:r>
      <w:r w:rsidR="00837E5F" w:rsidRPr="003B6C58">
        <w:t xml:space="preserve"> </w:t>
      </w:r>
      <w:r w:rsidR="009B73B8" w:rsidRPr="003B6C58">
        <w:t>Licensed Behavioral Health Center</w:t>
      </w:r>
      <w:r w:rsidR="004414E9" w:rsidRPr="003B6C58">
        <w:t xml:space="preserve"> hold</w:t>
      </w:r>
      <w:r w:rsidR="004646FE" w:rsidRPr="003B6C58">
        <w:t>s</w:t>
      </w:r>
      <w:r w:rsidR="004414E9" w:rsidRPr="003B6C58">
        <w:t xml:space="preserve"> a valid license </w:t>
      </w:r>
      <w:r w:rsidR="009B73B8" w:rsidRPr="003B6C58">
        <w:t xml:space="preserve">through </w:t>
      </w:r>
      <w:r w:rsidR="004414E9" w:rsidRPr="003B6C58">
        <w:t>the West Virginia Office of Health Facility Licensure and Certification</w:t>
      </w:r>
      <w:r w:rsidR="00A0319F" w:rsidRPr="003B6C58">
        <w:t>;</w:t>
      </w:r>
    </w:p>
    <w:p w14:paraId="2BF3B851" w14:textId="77777777" w:rsidR="005C191A" w:rsidRPr="003B6C58" w:rsidRDefault="005F5AE9" w:rsidP="00257641">
      <w:pPr>
        <w:pStyle w:val="bullet1"/>
      </w:pPr>
      <w:r w:rsidRPr="003B6C58">
        <w:t>The MCO must verify that a</w:t>
      </w:r>
      <w:r w:rsidR="00CF28DB" w:rsidRPr="003B6C58">
        <w:t>n independent</w:t>
      </w:r>
      <w:r w:rsidRPr="003B6C58">
        <w:t xml:space="preserve"> psychologist </w:t>
      </w:r>
      <w:r w:rsidR="00837E5F" w:rsidRPr="003B6C58">
        <w:t xml:space="preserve">or </w:t>
      </w:r>
      <w:r w:rsidR="008F5600" w:rsidRPr="003B6C58">
        <w:t>a</w:t>
      </w:r>
      <w:r w:rsidR="00CF28DB" w:rsidRPr="003B6C58">
        <w:t>n independent</w:t>
      </w:r>
      <w:r w:rsidR="008F5600" w:rsidRPr="003B6C58">
        <w:t xml:space="preserve"> </w:t>
      </w:r>
      <w:r w:rsidR="00CF28DB" w:rsidRPr="003B6C58">
        <w:t xml:space="preserve">practicing </w:t>
      </w:r>
      <w:r w:rsidR="008F5600" w:rsidRPr="003B6C58">
        <w:t xml:space="preserve">licensed social worker </w:t>
      </w:r>
      <w:r w:rsidR="00A0319F" w:rsidRPr="003B6C58">
        <w:t>hold</w:t>
      </w:r>
      <w:r w:rsidR="004646FE" w:rsidRPr="003B6C58">
        <w:t>s</w:t>
      </w:r>
      <w:r w:rsidRPr="003B6C58">
        <w:t xml:space="preserve"> current licens</w:t>
      </w:r>
      <w:r w:rsidR="00A0319F" w:rsidRPr="003B6C58">
        <w:t>e</w:t>
      </w:r>
      <w:r w:rsidRPr="003B6C58">
        <w:t xml:space="preserve"> </w:t>
      </w:r>
      <w:r w:rsidR="0041768D" w:rsidRPr="003B6C58">
        <w:t xml:space="preserve">with </w:t>
      </w:r>
      <w:r w:rsidRPr="003B6C58">
        <w:t xml:space="preserve">their </w:t>
      </w:r>
      <w:r w:rsidR="00A0319F" w:rsidRPr="003B6C58">
        <w:t xml:space="preserve">professional </w:t>
      </w:r>
      <w:r w:rsidRPr="003B6C58">
        <w:t>boards</w:t>
      </w:r>
      <w:r w:rsidR="00A0319F" w:rsidRPr="003B6C58">
        <w:t>;</w:t>
      </w:r>
      <w:r w:rsidR="0041768D" w:rsidRPr="003B6C58">
        <w:t xml:space="preserve"> and</w:t>
      </w:r>
    </w:p>
    <w:p w14:paraId="3FF2B51F" w14:textId="77777777" w:rsidR="005C191A" w:rsidRPr="003B6C58" w:rsidRDefault="00E72BD3" w:rsidP="00257641">
      <w:pPr>
        <w:pStyle w:val="bullet1"/>
      </w:pPr>
      <w:r w:rsidRPr="003B6C58">
        <w:t xml:space="preserve">The MCOs must verify the </w:t>
      </w:r>
      <w:r w:rsidR="00B66713" w:rsidRPr="003B6C58">
        <w:t xml:space="preserve">MCO </w:t>
      </w:r>
      <w:r w:rsidRPr="003B6C58">
        <w:t xml:space="preserve">physician is approved to provide Suboxone® treatment </w:t>
      </w:r>
      <w:r w:rsidR="00090B08" w:rsidRPr="003B6C58">
        <w:t>by</w:t>
      </w:r>
      <w:r w:rsidRPr="003B6C58">
        <w:t xml:space="preserve"> the Department. </w:t>
      </w:r>
      <w:r w:rsidR="005C191A" w:rsidRPr="003B6C58">
        <w:t xml:space="preserve">A licensed </w:t>
      </w:r>
      <w:r w:rsidR="00285793" w:rsidRPr="003B6C58">
        <w:t xml:space="preserve">MCO </w:t>
      </w:r>
      <w:r w:rsidR="005C191A" w:rsidRPr="003B6C58">
        <w:t>physician who intends to provide Suboxone® treatment must meet the following requirements:</w:t>
      </w:r>
    </w:p>
    <w:p w14:paraId="5D1B3ADB" w14:textId="77777777" w:rsidR="004C082E" w:rsidRPr="00247311" w:rsidRDefault="00221249" w:rsidP="00257641">
      <w:pPr>
        <w:numPr>
          <w:ilvl w:val="2"/>
          <w:numId w:val="215"/>
        </w:numPr>
        <w:spacing w:after="120"/>
        <w:ind w:left="1260" w:hanging="360"/>
      </w:pPr>
      <w:r>
        <w:t>P</w:t>
      </w:r>
      <w:r w:rsidR="0067374B" w:rsidRPr="00247311">
        <w:t xml:space="preserve">hysician must </w:t>
      </w:r>
      <w:r w:rsidR="005C191A" w:rsidRPr="00247311">
        <w:t>qualify for a waiver under the Drug Addiction Treatment ACT (DATA);</w:t>
      </w:r>
    </w:p>
    <w:p w14:paraId="78ADC02B" w14:textId="77777777" w:rsidR="004C082E" w:rsidRPr="00247311" w:rsidRDefault="00221249" w:rsidP="00257641">
      <w:pPr>
        <w:numPr>
          <w:ilvl w:val="2"/>
          <w:numId w:val="215"/>
        </w:numPr>
        <w:spacing w:after="120"/>
        <w:ind w:left="1260" w:hanging="360"/>
      </w:pPr>
      <w:r>
        <w:lastRenderedPageBreak/>
        <w:t>P</w:t>
      </w:r>
      <w:r w:rsidR="004C082E" w:rsidRPr="00247311">
        <w:t xml:space="preserve">hysician must have </w:t>
      </w:r>
      <w:r w:rsidR="004646FE">
        <w:t xml:space="preserve">an </w:t>
      </w:r>
      <w:r w:rsidR="004C082E" w:rsidRPr="00247311">
        <w:t>assigned DEA (X) number</w:t>
      </w:r>
      <w:r w:rsidR="00090B08" w:rsidRPr="00247311">
        <w:t xml:space="preserve"> and complete the training regarding Suboxone® treatment guidelines</w:t>
      </w:r>
      <w:r w:rsidR="004C082E" w:rsidRPr="00247311">
        <w:t xml:space="preserve">; </w:t>
      </w:r>
      <w:r>
        <w:t>and</w:t>
      </w:r>
    </w:p>
    <w:p w14:paraId="3CB21EF1" w14:textId="77777777" w:rsidR="0067374B" w:rsidRPr="00247311" w:rsidRDefault="00221249" w:rsidP="00257641">
      <w:pPr>
        <w:numPr>
          <w:ilvl w:val="2"/>
          <w:numId w:val="215"/>
        </w:numPr>
        <w:ind w:left="1267" w:hanging="360"/>
      </w:pPr>
      <w:r>
        <w:t>P</w:t>
      </w:r>
      <w:r w:rsidR="0067374B" w:rsidRPr="00247311">
        <w:t xml:space="preserve">hysician must </w:t>
      </w:r>
      <w:r w:rsidR="005C191A" w:rsidRPr="00247311">
        <w:t>notify the Center for Substance Abuse Treatment of the intention to treat addiction patients</w:t>
      </w:r>
      <w:r w:rsidR="00A970BA">
        <w:t>.</w:t>
      </w:r>
    </w:p>
    <w:p w14:paraId="752C7290" w14:textId="529CA6BE" w:rsidR="00A70C38" w:rsidRDefault="00A2280F" w:rsidP="00257641">
      <w:pPr>
        <w:pStyle w:val="StyleHeading4After0pt"/>
      </w:pPr>
      <w:r>
        <w:t>3</w:t>
      </w:r>
      <w:r w:rsidR="00A70C38">
        <w:t>.1.7 Provider Education and Training</w:t>
      </w:r>
    </w:p>
    <w:p w14:paraId="4533FF57" w14:textId="569AB5F1" w:rsidR="00A70C38" w:rsidRDefault="00A70C38" w:rsidP="00257641">
      <w:r>
        <w:t xml:space="preserve">The Contractor </w:t>
      </w:r>
      <w:r w:rsidR="006876E5">
        <w:t xml:space="preserve">must </w:t>
      </w:r>
      <w:r>
        <w:t xml:space="preserve">provide training to all contracted providers and their staff regarding the requirements of the Contract and special needs of its </w:t>
      </w:r>
      <w:r w:rsidR="00E44575">
        <w:t>enrollees</w:t>
      </w:r>
      <w:r>
        <w:t xml:space="preserve">. The Contractor </w:t>
      </w:r>
      <w:r w:rsidR="006876E5">
        <w:t xml:space="preserve">must </w:t>
      </w:r>
      <w:r>
        <w:t xml:space="preserve">conduct initial training within thirty (30) </w:t>
      </w:r>
      <w:r w:rsidR="00F863FE">
        <w:t>c</w:t>
      </w:r>
      <w:r>
        <w:t xml:space="preserve">alendar </w:t>
      </w:r>
      <w:r w:rsidR="00F863FE">
        <w:t>d</w:t>
      </w:r>
      <w:r>
        <w:t xml:space="preserve">ays of executing a contract with a newly contracted provider. The Contractor </w:t>
      </w:r>
      <w:r w:rsidR="006876E5">
        <w:t xml:space="preserve">must </w:t>
      </w:r>
      <w:r>
        <w:t xml:space="preserve">also conduct ongoing training which may include webinars and web-based tutorials, as deemed necessary by the Contractor or </w:t>
      </w:r>
      <w:r w:rsidR="004D1CDB">
        <w:t>DHHR</w:t>
      </w:r>
      <w:r>
        <w:t xml:space="preserve"> in order to ensure compliance with program standards and this Contract and meet the needs of providers.</w:t>
      </w:r>
    </w:p>
    <w:p w14:paraId="4EC1F604" w14:textId="0842B59F" w:rsidR="00A70C38" w:rsidRDefault="00A70C38" w:rsidP="00257641">
      <w:r>
        <w:t xml:space="preserve">The Contractor </w:t>
      </w:r>
      <w:r w:rsidR="006876E5">
        <w:t xml:space="preserve">must </w:t>
      </w:r>
      <w:r>
        <w:t xml:space="preserve">develop and submit the Provider Training Manual and Training Plan, including topics, schedule and languages spoken, to </w:t>
      </w:r>
      <w:r w:rsidR="004D1CDB">
        <w:t>DHHR</w:t>
      </w:r>
      <w:r>
        <w:t xml:space="preserve"> for initial review and approval at least thirty (30) calendar days prior to any scheduled trainings and as updated thereafter. </w:t>
      </w:r>
      <w:r w:rsidR="004D1CDB">
        <w:t>DHHR</w:t>
      </w:r>
      <w:r>
        <w:t xml:space="preserve"> may attend any training sessions specific to this Contract at its discretion.</w:t>
      </w:r>
    </w:p>
    <w:p w14:paraId="6E524D60" w14:textId="4FED5E0D" w:rsidR="00A70C38" w:rsidRDefault="00A70C38" w:rsidP="00257641">
      <w:r>
        <w:t xml:space="preserve">The Contractor </w:t>
      </w:r>
      <w:r w:rsidR="006876E5">
        <w:t xml:space="preserve">must </w:t>
      </w:r>
      <w:r>
        <w:t>submit to</w:t>
      </w:r>
      <w:r w:rsidR="007B17D4">
        <w:t xml:space="preserve"> </w:t>
      </w:r>
      <w:r w:rsidR="004D1CDB">
        <w:t>DHHR</w:t>
      </w:r>
      <w:r>
        <w:t xml:space="preserve"> a provider education and training approach within one hundred fifty (150) calendar days of the Operational Start Date. </w:t>
      </w:r>
      <w:r w:rsidR="002355C1">
        <w:t>DHHR</w:t>
      </w:r>
      <w:r>
        <w:t xml:space="preserve"> </w:t>
      </w:r>
      <w:r w:rsidR="006876E5">
        <w:t xml:space="preserve">must </w:t>
      </w:r>
      <w:r>
        <w:t xml:space="preserve">have at least ten (10) calendar days to review the materials and the Contractor </w:t>
      </w:r>
      <w:r w:rsidR="006876E5">
        <w:t xml:space="preserve">must </w:t>
      </w:r>
      <w:r>
        <w:t xml:space="preserve">have five (5) calendar days from the completion of </w:t>
      </w:r>
      <w:r w:rsidR="002355C1">
        <w:t>DHHR</w:t>
      </w:r>
      <w:r>
        <w:t>’</w:t>
      </w:r>
      <w:r w:rsidR="002355C1">
        <w:t>s</w:t>
      </w:r>
      <w:r>
        <w:t xml:space="preserve"> review to submit the finalized materials to </w:t>
      </w:r>
      <w:r w:rsidR="004D1CDB">
        <w:t>DHHR</w:t>
      </w:r>
      <w:r>
        <w:t xml:space="preserve">. </w:t>
      </w:r>
    </w:p>
    <w:p w14:paraId="48BE03FC" w14:textId="348D8F6B" w:rsidR="00A70C38" w:rsidRDefault="00A70C38" w:rsidP="00257641">
      <w:pPr>
        <w:pStyle w:val="normal6"/>
      </w:pPr>
      <w:r>
        <w:t xml:space="preserve">The provider education and </w:t>
      </w:r>
      <w:r w:rsidR="00A277A5">
        <w:t xml:space="preserve">training </w:t>
      </w:r>
      <w:r>
        <w:t>must include, at a minimum:</w:t>
      </w:r>
    </w:p>
    <w:p w14:paraId="3718EF68" w14:textId="603E0AB0" w:rsidR="00A277A5" w:rsidRDefault="00A277A5" w:rsidP="00257641">
      <w:pPr>
        <w:pStyle w:val="bullet1"/>
      </w:pPr>
      <w:r>
        <w:t xml:space="preserve">The roles and responsibilities of the provider, </w:t>
      </w:r>
      <w:r w:rsidR="002355C1">
        <w:t>DHHR</w:t>
      </w:r>
      <w:r>
        <w:t xml:space="preserve">, BCF, local CPS workers, </w:t>
      </w:r>
      <w:r w:rsidR="00E44575">
        <w:t>enrollees</w:t>
      </w:r>
      <w:r>
        <w:t xml:space="preserve">, foster care parents, and adoptive parents with regard </w:t>
      </w:r>
      <w:r w:rsidR="007911CC">
        <w:t>to the</w:t>
      </w:r>
      <w:r w:rsidR="002355C1">
        <w:t xml:space="preserve"> program</w:t>
      </w:r>
      <w:r>
        <w:t xml:space="preserve"> and how these partners will coordinate services with the Contractor;</w:t>
      </w:r>
    </w:p>
    <w:p w14:paraId="35C3D8B5" w14:textId="5BEC7B24" w:rsidR="00A277A5" w:rsidRDefault="00A277A5" w:rsidP="00257641">
      <w:pPr>
        <w:pStyle w:val="bullet1"/>
      </w:pPr>
      <w:r>
        <w:t>Covered medical, behavioral, and SNS services and the provider’s responsibilities for providing and/or coordinating such services. A special emphasis should be placed on areas that vary from MHT and WVHB Medicaid coverage and commercial coverage rules;</w:t>
      </w:r>
    </w:p>
    <w:p w14:paraId="1A3CF8EF" w14:textId="208D80BB" w:rsidR="00A277A5" w:rsidRPr="007B17D4" w:rsidRDefault="00A277A5" w:rsidP="00257641">
      <w:pPr>
        <w:pStyle w:val="bullet1"/>
      </w:pPr>
      <w:r>
        <w:t xml:space="preserve">Requirements for providing </w:t>
      </w:r>
      <w:r w:rsidR="002355C1">
        <w:t>s</w:t>
      </w:r>
      <w:r>
        <w:t xml:space="preserve">ervices to </w:t>
      </w:r>
      <w:r w:rsidR="00E44575">
        <w:t>enrollees</w:t>
      </w:r>
      <w:r>
        <w:t>, including: m</w:t>
      </w:r>
      <w:r w:rsidRPr="00A277A5">
        <w:t>edical consent requirements</w:t>
      </w:r>
      <w:r>
        <w:t>, r</w:t>
      </w:r>
      <w:r w:rsidRPr="00A277A5">
        <w:t>equired timelines for services and assessments</w:t>
      </w:r>
      <w:r>
        <w:t xml:space="preserve">, special medical information needed for children in Foster Care, </w:t>
      </w:r>
      <w:r w:rsidR="00FB459E">
        <w:rPr>
          <w:szCs w:val="24"/>
        </w:rPr>
        <w:t>appropriate utilization of psychotropic medications</w:t>
      </w:r>
      <w:r w:rsidR="002355C1">
        <w:rPr>
          <w:szCs w:val="24"/>
        </w:rPr>
        <w:t>;</w:t>
      </w:r>
    </w:p>
    <w:p w14:paraId="7241C831" w14:textId="7A38567C" w:rsidR="007B17D4" w:rsidRDefault="007B17D4" w:rsidP="00257641">
      <w:pPr>
        <w:pStyle w:val="bullet1"/>
      </w:pPr>
      <w:r>
        <w:t xml:space="preserve">Training in a </w:t>
      </w:r>
      <w:r w:rsidRPr="00183AD0">
        <w:t>Tr</w:t>
      </w:r>
      <w:r>
        <w:t>auma-Informed Approach to care;</w:t>
      </w:r>
    </w:p>
    <w:p w14:paraId="569BE213" w14:textId="0F72430E" w:rsidR="007B17D4" w:rsidRDefault="007B17D4" w:rsidP="00257641">
      <w:pPr>
        <w:pStyle w:val="bullet1"/>
      </w:pPr>
      <w:r>
        <w:t>Information on the effect of abuse and neglect on the developing brain;</w:t>
      </w:r>
    </w:p>
    <w:p w14:paraId="79679C9B" w14:textId="49B76A62" w:rsidR="007B17D4" w:rsidRDefault="007B17D4" w:rsidP="00257641">
      <w:pPr>
        <w:pStyle w:val="bullet1"/>
      </w:pPr>
      <w:r>
        <w:t>Information on the effect of intrauterine assault, fetal alcohol syndrome and shaken baby syndrome;</w:t>
      </w:r>
    </w:p>
    <w:p w14:paraId="16EFD787" w14:textId="30121C98" w:rsidR="007B17D4" w:rsidRDefault="007B17D4" w:rsidP="00257641">
      <w:pPr>
        <w:pStyle w:val="bullet1"/>
      </w:pPr>
      <w:r>
        <w:t xml:space="preserve">Training in how to screen for and identify trauma, and Behavioral Health and Substance Use </w:t>
      </w:r>
      <w:r w:rsidR="002355C1">
        <w:t>D</w:t>
      </w:r>
      <w:r>
        <w:t>isorders;</w:t>
      </w:r>
      <w:r w:rsidR="002355C1">
        <w:t xml:space="preserve"> and </w:t>
      </w:r>
    </w:p>
    <w:p w14:paraId="47148B7F" w14:textId="41DFBCE0" w:rsidR="007B17D4" w:rsidRDefault="007B17D4" w:rsidP="00257641">
      <w:pPr>
        <w:pStyle w:val="bullet1last"/>
      </w:pPr>
      <w:r>
        <w:t>Training on the Contractor’s authorization and referral processes</w:t>
      </w:r>
      <w:r w:rsidR="002355C1">
        <w:t>.</w:t>
      </w:r>
    </w:p>
    <w:p w14:paraId="1859DDFE" w14:textId="06B84846" w:rsidR="009A0060" w:rsidRPr="00DF1D1C" w:rsidRDefault="00A2280F" w:rsidP="00257641">
      <w:pPr>
        <w:pStyle w:val="StyleHeading4After0pt"/>
      </w:pPr>
      <w:r>
        <w:lastRenderedPageBreak/>
        <w:t>3</w:t>
      </w:r>
      <w:r w:rsidR="00AD34B1">
        <w:t>.1.</w:t>
      </w:r>
      <w:r w:rsidR="00A70C38">
        <w:t>8</w:t>
      </w:r>
      <w:r w:rsidR="00AB1C88">
        <w:t xml:space="preserve"> </w:t>
      </w:r>
      <w:r w:rsidR="009A0060" w:rsidRPr="00DF1D1C">
        <w:t>Service Area</w:t>
      </w:r>
    </w:p>
    <w:p w14:paraId="48B3302D" w14:textId="6F9059B3" w:rsidR="009A0060" w:rsidRPr="00DF1D1C" w:rsidRDefault="00120678" w:rsidP="00257641">
      <w:pPr>
        <w:rPr>
          <w:bCs/>
        </w:rPr>
      </w:pPr>
      <w:r>
        <w:t>The MCO must</w:t>
      </w:r>
      <w:r w:rsidR="009A0060" w:rsidRPr="00DF1D1C">
        <w:t xml:space="preserve"> notify </w:t>
      </w:r>
      <w:r w:rsidR="002355C1">
        <w:t>DHHR</w:t>
      </w:r>
      <w:r w:rsidR="002355C1" w:rsidRPr="00DF1D1C">
        <w:t xml:space="preserve"> </w:t>
      </w:r>
      <w:r w:rsidR="00BF3C3E">
        <w:t>ninety (</w:t>
      </w:r>
      <w:r w:rsidR="009A0060" w:rsidRPr="00DF1D1C">
        <w:t>90</w:t>
      </w:r>
      <w:r w:rsidR="00BF3C3E">
        <w:t>)</w:t>
      </w:r>
      <w:r w:rsidR="00D70FBF" w:rsidRPr="00DF1D1C">
        <w:t xml:space="preserve"> </w:t>
      </w:r>
      <w:r w:rsidR="00F863FE">
        <w:t xml:space="preserve">calendar </w:t>
      </w:r>
      <w:r w:rsidR="009A0060" w:rsidRPr="00DF1D1C">
        <w:t xml:space="preserve">days prior to the desired effective date if it plans to terminate performance of work under this </w:t>
      </w:r>
      <w:r w:rsidR="009B19C2">
        <w:t xml:space="preserve">Contract </w:t>
      </w:r>
      <w:r w:rsidR="009A0060" w:rsidRPr="00DF1D1C">
        <w:t>in any service area(s)</w:t>
      </w:r>
      <w:r w:rsidR="0078080B" w:rsidRPr="00DF1D1C">
        <w:t xml:space="preserve">. </w:t>
      </w:r>
      <w:r w:rsidR="009A0060" w:rsidRPr="00DF1D1C">
        <w:rPr>
          <w:bCs/>
        </w:rPr>
        <w:t xml:space="preserve">If the MCO terminates </w:t>
      </w:r>
      <w:r w:rsidR="009A0060" w:rsidRPr="00DF1D1C">
        <w:t xml:space="preserve">services to any service area(s), </w:t>
      </w:r>
      <w:r>
        <w:rPr>
          <w:bCs/>
        </w:rPr>
        <w:t xml:space="preserve">the MCO </w:t>
      </w:r>
      <w:r w:rsidR="002355C1">
        <w:rPr>
          <w:bCs/>
        </w:rPr>
        <w:t xml:space="preserve">contract </w:t>
      </w:r>
      <w:r w:rsidR="006876E5">
        <w:rPr>
          <w:bCs/>
        </w:rPr>
        <w:t xml:space="preserve">must </w:t>
      </w:r>
      <w:r w:rsidR="002355C1">
        <w:rPr>
          <w:bCs/>
        </w:rPr>
        <w:t>be voided, as statewide coverage at all times is a required condition of the contract</w:t>
      </w:r>
      <w:r w:rsidR="009A0060" w:rsidRPr="00DF1D1C">
        <w:rPr>
          <w:bCs/>
        </w:rPr>
        <w:t>.</w:t>
      </w:r>
    </w:p>
    <w:p w14:paraId="1D4C044B" w14:textId="3CFB607F" w:rsidR="009A0060" w:rsidRPr="00DF1D1C" w:rsidRDefault="00A2280F" w:rsidP="00257641">
      <w:pPr>
        <w:pStyle w:val="Heading4"/>
      </w:pPr>
      <w:r>
        <w:t>3</w:t>
      </w:r>
      <w:r w:rsidR="00AD34B1">
        <w:t>.1.</w:t>
      </w:r>
      <w:r w:rsidR="00126753">
        <w:t xml:space="preserve">8 </w:t>
      </w:r>
      <w:r w:rsidR="009A0060" w:rsidRPr="00DF1D1C">
        <w:t>Network Changes</w:t>
      </w:r>
    </w:p>
    <w:p w14:paraId="084D71D7" w14:textId="699B943A" w:rsidR="009A0060" w:rsidRPr="00DF1D1C" w:rsidRDefault="009A0060" w:rsidP="00257641">
      <w:r w:rsidRPr="00DF1D1C">
        <w:t xml:space="preserve">In addition to reporting quarterly on the size and composition of its provider networks, the MCO must notify </w:t>
      </w:r>
      <w:r w:rsidR="002355C1">
        <w:t>DHHR</w:t>
      </w:r>
      <w:r w:rsidR="002355C1" w:rsidRPr="00DF1D1C">
        <w:t xml:space="preserve"> </w:t>
      </w:r>
      <w:r w:rsidRPr="00DF1D1C">
        <w:t>of any changes to the composition of its provider network that materially affect the MCO</w:t>
      </w:r>
      <w:r w:rsidR="00FA1C0C" w:rsidRPr="00DF1D1C">
        <w:t>’</w:t>
      </w:r>
      <w:r w:rsidRPr="00DF1D1C">
        <w:t xml:space="preserve">s ability to deliver all capitated </w:t>
      </w:r>
      <w:r w:rsidR="00BF360F" w:rsidRPr="00DF1D1C">
        <w:t>services</w:t>
      </w:r>
      <w:r w:rsidR="00BF360F">
        <w:t xml:space="preserve"> </w:t>
      </w:r>
      <w:r w:rsidR="00B72953">
        <w:t xml:space="preserve">within </w:t>
      </w:r>
      <w:r w:rsidR="002355C1">
        <w:t xml:space="preserve">seven </w:t>
      </w:r>
      <w:r w:rsidR="00B72953">
        <w:t>(</w:t>
      </w:r>
      <w:r w:rsidR="002355C1">
        <w:t>7</w:t>
      </w:r>
      <w:r w:rsidR="00B72953">
        <w:t>)</w:t>
      </w:r>
      <w:r w:rsidR="00BF360F">
        <w:t xml:space="preserve"> </w:t>
      </w:r>
      <w:r w:rsidR="00F863FE">
        <w:t xml:space="preserve">calendar </w:t>
      </w:r>
      <w:r w:rsidR="00BF360F">
        <w:t>days of such change identified.</w:t>
      </w:r>
      <w:r w:rsidRPr="00DF1D1C">
        <w:t xml:space="preserve"> The MCO must provide </w:t>
      </w:r>
      <w:r w:rsidR="002355C1">
        <w:t>DHHR</w:t>
      </w:r>
      <w:r w:rsidR="002355C1" w:rsidRPr="00DF1D1C">
        <w:t xml:space="preserve"> </w:t>
      </w:r>
      <w:r w:rsidRPr="00DF1D1C">
        <w:t xml:space="preserve">with advanced written notice of any </w:t>
      </w:r>
      <w:r w:rsidR="00534385">
        <w:t xml:space="preserve">PCP </w:t>
      </w:r>
      <w:r w:rsidRPr="00DF1D1C">
        <w:t xml:space="preserve">network deletions </w:t>
      </w:r>
      <w:r w:rsidR="00534385">
        <w:t>within</w:t>
      </w:r>
      <w:r w:rsidR="000B2251">
        <w:t xml:space="preserve"> </w:t>
      </w:r>
      <w:r w:rsidR="002355C1">
        <w:t xml:space="preserve">seven </w:t>
      </w:r>
      <w:r w:rsidR="000B2251">
        <w:t>(</w:t>
      </w:r>
      <w:r w:rsidR="002355C1">
        <w:t>7</w:t>
      </w:r>
      <w:r w:rsidR="000B2251">
        <w:t>)</w:t>
      </w:r>
      <w:r w:rsidR="00534385">
        <w:t xml:space="preserve"> </w:t>
      </w:r>
      <w:r w:rsidR="00244F1A">
        <w:t xml:space="preserve">calendar </w:t>
      </w:r>
      <w:r w:rsidR="00534385">
        <w:t>days</w:t>
      </w:r>
      <w:r w:rsidR="0078080B" w:rsidRPr="00DF1D1C">
        <w:t xml:space="preserve">. </w:t>
      </w:r>
      <w:r w:rsidR="00120678">
        <w:t xml:space="preserve">The MCO must </w:t>
      </w:r>
      <w:r w:rsidRPr="00DF1D1C">
        <w:t>report any disenrollment of hospitals from the MCO</w:t>
      </w:r>
      <w:r w:rsidR="00FA1C0C" w:rsidRPr="00DF1D1C">
        <w:t>’</w:t>
      </w:r>
      <w:r w:rsidRPr="00DF1D1C">
        <w:t xml:space="preserve">s network to </w:t>
      </w:r>
      <w:r w:rsidR="002355C1">
        <w:t>DHHR</w:t>
      </w:r>
      <w:r w:rsidR="002355C1" w:rsidRPr="00DF1D1C">
        <w:t xml:space="preserve"> </w:t>
      </w:r>
      <w:r w:rsidRPr="00DF1D1C">
        <w:t>immediately.</w:t>
      </w:r>
    </w:p>
    <w:p w14:paraId="1E14E840" w14:textId="0FCE2B15" w:rsidR="00672097" w:rsidRPr="00DF1D1C" w:rsidRDefault="009A0060" w:rsidP="00257641">
      <w:r w:rsidRPr="00DF1D1C">
        <w:t>In cases of PCP withdrawals, the MCO must also provide enrollees</w:t>
      </w:r>
      <w:r w:rsidR="00196973">
        <w:t xml:space="preserve"> or his representative</w:t>
      </w:r>
      <w:r w:rsidRPr="00DF1D1C">
        <w:t xml:space="preserve"> with at least </w:t>
      </w:r>
      <w:r w:rsidR="00F863FE">
        <w:t xml:space="preserve">a </w:t>
      </w:r>
      <w:r w:rsidR="00BF3C3E">
        <w:t>thirty (</w:t>
      </w:r>
      <w:r w:rsidRPr="00DF1D1C">
        <w:t>30</w:t>
      </w:r>
      <w:r w:rsidR="00BF3C3E">
        <w:t>)</w:t>
      </w:r>
      <w:r w:rsidRPr="00DF1D1C">
        <w:t xml:space="preserve"> day notice whenever possible and allow them the opportunity to select a new PCP before being assigned one</w:t>
      </w:r>
      <w:r w:rsidR="0078080B" w:rsidRPr="00DF1D1C">
        <w:t xml:space="preserve">. </w:t>
      </w:r>
      <w:r w:rsidRPr="00DF1D1C">
        <w:t>In cases of MCO</w:t>
      </w:r>
      <w:r w:rsidR="00013293">
        <w:t>-</w:t>
      </w:r>
      <w:r w:rsidRPr="00DF1D1C">
        <w:t>initiated provider termination, the MC</w:t>
      </w:r>
      <w:r w:rsidR="00120678">
        <w:t>O must</w:t>
      </w:r>
      <w:r w:rsidRPr="00DF1D1C">
        <w:t xml:space="preserve"> provide written notice to enrollees when a contracted provider has been terminated, within</w:t>
      </w:r>
      <w:r w:rsidR="00B2234C">
        <w:t xml:space="preserve"> fifteen</w:t>
      </w:r>
      <w:r w:rsidRPr="00DF1D1C">
        <w:t xml:space="preserve"> </w:t>
      </w:r>
      <w:r w:rsidR="00B2234C">
        <w:t>(</w:t>
      </w:r>
      <w:r w:rsidRPr="00DF1D1C">
        <w:t>15</w:t>
      </w:r>
      <w:r w:rsidR="00B2234C">
        <w:t>)</w:t>
      </w:r>
      <w:r w:rsidRPr="00DF1D1C">
        <w:t xml:space="preserve"> </w:t>
      </w:r>
      <w:r w:rsidR="00F863FE">
        <w:t xml:space="preserve">calendar </w:t>
      </w:r>
      <w:r w:rsidRPr="00DF1D1C">
        <w:t>days of issuance of the termination notice</w:t>
      </w:r>
      <w:r w:rsidR="0078080B" w:rsidRPr="00DF1D1C">
        <w:t xml:space="preserve">. </w:t>
      </w:r>
      <w:r w:rsidRPr="00DF1D1C">
        <w:t xml:space="preserve">The MCO must have procedures to address changes in its network that constrain the ability of clients to access services. </w:t>
      </w:r>
      <w:r w:rsidR="00196973">
        <w:t xml:space="preserve">The Contractor </w:t>
      </w:r>
      <w:r w:rsidR="006876E5">
        <w:t xml:space="preserve">must </w:t>
      </w:r>
      <w:r w:rsidR="00196973">
        <w:t xml:space="preserve">notify </w:t>
      </w:r>
      <w:r w:rsidR="002355C1">
        <w:t>DHHR</w:t>
      </w:r>
      <w:r w:rsidR="00196973">
        <w:t xml:space="preserve"> within seven (7) </w:t>
      </w:r>
      <w:r w:rsidR="002355C1">
        <w:t>b</w:t>
      </w:r>
      <w:r w:rsidR="00196973">
        <w:t xml:space="preserve">usiness </w:t>
      </w:r>
      <w:r w:rsidR="002355C1">
        <w:t>d</w:t>
      </w:r>
      <w:r w:rsidR="00196973">
        <w:t xml:space="preserve">ays of any significant changes to the provider network or, if applicable, to any subcontractors’ provider networks. </w:t>
      </w:r>
      <w:r w:rsidRPr="00DF1D1C">
        <w:t xml:space="preserve">Material changes in network composition that negatively affect client access to services and which are not corrected may be grounds for </w:t>
      </w:r>
      <w:r w:rsidR="009B19C2">
        <w:t xml:space="preserve">Contract </w:t>
      </w:r>
      <w:r w:rsidRPr="00DF1D1C">
        <w:t>termination.</w:t>
      </w:r>
    </w:p>
    <w:p w14:paraId="231E99FF" w14:textId="37ACD9B0" w:rsidR="009A0060" w:rsidRPr="00DF1D1C" w:rsidRDefault="00D82580" w:rsidP="00257641">
      <w:pPr>
        <w:pStyle w:val="StyleHeading3After0pt"/>
        <w:jc w:val="both"/>
      </w:pPr>
      <w:bookmarkStart w:id="112" w:name="_Toc73441787"/>
      <w:r>
        <w:t>3</w:t>
      </w:r>
      <w:r w:rsidR="009A0060" w:rsidRPr="00DF1D1C">
        <w:t>.2</w:t>
      </w:r>
      <w:r w:rsidR="009A0060" w:rsidRPr="00DF1D1C">
        <w:tab/>
        <w:t>Primary Care Providers (PCPs)</w:t>
      </w:r>
      <w:bookmarkEnd w:id="112"/>
    </w:p>
    <w:p w14:paraId="68068EB2" w14:textId="0D9A8727" w:rsidR="009A0060" w:rsidRPr="00DF1D1C" w:rsidRDefault="00D82580" w:rsidP="00257641">
      <w:pPr>
        <w:pStyle w:val="Heading4"/>
        <w:jc w:val="both"/>
      </w:pPr>
      <w:r>
        <w:t>3</w:t>
      </w:r>
      <w:r w:rsidR="00EA3E3C">
        <w:t xml:space="preserve">.2.1 </w:t>
      </w:r>
      <w:r w:rsidR="009A0060" w:rsidRPr="00DF1D1C">
        <w:t>PCP Responsibilities</w:t>
      </w:r>
    </w:p>
    <w:p w14:paraId="5E9D324E" w14:textId="77777777" w:rsidR="009A0060" w:rsidRPr="00DF1D1C" w:rsidRDefault="009A0060" w:rsidP="00257641">
      <w:pPr>
        <w:pStyle w:val="normal6"/>
      </w:pPr>
      <w:r w:rsidRPr="00DF1D1C">
        <w:t>The PCP will be the MCO enrollee</w:t>
      </w:r>
      <w:r w:rsidR="00FA1C0C" w:rsidRPr="00DF1D1C">
        <w:t>’</w:t>
      </w:r>
      <w:r w:rsidRPr="00DF1D1C">
        <w:t>s initial and most important contact with the MCO</w:t>
      </w:r>
      <w:r w:rsidR="0078080B" w:rsidRPr="00DF1D1C">
        <w:t xml:space="preserve">. </w:t>
      </w:r>
      <w:r w:rsidRPr="00DF1D1C">
        <w:t>As such, PCPs must have at least the following responsibilities:</w:t>
      </w:r>
    </w:p>
    <w:p w14:paraId="4F9FCCE7" w14:textId="77777777" w:rsidR="009A0060" w:rsidRPr="00C976AC" w:rsidRDefault="009A0060" w:rsidP="00257641">
      <w:pPr>
        <w:pStyle w:val="bullet1"/>
      </w:pPr>
      <w:r w:rsidRPr="00C976AC">
        <w:t>Maintaining continuity of each enrollee</w:t>
      </w:r>
      <w:r w:rsidR="00FA1C0C" w:rsidRPr="00C976AC">
        <w:t>’</w:t>
      </w:r>
      <w:r w:rsidRPr="00C976AC">
        <w:t>s health care by serving as the enrollee</w:t>
      </w:r>
      <w:r w:rsidR="00FA1C0C" w:rsidRPr="00C976AC">
        <w:t>’</w:t>
      </w:r>
      <w:r w:rsidRPr="00C976AC">
        <w:t>s primary care provider;</w:t>
      </w:r>
    </w:p>
    <w:p w14:paraId="40848958" w14:textId="7C3F9B23" w:rsidR="009A0060" w:rsidRPr="00C976AC" w:rsidRDefault="009A0060" w:rsidP="00257641">
      <w:pPr>
        <w:pStyle w:val="bullet1"/>
      </w:pPr>
      <w:r w:rsidRPr="00C976AC">
        <w:t xml:space="preserve">Providing </w:t>
      </w:r>
      <w:r w:rsidR="00F863FE">
        <w:t>twenty-four (</w:t>
      </w:r>
      <w:r w:rsidRPr="00C976AC">
        <w:t>24</w:t>
      </w:r>
      <w:r w:rsidR="00F863FE">
        <w:t xml:space="preserve">) </w:t>
      </w:r>
      <w:r w:rsidRPr="00C976AC">
        <w:t>hour, seven</w:t>
      </w:r>
      <w:r w:rsidR="00BF072C">
        <w:t xml:space="preserve"> (7)</w:t>
      </w:r>
      <w:r w:rsidRPr="00C976AC">
        <w:t>-day-a-week access;</w:t>
      </w:r>
    </w:p>
    <w:p w14:paraId="3795BD20" w14:textId="77777777" w:rsidR="009A0060" w:rsidRPr="00C976AC" w:rsidRDefault="009A0060" w:rsidP="00257641">
      <w:pPr>
        <w:pStyle w:val="bullet1"/>
      </w:pPr>
      <w:r w:rsidRPr="00C976AC">
        <w:t>Making referrals for specialty care a</w:t>
      </w:r>
      <w:r w:rsidR="009771A6" w:rsidRPr="00C976AC">
        <w:t>nd other Medically N</w:t>
      </w:r>
      <w:r w:rsidRPr="00C976AC">
        <w:t xml:space="preserve">ecessary </w:t>
      </w:r>
      <w:r w:rsidR="009771A6" w:rsidRPr="00C976AC">
        <w:t xml:space="preserve">covered </w:t>
      </w:r>
      <w:r w:rsidRPr="00C976AC">
        <w:t>services, both in-</w:t>
      </w:r>
      <w:r w:rsidR="00E31F31" w:rsidRPr="00C976AC">
        <w:t xml:space="preserve">network </w:t>
      </w:r>
      <w:r w:rsidRPr="00C976AC">
        <w:t>and out-of-</w:t>
      </w:r>
      <w:r w:rsidR="00E31F31" w:rsidRPr="00C976AC">
        <w:t>network</w:t>
      </w:r>
      <w:r w:rsidRPr="00C976AC">
        <w:t>, consistent with the MCO</w:t>
      </w:r>
      <w:r w:rsidR="00FA1C0C" w:rsidRPr="00C976AC">
        <w:t>’</w:t>
      </w:r>
      <w:r w:rsidRPr="00C976AC">
        <w:t>s utilization management policies;</w:t>
      </w:r>
    </w:p>
    <w:p w14:paraId="06854B65" w14:textId="77777777" w:rsidR="009A0060" w:rsidRPr="00C976AC" w:rsidRDefault="009A0060" w:rsidP="00257641">
      <w:pPr>
        <w:pStyle w:val="bullet1"/>
      </w:pPr>
      <w:r w:rsidRPr="00C976AC">
        <w:t>Maintaining a current medical record for the enrollee, including documentation of all services provided to the enrollee by the PCP, as well as any specialty or referral services;</w:t>
      </w:r>
    </w:p>
    <w:p w14:paraId="42AA2234" w14:textId="77777777" w:rsidR="00496D91" w:rsidRPr="00C976AC" w:rsidRDefault="00915AE2" w:rsidP="00257641">
      <w:pPr>
        <w:pStyle w:val="bullet1"/>
      </w:pPr>
      <w:r w:rsidRPr="00C976AC">
        <w:t>Adhering to the EPSDT Periodicity S</w:t>
      </w:r>
      <w:r w:rsidR="009A0060" w:rsidRPr="00C976AC">
        <w:t>chedule for enrollees under age twenty-one (21); and</w:t>
      </w:r>
    </w:p>
    <w:p w14:paraId="13EF0DCB" w14:textId="77777777" w:rsidR="009A0060" w:rsidRPr="00C976AC" w:rsidRDefault="009A0060" w:rsidP="00257641">
      <w:pPr>
        <w:pStyle w:val="bullet1last"/>
      </w:pPr>
      <w:r w:rsidRPr="00C976AC">
        <w:t>Following MCO-established procedures for coordination of in-network and out-of-network services for Medicaid enrollees.</w:t>
      </w:r>
    </w:p>
    <w:p w14:paraId="54F0E39C" w14:textId="77777777" w:rsidR="009A0060" w:rsidRPr="00DF1D1C" w:rsidRDefault="009A0060" w:rsidP="00257641">
      <w:r w:rsidRPr="00DF1D1C">
        <w:lastRenderedPageBreak/>
        <w:t>Although PCPs must be given responsibility for the above activities, the MCO must also retain responsibility for monitoring PCP actions to ensure they comply with MCO and West Virginia Medicaid managed care program policies</w:t>
      </w:r>
      <w:r w:rsidR="0078080B" w:rsidRPr="00DF1D1C">
        <w:t xml:space="preserve">. </w:t>
      </w:r>
    </w:p>
    <w:p w14:paraId="3858C0B9" w14:textId="77777777" w:rsidR="009A0060" w:rsidRPr="00DF1D1C" w:rsidRDefault="009A0060" w:rsidP="00257641">
      <w:r w:rsidRPr="00DF1D1C">
        <w:t>Additionally, the MCO must communicate with PCPs about the delivery of primary behavioral health services within their scope of practice, as well as the appropriate circumstances for making referrals to behavioral health providers</w:t>
      </w:r>
      <w:r w:rsidR="0078080B" w:rsidRPr="00DF1D1C">
        <w:t xml:space="preserve">. </w:t>
      </w:r>
      <w:r w:rsidRPr="00DF1D1C">
        <w:t>MCO</w:t>
      </w:r>
      <w:r w:rsidR="00524A44">
        <w:t>s may</w:t>
      </w:r>
      <w:r w:rsidRPr="00DF1D1C">
        <w:t xml:space="preserve"> provide this information through its provider manual, continuing education agendas, informal visits by provider representatives, or any other means</w:t>
      </w:r>
      <w:r w:rsidR="0078080B" w:rsidRPr="00DF1D1C">
        <w:t xml:space="preserve">. </w:t>
      </w:r>
      <w:r w:rsidRPr="00DF1D1C">
        <w:t>The MCO must ensure that PCPs are successfully identifying and referring patients to a behavioral health provider and provide education to PCPs who do not have training in this area.</w:t>
      </w:r>
    </w:p>
    <w:p w14:paraId="3FE64602" w14:textId="0CDD6E5A" w:rsidR="009A0060" w:rsidRPr="00DF1D1C" w:rsidRDefault="00D82580" w:rsidP="00257641">
      <w:pPr>
        <w:pStyle w:val="Heading4"/>
        <w:jc w:val="both"/>
      </w:pPr>
      <w:r>
        <w:t>3</w:t>
      </w:r>
      <w:r w:rsidR="00EA3E3C">
        <w:t xml:space="preserve">.2.2 </w:t>
      </w:r>
      <w:r w:rsidR="003B3E12">
        <w:t>Ratio</w:t>
      </w:r>
      <w:r w:rsidR="003B3E12" w:rsidRPr="00DF1D1C">
        <w:t xml:space="preserve"> </w:t>
      </w:r>
      <w:r w:rsidR="009A0060" w:rsidRPr="00DF1D1C">
        <w:t>of PCP</w:t>
      </w:r>
      <w:r w:rsidR="00041ECF">
        <w:t xml:space="preserve">s to </w:t>
      </w:r>
      <w:r w:rsidR="00E44575">
        <w:t>Enrollees</w:t>
      </w:r>
      <w:r w:rsidR="00E44575" w:rsidRPr="00DF1D1C">
        <w:t xml:space="preserve"> </w:t>
      </w:r>
    </w:p>
    <w:p w14:paraId="2AA667A0" w14:textId="791DEE24" w:rsidR="00041ECF" w:rsidRDefault="00041ECF" w:rsidP="005C2321">
      <w:r w:rsidRPr="005C2321">
        <w:t>The MCO’s provider network must include a panel of primary care providers (PCPs) from which the enrollee may select a personal PCP.</w:t>
      </w:r>
      <w:r w:rsidR="003150A4" w:rsidRPr="005C2321">
        <w:t xml:space="preserve"> </w:t>
      </w:r>
      <w:r>
        <w:t xml:space="preserve">The MCO must maintain an adequate panel of available PCPs so that the ratio of PCPs to </w:t>
      </w:r>
      <w:r w:rsidR="00E44575">
        <w:t xml:space="preserve">enrollees </w:t>
      </w:r>
      <w:r>
        <w:t>meets or exceeds the required ratio of o</w:t>
      </w:r>
      <w:r w:rsidRPr="00CA2F31">
        <w:t xml:space="preserve">ne (1) PCP for every </w:t>
      </w:r>
      <w:r>
        <w:t>five hundered (</w:t>
      </w:r>
      <w:r w:rsidRPr="00CA2F31">
        <w:t>500</w:t>
      </w:r>
      <w:r>
        <w:t>) adult</w:t>
      </w:r>
      <w:r w:rsidRPr="00CA2F31">
        <w:t xml:space="preserve"> </w:t>
      </w:r>
      <w:r w:rsidR="00E44575">
        <w:t>enrollee</w:t>
      </w:r>
      <w:r w:rsidR="00E44575" w:rsidRPr="00CA2F31">
        <w:t>s</w:t>
      </w:r>
      <w:r w:rsidR="00E44575">
        <w:t xml:space="preserve"> </w:t>
      </w:r>
      <w:r>
        <w:t xml:space="preserve">who is accepting new </w:t>
      </w:r>
      <w:r w:rsidR="00E44575">
        <w:t xml:space="preserve">enrollees </w:t>
      </w:r>
      <w:r>
        <w:t>and o</w:t>
      </w:r>
      <w:r w:rsidRPr="00CA2F31">
        <w:t xml:space="preserve">ne (1) age appropriate PCP for every </w:t>
      </w:r>
      <w:r>
        <w:t>two hundred fifty (</w:t>
      </w:r>
      <w:r w:rsidRPr="00CA2F31">
        <w:t>250</w:t>
      </w:r>
      <w:r>
        <w:t>)</w:t>
      </w:r>
      <w:r w:rsidRPr="00CA2F31">
        <w:t xml:space="preserve"> </w:t>
      </w:r>
      <w:r>
        <w:t xml:space="preserve">pediatric </w:t>
      </w:r>
      <w:r w:rsidR="00E44575">
        <w:t>enrollee</w:t>
      </w:r>
      <w:r w:rsidR="00E44575" w:rsidRPr="00CA2F31">
        <w:t>s</w:t>
      </w:r>
      <w:r w:rsidR="00E44575">
        <w:t xml:space="preserve"> </w:t>
      </w:r>
      <w:r>
        <w:t>under twenty-one (21) who is accepting new patients as outlined in Appendix K.</w:t>
      </w:r>
    </w:p>
    <w:p w14:paraId="4CE22F9A" w14:textId="663F9471" w:rsidR="00041ECF" w:rsidRDefault="00041ECF" w:rsidP="00257641">
      <w:r>
        <w:t xml:space="preserve">Only PCPs who have assigned MCO </w:t>
      </w:r>
      <w:r w:rsidR="00E44575">
        <w:t xml:space="preserve">enrollees </w:t>
      </w:r>
      <w:r>
        <w:t>and are listed in the MCO’s provider directory as accepting new patients will count toward the provider-to-</w:t>
      </w:r>
      <w:r w:rsidR="00E44575">
        <w:t xml:space="preserve">enrollee </w:t>
      </w:r>
      <w:r>
        <w:t xml:space="preserve">ratio. Specialists designated as PCPs for certain individuals will not count toward the standard, unless these providers are willing to serve as the PCP for other enrollees. The </w:t>
      </w:r>
      <w:r w:rsidR="00E44575">
        <w:t>provider</w:t>
      </w:r>
      <w:r>
        <w:t>-to-</w:t>
      </w:r>
      <w:r w:rsidR="00E44575">
        <w:t>enrollee</w:t>
      </w:r>
      <w:r>
        <w:t xml:space="preserve"> ratio is distinct from the requirement in the MCO contract regarding the total assigned panel size for any individual PCP.</w:t>
      </w:r>
    </w:p>
    <w:p w14:paraId="3DCCACAB" w14:textId="302EAD69" w:rsidR="005E146C" w:rsidRDefault="005E146C" w:rsidP="00257641">
      <w:pPr>
        <w:pStyle w:val="Heading5"/>
      </w:pPr>
      <w:r>
        <w:t xml:space="preserve">3.2.2.1 PCP </w:t>
      </w:r>
      <w:r w:rsidR="00E44575">
        <w:t xml:space="preserve">Enrollee </w:t>
      </w:r>
      <w:r>
        <w:t>Panels</w:t>
      </w:r>
    </w:p>
    <w:p w14:paraId="00189B8A" w14:textId="0C74140F" w:rsidR="009A0060" w:rsidRPr="00DF1D1C" w:rsidRDefault="009A0060" w:rsidP="00257641">
      <w:r w:rsidRPr="00DF1D1C">
        <w:t xml:space="preserve">The MCO is expected to ensure that the Medicaid </w:t>
      </w:r>
      <w:r w:rsidR="00E44575">
        <w:t>enrollee</w:t>
      </w:r>
      <w:r w:rsidR="00E44575" w:rsidRPr="00DF1D1C">
        <w:t xml:space="preserve"> </w:t>
      </w:r>
      <w:r w:rsidR="005E146C">
        <w:t>panel</w:t>
      </w:r>
      <w:r w:rsidR="005E146C" w:rsidRPr="00DF1D1C">
        <w:t xml:space="preserve"> </w:t>
      </w:r>
      <w:r w:rsidRPr="00DF1D1C">
        <w:t>of any PCP in its network does not exceed</w:t>
      </w:r>
      <w:r w:rsidR="005E146C" w:rsidRPr="005E146C">
        <w:t xml:space="preserve"> </w:t>
      </w:r>
      <w:r w:rsidR="005E146C">
        <w:t>two thousand</w:t>
      </w:r>
      <w:r w:rsidRPr="00DF1D1C">
        <w:t xml:space="preserve"> </w:t>
      </w:r>
      <w:r w:rsidR="005E146C">
        <w:t>(</w:t>
      </w:r>
      <w:r w:rsidR="007577DC">
        <w:t>2</w:t>
      </w:r>
      <w:r w:rsidRPr="00DF1D1C">
        <w:t>,</w:t>
      </w:r>
      <w:r w:rsidR="007577DC">
        <w:t>0</w:t>
      </w:r>
      <w:r w:rsidR="007577DC" w:rsidRPr="00DF1D1C">
        <w:t>00</w:t>
      </w:r>
      <w:r w:rsidR="005E146C">
        <w:t>)</w:t>
      </w:r>
      <w:r w:rsidR="007577DC" w:rsidRPr="00DF1D1C">
        <w:t xml:space="preserve"> </w:t>
      </w:r>
      <w:r w:rsidRPr="00DF1D1C">
        <w:t xml:space="preserve">Medicaid </w:t>
      </w:r>
      <w:r w:rsidR="00E44575">
        <w:t>enrollee</w:t>
      </w:r>
      <w:r w:rsidR="00E44575" w:rsidRPr="00DF1D1C">
        <w:t>s</w:t>
      </w:r>
      <w:r w:rsidR="0078080B" w:rsidRPr="00DF1D1C">
        <w:t xml:space="preserve">. </w:t>
      </w:r>
      <w:r w:rsidRPr="00DF1D1C">
        <w:t xml:space="preserve">The </w:t>
      </w:r>
      <w:r w:rsidR="005E146C">
        <w:t>two thousand (</w:t>
      </w:r>
      <w:r w:rsidR="007577DC">
        <w:t>2</w:t>
      </w:r>
      <w:r w:rsidRPr="00DF1D1C">
        <w:t>,</w:t>
      </w:r>
      <w:r w:rsidR="007577DC">
        <w:t>0</w:t>
      </w:r>
      <w:r w:rsidR="007577DC" w:rsidRPr="00DF1D1C">
        <w:t>00</w:t>
      </w:r>
      <w:r w:rsidR="005E146C">
        <w:t>)</w:t>
      </w:r>
      <w:r w:rsidR="007577DC" w:rsidRPr="00DF1D1C">
        <w:t xml:space="preserve"> </w:t>
      </w:r>
      <w:r w:rsidRPr="00DF1D1C">
        <w:t xml:space="preserve">Medicaid </w:t>
      </w:r>
      <w:r w:rsidR="00E44575">
        <w:t>enrollee</w:t>
      </w:r>
      <w:r w:rsidR="00E44575" w:rsidRPr="00DF1D1C">
        <w:t xml:space="preserve"> </w:t>
      </w:r>
      <w:r w:rsidRPr="00DF1D1C">
        <w:t>limit applies to each PCP</w:t>
      </w:r>
      <w:r w:rsidR="0078080B" w:rsidRPr="00DF1D1C">
        <w:t xml:space="preserve">. </w:t>
      </w:r>
      <w:r w:rsidRPr="00DF1D1C">
        <w:t>In the case of PCP teams (see below), this ratio may be adjusted</w:t>
      </w:r>
      <w:r w:rsidR="0078080B" w:rsidRPr="00DF1D1C">
        <w:t xml:space="preserve">. </w:t>
      </w:r>
      <w:r w:rsidRPr="00DF1D1C">
        <w:t xml:space="preserve">Exceptions to this limit may be made with the consent of the physician and </w:t>
      </w:r>
      <w:r w:rsidR="002355C1">
        <w:t>DHHR</w:t>
      </w:r>
      <w:r w:rsidR="0078080B" w:rsidRPr="00DF1D1C">
        <w:t xml:space="preserve">. </w:t>
      </w:r>
      <w:r w:rsidRPr="00DF1D1C">
        <w:t>Reasons for exceeding the limit may include: continuation of established care; assignment of a family unit; availability of mid-level clinicians in the practice that effectively expand the capacity of the physician</w:t>
      </w:r>
      <w:r w:rsidR="001C0C24" w:rsidRPr="00DF1D1C">
        <w:t>;</w:t>
      </w:r>
      <w:r w:rsidRPr="00DF1D1C">
        <w:t xml:space="preserve"> and inadequate numbers of providers in the geographic area.</w:t>
      </w:r>
    </w:p>
    <w:p w14:paraId="4B13A452" w14:textId="3E79CD8C" w:rsidR="009A0060" w:rsidRPr="00DF1D1C" w:rsidRDefault="009A0060" w:rsidP="00257641">
      <w:r w:rsidRPr="00DF1D1C">
        <w:t>Recognizing that precise numerical ratios are not readily enforceable, the MCO must take measures to ensure compliance with this requirement such as monitoring PCPs</w:t>
      </w:r>
      <w:r w:rsidR="00FA1C0C" w:rsidRPr="00DF1D1C">
        <w:t>’</w:t>
      </w:r>
      <w:r w:rsidRPr="00DF1D1C">
        <w:t xml:space="preserve"> </w:t>
      </w:r>
      <w:r w:rsidR="005E146C">
        <w:t>panels</w:t>
      </w:r>
      <w:r w:rsidR="005E146C" w:rsidRPr="00DF1D1C">
        <w:t xml:space="preserve"> </w:t>
      </w:r>
      <w:r w:rsidRPr="00DF1D1C">
        <w:t>and enrollees</w:t>
      </w:r>
      <w:r w:rsidR="00FA1C0C" w:rsidRPr="00DF1D1C">
        <w:t>’</w:t>
      </w:r>
      <w:r w:rsidRPr="00DF1D1C">
        <w:t xml:space="preserve"> access to PCPs</w:t>
      </w:r>
      <w:r w:rsidR="0078080B" w:rsidRPr="00DF1D1C">
        <w:t xml:space="preserve">. </w:t>
      </w:r>
      <w:r w:rsidR="002355C1">
        <w:t>DHHR</w:t>
      </w:r>
      <w:r w:rsidR="002355C1" w:rsidRPr="00DF1D1C">
        <w:t xml:space="preserve"> </w:t>
      </w:r>
      <w:r w:rsidR="00946AF9" w:rsidRPr="00DF1D1C">
        <w:t xml:space="preserve">will monitor PCP </w:t>
      </w:r>
      <w:r w:rsidR="005E146C" w:rsidRPr="005E146C">
        <w:t>panels</w:t>
      </w:r>
      <w:r w:rsidR="00946AF9" w:rsidRPr="00DF1D1C">
        <w:t xml:space="preserve"> across MCOs and notify each affected MCO if the total Medicaid </w:t>
      </w:r>
      <w:r w:rsidR="00E44575">
        <w:t>enrollee</w:t>
      </w:r>
      <w:r w:rsidR="00E44575" w:rsidRPr="00DF1D1C">
        <w:t xml:space="preserve"> </w:t>
      </w:r>
      <w:r w:rsidR="005E146C">
        <w:t>panel</w:t>
      </w:r>
      <w:r w:rsidR="00946AF9" w:rsidRPr="00DF1D1C">
        <w:t xml:space="preserve"> of a PCP in its network exceeds </w:t>
      </w:r>
      <w:r w:rsidR="005E146C">
        <w:t>two thousand</w:t>
      </w:r>
      <w:r w:rsidR="005E146C" w:rsidRPr="00DF1D1C">
        <w:t xml:space="preserve"> </w:t>
      </w:r>
      <w:r w:rsidR="005E146C">
        <w:t>(</w:t>
      </w:r>
      <w:r w:rsidR="007577DC">
        <w:t>2</w:t>
      </w:r>
      <w:r w:rsidR="00946AF9" w:rsidRPr="00DF1D1C">
        <w:t>,</w:t>
      </w:r>
      <w:r w:rsidR="007577DC">
        <w:t>0</w:t>
      </w:r>
      <w:r w:rsidR="007577DC" w:rsidRPr="00DF1D1C">
        <w:t>00</w:t>
      </w:r>
      <w:r w:rsidR="005E146C">
        <w:t>)</w:t>
      </w:r>
      <w:r w:rsidR="007577DC" w:rsidRPr="00DF1D1C">
        <w:t xml:space="preserve"> </w:t>
      </w:r>
      <w:r w:rsidR="00946AF9" w:rsidRPr="00DF1D1C">
        <w:t xml:space="preserve">Medicaid </w:t>
      </w:r>
      <w:r w:rsidR="00E44575">
        <w:t>enrollee</w:t>
      </w:r>
      <w:r w:rsidR="00E44575" w:rsidRPr="00DF1D1C">
        <w:t>s</w:t>
      </w:r>
      <w:r w:rsidR="00946AF9" w:rsidRPr="00DF1D1C">
        <w:t xml:space="preserve">. MCOs </w:t>
      </w:r>
      <w:r w:rsidR="00A56C61">
        <w:t>must</w:t>
      </w:r>
      <w:r w:rsidR="00946AF9" w:rsidRPr="00DF1D1C">
        <w:t xml:space="preserve"> reduce the caseload for PCPs with panels above </w:t>
      </w:r>
      <w:r w:rsidR="005E146C">
        <w:t>two thousand</w:t>
      </w:r>
      <w:r w:rsidR="005E146C" w:rsidRPr="00DF1D1C">
        <w:t xml:space="preserve"> </w:t>
      </w:r>
      <w:r w:rsidR="005E146C">
        <w:t>(</w:t>
      </w:r>
      <w:r w:rsidR="007577DC">
        <w:t>2</w:t>
      </w:r>
      <w:r w:rsidR="00946AF9" w:rsidRPr="00DF1D1C">
        <w:t>,</w:t>
      </w:r>
      <w:r w:rsidR="007577DC">
        <w:t>0</w:t>
      </w:r>
      <w:r w:rsidR="007577DC" w:rsidRPr="00DF1D1C">
        <w:t>00</w:t>
      </w:r>
      <w:r w:rsidR="005E146C">
        <w:t>)</w:t>
      </w:r>
      <w:r w:rsidR="007577DC" w:rsidRPr="00DF1D1C">
        <w:t xml:space="preserve"> </w:t>
      </w:r>
      <w:r w:rsidR="00946AF9" w:rsidRPr="00DF1D1C">
        <w:t xml:space="preserve">Medicaid </w:t>
      </w:r>
      <w:r w:rsidR="00E44575">
        <w:t>enrollee</w:t>
      </w:r>
      <w:r w:rsidR="00E44575" w:rsidRPr="00DF1D1C">
        <w:t xml:space="preserve">s </w:t>
      </w:r>
      <w:r w:rsidR="00946AF9" w:rsidRPr="00DF1D1C">
        <w:t>across the program</w:t>
      </w:r>
      <w:r w:rsidR="00A56C61">
        <w:t xml:space="preserve"> unless one</w:t>
      </w:r>
      <w:r w:rsidR="005E146C">
        <w:t xml:space="preserve"> (1)</w:t>
      </w:r>
      <w:r w:rsidR="00A56C61">
        <w:t xml:space="preserve"> of the exceptions above is granted</w:t>
      </w:r>
      <w:r w:rsidR="00946AF9" w:rsidRPr="00DF1D1C">
        <w:t>.</w:t>
      </w:r>
    </w:p>
    <w:p w14:paraId="4B93B78E" w14:textId="129D8125" w:rsidR="009A0060" w:rsidRPr="00DF1D1C" w:rsidRDefault="00D82580" w:rsidP="00257641">
      <w:pPr>
        <w:pStyle w:val="StyleHeading4After0pt"/>
        <w:jc w:val="both"/>
      </w:pPr>
      <w:r>
        <w:t>3</w:t>
      </w:r>
      <w:r w:rsidR="00EA3E3C">
        <w:t xml:space="preserve">.2.3 </w:t>
      </w:r>
      <w:r w:rsidR="009A0060" w:rsidRPr="00DF1D1C">
        <w:t>Assignment of PCP</w:t>
      </w:r>
    </w:p>
    <w:p w14:paraId="7CF59AEC" w14:textId="61CF40BC" w:rsidR="009A0060" w:rsidRDefault="009A0060" w:rsidP="00257641">
      <w:r w:rsidRPr="00DF1D1C">
        <w:t xml:space="preserve">The MCO must have written policies and procedures for assigning each of its </w:t>
      </w:r>
      <w:r w:rsidR="00E44575">
        <w:t>enrollee</w:t>
      </w:r>
      <w:r w:rsidR="00E44575" w:rsidRPr="00DF1D1C">
        <w:t xml:space="preserve">s </w:t>
      </w:r>
      <w:r w:rsidRPr="00DF1D1C">
        <w:t>to a PCP</w:t>
      </w:r>
      <w:r w:rsidR="0078080B" w:rsidRPr="00DF1D1C">
        <w:t>.</w:t>
      </w:r>
      <w:r w:rsidR="003150A4">
        <w:t xml:space="preserve"> </w:t>
      </w:r>
      <w:r w:rsidR="00525500">
        <w:t>T</w:t>
      </w:r>
      <w:r w:rsidRPr="00DF1D1C">
        <w:t xml:space="preserve">he MCO </w:t>
      </w:r>
      <w:r w:rsidR="00525500">
        <w:t>will</w:t>
      </w:r>
      <w:r w:rsidR="00525500" w:rsidRPr="00DF1D1C">
        <w:t xml:space="preserve"> </w:t>
      </w:r>
      <w:r w:rsidRPr="00DF1D1C">
        <w:t>assume responsibility for assisting the enrollee with PCP selection</w:t>
      </w:r>
      <w:r w:rsidR="0078080B" w:rsidRPr="00DF1D1C">
        <w:t xml:space="preserve">. </w:t>
      </w:r>
      <w:r w:rsidRPr="00DF1D1C">
        <w:t xml:space="preserve">MCOs must </w:t>
      </w:r>
      <w:r w:rsidRPr="00DF1D1C">
        <w:lastRenderedPageBreak/>
        <w:t xml:space="preserve">make a PCP assignment within </w:t>
      </w:r>
      <w:r w:rsidR="002355C1">
        <w:t>five</w:t>
      </w:r>
      <w:r w:rsidRPr="00DF1D1C">
        <w:t xml:space="preserve"> </w:t>
      </w:r>
      <w:r w:rsidR="0016555D">
        <w:t>(</w:t>
      </w:r>
      <w:r w:rsidR="002355C1">
        <w:t>5</w:t>
      </w:r>
      <w:r w:rsidR="0016555D">
        <w:t>)</w:t>
      </w:r>
      <w:r w:rsidR="002355C1">
        <w:t xml:space="preserve"> calendar</w:t>
      </w:r>
      <w:r w:rsidR="0016555D">
        <w:t xml:space="preserve"> </w:t>
      </w:r>
      <w:r w:rsidRPr="00DF1D1C">
        <w:t>days after a Medicaid beneficiary is enrolled in the MCO</w:t>
      </w:r>
      <w:r w:rsidR="0078080B" w:rsidRPr="00DF1D1C">
        <w:t xml:space="preserve">. </w:t>
      </w:r>
      <w:r w:rsidRPr="00DF1D1C">
        <w:t>The process whereby MCOs assign PCPs to enrollees must take into consideration such known factors as current provider relationships</w:t>
      </w:r>
      <w:r w:rsidR="00D53C3D">
        <w:t>, age</w:t>
      </w:r>
      <w:r w:rsidR="009D2775">
        <w:t>,</w:t>
      </w:r>
      <w:r w:rsidRPr="00DF1D1C">
        <w:t xml:space="preserve"> </w:t>
      </w:r>
      <w:r w:rsidR="009D2775">
        <w:t>the child’s placement (</w:t>
      </w:r>
      <w:r w:rsidR="009D2775" w:rsidRPr="009D2775">
        <w:t>physical location</w:t>
      </w:r>
      <w:r w:rsidR="009D2775">
        <w:t>)</w:t>
      </w:r>
      <w:r w:rsidR="009D2775" w:rsidRPr="009D2775">
        <w:t>, claims history, and input by DHHR caseworker</w:t>
      </w:r>
      <w:r w:rsidR="0078080B" w:rsidRPr="00DF1D1C">
        <w:t xml:space="preserve">. </w:t>
      </w:r>
      <w:r w:rsidRPr="00DF1D1C">
        <w:t>The MCO then must notify the enrollee</w:t>
      </w:r>
      <w:r w:rsidR="00D36083">
        <w:t xml:space="preserve"> or his representative</w:t>
      </w:r>
      <w:r w:rsidRPr="00DF1D1C">
        <w:t xml:space="preserve"> in writing of his or her PCP</w:t>
      </w:r>
      <w:r w:rsidR="00FA1C0C" w:rsidRPr="00DF1D1C">
        <w:t>’</w:t>
      </w:r>
      <w:r w:rsidRPr="00DF1D1C">
        <w:t>s name, location and office telephone number, and the process for selecting a new PCP if the enrollee so desires.</w:t>
      </w:r>
    </w:p>
    <w:p w14:paraId="754555DA" w14:textId="66F35412" w:rsidR="00311B46" w:rsidRPr="00DB360A" w:rsidRDefault="00E44575" w:rsidP="00257641">
      <w:pPr>
        <w:rPr>
          <w:sz w:val="20"/>
        </w:rPr>
      </w:pPr>
      <w:r>
        <w:t>Enrollee</w:t>
      </w:r>
      <w:r w:rsidRPr="00DB360A">
        <w:t xml:space="preserve">s </w:t>
      </w:r>
      <w:r w:rsidR="00311B46" w:rsidRPr="00DB360A">
        <w:t>with a disabling condition</w:t>
      </w:r>
      <w:r w:rsidR="00DB329A">
        <w:t>,</w:t>
      </w:r>
      <w:r w:rsidR="00311B46" w:rsidRPr="00DB360A">
        <w:t xml:space="preserve"> chronic illness or </w:t>
      </w:r>
      <w:r w:rsidR="005463AD">
        <w:t xml:space="preserve">who </w:t>
      </w:r>
      <w:r w:rsidR="00DB329A">
        <w:t xml:space="preserve">are </w:t>
      </w:r>
      <w:r w:rsidR="00311B46" w:rsidRPr="00DB360A">
        <w:t>SSI eligible</w:t>
      </w:r>
      <w:r w:rsidR="00826B4F">
        <w:t>s</w:t>
      </w:r>
      <w:r w:rsidR="00DB329A">
        <w:t>,</w:t>
      </w:r>
      <w:r w:rsidR="00311B46" w:rsidRPr="00DB360A">
        <w:t xml:space="preserve"> must have a choice of </w:t>
      </w:r>
      <w:r w:rsidR="00DB329A" w:rsidRPr="00DB360A">
        <w:t xml:space="preserve">specialist </w:t>
      </w:r>
      <w:r w:rsidR="00B51BD3" w:rsidRPr="00DB360A">
        <w:t>physician</w:t>
      </w:r>
      <w:r w:rsidR="00DB360A">
        <w:t xml:space="preserve"> </w:t>
      </w:r>
      <w:r w:rsidR="00311B46" w:rsidRPr="00DB360A">
        <w:t>to serve as their PCP.</w:t>
      </w:r>
      <w:r w:rsidR="00B51BD3" w:rsidRPr="00DB360A">
        <w:t xml:space="preserve"> The</w:t>
      </w:r>
      <w:r w:rsidR="00DB329A" w:rsidRPr="00DB329A">
        <w:t xml:space="preserve"> </w:t>
      </w:r>
      <w:r w:rsidR="00DB329A" w:rsidRPr="00DB360A">
        <w:t>specialist</w:t>
      </w:r>
      <w:r w:rsidR="00B51BD3" w:rsidRPr="00DB360A">
        <w:t xml:space="preserve"> physician must agree to perform all PCP duties required in the </w:t>
      </w:r>
      <w:r w:rsidR="009B19C2">
        <w:t xml:space="preserve">Contract </w:t>
      </w:r>
      <w:r w:rsidR="00B51BD3" w:rsidRPr="00DB360A">
        <w:t xml:space="preserve">and </w:t>
      </w:r>
      <w:r w:rsidR="00DB329A">
        <w:t xml:space="preserve">the </w:t>
      </w:r>
      <w:r w:rsidR="00B51BD3" w:rsidRPr="00DB360A">
        <w:t xml:space="preserve">PCP duties must be within the scope of the specialist’s license. </w:t>
      </w:r>
    </w:p>
    <w:p w14:paraId="7FFB91CA" w14:textId="69F895AF" w:rsidR="009A0060" w:rsidRPr="00DF1D1C" w:rsidRDefault="00D82580" w:rsidP="00257641">
      <w:pPr>
        <w:pStyle w:val="Heading4"/>
      </w:pPr>
      <w:r>
        <w:t>3</w:t>
      </w:r>
      <w:r w:rsidR="00A970BA">
        <w:t xml:space="preserve">.2.4 </w:t>
      </w:r>
      <w:r w:rsidR="009A0060" w:rsidRPr="00DF1D1C">
        <w:t>Types of Primary Care Providers</w:t>
      </w:r>
      <w:r w:rsidR="005E146C">
        <w:t xml:space="preserve"> (PCPs)</w:t>
      </w:r>
    </w:p>
    <w:p w14:paraId="7114ED7D" w14:textId="1FED2656" w:rsidR="00131A5C" w:rsidRDefault="005E146C" w:rsidP="00257641">
      <w:pPr>
        <w:pStyle w:val="normal6"/>
      </w:pPr>
      <w:r>
        <w:t xml:space="preserve">The MCO is required to contract with a mix of PCPs to ensure the primary care needs of all </w:t>
      </w:r>
      <w:r w:rsidR="00E44575">
        <w:t xml:space="preserve">enrollees </w:t>
      </w:r>
      <w:r>
        <w:t xml:space="preserve">are met. </w:t>
      </w:r>
      <w:r w:rsidR="009A0060" w:rsidRPr="00DF1D1C">
        <w:t xml:space="preserve">The MCO may designate the following providers as PCPs, as appropriate: </w:t>
      </w:r>
    </w:p>
    <w:p w14:paraId="4AE7BF08" w14:textId="1E22C54A" w:rsidR="00131A5C" w:rsidRPr="003D31F1" w:rsidRDefault="009A0060" w:rsidP="00257641">
      <w:pPr>
        <w:pStyle w:val="bullet1"/>
      </w:pPr>
      <w:r w:rsidRPr="003D31F1">
        <w:t>Certified nurse midwives</w:t>
      </w:r>
      <w:r w:rsidR="005E146C">
        <w:rPr>
          <w:rStyle w:val="FootnoteReference"/>
        </w:rPr>
        <w:footnoteReference w:id="7"/>
      </w:r>
      <w:r w:rsidRPr="003D31F1">
        <w:t>;</w:t>
      </w:r>
      <w:r w:rsidR="00131A5C" w:rsidRPr="003D31F1">
        <w:t xml:space="preserve"> </w:t>
      </w:r>
    </w:p>
    <w:p w14:paraId="4008240A" w14:textId="77A211D2" w:rsidR="0093320C" w:rsidRDefault="009A0060" w:rsidP="00257641">
      <w:pPr>
        <w:pStyle w:val="bullet1"/>
      </w:pPr>
      <w:r w:rsidRPr="003D31F1">
        <w:t>Advanced practice nurses (</w:t>
      </w:r>
      <w:r w:rsidR="005E146C">
        <w:t xml:space="preserve">e.g. </w:t>
      </w:r>
      <w:r w:rsidRPr="003D31F1">
        <w:t>nurse practitioners</w:t>
      </w:r>
      <w:r w:rsidR="005E146C">
        <w:t xml:space="preserve"> (NP)</w:t>
      </w:r>
      <w:r w:rsidR="005E146C">
        <w:rPr>
          <w:rStyle w:val="FootnoteReference"/>
        </w:rPr>
        <w:footnoteReference w:id="8"/>
      </w:r>
      <w:r w:rsidRPr="003D31F1">
        <w:t xml:space="preserve">); </w:t>
      </w:r>
    </w:p>
    <w:p w14:paraId="37988207" w14:textId="15C2C423" w:rsidR="00131A5C" w:rsidRPr="003D31F1" w:rsidRDefault="0093320C" w:rsidP="00257641">
      <w:pPr>
        <w:pStyle w:val="bullet1"/>
      </w:pPr>
      <w:r>
        <w:t xml:space="preserve">Physician </w:t>
      </w:r>
      <w:r w:rsidR="00781B9E">
        <w:t>a</w:t>
      </w:r>
      <w:r>
        <w:t xml:space="preserve">ssistants; </w:t>
      </w:r>
      <w:r w:rsidR="009A0060" w:rsidRPr="003D31F1">
        <w:t>and</w:t>
      </w:r>
      <w:r w:rsidR="00131A5C" w:rsidRPr="003D31F1">
        <w:t xml:space="preserve"> </w:t>
      </w:r>
    </w:p>
    <w:p w14:paraId="70C12480" w14:textId="189572A1" w:rsidR="009A0060" w:rsidRPr="003D31F1" w:rsidRDefault="009A0060" w:rsidP="00257641">
      <w:pPr>
        <w:pStyle w:val="bullet1last"/>
      </w:pPr>
      <w:r w:rsidRPr="003D31F1">
        <w:t>Physicians with the following specialties: General practice;</w:t>
      </w:r>
      <w:r w:rsidR="003D31F1">
        <w:t xml:space="preserve"> </w:t>
      </w:r>
      <w:r w:rsidRPr="003D31F1">
        <w:t>Family practice;</w:t>
      </w:r>
      <w:r w:rsidR="00131A5C" w:rsidRPr="003D31F1">
        <w:t xml:space="preserve"> </w:t>
      </w:r>
      <w:r w:rsidRPr="003D31F1">
        <w:t>Internal medicine;</w:t>
      </w:r>
      <w:r w:rsidR="00131A5C" w:rsidRPr="003D31F1" w:rsidDel="00131A5C">
        <w:t xml:space="preserve"> </w:t>
      </w:r>
      <w:r w:rsidR="00F82FEB" w:rsidRPr="003D31F1">
        <w:t>Obstetrics/</w:t>
      </w:r>
      <w:r w:rsidR="00F82FEB">
        <w:t>G</w:t>
      </w:r>
      <w:r w:rsidR="00F82FEB" w:rsidRPr="003D31F1">
        <w:t>ynecology</w:t>
      </w:r>
      <w:r w:rsidRPr="003D31F1">
        <w:t>; and</w:t>
      </w:r>
      <w:r w:rsidR="003D31F1">
        <w:t xml:space="preserve"> </w:t>
      </w:r>
      <w:r w:rsidRPr="003D31F1">
        <w:t>Pediatrics.</w:t>
      </w:r>
    </w:p>
    <w:p w14:paraId="3CA23A29" w14:textId="77777777" w:rsidR="009A0060" w:rsidRDefault="009A0060" w:rsidP="00257641">
      <w:r w:rsidRPr="00DF1D1C">
        <w:t>The MCO will be allowed to designate physicians outside of these specialties</w:t>
      </w:r>
      <w:r w:rsidR="004E5854">
        <w:t xml:space="preserve"> </w:t>
      </w:r>
      <w:r w:rsidRPr="00DF1D1C">
        <w:t>as PCPs for specific individuals</w:t>
      </w:r>
      <w:r w:rsidR="0058741D" w:rsidRPr="00DF1D1C">
        <w:t xml:space="preserve"> </w:t>
      </w:r>
      <w:r w:rsidRPr="00DF1D1C">
        <w:t>including those within the disabled population</w:t>
      </w:r>
      <w:r w:rsidR="0058741D" w:rsidRPr="00DF1D1C">
        <w:t xml:space="preserve"> </w:t>
      </w:r>
      <w:r w:rsidRPr="00DF1D1C">
        <w:t xml:space="preserve">whose underlying health conditions are best managed by specialists. </w:t>
      </w:r>
    </w:p>
    <w:p w14:paraId="7C3EA165" w14:textId="67E46504" w:rsidR="00F82FEB" w:rsidRPr="00B279C5" w:rsidRDefault="00F82FEB" w:rsidP="00257641">
      <w:r w:rsidRPr="00B279C5">
        <w:t xml:space="preserve">The MCO must permit any certified nurse </w:t>
      </w:r>
      <w:r w:rsidRPr="004D022F">
        <w:t>midwife</w:t>
      </w:r>
      <w:r w:rsidRPr="00B279C5">
        <w:t xml:space="preserve">, advanced practice nurse or </w:t>
      </w:r>
      <w:r>
        <w:t>PA</w:t>
      </w:r>
      <w:r w:rsidRPr="00B279C5">
        <w:t>, who is otherwise permitted within the scope of their practice, and who is a Medicaid enrolled provider, to be designated a PCP for a</w:t>
      </w:r>
      <w:r w:rsidR="0091086D">
        <w:t>n</w:t>
      </w:r>
      <w:r w:rsidRPr="00B279C5">
        <w:t xml:space="preserve"> </w:t>
      </w:r>
      <w:r w:rsidR="0091086D">
        <w:t>enrollee</w:t>
      </w:r>
      <w:r w:rsidR="0091086D" w:rsidRPr="00B279C5">
        <w:t xml:space="preserve"> </w:t>
      </w:r>
      <w:r>
        <w:t>and</w:t>
      </w:r>
      <w:r w:rsidRPr="00B279C5">
        <w:t xml:space="preserve"> bill independently.</w:t>
      </w:r>
      <w:r w:rsidR="003150A4">
        <w:t xml:space="preserve"> </w:t>
      </w:r>
    </w:p>
    <w:p w14:paraId="369E13E2" w14:textId="72A49E3E" w:rsidR="009A0060" w:rsidRPr="00DF1D1C" w:rsidRDefault="00D82580" w:rsidP="00257641">
      <w:pPr>
        <w:pStyle w:val="Heading4"/>
      </w:pPr>
      <w:r>
        <w:t>3</w:t>
      </w:r>
      <w:r w:rsidR="00EA3E3C">
        <w:t xml:space="preserve">.2.5 </w:t>
      </w:r>
      <w:r w:rsidR="009A0060" w:rsidRPr="00DF1D1C">
        <w:t>PCP Team in Teaching Settings</w:t>
      </w:r>
    </w:p>
    <w:p w14:paraId="696D8889" w14:textId="77777777" w:rsidR="009A0060" w:rsidRPr="00DF1D1C" w:rsidRDefault="009A0060" w:rsidP="00257641">
      <w:r w:rsidRPr="00DF1D1C">
        <w:t>If the MCO</w:t>
      </w:r>
      <w:r w:rsidR="00FA1C0C" w:rsidRPr="00DF1D1C">
        <w:t>’</w:t>
      </w:r>
      <w:r w:rsidRPr="00DF1D1C">
        <w:t>s primary care network includes institutions with teaching programs, PCP teams, comprised of residents, physicians</w:t>
      </w:r>
      <w:r w:rsidR="00FA1C0C" w:rsidRPr="00DF1D1C">
        <w:t>’</w:t>
      </w:r>
      <w:r w:rsidRPr="00DF1D1C">
        <w:t xml:space="preserve"> assistants and a supervising faculty physician, may serve as a PCP. The MCO must organize its PCP teams so as to ensure continuity of care for enrollees and must identify a lead physician within the team for each enrollee</w:t>
      </w:r>
      <w:r w:rsidR="0078080B" w:rsidRPr="00DF1D1C">
        <w:t xml:space="preserve">. </w:t>
      </w:r>
      <w:r w:rsidRPr="00DF1D1C">
        <w:t>The lead physician must be an attending physician and not a resident.</w:t>
      </w:r>
    </w:p>
    <w:p w14:paraId="2A1BDBE5" w14:textId="3057978E" w:rsidR="009A0060" w:rsidRPr="00DF1D1C" w:rsidRDefault="00D82580" w:rsidP="00257641">
      <w:pPr>
        <w:pStyle w:val="Heading4"/>
      </w:pPr>
      <w:r>
        <w:lastRenderedPageBreak/>
        <w:t>3</w:t>
      </w:r>
      <w:r w:rsidR="00EA3E3C">
        <w:t xml:space="preserve">.2.6 </w:t>
      </w:r>
      <w:r w:rsidR="009A0060" w:rsidRPr="00DF1D1C">
        <w:t>PCP Transfers</w:t>
      </w:r>
    </w:p>
    <w:p w14:paraId="09CF97CB" w14:textId="40043800" w:rsidR="009A0060" w:rsidRPr="00DF1D1C" w:rsidRDefault="009A0060" w:rsidP="00257641">
      <w:r w:rsidRPr="00DF1D1C">
        <w:t>The MCO must have written policies and procedures for allowing Medicaid enrollees to select or be assigned to a new PCP when such a change is requested by the enrollee, when a primary care provider is terminated from the MCO, or when a PCP change is ordered as part of the resolution to a formal grievance proceeding</w:t>
      </w:r>
      <w:r w:rsidR="0078080B" w:rsidRPr="00DF1D1C">
        <w:t xml:space="preserve">. </w:t>
      </w:r>
      <w:r w:rsidRPr="00DF1D1C">
        <w:t xml:space="preserve">In cases where a PCP has been terminated, the MCO must allow affected </w:t>
      </w:r>
      <w:r w:rsidR="0091086D">
        <w:t>enrollee</w:t>
      </w:r>
      <w:r w:rsidR="0091086D" w:rsidRPr="00DF1D1C">
        <w:t xml:space="preserve">s </w:t>
      </w:r>
      <w:r w:rsidRPr="00DF1D1C">
        <w:t xml:space="preserve">to select other PCPs or make a reassignment within </w:t>
      </w:r>
      <w:r w:rsidR="000B4E7C">
        <w:t>fifteen (</w:t>
      </w:r>
      <w:r w:rsidRPr="00DF1D1C">
        <w:t>15</w:t>
      </w:r>
      <w:r w:rsidR="000B4E7C">
        <w:t>)</w:t>
      </w:r>
      <w:r w:rsidRPr="00DF1D1C">
        <w:t xml:space="preserve"> </w:t>
      </w:r>
      <w:r w:rsidR="00F863FE">
        <w:t xml:space="preserve">calendar </w:t>
      </w:r>
      <w:r w:rsidRPr="00DF1D1C">
        <w:t>days of the termination effective date.</w:t>
      </w:r>
    </w:p>
    <w:p w14:paraId="7BFEF1AD" w14:textId="77777777" w:rsidR="009A0060" w:rsidRPr="00DF1D1C" w:rsidRDefault="009A0060" w:rsidP="00257641">
      <w:pPr>
        <w:pStyle w:val="normal6"/>
      </w:pPr>
      <w:r w:rsidRPr="00DF1D1C">
        <w:t>Enrollees may initiate a PCP change at any time, for any reason</w:t>
      </w:r>
      <w:r w:rsidR="0078080B" w:rsidRPr="00DF1D1C">
        <w:t xml:space="preserve">. </w:t>
      </w:r>
      <w:r w:rsidRPr="00DF1D1C">
        <w:t>The request can be made in writing or over the phone</w:t>
      </w:r>
      <w:r w:rsidR="0078080B" w:rsidRPr="00DF1D1C">
        <w:t xml:space="preserve">. </w:t>
      </w:r>
      <w:r w:rsidRPr="00DF1D1C">
        <w:t>MCOs are permitted to limit PCP changes to one time per month</w:t>
      </w:r>
      <w:r w:rsidR="0078080B" w:rsidRPr="00DF1D1C">
        <w:t>.</w:t>
      </w:r>
      <w:r w:rsidR="000B4E7C">
        <w:t xml:space="preserve"> </w:t>
      </w:r>
      <w:r w:rsidRPr="00DF1D1C">
        <w:t>The MCO may initiate a PCP change for a Medicaid enrollee under the following circumstances:</w:t>
      </w:r>
    </w:p>
    <w:p w14:paraId="70F97E56" w14:textId="7CE520E7" w:rsidR="00261886" w:rsidRDefault="00261886" w:rsidP="00257641">
      <w:pPr>
        <w:numPr>
          <w:ilvl w:val="0"/>
          <w:numId w:val="19"/>
        </w:numPr>
        <w:tabs>
          <w:tab w:val="clear" w:pos="360"/>
        </w:tabs>
        <w:spacing w:after="120"/>
        <w:ind w:left="720"/>
      </w:pPr>
      <w:r>
        <w:t xml:space="preserve">The </w:t>
      </w:r>
      <w:r w:rsidR="0091086D">
        <w:t xml:space="preserve">enrollee </w:t>
      </w:r>
      <w:r>
        <w:t xml:space="preserve">moves or there is a change in the placement of a child in foster care and the assigned PCP location no longer meets the access standards; </w:t>
      </w:r>
    </w:p>
    <w:p w14:paraId="7E8A7D1E" w14:textId="2E70AEC4" w:rsidR="009A0060" w:rsidRPr="00DF1D1C" w:rsidRDefault="009A0060" w:rsidP="00257641">
      <w:pPr>
        <w:numPr>
          <w:ilvl w:val="0"/>
          <w:numId w:val="19"/>
        </w:numPr>
        <w:tabs>
          <w:tab w:val="clear" w:pos="360"/>
        </w:tabs>
        <w:spacing w:after="120"/>
        <w:ind w:left="720"/>
      </w:pPr>
      <w:r w:rsidRPr="00DF1D1C">
        <w:t>The enrollee requires specialized care for an acute or chronic condition, and the enrollee and MCO agree that reassignment to a different PCP is in the enrollee</w:t>
      </w:r>
      <w:r w:rsidR="00FA1C0C" w:rsidRPr="00DF1D1C">
        <w:t>’</w:t>
      </w:r>
      <w:r w:rsidRPr="00DF1D1C">
        <w:t>s interest;</w:t>
      </w:r>
    </w:p>
    <w:p w14:paraId="21EEF118" w14:textId="77777777" w:rsidR="009A0060" w:rsidRPr="00DF1D1C" w:rsidRDefault="009A0060" w:rsidP="00257641">
      <w:pPr>
        <w:numPr>
          <w:ilvl w:val="0"/>
          <w:numId w:val="19"/>
        </w:numPr>
        <w:tabs>
          <w:tab w:val="clear" w:pos="360"/>
        </w:tabs>
        <w:spacing w:after="120"/>
        <w:ind w:left="720"/>
      </w:pPr>
      <w:r w:rsidRPr="00DF1D1C">
        <w:t>The enrollee</w:t>
      </w:r>
      <w:r w:rsidR="00FA1C0C" w:rsidRPr="00DF1D1C">
        <w:t>’</w:t>
      </w:r>
      <w:r w:rsidRPr="00DF1D1C">
        <w:t>s PCP ceases to participate in the MCO</w:t>
      </w:r>
      <w:r w:rsidR="00FA1C0C" w:rsidRPr="00DF1D1C">
        <w:t>’</w:t>
      </w:r>
      <w:r w:rsidRPr="00DF1D1C">
        <w:t>s network;</w:t>
      </w:r>
    </w:p>
    <w:p w14:paraId="66A3EFAC" w14:textId="25896954" w:rsidR="009A0060" w:rsidRPr="00DF1D1C" w:rsidRDefault="009A0060" w:rsidP="00257641">
      <w:pPr>
        <w:numPr>
          <w:ilvl w:val="0"/>
          <w:numId w:val="19"/>
        </w:numPr>
        <w:tabs>
          <w:tab w:val="clear" w:pos="360"/>
        </w:tabs>
        <w:spacing w:after="120"/>
        <w:ind w:left="720"/>
      </w:pPr>
      <w:r w:rsidRPr="00DF1D1C">
        <w:t>The enrollee</w:t>
      </w:r>
      <w:r w:rsidR="00FA1C0C" w:rsidRPr="00DF1D1C">
        <w:t>’</w:t>
      </w:r>
      <w:r w:rsidRPr="00DF1D1C">
        <w:t xml:space="preserve">s behavior toward the PCP is disruptive, and the PCP has made all reasonable efforts (three </w:t>
      </w:r>
      <w:r w:rsidR="00AE0AF5">
        <w:t xml:space="preserve">(3) </w:t>
      </w:r>
      <w:r w:rsidRPr="00DF1D1C">
        <w:t xml:space="preserve">attempts within </w:t>
      </w:r>
      <w:r w:rsidR="002E104C">
        <w:t>ninety (</w:t>
      </w:r>
      <w:r w:rsidRPr="00DF1D1C">
        <w:t>90</w:t>
      </w:r>
      <w:r w:rsidR="002E104C">
        <w:t>)</w:t>
      </w:r>
      <w:r w:rsidRPr="00DF1D1C">
        <w:t xml:space="preserve"> calendar days) to accommodate the enrollee; or</w:t>
      </w:r>
    </w:p>
    <w:p w14:paraId="3A2E7E0A" w14:textId="77777777" w:rsidR="009A0060" w:rsidRDefault="009A0060" w:rsidP="00257641">
      <w:pPr>
        <w:pStyle w:val="StyleAfter12pt"/>
        <w:numPr>
          <w:ilvl w:val="0"/>
          <w:numId w:val="19"/>
        </w:numPr>
        <w:tabs>
          <w:tab w:val="clear" w:pos="360"/>
        </w:tabs>
        <w:ind w:left="720"/>
      </w:pPr>
      <w:r w:rsidRPr="00DF1D1C">
        <w:t>The enrollee has taken legal actions against the PCP.</w:t>
      </w:r>
    </w:p>
    <w:p w14:paraId="24A61655" w14:textId="2B5DE3B3" w:rsidR="00FF7DA7" w:rsidRPr="009D1443" w:rsidRDefault="00D82580" w:rsidP="00257641">
      <w:pPr>
        <w:pStyle w:val="Heading4"/>
      </w:pPr>
      <w:r>
        <w:t>3</w:t>
      </w:r>
      <w:r w:rsidR="009F0854">
        <w:t xml:space="preserve">.2.7 </w:t>
      </w:r>
      <w:r w:rsidR="00BB1465" w:rsidRPr="009D1443">
        <w:t xml:space="preserve">PCP Panel </w:t>
      </w:r>
      <w:r w:rsidR="00FF7DA7" w:rsidRPr="009D1443">
        <w:t>Monitoring</w:t>
      </w:r>
    </w:p>
    <w:p w14:paraId="12B38669" w14:textId="77777777" w:rsidR="00B51BD3" w:rsidRDefault="00A92FD4" w:rsidP="00257641">
      <w:r w:rsidRPr="00A92FD4">
        <w:t xml:space="preserve">The MCO must </w:t>
      </w:r>
      <w:r w:rsidR="00AF6E3F">
        <w:t>maintain</w:t>
      </w:r>
      <w:r w:rsidRPr="00A92FD4">
        <w:t xml:space="preserve"> written policies and procedures for </w:t>
      </w:r>
      <w:r>
        <w:t>monitoring participating PCP panel status</w:t>
      </w:r>
      <w:r w:rsidR="00AA46DD">
        <w:t xml:space="preserve"> and capacity. </w:t>
      </w:r>
      <w:r w:rsidR="00BD05CD">
        <w:t>At a min</w:t>
      </w:r>
      <w:r w:rsidR="00DB329A">
        <w:t>i</w:t>
      </w:r>
      <w:r w:rsidR="00BD05CD">
        <w:t>mum,</w:t>
      </w:r>
      <w:r w:rsidR="00B51BD3">
        <w:t xml:space="preserve"> MCO policies and procedures</w:t>
      </w:r>
      <w:r w:rsidR="00BD05CD">
        <w:t xml:space="preserve"> </w:t>
      </w:r>
      <w:r w:rsidR="00B51BD3">
        <w:t xml:space="preserve">must </w:t>
      </w:r>
      <w:r w:rsidR="00C933D3">
        <w:t>capture</w:t>
      </w:r>
      <w:r w:rsidR="00B51BD3">
        <w:t xml:space="preserve"> PCP panel capacity </w:t>
      </w:r>
      <w:r w:rsidR="00BD05CD">
        <w:t>monitoring, PCP notifications of its panel s</w:t>
      </w:r>
      <w:r w:rsidR="0047507A">
        <w:t>ize</w:t>
      </w:r>
      <w:r w:rsidR="00BD05CD">
        <w:t>, change</w:t>
      </w:r>
      <w:r w:rsidR="00A95F23">
        <w:t>s</w:t>
      </w:r>
      <w:r w:rsidR="00BD05CD">
        <w:t xml:space="preserve"> </w:t>
      </w:r>
      <w:r w:rsidR="0047507A">
        <w:t xml:space="preserve">in </w:t>
      </w:r>
      <w:r w:rsidR="00A95F23">
        <w:t>the</w:t>
      </w:r>
      <w:r w:rsidR="0047507A">
        <w:t xml:space="preserve"> </w:t>
      </w:r>
      <w:r w:rsidR="00BD05CD">
        <w:t xml:space="preserve">PCP </w:t>
      </w:r>
      <w:r w:rsidR="0047507A">
        <w:t xml:space="preserve">panel </w:t>
      </w:r>
      <w:r w:rsidR="0040575E">
        <w:t>status</w:t>
      </w:r>
      <w:r w:rsidR="00DB360A">
        <w:t>,</w:t>
      </w:r>
      <w:r w:rsidR="0040575E">
        <w:t xml:space="preserve"> </w:t>
      </w:r>
      <w:r w:rsidR="003A6FED">
        <w:t xml:space="preserve">and </w:t>
      </w:r>
      <w:r w:rsidR="0040575E">
        <w:t>limits.</w:t>
      </w:r>
      <w:r w:rsidR="0047507A">
        <w:t xml:space="preserve"> </w:t>
      </w:r>
    </w:p>
    <w:p w14:paraId="605F2839" w14:textId="7D2C3400" w:rsidR="00AD4ADA" w:rsidRPr="00ED0736" w:rsidRDefault="00AD4ADA" w:rsidP="00257641">
      <w:r w:rsidRPr="00AD4ADA">
        <w:t xml:space="preserve">The MCO must furnish each PCP with a current list of </w:t>
      </w:r>
      <w:r w:rsidR="0091086D">
        <w:t xml:space="preserve">enrollees </w:t>
      </w:r>
      <w:r>
        <w:t>assigned to that p</w:t>
      </w:r>
      <w:r w:rsidRPr="00AD4ADA">
        <w:t xml:space="preserve">rovider no later than five (5) </w:t>
      </w:r>
      <w:r>
        <w:t>business</w:t>
      </w:r>
      <w:r w:rsidRPr="00AD4ADA">
        <w:t xml:space="preserve"> days after the </w:t>
      </w:r>
      <w:r>
        <w:t xml:space="preserve">end of each month, unless </w:t>
      </w:r>
      <w:r w:rsidR="00DB329A">
        <w:t xml:space="preserve">the </w:t>
      </w:r>
      <w:r>
        <w:t xml:space="preserve">PCP agreed to an alternative schedule. </w:t>
      </w:r>
      <w:r w:rsidRPr="00AD4ADA">
        <w:t>The MCO may offer and provide such information in alternative formats, such</w:t>
      </w:r>
      <w:r>
        <w:t xml:space="preserve"> as through access to a secure i</w:t>
      </w:r>
      <w:r w:rsidRPr="00AD4ADA">
        <w:t>nternet site, when such format is acceptable to the PCP.</w:t>
      </w:r>
    </w:p>
    <w:p w14:paraId="66C61170" w14:textId="146D5F0D" w:rsidR="00064571" w:rsidRPr="00FF7DA7" w:rsidRDefault="00064571" w:rsidP="00257641">
      <w:r>
        <w:t xml:space="preserve">The MCO </w:t>
      </w:r>
      <w:r w:rsidR="001D607F">
        <w:t xml:space="preserve">must </w:t>
      </w:r>
      <w:r w:rsidR="001D607F" w:rsidRPr="001D607F">
        <w:t xml:space="preserve">have a process in place to allow for </w:t>
      </w:r>
      <w:r w:rsidR="0091086D">
        <w:t>enrollee</w:t>
      </w:r>
      <w:r w:rsidR="0091086D" w:rsidRPr="001D607F">
        <w:t xml:space="preserve"> </w:t>
      </w:r>
      <w:r w:rsidR="001D607F" w:rsidRPr="001D607F">
        <w:t xml:space="preserve">reassignment upon PCP request if the </w:t>
      </w:r>
      <w:r w:rsidR="0091086D">
        <w:t>enrollee</w:t>
      </w:r>
      <w:r w:rsidR="0091086D" w:rsidRPr="001D607F">
        <w:t xml:space="preserve"> </w:t>
      </w:r>
      <w:r w:rsidR="001D607F" w:rsidRPr="001D607F">
        <w:t>falls outsid</w:t>
      </w:r>
      <w:r w:rsidR="001D607F">
        <w:t>e the provider’s provider type.</w:t>
      </w:r>
    </w:p>
    <w:p w14:paraId="774EB0B6" w14:textId="4BF51DF2" w:rsidR="009A0060" w:rsidRPr="00DF1D1C" w:rsidRDefault="00D82580" w:rsidP="00257641">
      <w:pPr>
        <w:pStyle w:val="StyleHeading3After0pt"/>
      </w:pPr>
      <w:bookmarkStart w:id="113" w:name="_Toc73441788"/>
      <w:r>
        <w:t>3</w:t>
      </w:r>
      <w:r w:rsidR="009A0060" w:rsidRPr="00DF1D1C">
        <w:t>.3</w:t>
      </w:r>
      <w:r w:rsidR="009A0060" w:rsidRPr="00DF1D1C">
        <w:tab/>
        <w:t>Specialty Care Providers, Hospitals and Other Providers</w:t>
      </w:r>
      <w:bookmarkEnd w:id="113"/>
    </w:p>
    <w:p w14:paraId="20DE2430" w14:textId="77777777" w:rsidR="009A0060" w:rsidRPr="00DF1D1C" w:rsidRDefault="009A0060" w:rsidP="00257641">
      <w:r w:rsidRPr="00DF1D1C">
        <w:t xml:space="preserve">The MCO must </w:t>
      </w:r>
      <w:r w:rsidR="009B19C2">
        <w:t xml:space="preserve">Contract </w:t>
      </w:r>
      <w:r w:rsidRPr="00DF1D1C">
        <w:t>with a sufficient number and mix of specialists and hospitals so that the enrolled population</w:t>
      </w:r>
      <w:r w:rsidR="00FA1C0C" w:rsidRPr="00DF1D1C">
        <w:t>’</w:t>
      </w:r>
      <w:r w:rsidRPr="00DF1D1C">
        <w:t>s anticipated specialty and inpatient care needs can be substantially met within the MCO</w:t>
      </w:r>
      <w:r w:rsidR="00FA1C0C" w:rsidRPr="00DF1D1C">
        <w:t>’</w:t>
      </w:r>
      <w:r w:rsidRPr="00DF1D1C">
        <w:t>s network of providers</w:t>
      </w:r>
      <w:r w:rsidR="0078080B" w:rsidRPr="00DF1D1C">
        <w:t xml:space="preserve">. </w:t>
      </w:r>
      <w:r w:rsidRPr="00DF1D1C">
        <w:t>The MCO must also have a system to refer enrollees to out-of-network providers if appropriate participating providers are not available</w:t>
      </w:r>
      <w:r w:rsidR="0078080B" w:rsidRPr="00DF1D1C">
        <w:t xml:space="preserve">. </w:t>
      </w:r>
    </w:p>
    <w:p w14:paraId="051F18D6" w14:textId="77777777" w:rsidR="009A0060" w:rsidRPr="00DF1D1C" w:rsidRDefault="009A0060" w:rsidP="00257641">
      <w:r w:rsidRPr="00DF1D1C">
        <w:t>The MCO must make referrals available to enrollees when it is medically appropriate</w:t>
      </w:r>
      <w:r w:rsidR="0078080B" w:rsidRPr="00DF1D1C">
        <w:t xml:space="preserve">. </w:t>
      </w:r>
      <w:r w:rsidRPr="00DF1D1C">
        <w:t xml:space="preserve">The MCO must have policies and written procedures for the coordination of care and the arrangement, tracking, and documentation of all referrals. </w:t>
      </w:r>
    </w:p>
    <w:p w14:paraId="15088397" w14:textId="2B02B377" w:rsidR="00396D32" w:rsidRPr="00DF1D1C" w:rsidRDefault="009A0060" w:rsidP="00257641">
      <w:r w:rsidRPr="00306F03">
        <w:lastRenderedPageBreak/>
        <w:t>Medicaid enrollees of the MCO must have access to certified pediatric or family nurse practitioners and certified nurse midwives, even if such providers are not designated as PCPs.</w:t>
      </w:r>
      <w:r w:rsidRPr="00306F03">
        <w:rPr>
          <w:rStyle w:val="FootnoteReference"/>
        </w:rPr>
        <w:footnoteReference w:id="9"/>
      </w:r>
      <w:r w:rsidR="00F24820">
        <w:t xml:space="preserve"> </w:t>
      </w:r>
      <w:r w:rsidRPr="00DF1D1C">
        <w:t xml:space="preserve">MCOs must </w:t>
      </w:r>
      <w:r w:rsidR="009B19C2">
        <w:t xml:space="preserve">Contract </w:t>
      </w:r>
      <w:r w:rsidRPr="00DF1D1C">
        <w:t>with these providers to the extent practical.</w:t>
      </w:r>
    </w:p>
    <w:p w14:paraId="02ACF407" w14:textId="5C888494" w:rsidR="009A0060" w:rsidRPr="00DF1D1C" w:rsidRDefault="00D82580" w:rsidP="00257641">
      <w:pPr>
        <w:pStyle w:val="StyleHeading3After0pt"/>
      </w:pPr>
      <w:bookmarkStart w:id="114" w:name="_Toc73441789"/>
      <w:r>
        <w:t>3</w:t>
      </w:r>
      <w:r w:rsidR="009A0060" w:rsidRPr="00DF1D1C">
        <w:t>.4</w:t>
      </w:r>
      <w:r w:rsidR="009A0060" w:rsidRPr="00DF1D1C">
        <w:tab/>
        <w:t>Publicly Supported Providers</w:t>
      </w:r>
      <w:bookmarkEnd w:id="114"/>
    </w:p>
    <w:p w14:paraId="401A5E8D" w14:textId="34FBE5C4" w:rsidR="009A0060" w:rsidRPr="00DF1D1C" w:rsidRDefault="00D82580" w:rsidP="00257641">
      <w:pPr>
        <w:pStyle w:val="Heading4"/>
      </w:pPr>
      <w:r>
        <w:t>3</w:t>
      </w:r>
      <w:r w:rsidR="004F31A7">
        <w:t xml:space="preserve">.4.1 </w:t>
      </w:r>
      <w:r w:rsidR="009A0060" w:rsidRPr="00DF1D1C">
        <w:t>Federally Qualified Health Centers (FQHCs) and Rural Health Clinics (RHCs)</w:t>
      </w:r>
    </w:p>
    <w:p w14:paraId="4EAA0EEE" w14:textId="3EAA68D8" w:rsidR="009A0060" w:rsidRPr="00DF1D1C" w:rsidRDefault="009A0060" w:rsidP="00257641">
      <w:r w:rsidRPr="00DF1D1C">
        <w:t>Federally Qualified Health Centers (FQHCs) are federally-funded Community Health Centers, Migrant Health Centers and Health Care for the Homeless Projects that receive grants under sections 329, 330 and 340 of the US Public Health Service Act.</w:t>
      </w:r>
      <w:r w:rsidRPr="00DF1D1C">
        <w:rPr>
          <w:rStyle w:val="FootnoteReference"/>
        </w:rPr>
        <w:footnoteReference w:id="10"/>
      </w:r>
      <w:r w:rsidR="00F24820">
        <w:t xml:space="preserve"> </w:t>
      </w:r>
      <w:r w:rsidRPr="00DF1D1C">
        <w:t>Current federal regulations specify that states must guarantee access to FQHCs and RHCs under Medicaid managed care programs; therefore, MCOs must provide access to FQHCs and RHCs to the extent that access is required under federal law</w:t>
      </w:r>
      <w:r w:rsidR="0078080B" w:rsidRPr="00DF1D1C">
        <w:t xml:space="preserve">. </w:t>
      </w:r>
      <w:r w:rsidRPr="00DF1D1C">
        <w:t xml:space="preserve">If federal law is amended to revise these access requirements, </w:t>
      </w:r>
      <w:r w:rsidR="00017816">
        <w:t>DHHR</w:t>
      </w:r>
      <w:r w:rsidR="00017816" w:rsidRPr="00DF1D1C">
        <w:t xml:space="preserve"> </w:t>
      </w:r>
      <w:r w:rsidRPr="00DF1D1C">
        <w:t>may alter the requirements imposed on MCOs</w:t>
      </w:r>
      <w:r w:rsidR="0078080B" w:rsidRPr="00DF1D1C">
        <w:t xml:space="preserve">. </w:t>
      </w:r>
    </w:p>
    <w:p w14:paraId="6D0BAAC8" w14:textId="42E43EB4" w:rsidR="009A0060" w:rsidRPr="00DF1D1C" w:rsidRDefault="009A0060" w:rsidP="00257641">
      <w:r w:rsidRPr="00DF1D1C">
        <w:t xml:space="preserve">The MCO must </w:t>
      </w:r>
      <w:r w:rsidR="009B19C2">
        <w:t xml:space="preserve">Contract </w:t>
      </w:r>
      <w:r w:rsidRPr="00DF1D1C">
        <w:t>with as many FQHCs and RHCs as necessary to permit beneficiary access to participating FQHCs and RHCs without having to travel a significantly greater distance past a non-participating FQHC or RHC</w:t>
      </w:r>
      <w:r w:rsidR="0078080B" w:rsidRPr="00DF1D1C">
        <w:t xml:space="preserve">. </w:t>
      </w:r>
      <w:r w:rsidRPr="00DF1D1C">
        <w:t xml:space="preserve">The MCO must </w:t>
      </w:r>
      <w:r w:rsidR="009B19C2">
        <w:t xml:space="preserve">Contract </w:t>
      </w:r>
      <w:r w:rsidRPr="00DF1D1C">
        <w:t>with the FQHC or RHC</w:t>
      </w:r>
      <w:r w:rsidR="00CE497D" w:rsidRPr="00DF1D1C">
        <w:t xml:space="preserve"> – </w:t>
      </w:r>
      <w:r w:rsidRPr="00DF1D1C">
        <w:t xml:space="preserve">contracts with individual physicians at FQHCs and RHCs do not suffice for this requirement. The MCO must </w:t>
      </w:r>
      <w:r w:rsidR="009B19C2">
        <w:t xml:space="preserve">Contract </w:t>
      </w:r>
      <w:r w:rsidRPr="00DF1D1C">
        <w:t xml:space="preserve">with FQHCs and RHCs in accordance with the time </w:t>
      </w:r>
      <w:r w:rsidR="00F82FEB">
        <w:t xml:space="preserve">and distance </w:t>
      </w:r>
      <w:r w:rsidRPr="00DF1D1C">
        <w:t>standards for routinely-used delivery sites as specified in this contract</w:t>
      </w:r>
      <w:r w:rsidR="00F82FEB">
        <w:t xml:space="preserve"> in A</w:t>
      </w:r>
      <w:r w:rsidR="009D31CB">
        <w:t>ppendix K</w:t>
      </w:r>
      <w:r w:rsidR="0078080B" w:rsidRPr="00DF1D1C">
        <w:t xml:space="preserve">. </w:t>
      </w:r>
      <w:r w:rsidRPr="00DF1D1C">
        <w:t>An MCO with an FQHC or RHC on its panel that has no capacity to accept new patients will not satisfy these requirements</w:t>
      </w:r>
      <w:r w:rsidR="0078080B" w:rsidRPr="00DF1D1C">
        <w:t xml:space="preserve">. </w:t>
      </w:r>
      <w:r w:rsidRPr="00DF1D1C">
        <w:t xml:space="preserve">If an MCO cannot satisfy the standard for FQHC and RHC access at any time while the MCO holds a Medicaid contract, the MCO must allow its Medicaid </w:t>
      </w:r>
      <w:r w:rsidR="0091086D">
        <w:t>enrollee</w:t>
      </w:r>
      <w:r w:rsidR="0091086D" w:rsidRPr="00DF1D1C">
        <w:t xml:space="preserve">s </w:t>
      </w:r>
      <w:r w:rsidRPr="00DF1D1C">
        <w:t>to seek care from non-contracting FQHCs and RHCs and must reimburse these providers at Medicaid fees</w:t>
      </w:r>
      <w:r w:rsidR="0078080B" w:rsidRPr="00DF1D1C">
        <w:t xml:space="preserve">. </w:t>
      </w:r>
    </w:p>
    <w:p w14:paraId="73A3B131" w14:textId="3EF1D8C6" w:rsidR="00E93505" w:rsidRPr="00DF1D1C" w:rsidRDefault="00E93505" w:rsidP="00257641">
      <w:r w:rsidRPr="00DF1D1C">
        <w:t xml:space="preserve">The MCO must offer FQHCs and RHCs terms and conditions, including </w:t>
      </w:r>
      <w:r w:rsidR="00F33B38" w:rsidRPr="00DF1D1C">
        <w:t>reimbursement, which</w:t>
      </w:r>
      <w:r w:rsidRPr="00DF1D1C">
        <w:t xml:space="preserve"> are at least equal to those offered to other providers of comparable services</w:t>
      </w:r>
      <w:r w:rsidR="0078080B" w:rsidRPr="00DF1D1C">
        <w:t xml:space="preserve">. </w:t>
      </w:r>
      <w:r w:rsidRPr="00DF1D1C">
        <w:t>The MCO cannot sign exclusive contracts with any publicly supported providers that prevent the providers from signing contracts with other MCOs</w:t>
      </w:r>
      <w:r w:rsidR="0078080B" w:rsidRPr="00DF1D1C">
        <w:t xml:space="preserve">. </w:t>
      </w:r>
      <w:r w:rsidRPr="00DF1D1C">
        <w:t xml:space="preserve">Upon </w:t>
      </w:r>
      <w:r w:rsidR="00017816">
        <w:t>DHHR</w:t>
      </w:r>
      <w:r w:rsidR="00017816" w:rsidRPr="00DF1D1C">
        <w:t xml:space="preserve"> </w:t>
      </w:r>
      <w:r w:rsidRPr="00DF1D1C">
        <w:t>notification to the MCO of any changes to the FQHC/RHC reimbursement rates,</w:t>
      </w:r>
      <w:r w:rsidR="000813C7" w:rsidRPr="00DF1D1C">
        <w:t xml:space="preserve"> </w:t>
      </w:r>
      <w:r w:rsidR="00120678">
        <w:t xml:space="preserve">the </w:t>
      </w:r>
      <w:r w:rsidR="006A565B" w:rsidRPr="006A565B">
        <w:t xml:space="preserve">MCO must update payment rates to FQHC/RHCs to the effective date in the notification by </w:t>
      </w:r>
      <w:r w:rsidR="00017816">
        <w:t>DHHR</w:t>
      </w:r>
      <w:r w:rsidR="006A565B" w:rsidRPr="006A565B">
        <w:t>. The MCO must pay the new rate for any claims not yet paid with a date of service on or after the effective date</w:t>
      </w:r>
      <w:r w:rsidR="00663220">
        <w:t xml:space="preserve"> of change</w:t>
      </w:r>
      <w:r w:rsidR="0078080B" w:rsidRPr="00DF1D1C">
        <w:t>.</w:t>
      </w:r>
      <w:r w:rsidR="007C3DA3">
        <w:t xml:space="preserve"> If payment has already been made for a claim</w:t>
      </w:r>
      <w:r w:rsidR="00525A2D">
        <w:t xml:space="preserve"> within SFY 20</w:t>
      </w:r>
      <w:r w:rsidR="00EE4A10">
        <w:t>20</w:t>
      </w:r>
      <w:r w:rsidR="007C3DA3">
        <w:t xml:space="preserve"> with a date of service on or after the effective date of the rate change, the MCO must reprocess the claim to reimburse at the new rate.</w:t>
      </w:r>
      <w:r w:rsidR="00F24820">
        <w:t xml:space="preserve"> </w:t>
      </w:r>
      <w:r w:rsidR="009E4359" w:rsidRPr="00DF1D1C">
        <w:t>The new payment rate must be loaded into the MCO</w:t>
      </w:r>
      <w:r w:rsidR="00FA1C0C" w:rsidRPr="00DF1D1C">
        <w:t>’</w:t>
      </w:r>
      <w:r w:rsidR="009E4359" w:rsidRPr="00DF1D1C">
        <w:t xml:space="preserve">s claims payment system within </w:t>
      </w:r>
      <w:r w:rsidR="00BF3C3E">
        <w:t>thirty (</w:t>
      </w:r>
      <w:r w:rsidR="009E4359" w:rsidRPr="00DF1D1C">
        <w:t>30</w:t>
      </w:r>
      <w:r w:rsidR="00BF3C3E">
        <w:t>)</w:t>
      </w:r>
      <w:r w:rsidR="009E4359" w:rsidRPr="00DF1D1C">
        <w:t xml:space="preserve"> </w:t>
      </w:r>
      <w:r w:rsidR="00FD0264">
        <w:t xml:space="preserve">calendar </w:t>
      </w:r>
      <w:r w:rsidR="009E4359" w:rsidRPr="00DF1D1C">
        <w:t>days of notification of the payment rate change</w:t>
      </w:r>
      <w:r w:rsidR="0078080B" w:rsidRPr="00DF1D1C">
        <w:t xml:space="preserve">. </w:t>
      </w:r>
    </w:p>
    <w:p w14:paraId="69D18C6D" w14:textId="5F1606AF" w:rsidR="009A0060" w:rsidRPr="00DF1D1C" w:rsidRDefault="00D82580" w:rsidP="00257641">
      <w:pPr>
        <w:pStyle w:val="Heading4"/>
      </w:pPr>
      <w:r>
        <w:lastRenderedPageBreak/>
        <w:t>3</w:t>
      </w:r>
      <w:r w:rsidR="004F31A7">
        <w:t xml:space="preserve">.4.2 </w:t>
      </w:r>
      <w:r w:rsidR="009A0060" w:rsidRPr="00DF1D1C">
        <w:t>Local Health Departments</w:t>
      </w:r>
    </w:p>
    <w:p w14:paraId="27051388" w14:textId="77777777" w:rsidR="009A0060" w:rsidRPr="00DF1D1C" w:rsidRDefault="009A0060" w:rsidP="00257641">
      <w:r w:rsidRPr="00DF1D1C">
        <w:t>Local governmental departments administer certain public health programs which are critical to the protection of the public</w:t>
      </w:r>
      <w:r w:rsidR="00FA1C0C" w:rsidRPr="00DF1D1C">
        <w:t>’</w:t>
      </w:r>
      <w:r w:rsidRPr="00DF1D1C">
        <w:t>s health and, therefore, must be available to Medicaid managed care enrollees</w:t>
      </w:r>
      <w:r w:rsidR="0078080B" w:rsidRPr="00DF1D1C">
        <w:t xml:space="preserve">. </w:t>
      </w:r>
      <w:r w:rsidRPr="00DF1D1C">
        <w:t xml:space="preserve">For those services defined as public health services under State law, the MCO may choose either to provide these services itself or to </w:t>
      </w:r>
      <w:r w:rsidR="009B19C2">
        <w:t xml:space="preserve">Contract </w:t>
      </w:r>
      <w:r w:rsidRPr="00DF1D1C">
        <w:t>with local health departments</w:t>
      </w:r>
      <w:r w:rsidR="0078080B" w:rsidRPr="00DF1D1C">
        <w:t xml:space="preserve">. </w:t>
      </w:r>
      <w:r w:rsidRPr="00DF1D1C">
        <w:t>However, if an MCO enrollee seeks such a service directly from a non-contracted local health department, the MCO must pay for the service at the lesser of the health department</w:t>
      </w:r>
      <w:r w:rsidR="00FA1C0C" w:rsidRPr="00DF1D1C">
        <w:t>’</w:t>
      </w:r>
      <w:r w:rsidRPr="00DF1D1C">
        <w:t>s fee rate or the Medicaid fee rate</w:t>
      </w:r>
      <w:r w:rsidR="0078080B" w:rsidRPr="00DF1D1C">
        <w:t xml:space="preserve">. </w:t>
      </w:r>
    </w:p>
    <w:p w14:paraId="08CB0B65" w14:textId="49465615" w:rsidR="009A0060" w:rsidRPr="00DF1D1C" w:rsidRDefault="009A0060" w:rsidP="00257641">
      <w:pPr>
        <w:pStyle w:val="normal6"/>
      </w:pPr>
      <w:r w:rsidRPr="00DF1D1C">
        <w:t xml:space="preserve">The MCO must provide the following core services to Medicaid managed care </w:t>
      </w:r>
      <w:r w:rsidR="0091086D">
        <w:t>enrollee</w:t>
      </w:r>
      <w:r w:rsidR="0091086D" w:rsidRPr="00DF1D1C">
        <w:t xml:space="preserve">s </w:t>
      </w:r>
      <w:r w:rsidRPr="00DF1D1C">
        <w:t>and must reimburse the local health departments as specified:</w:t>
      </w:r>
    </w:p>
    <w:p w14:paraId="7080E400" w14:textId="77777777" w:rsidR="009A0060" w:rsidRPr="00DF1D1C" w:rsidRDefault="009A0060" w:rsidP="00257641">
      <w:pPr>
        <w:numPr>
          <w:ilvl w:val="0"/>
          <w:numId w:val="20"/>
        </w:numPr>
        <w:tabs>
          <w:tab w:val="clear" w:pos="360"/>
        </w:tabs>
        <w:spacing w:after="120"/>
        <w:ind w:left="720"/>
      </w:pPr>
      <w:r w:rsidRPr="00DF1D1C">
        <w:t>All sexually transmitted disease services including screening, diagnosis, and treatment</w:t>
      </w:r>
      <w:r w:rsidR="00A432DA">
        <w:t>;</w:t>
      </w:r>
    </w:p>
    <w:p w14:paraId="1BB7CAB0" w14:textId="77777777" w:rsidR="009A0060" w:rsidRPr="00DF1D1C" w:rsidRDefault="009A0060" w:rsidP="00257641">
      <w:pPr>
        <w:numPr>
          <w:ilvl w:val="0"/>
          <w:numId w:val="20"/>
        </w:numPr>
        <w:tabs>
          <w:tab w:val="clear" w:pos="360"/>
        </w:tabs>
        <w:spacing w:after="120"/>
        <w:ind w:left="720"/>
      </w:pPr>
      <w:r w:rsidRPr="00DF1D1C">
        <w:t>Human immunodeficiency virus (HIV) services including screening and diagnostic studies</w:t>
      </w:r>
      <w:r w:rsidR="00A432DA">
        <w:t>;</w:t>
      </w:r>
    </w:p>
    <w:p w14:paraId="74E790FC" w14:textId="77777777" w:rsidR="009A0060" w:rsidRPr="00DF1D1C" w:rsidRDefault="009A0060" w:rsidP="00257641">
      <w:pPr>
        <w:numPr>
          <w:ilvl w:val="0"/>
          <w:numId w:val="20"/>
        </w:numPr>
        <w:tabs>
          <w:tab w:val="clear" w:pos="360"/>
        </w:tabs>
        <w:spacing w:after="120"/>
        <w:ind w:left="720"/>
      </w:pPr>
      <w:r w:rsidRPr="00DF1D1C">
        <w:t>Tuberculosis services including screening, diagnosis, and treatment</w:t>
      </w:r>
      <w:r w:rsidR="00A432DA">
        <w:t xml:space="preserve">; and </w:t>
      </w:r>
    </w:p>
    <w:p w14:paraId="72B20596" w14:textId="2A61438A" w:rsidR="009A0060" w:rsidRPr="00DF1D1C" w:rsidRDefault="009A0060" w:rsidP="00257641">
      <w:pPr>
        <w:numPr>
          <w:ilvl w:val="0"/>
          <w:numId w:val="20"/>
        </w:numPr>
        <w:tabs>
          <w:tab w:val="clear" w:pos="360"/>
        </w:tabs>
        <w:ind w:left="720"/>
      </w:pPr>
      <w:r w:rsidRPr="00DF1D1C">
        <w:t>Childhood immunizations</w:t>
      </w:r>
      <w:r w:rsidR="0078080B" w:rsidRPr="00DF1D1C">
        <w:t xml:space="preserve">. </w:t>
      </w:r>
      <w:r w:rsidRPr="00DF1D1C">
        <w:t>The MCO must obtain vaccines from the State Bureau for Public Health</w:t>
      </w:r>
      <w:r w:rsidR="00FA1C0C" w:rsidRPr="00DF1D1C">
        <w:t>’</w:t>
      </w:r>
      <w:r w:rsidRPr="00DF1D1C">
        <w:t>s Immunization Program</w:t>
      </w:r>
      <w:r w:rsidR="0078080B" w:rsidRPr="00DF1D1C">
        <w:t xml:space="preserve">. </w:t>
      </w:r>
      <w:r w:rsidRPr="00DF1D1C">
        <w:t xml:space="preserve">Any time an MCO </w:t>
      </w:r>
      <w:r w:rsidR="0091086D">
        <w:t>enrollee</w:t>
      </w:r>
      <w:r w:rsidR="0091086D" w:rsidRPr="00DF1D1C">
        <w:t xml:space="preserve"> </w:t>
      </w:r>
      <w:r w:rsidRPr="00DF1D1C">
        <w:t xml:space="preserve">seeks immunizations from a governmental public health entity, the </w:t>
      </w:r>
      <w:r w:rsidR="00890D6B">
        <w:t>MCO must</w:t>
      </w:r>
      <w:r w:rsidRPr="00DF1D1C">
        <w:t xml:space="preserve"> pay for such services at current Medicaid </w:t>
      </w:r>
      <w:r w:rsidR="00F82FEB">
        <w:t>FFS</w:t>
      </w:r>
      <w:r w:rsidRPr="00DF1D1C">
        <w:t xml:space="preserve"> rates for administration costs only</w:t>
      </w:r>
      <w:r w:rsidR="0078080B" w:rsidRPr="00DF1D1C">
        <w:t xml:space="preserve">. </w:t>
      </w:r>
      <w:r w:rsidR="009771A6">
        <w:t>For Medically N</w:t>
      </w:r>
      <w:r w:rsidRPr="00DF1D1C">
        <w:t>ecessary situations, non-Vaccines For Children (VFC) vaccines administered by governmental public health entities to MCO clients, the MCO must reimburse for the cost of the vaccines</w:t>
      </w:r>
      <w:r w:rsidR="0078080B" w:rsidRPr="00DF1D1C">
        <w:t xml:space="preserve">. </w:t>
      </w:r>
      <w:r w:rsidRPr="00DF1D1C">
        <w:t>MCOs should encourage providers to refer their patients to these programs.</w:t>
      </w:r>
    </w:p>
    <w:p w14:paraId="328D3704" w14:textId="77777777" w:rsidR="009A0060" w:rsidRPr="00DF1D1C" w:rsidRDefault="009A0060" w:rsidP="00257641">
      <w:r w:rsidRPr="00DF1D1C">
        <w:t xml:space="preserve">Environmental lead assessments for MCO children with elevated blood levels will be reimbursed directly by </w:t>
      </w:r>
      <w:r w:rsidR="00BB515A">
        <w:t xml:space="preserve">the State </w:t>
      </w:r>
      <w:r w:rsidRPr="00DF1D1C">
        <w:t>B</w:t>
      </w:r>
      <w:r w:rsidR="00BB515A">
        <w:t>ureau for Public Health</w:t>
      </w:r>
      <w:r w:rsidRPr="00DF1D1C">
        <w:t>.</w:t>
      </w:r>
      <w:r w:rsidR="00BB515A">
        <w:t xml:space="preserve"> The MCO is responsible for the blood lead screenings.</w:t>
      </w:r>
    </w:p>
    <w:p w14:paraId="6E84611A" w14:textId="77777777" w:rsidR="009A0060" w:rsidRPr="00DF1D1C" w:rsidRDefault="009A0060" w:rsidP="00257641">
      <w:r w:rsidRPr="00DF1D1C">
        <w:t>The MCO must work with the local health departments to coordinate the provision of the above services and to avoid duplication of services.</w:t>
      </w:r>
    </w:p>
    <w:p w14:paraId="678E1BAD" w14:textId="0F4EF43C" w:rsidR="009E2E18" w:rsidRPr="00DF1D1C" w:rsidRDefault="009E2E18" w:rsidP="00257641">
      <w:r>
        <w:t xml:space="preserve">Local Health Departments (LHD) providing Medicaid services </w:t>
      </w:r>
      <w:r w:rsidR="00616AE6">
        <w:t xml:space="preserve">must have the right to participate in the MCO network, so long as such </w:t>
      </w:r>
      <w:r w:rsidR="001D49A7">
        <w:t>provider</w:t>
      </w:r>
      <w:r w:rsidR="00982FC3">
        <w:t>s</w:t>
      </w:r>
      <w:r w:rsidR="001D49A7">
        <w:t xml:space="preserve"> </w:t>
      </w:r>
      <w:r w:rsidR="00616AE6">
        <w:t xml:space="preserve">comply with the terms and conditions of the MCO provider </w:t>
      </w:r>
      <w:r w:rsidR="009B19C2">
        <w:t xml:space="preserve">Contract </w:t>
      </w:r>
      <w:r w:rsidR="00616AE6">
        <w:t>and provider qualification and credentialing process.</w:t>
      </w:r>
    </w:p>
    <w:p w14:paraId="51C8B827" w14:textId="75AD698E" w:rsidR="009A0060" w:rsidRPr="00DF1D1C" w:rsidRDefault="00D82580" w:rsidP="00257641">
      <w:pPr>
        <w:pStyle w:val="Heading4"/>
      </w:pPr>
      <w:r>
        <w:t>3</w:t>
      </w:r>
      <w:r w:rsidR="004F31A7">
        <w:t xml:space="preserve">.4.3 </w:t>
      </w:r>
      <w:r w:rsidR="009A0060" w:rsidRPr="00DF1D1C">
        <w:t>Critical Access Hospitals</w:t>
      </w:r>
      <w:r w:rsidR="002D4A9A">
        <w:t xml:space="preserve"> (CAH)</w:t>
      </w:r>
    </w:p>
    <w:p w14:paraId="1C4D971F" w14:textId="1CA6CE21" w:rsidR="009A0060" w:rsidRPr="00DF1D1C" w:rsidRDefault="009A0060" w:rsidP="00257641">
      <w:r w:rsidRPr="00DF1D1C">
        <w:t xml:space="preserve">The MCO is encouraged, but not required, to </w:t>
      </w:r>
      <w:r w:rsidR="009B19C2">
        <w:t xml:space="preserve">Contract </w:t>
      </w:r>
      <w:r w:rsidRPr="00DF1D1C">
        <w:t>with Critical Access Hospitals</w:t>
      </w:r>
      <w:r w:rsidR="001C0C24" w:rsidRPr="00DF1D1C">
        <w:t xml:space="preserve"> (CAH)</w:t>
      </w:r>
      <w:r w:rsidRPr="00DF1D1C">
        <w:t xml:space="preserve"> for inpatient and outpatient hospital services</w:t>
      </w:r>
      <w:r w:rsidR="00982FC3">
        <w:t>.</w:t>
      </w:r>
      <w:r w:rsidR="009F7222" w:rsidRPr="009F7222">
        <w:t xml:space="preserve"> </w:t>
      </w:r>
    </w:p>
    <w:p w14:paraId="67AB49C4" w14:textId="4DB56094" w:rsidR="009A0060" w:rsidRPr="00DF1D1C" w:rsidRDefault="00D82580" w:rsidP="00257641">
      <w:pPr>
        <w:pStyle w:val="StyleHeading4After0pt"/>
      </w:pPr>
      <w:r>
        <w:t>3</w:t>
      </w:r>
      <w:r w:rsidR="004F31A7">
        <w:t xml:space="preserve">.4.4 </w:t>
      </w:r>
      <w:r w:rsidR="009A0060" w:rsidRPr="00DF1D1C">
        <w:t>Primary Care Centers</w:t>
      </w:r>
    </w:p>
    <w:p w14:paraId="3139C550" w14:textId="77777777" w:rsidR="009A0060" w:rsidRPr="00DF1D1C" w:rsidRDefault="009A0060" w:rsidP="00257641">
      <w:r w:rsidRPr="00DF1D1C">
        <w:t>The MCO is encouraged, but not required,</w:t>
      </w:r>
      <w:r w:rsidR="007842D4" w:rsidRPr="00DF1D1C">
        <w:t xml:space="preserve"> </w:t>
      </w:r>
      <w:r w:rsidRPr="00DF1D1C">
        <w:t xml:space="preserve">to </w:t>
      </w:r>
      <w:r w:rsidR="009B19C2">
        <w:t xml:space="preserve">Contract </w:t>
      </w:r>
      <w:r w:rsidRPr="00DF1D1C">
        <w:t>with state-designated primary care centers to provide services.</w:t>
      </w:r>
    </w:p>
    <w:p w14:paraId="10535120" w14:textId="4246DC71" w:rsidR="009A0060" w:rsidRPr="00DF1D1C" w:rsidRDefault="00D82580" w:rsidP="00257641">
      <w:pPr>
        <w:pStyle w:val="StyleHeading4After0pt"/>
      </w:pPr>
      <w:r>
        <w:t>3</w:t>
      </w:r>
      <w:r w:rsidR="004F31A7">
        <w:t xml:space="preserve">.4.5 </w:t>
      </w:r>
      <w:r w:rsidR="009A0060" w:rsidRPr="00DF1D1C">
        <w:t>School-Based Health Centers</w:t>
      </w:r>
    </w:p>
    <w:p w14:paraId="675C01E7" w14:textId="3383AA40" w:rsidR="009A0060" w:rsidRPr="00DF1D1C" w:rsidRDefault="009A0060" w:rsidP="00257641">
      <w:r w:rsidRPr="00DF1D1C">
        <w:t>School-based health centers (SBHCs) provide general, primary health care services to school-aged children</w:t>
      </w:r>
      <w:r w:rsidR="0078080B" w:rsidRPr="00DF1D1C">
        <w:t xml:space="preserve">. </w:t>
      </w:r>
      <w:r w:rsidRPr="00DF1D1C">
        <w:t xml:space="preserve">The State recognizes these centers as increasingly important providers of primary </w:t>
      </w:r>
      <w:r w:rsidRPr="00DF1D1C">
        <w:lastRenderedPageBreak/>
        <w:t>health care, especially in rural communities which face shortages of primary care physicians</w:t>
      </w:r>
      <w:r w:rsidR="0078080B" w:rsidRPr="00DF1D1C">
        <w:t xml:space="preserve">. </w:t>
      </w:r>
      <w:r w:rsidR="00017816">
        <w:t>DHHR</w:t>
      </w:r>
      <w:r w:rsidR="00017816" w:rsidRPr="00DF1D1C">
        <w:t xml:space="preserve"> </w:t>
      </w:r>
      <w:r w:rsidRPr="00DF1D1C">
        <w:t xml:space="preserve">encourages the MCO to </w:t>
      </w:r>
      <w:r w:rsidR="009B19C2">
        <w:t xml:space="preserve">Contract </w:t>
      </w:r>
      <w:r w:rsidRPr="00DF1D1C">
        <w:t>with or develop cooperative agreements with SBHCs</w:t>
      </w:r>
      <w:r w:rsidR="0078080B" w:rsidRPr="00DF1D1C">
        <w:t xml:space="preserve">. </w:t>
      </w:r>
      <w:r w:rsidRPr="00DF1D1C">
        <w:t>Such agreements would recognize the MCO as the medical home for the child, define the process for referring students to MCO network providers, spell out procedures for sharing medical information between the SBHCs and the MCO, and provide for reimbursement of the SBHC by the MCO.</w:t>
      </w:r>
    </w:p>
    <w:p w14:paraId="4FC1ED7C" w14:textId="77777777" w:rsidR="009A0060" w:rsidRPr="00DF1D1C" w:rsidRDefault="009A0060" w:rsidP="00257641">
      <w:r w:rsidRPr="00DF1D1C">
        <w:t xml:space="preserve">The MCO is encouraged, but not required, to </w:t>
      </w:r>
      <w:r w:rsidR="009B19C2">
        <w:t xml:space="preserve">Contract </w:t>
      </w:r>
      <w:r w:rsidRPr="00DF1D1C">
        <w:t>with SBHCs.</w:t>
      </w:r>
    </w:p>
    <w:p w14:paraId="5DC07D78" w14:textId="5D2732DD" w:rsidR="009A0060" w:rsidRPr="00DF1D1C" w:rsidRDefault="00D82580" w:rsidP="00257641">
      <w:pPr>
        <w:pStyle w:val="Heading4"/>
      </w:pPr>
      <w:r>
        <w:t>3</w:t>
      </w:r>
      <w:r w:rsidR="004F31A7">
        <w:t xml:space="preserve">.4.6 </w:t>
      </w:r>
      <w:r w:rsidR="009A0060" w:rsidRPr="00DF1D1C">
        <w:t>Right from the Start (RFTS) Providers</w:t>
      </w:r>
    </w:p>
    <w:p w14:paraId="3C9A531D" w14:textId="43D72B6A" w:rsidR="009A0060" w:rsidRPr="00DF1D1C" w:rsidRDefault="009A0060" w:rsidP="00257641">
      <w:r w:rsidRPr="00DF1D1C">
        <w:t>Right from the Start (RFTS) is a West Virginia State program aimed at improving early access to prenatal care and lowering infant mortality, and improved pregnancy outcomes</w:t>
      </w:r>
      <w:r w:rsidR="0078080B" w:rsidRPr="00DF1D1C">
        <w:t xml:space="preserve">. </w:t>
      </w:r>
      <w:r w:rsidRPr="00DF1D1C">
        <w:t xml:space="preserve">The RFTS eligibility criteria and services provided are available from </w:t>
      </w:r>
      <w:r w:rsidR="00017816">
        <w:t>DHHR</w:t>
      </w:r>
      <w:r w:rsidRPr="00DF1D1C">
        <w:t>.</w:t>
      </w:r>
    </w:p>
    <w:p w14:paraId="0773564E" w14:textId="6A68E3FB" w:rsidR="009A0060" w:rsidRPr="00DF1D1C" w:rsidRDefault="009A0060" w:rsidP="00257641">
      <w:r w:rsidRPr="00DF1D1C">
        <w:t xml:space="preserve">The MCO is encouraged, but not required, to </w:t>
      </w:r>
      <w:r w:rsidR="00936438">
        <w:t>c</w:t>
      </w:r>
      <w:r w:rsidR="009B19C2">
        <w:t xml:space="preserve">ontract </w:t>
      </w:r>
      <w:r w:rsidRPr="00DF1D1C">
        <w:t>with RFTS providers</w:t>
      </w:r>
      <w:r w:rsidR="0078080B" w:rsidRPr="00DF1D1C">
        <w:t xml:space="preserve">. </w:t>
      </w:r>
      <w:r w:rsidRPr="00DF1D1C">
        <w:t xml:space="preserve">However, if the MCO does not </w:t>
      </w:r>
      <w:r w:rsidR="00936438">
        <w:t>c</w:t>
      </w:r>
      <w:r w:rsidR="009B19C2">
        <w:t xml:space="preserve">ontract </w:t>
      </w:r>
      <w:r w:rsidRPr="00DF1D1C">
        <w:t>with RFTS providers, the MCO must provide the same level and types of services as those currently available through the RFTS program</w:t>
      </w:r>
      <w:r w:rsidR="0078080B" w:rsidRPr="00DF1D1C">
        <w:t xml:space="preserve">. </w:t>
      </w:r>
      <w:r w:rsidRPr="00DF1D1C">
        <w:t xml:space="preserve">This includes access to multidisciplinary care. </w:t>
      </w:r>
      <w:r w:rsidR="006B20DF">
        <w:t>DHHR</w:t>
      </w:r>
      <w:r w:rsidR="006B20DF" w:rsidRPr="00DF1D1C">
        <w:t xml:space="preserve"> </w:t>
      </w:r>
      <w:r w:rsidRPr="00DF1D1C">
        <w:t>will monitor compliance with this requirement; if the MCO fails to satisfy these requirements, it will be required to reimburse the traditional Right from the Start providers at the Medicaid fee rate.</w:t>
      </w:r>
      <w:r w:rsidR="00332921">
        <w:t xml:space="preserve"> The MCO may not place prior authorization requirements on RFTS services.</w:t>
      </w:r>
    </w:p>
    <w:p w14:paraId="6EC2AED9" w14:textId="6DEB4270" w:rsidR="009A0060" w:rsidRPr="00DF1D1C" w:rsidRDefault="00D82580" w:rsidP="00257641">
      <w:pPr>
        <w:pStyle w:val="Heading4"/>
      </w:pPr>
      <w:r>
        <w:t>3</w:t>
      </w:r>
      <w:r w:rsidR="004F31A7">
        <w:t xml:space="preserve">.4.7 </w:t>
      </w:r>
      <w:r w:rsidR="009A0060" w:rsidRPr="00DF1D1C">
        <w:t>Bureau for Public Health Laboratories</w:t>
      </w:r>
    </w:p>
    <w:p w14:paraId="3DBAA3BB" w14:textId="7068CBCA" w:rsidR="009A0060" w:rsidRPr="00DF1D1C" w:rsidRDefault="009A0060" w:rsidP="00257641">
      <w:r w:rsidRPr="00DF1D1C">
        <w:t xml:space="preserve">The MCO is required by law to use Bureau for Public Health Laboratories for certain cases (e.g., metabolic testing for newborns, rabies), and the Bureau for Public Health Laboratories is required to perform tests, including those mentioned under core services above, on MCO </w:t>
      </w:r>
      <w:r w:rsidR="0091086D">
        <w:t>enrollee</w:t>
      </w:r>
      <w:r w:rsidR="0091086D" w:rsidRPr="00DF1D1C">
        <w:t xml:space="preserve">s </w:t>
      </w:r>
      <w:r w:rsidRPr="00DF1D1C">
        <w:t>for public health purposes</w:t>
      </w:r>
      <w:r w:rsidR="0078080B" w:rsidRPr="00DF1D1C">
        <w:t xml:space="preserve">. </w:t>
      </w:r>
      <w:r w:rsidRPr="00DF1D1C">
        <w:t xml:space="preserve">In addition, all laboratories contracted by MCOs who have positive findings of certain reportable diseases under the Reportable Disease Rule in category I, II and IV (the list of reportable diseases is available from </w:t>
      </w:r>
      <w:r w:rsidR="006B20DF">
        <w:t>DHHR</w:t>
      </w:r>
      <w:r w:rsidRPr="00DF1D1C">
        <w:t>) must submit an isolate, serum specimen or other designated material to the Office of Laboratory Services (OLS) for confirmation or other testing needed for epidemiological surveillance</w:t>
      </w:r>
      <w:r w:rsidR="0078080B" w:rsidRPr="00DF1D1C">
        <w:t xml:space="preserve">. </w:t>
      </w:r>
      <w:r w:rsidRPr="00DF1D1C">
        <w:t xml:space="preserve">These services are usually funded by state or federal funds; however, whenever a service is not funded by other state or federal funds, the MCO must reimburse OLS for these services. </w:t>
      </w:r>
    </w:p>
    <w:p w14:paraId="3C28222A" w14:textId="0E0EAD77" w:rsidR="009A0060" w:rsidRPr="00DF1D1C" w:rsidRDefault="00D82580" w:rsidP="00257641">
      <w:pPr>
        <w:pStyle w:val="Heading4"/>
      </w:pPr>
      <w:r>
        <w:t>3</w:t>
      </w:r>
      <w:r w:rsidR="004F31A7">
        <w:t xml:space="preserve">.4.8 </w:t>
      </w:r>
      <w:r w:rsidR="009A0060" w:rsidRPr="00DF1D1C">
        <w:t>Children with Special Health Care Needs Program (CSHCN) Providers</w:t>
      </w:r>
    </w:p>
    <w:p w14:paraId="6FA9C8A1" w14:textId="112FE61C" w:rsidR="00073F4D" w:rsidRDefault="009A0060" w:rsidP="00257641">
      <w:r w:rsidRPr="00DF1D1C">
        <w:t xml:space="preserve">The Children with Special Health Care Needs (CSHCN) Program provides </w:t>
      </w:r>
      <w:r w:rsidR="00080552">
        <w:t>care coordination</w:t>
      </w:r>
      <w:r w:rsidR="00080552" w:rsidRPr="00DF1D1C" w:rsidDel="00080552">
        <w:t xml:space="preserve"> </w:t>
      </w:r>
      <w:r w:rsidRPr="00DF1D1C">
        <w:t xml:space="preserve">and access to specialty services through a system of </w:t>
      </w:r>
      <w:r w:rsidR="00080552">
        <w:t>community-based Care Coordinators</w:t>
      </w:r>
      <w:r w:rsidR="00080552">
        <w:rPr>
          <w:rStyle w:val="FootnoteReference"/>
        </w:rPr>
        <w:footnoteReference w:id="11"/>
      </w:r>
      <w:r w:rsidR="00073F4D">
        <w:t xml:space="preserve"> </w:t>
      </w:r>
      <w:r w:rsidR="00080552">
        <w:t xml:space="preserve">and </w:t>
      </w:r>
      <w:r w:rsidRPr="00DF1D1C">
        <w:t>specialty clinics</w:t>
      </w:r>
      <w:r w:rsidR="00F207F5">
        <w:t>, thus enabling children</w:t>
      </w:r>
      <w:r w:rsidR="00936438">
        <w:t xml:space="preserve"> and youth</w:t>
      </w:r>
      <w:r w:rsidR="00F207F5">
        <w:t xml:space="preserve"> with special health care needs </w:t>
      </w:r>
      <w:r w:rsidR="00F207F5" w:rsidRPr="00D87363">
        <w:t>to receive a patient/family-centered medical home approach to comprehensive, coordinated services and supports</w:t>
      </w:r>
      <w:r w:rsidR="00F207F5">
        <w:t>.</w:t>
      </w:r>
      <w:r w:rsidR="00F207F5" w:rsidRPr="00DF1D1C">
        <w:t xml:space="preserve"> </w:t>
      </w:r>
    </w:p>
    <w:p w14:paraId="7FA77BB6" w14:textId="759B7AB0" w:rsidR="009A0060" w:rsidRDefault="009A0060" w:rsidP="00257641">
      <w:r w:rsidRPr="00DF1D1C">
        <w:lastRenderedPageBreak/>
        <w:t xml:space="preserve">The MCO is encouraged, but not required, to </w:t>
      </w:r>
      <w:r w:rsidR="004E71A1">
        <w:t>c</w:t>
      </w:r>
      <w:r w:rsidR="009B19C2">
        <w:t xml:space="preserve">ontract </w:t>
      </w:r>
      <w:r w:rsidRPr="00DF1D1C">
        <w:t>with CSHCN providers</w:t>
      </w:r>
      <w:r w:rsidR="0078080B" w:rsidRPr="00DF1D1C">
        <w:t xml:space="preserve">. </w:t>
      </w:r>
      <w:r w:rsidRPr="00DF1D1C">
        <w:t xml:space="preserve">However, if the MCO does not </w:t>
      </w:r>
      <w:r w:rsidR="00073F4D">
        <w:t>c</w:t>
      </w:r>
      <w:r w:rsidR="009B19C2">
        <w:t xml:space="preserve">ontract </w:t>
      </w:r>
      <w:r w:rsidRPr="00DF1D1C">
        <w:t>with CSHCN providers, the MCO must provide the same level and types of services as those currently available through the CSHCN program</w:t>
      </w:r>
      <w:r w:rsidR="0078080B" w:rsidRPr="00DF1D1C">
        <w:t xml:space="preserve">. </w:t>
      </w:r>
      <w:r w:rsidRPr="00DF1D1C">
        <w:t xml:space="preserve">This includes access to multidisciplinary care. The CSHCN eligibility criteria and services are available from </w:t>
      </w:r>
      <w:r w:rsidR="006B20DF">
        <w:t>DHHR</w:t>
      </w:r>
      <w:r w:rsidRPr="00DF1D1C">
        <w:t xml:space="preserve">. </w:t>
      </w:r>
      <w:r w:rsidR="006B20DF">
        <w:t>DHHR</w:t>
      </w:r>
      <w:r w:rsidR="006B20DF" w:rsidRPr="00DF1D1C">
        <w:t xml:space="preserve"> </w:t>
      </w:r>
      <w:r w:rsidRPr="00DF1D1C">
        <w:t>will monitor compliance with this requirement; if the MCO fails to satisfy these requirements, it will be required to reimburse the traditional CSHCN providers at the Medicaid fee rate.</w:t>
      </w:r>
    </w:p>
    <w:p w14:paraId="5741FC49" w14:textId="47FC0663" w:rsidR="002B5ABA" w:rsidRDefault="00D82580" w:rsidP="00257641">
      <w:pPr>
        <w:pStyle w:val="Heading4"/>
      </w:pPr>
      <w:r>
        <w:t>3</w:t>
      </w:r>
      <w:r w:rsidR="002B5ABA">
        <w:t xml:space="preserve">.4.9 Indian Health Providers </w:t>
      </w:r>
    </w:p>
    <w:p w14:paraId="19787070" w14:textId="77777777" w:rsidR="002B5ABA" w:rsidRPr="00DF1D1C" w:rsidRDefault="00BE1F59" w:rsidP="00257641">
      <w:r w:rsidRPr="002B5ABA">
        <w:t xml:space="preserve">The MCO must follow the requirements related to Indians, </w:t>
      </w:r>
      <w:r>
        <w:t>I</w:t>
      </w:r>
      <w:r w:rsidRPr="002B5ABA">
        <w:t xml:space="preserve">ndian Health Care Providers, and </w:t>
      </w:r>
      <w:r>
        <w:t xml:space="preserve">Indian Managed </w:t>
      </w:r>
      <w:r w:rsidRPr="002B5ABA">
        <w:t>Care Entities</w:t>
      </w:r>
      <w:r>
        <w:t xml:space="preserve"> </w:t>
      </w:r>
      <w:r w:rsidRPr="002B5ABA">
        <w:t xml:space="preserve">in accordance with the terms of 42 CFR 438.14. </w:t>
      </w:r>
    </w:p>
    <w:p w14:paraId="3C7E2C17" w14:textId="3FE0BB83" w:rsidR="009A0060" w:rsidRPr="00DF1D1C" w:rsidRDefault="00D82580" w:rsidP="00257641">
      <w:pPr>
        <w:pStyle w:val="Heading3"/>
      </w:pPr>
      <w:bookmarkStart w:id="115" w:name="_Toc73441790"/>
      <w:bookmarkStart w:id="116" w:name="_Toc8129018"/>
      <w:r>
        <w:t>3</w:t>
      </w:r>
      <w:r w:rsidR="009A0060" w:rsidRPr="00DF1D1C">
        <w:t>.5</w:t>
      </w:r>
      <w:r w:rsidR="009A0060" w:rsidRPr="00DF1D1C">
        <w:tab/>
        <w:t>Mainstreaming</w:t>
      </w:r>
      <w:bookmarkEnd w:id="115"/>
      <w:bookmarkEnd w:id="116"/>
    </w:p>
    <w:p w14:paraId="4F6E390F" w14:textId="77777777" w:rsidR="009A0060" w:rsidRPr="00DF1D1C" w:rsidRDefault="009A0060" w:rsidP="00257641">
      <w:pPr>
        <w:pStyle w:val="normal6"/>
      </w:pPr>
      <w:r w:rsidRPr="00DF1D1C">
        <w:t>The State considers mainstreaming of Medicaid beneficiaries into the broader health delivery system to be important</w:t>
      </w:r>
      <w:r w:rsidR="0078080B" w:rsidRPr="00DF1D1C">
        <w:t xml:space="preserve">. </w:t>
      </w:r>
      <w:r w:rsidRPr="00DF1D1C">
        <w:t>The MCO must accept responsibility for ensuring that network providers do not intentionally segregate Medicaid enrollees in any way from other persons receiving services. Examples of prohibited practices include, but are not limited to, the following:</w:t>
      </w:r>
    </w:p>
    <w:p w14:paraId="528FD1F5" w14:textId="77777777" w:rsidR="009A0060" w:rsidRPr="00DF1D1C" w:rsidRDefault="009A0060" w:rsidP="00257641">
      <w:pPr>
        <w:numPr>
          <w:ilvl w:val="0"/>
          <w:numId w:val="21"/>
        </w:numPr>
        <w:tabs>
          <w:tab w:val="clear" w:pos="360"/>
        </w:tabs>
        <w:spacing w:after="120"/>
        <w:ind w:left="720"/>
      </w:pPr>
      <w:r w:rsidRPr="00DF1D1C">
        <w:t>Denying or not providing to an enrollee any covered service or availability of a facility;</w:t>
      </w:r>
    </w:p>
    <w:p w14:paraId="72769837" w14:textId="77777777" w:rsidR="009A0060" w:rsidRPr="00DF1D1C" w:rsidRDefault="009A0060" w:rsidP="00257641">
      <w:pPr>
        <w:numPr>
          <w:ilvl w:val="0"/>
          <w:numId w:val="21"/>
        </w:numPr>
        <w:tabs>
          <w:tab w:val="clear" w:pos="360"/>
        </w:tabs>
        <w:spacing w:after="120"/>
        <w:ind w:left="720"/>
      </w:pPr>
      <w:r w:rsidRPr="00DF1D1C">
        <w:t>Providing to an enrollee any covered service which is different, or is provided in a different manner or at a different time from that provided to other enrollees, other public or private patients or the public at large;</w:t>
      </w:r>
    </w:p>
    <w:p w14:paraId="4ABA6B9E" w14:textId="05B98B0D" w:rsidR="009A0060" w:rsidRPr="00DF1D1C" w:rsidRDefault="009A0060" w:rsidP="00257641">
      <w:pPr>
        <w:numPr>
          <w:ilvl w:val="0"/>
          <w:numId w:val="21"/>
        </w:numPr>
        <w:tabs>
          <w:tab w:val="clear" w:pos="360"/>
        </w:tabs>
        <w:spacing w:after="120"/>
        <w:ind w:left="720"/>
      </w:pPr>
      <w:r w:rsidRPr="00DF1D1C">
        <w:t>Subjecting an enrollee to segregation or separate</w:t>
      </w:r>
      <w:r w:rsidR="00F24820">
        <w:t xml:space="preserve"> </w:t>
      </w:r>
      <w:r w:rsidRPr="00DF1D1C">
        <w:t>treatment in any manner related to the receipt of any covered service; and</w:t>
      </w:r>
    </w:p>
    <w:p w14:paraId="6CBF6D21" w14:textId="77777777" w:rsidR="009A0060" w:rsidRPr="00DF1D1C" w:rsidRDefault="009A0060" w:rsidP="00257641">
      <w:pPr>
        <w:pStyle w:val="StyleAfter12pt"/>
        <w:numPr>
          <w:ilvl w:val="0"/>
          <w:numId w:val="21"/>
        </w:numPr>
        <w:tabs>
          <w:tab w:val="clear" w:pos="360"/>
        </w:tabs>
        <w:ind w:left="720"/>
      </w:pPr>
      <w:r w:rsidRPr="00DF1D1C">
        <w:t>Assigning times or places for the provision of services on the basis of the race, color, creed, religion, age, sex, national origin, ancestry, marital status, sexual preference, income status, program membership or physical or mental disability of the participants to be served.</w:t>
      </w:r>
    </w:p>
    <w:p w14:paraId="06CA77F0" w14:textId="107E7879" w:rsidR="009A0060" w:rsidRPr="00DF1D1C" w:rsidRDefault="009A0060" w:rsidP="00257641">
      <w:r w:rsidRPr="00DF1D1C">
        <w:t>PCPs will not be permitted to close their panels to Medicaid enrollees alone</w:t>
      </w:r>
      <w:r w:rsidR="0078080B" w:rsidRPr="00DF1D1C">
        <w:t xml:space="preserve">. </w:t>
      </w:r>
      <w:r w:rsidRPr="00DF1D1C">
        <w:t>If a PCP</w:t>
      </w:r>
      <w:r w:rsidR="00FA1C0C" w:rsidRPr="00DF1D1C">
        <w:t>’</w:t>
      </w:r>
      <w:r w:rsidRPr="00DF1D1C">
        <w:t>s panel is closed, it must be closed to all enrollees</w:t>
      </w:r>
      <w:r w:rsidR="0078080B" w:rsidRPr="00DF1D1C">
        <w:t xml:space="preserve">. </w:t>
      </w:r>
      <w:r w:rsidRPr="00DF1D1C">
        <w:t>Should a panel reopen, it will be required to admit patients on a first come, first served basis</w:t>
      </w:r>
      <w:r w:rsidR="0078080B" w:rsidRPr="00DF1D1C">
        <w:t xml:space="preserve">. </w:t>
      </w:r>
      <w:r w:rsidRPr="00DF1D1C">
        <w:t xml:space="preserve">However, if a PCP has the maximum of </w:t>
      </w:r>
      <w:r w:rsidR="00A2528B">
        <w:t>two thousand (</w:t>
      </w:r>
      <w:r w:rsidR="007577DC">
        <w:t>2</w:t>
      </w:r>
      <w:r w:rsidRPr="00DF1D1C">
        <w:t>,</w:t>
      </w:r>
      <w:r w:rsidR="007577DC">
        <w:t>0</w:t>
      </w:r>
      <w:r w:rsidR="007577DC" w:rsidRPr="00DF1D1C">
        <w:t>00</w:t>
      </w:r>
      <w:r w:rsidR="00A2528B">
        <w:t>)</w:t>
      </w:r>
      <w:r w:rsidR="007577DC" w:rsidRPr="00DF1D1C">
        <w:t xml:space="preserve"> </w:t>
      </w:r>
      <w:r w:rsidRPr="00DF1D1C">
        <w:t>Medicaid enrollees, the PCP may admit additional, non-Medicaid patients.</w:t>
      </w:r>
    </w:p>
    <w:p w14:paraId="2067E9DD" w14:textId="46D808C6" w:rsidR="009A0060" w:rsidRPr="00DF1D1C" w:rsidRDefault="00D82580" w:rsidP="00257641">
      <w:pPr>
        <w:pStyle w:val="Heading3"/>
      </w:pPr>
      <w:bookmarkStart w:id="117" w:name="_Toc73441791"/>
      <w:bookmarkStart w:id="118" w:name="_Toc8129019"/>
      <w:r>
        <w:t>3</w:t>
      </w:r>
      <w:r w:rsidR="009A0060" w:rsidRPr="00DF1D1C">
        <w:t>.6</w:t>
      </w:r>
      <w:r w:rsidR="009A0060" w:rsidRPr="00DF1D1C">
        <w:tab/>
        <w:t>Provider Services</w:t>
      </w:r>
      <w:bookmarkEnd w:id="117"/>
      <w:bookmarkEnd w:id="118"/>
    </w:p>
    <w:p w14:paraId="4D837530" w14:textId="1CFC7F41" w:rsidR="009A0060" w:rsidRPr="00DF1D1C" w:rsidRDefault="00D82580" w:rsidP="00257641">
      <w:pPr>
        <w:pStyle w:val="Heading4"/>
      </w:pPr>
      <w:r>
        <w:t>3</w:t>
      </w:r>
      <w:r w:rsidR="004F31A7">
        <w:t xml:space="preserve">.6.1 </w:t>
      </w:r>
      <w:r w:rsidR="009A0060" w:rsidRPr="00DF1D1C">
        <w:t>Provider Services Department</w:t>
      </w:r>
    </w:p>
    <w:p w14:paraId="78F9949C" w14:textId="77777777" w:rsidR="00D82580" w:rsidRDefault="009A0060" w:rsidP="00257641">
      <w:r w:rsidRPr="00DF1D1C">
        <w:t xml:space="preserve">The MCO must </w:t>
      </w:r>
      <w:r w:rsidR="006D21F7">
        <w:t xml:space="preserve">maintain </w:t>
      </w:r>
      <w:r w:rsidRPr="00DF1D1C">
        <w:t>a Provider Services Department</w:t>
      </w:r>
      <w:r w:rsidR="006D21F7">
        <w:t xml:space="preserve"> and </w:t>
      </w:r>
      <w:r w:rsidRPr="00DF1D1C">
        <w:t>operate</w:t>
      </w:r>
      <w:r w:rsidR="007D0364">
        <w:t xml:space="preserve"> a </w:t>
      </w:r>
      <w:r w:rsidR="00946ABE">
        <w:t xml:space="preserve">toll-free </w:t>
      </w:r>
      <w:r w:rsidR="007D0364">
        <w:t>provider phone line</w:t>
      </w:r>
      <w:r w:rsidRPr="00DF1D1C">
        <w:t xml:space="preserve"> </w:t>
      </w:r>
      <w:r w:rsidR="00946ABE">
        <w:t>for at least</w:t>
      </w:r>
      <w:r w:rsidR="002277DD">
        <w:t xml:space="preserve"> eight</w:t>
      </w:r>
      <w:r w:rsidR="00946ABE">
        <w:t xml:space="preserve"> </w:t>
      </w:r>
      <w:r w:rsidR="002277DD">
        <w:t>(</w:t>
      </w:r>
      <w:r w:rsidR="00946ABE">
        <w:t>8</w:t>
      </w:r>
      <w:r w:rsidR="002277DD">
        <w:t>)</w:t>
      </w:r>
      <w:r w:rsidR="00946ABE">
        <w:t xml:space="preserve"> hours a day</w:t>
      </w:r>
      <w:r w:rsidR="006D21F7">
        <w:t xml:space="preserve"> during regular business hours</w:t>
      </w:r>
      <w:r w:rsidR="007D0364">
        <w:t xml:space="preserve">. </w:t>
      </w:r>
    </w:p>
    <w:p w14:paraId="57B3C279" w14:textId="13F28810" w:rsidR="00982FC3" w:rsidRDefault="00982FC3" w:rsidP="00257641">
      <w:pPr>
        <w:pStyle w:val="Heading5"/>
        <w:numPr>
          <w:ilvl w:val="3"/>
          <w:numId w:val="8"/>
        </w:numPr>
      </w:pPr>
      <w:r>
        <w:t xml:space="preserve">Responsibilities of the </w:t>
      </w:r>
      <w:r w:rsidR="007D0364">
        <w:t>MC</w:t>
      </w:r>
      <w:r w:rsidR="00B2648C">
        <w:t>O Provider Services Department</w:t>
      </w:r>
    </w:p>
    <w:p w14:paraId="47338B3A" w14:textId="28183C32" w:rsidR="00CE497D" w:rsidRPr="00DF1D1C" w:rsidRDefault="00982FC3" w:rsidP="00257641">
      <w:pPr>
        <w:pStyle w:val="normal6"/>
      </w:pPr>
      <w:r>
        <w:t>The Provider Services Department</w:t>
      </w:r>
      <w:r w:rsidR="00B2648C">
        <w:t xml:space="preserve"> </w:t>
      </w:r>
      <w:r w:rsidR="007D0364">
        <w:t xml:space="preserve">is </w:t>
      </w:r>
      <w:r w:rsidR="009A0060" w:rsidRPr="00DF1D1C">
        <w:t>responsible for the following</w:t>
      </w:r>
      <w:r w:rsidR="007D0364">
        <w:t>, but not limited to</w:t>
      </w:r>
      <w:r w:rsidR="009A0060" w:rsidRPr="00DF1D1C">
        <w:t>:</w:t>
      </w:r>
    </w:p>
    <w:p w14:paraId="1F711347" w14:textId="77777777" w:rsidR="009A0060" w:rsidRPr="00DF1D1C" w:rsidRDefault="009A0060" w:rsidP="00257641">
      <w:pPr>
        <w:numPr>
          <w:ilvl w:val="0"/>
          <w:numId w:val="22"/>
        </w:numPr>
        <w:tabs>
          <w:tab w:val="clear" w:pos="360"/>
        </w:tabs>
        <w:spacing w:after="120"/>
        <w:ind w:left="720"/>
      </w:pPr>
      <w:r w:rsidRPr="00DF1D1C">
        <w:t>Assisting providers with questions concerning enrollee eligibility status;</w:t>
      </w:r>
    </w:p>
    <w:p w14:paraId="4FFD5126" w14:textId="77777777" w:rsidR="009A0060" w:rsidRPr="00DF1D1C" w:rsidRDefault="009A0060" w:rsidP="00257641">
      <w:pPr>
        <w:numPr>
          <w:ilvl w:val="0"/>
          <w:numId w:val="22"/>
        </w:numPr>
        <w:tabs>
          <w:tab w:val="clear" w:pos="360"/>
        </w:tabs>
        <w:spacing w:after="120"/>
        <w:ind w:left="720"/>
      </w:pPr>
      <w:r w:rsidRPr="00DF1D1C">
        <w:t>Assisting providers with plan prior authorization and referral procedures;</w:t>
      </w:r>
    </w:p>
    <w:p w14:paraId="441F0E26" w14:textId="77777777" w:rsidR="009A0060" w:rsidRPr="00DF1D1C" w:rsidRDefault="009A0060" w:rsidP="00257641">
      <w:pPr>
        <w:numPr>
          <w:ilvl w:val="0"/>
          <w:numId w:val="22"/>
        </w:numPr>
        <w:tabs>
          <w:tab w:val="clear" w:pos="360"/>
        </w:tabs>
        <w:spacing w:after="120"/>
        <w:ind w:left="720"/>
      </w:pPr>
      <w:r w:rsidRPr="00DF1D1C">
        <w:t>Assisting providers with claims payment procedures;</w:t>
      </w:r>
    </w:p>
    <w:p w14:paraId="766E9E7E" w14:textId="77777777" w:rsidR="009A0060" w:rsidRPr="00DF1D1C" w:rsidRDefault="009A0060" w:rsidP="00257641">
      <w:pPr>
        <w:numPr>
          <w:ilvl w:val="0"/>
          <w:numId w:val="22"/>
        </w:numPr>
        <w:tabs>
          <w:tab w:val="clear" w:pos="360"/>
        </w:tabs>
        <w:spacing w:after="120"/>
        <w:ind w:left="720"/>
      </w:pPr>
      <w:r w:rsidRPr="00DF1D1C">
        <w:lastRenderedPageBreak/>
        <w:t xml:space="preserve">Handling provider complaints; </w:t>
      </w:r>
    </w:p>
    <w:p w14:paraId="0CC34E0C" w14:textId="77777777" w:rsidR="009A0060" w:rsidRPr="00DF1D1C" w:rsidRDefault="009A0060" w:rsidP="00257641">
      <w:pPr>
        <w:numPr>
          <w:ilvl w:val="0"/>
          <w:numId w:val="22"/>
        </w:numPr>
        <w:tabs>
          <w:tab w:val="clear" w:pos="360"/>
        </w:tabs>
        <w:spacing w:after="120"/>
        <w:ind w:left="720"/>
      </w:pPr>
      <w:r w:rsidRPr="00DF1D1C">
        <w:t>Providing and encouraging training to providers to promote sensitivity to the special needs of this population</w:t>
      </w:r>
      <w:r w:rsidR="000A372E" w:rsidRPr="00DF1D1C">
        <w:t>;</w:t>
      </w:r>
    </w:p>
    <w:p w14:paraId="3B95E904" w14:textId="0B7EC200" w:rsidR="006A74D7" w:rsidRPr="00DF1D1C" w:rsidRDefault="00E11FAB" w:rsidP="00257641">
      <w:pPr>
        <w:numPr>
          <w:ilvl w:val="0"/>
          <w:numId w:val="22"/>
        </w:numPr>
        <w:tabs>
          <w:tab w:val="clear" w:pos="360"/>
        </w:tabs>
        <w:spacing w:after="120"/>
        <w:ind w:left="720"/>
      </w:pPr>
      <w:r w:rsidRPr="00DF1D1C">
        <w:t xml:space="preserve">Educating providers </w:t>
      </w:r>
      <w:r w:rsidR="006B20DF">
        <w:t xml:space="preserve">on the </w:t>
      </w:r>
      <w:r w:rsidR="009B0E18">
        <w:t>Specialized Managed Care Plan for Children and Y</w:t>
      </w:r>
      <w:r w:rsidR="009B0E18" w:rsidRPr="007E0BD9">
        <w:t>outh</w:t>
      </w:r>
      <w:r w:rsidR="009B0E18" w:rsidRPr="007E0BD9" w:rsidDel="009422F7">
        <w:t xml:space="preserve"> </w:t>
      </w:r>
      <w:r w:rsidR="006B20DF">
        <w:t>program</w:t>
      </w:r>
      <w:r w:rsidR="006A74D7" w:rsidRPr="00DF1D1C">
        <w:t>; and</w:t>
      </w:r>
    </w:p>
    <w:p w14:paraId="01192350" w14:textId="5A5A827C" w:rsidR="006A74D7" w:rsidRDefault="006A74D7" w:rsidP="00257641">
      <w:pPr>
        <w:numPr>
          <w:ilvl w:val="0"/>
          <w:numId w:val="22"/>
        </w:numPr>
        <w:tabs>
          <w:tab w:val="clear" w:pos="360"/>
        </w:tabs>
        <w:ind w:left="720"/>
      </w:pPr>
      <w:r w:rsidRPr="00DF1D1C">
        <w:t xml:space="preserve">Educating providers </w:t>
      </w:r>
      <w:r w:rsidR="00145549">
        <w:t>about</w:t>
      </w:r>
      <w:r w:rsidRPr="00DF1D1C">
        <w:t xml:space="preserve"> the MCO</w:t>
      </w:r>
      <w:r w:rsidR="00FA1C0C" w:rsidRPr="00DF1D1C">
        <w:t>’</w:t>
      </w:r>
      <w:r w:rsidRPr="00DF1D1C">
        <w:t>s written policies on the False Claims Act, including policies and procedures for detecting and preventing waste, fraud, and abuse</w:t>
      </w:r>
      <w:r w:rsidR="0078080B" w:rsidRPr="00DF1D1C">
        <w:t xml:space="preserve">. </w:t>
      </w:r>
      <w:r w:rsidRPr="00DF1D1C">
        <w:t>This requirement is pursuant to the Deficit Reduction Act of 2005, Section 6032.</w:t>
      </w:r>
    </w:p>
    <w:p w14:paraId="3C6C53E8" w14:textId="7F5EE93C" w:rsidR="00CE497D" w:rsidRDefault="007D0364" w:rsidP="00257641">
      <w:r>
        <w:t>The MCO must ensure that after regular business hours the line is answered by an</w:t>
      </w:r>
      <w:r w:rsidR="00740C25">
        <w:t xml:space="preserve"> </w:t>
      </w:r>
      <w:r>
        <w:t>automated system with the capability to provide callers with operating hours</w:t>
      </w:r>
      <w:r w:rsidR="00F37190">
        <w:t>,</w:t>
      </w:r>
      <w:r>
        <w:t xml:space="preserve"> information</w:t>
      </w:r>
      <w:r w:rsidR="00DE3D56">
        <w:t xml:space="preserve"> </w:t>
      </w:r>
      <w:r>
        <w:t>and instructions on how to verify enrollment for a</w:t>
      </w:r>
      <w:r w:rsidR="0091086D">
        <w:t>n</w:t>
      </w:r>
      <w:r>
        <w:t xml:space="preserve"> </w:t>
      </w:r>
      <w:r w:rsidR="0091086D">
        <w:t xml:space="preserve">enrollee </w:t>
      </w:r>
      <w:r>
        <w:t>with an Urgent Condition or an</w:t>
      </w:r>
      <w:r w:rsidR="00DE3D56">
        <w:t xml:space="preserve"> </w:t>
      </w:r>
      <w:r>
        <w:t>Emergency Medical Condition.</w:t>
      </w:r>
    </w:p>
    <w:p w14:paraId="5E54ED94" w14:textId="77777777" w:rsidR="00435E9C" w:rsidRPr="003F5187" w:rsidRDefault="00D82580" w:rsidP="00257641">
      <w:pPr>
        <w:pStyle w:val="Heading5"/>
      </w:pPr>
      <w:r>
        <w:t xml:space="preserve">3.6.1.2 </w:t>
      </w:r>
      <w:r w:rsidR="00435E9C" w:rsidRPr="00890E2A">
        <w:t>Performance Requirements of the Toll-Free Provider Phone Line</w:t>
      </w:r>
    </w:p>
    <w:p w14:paraId="22DBCCB1" w14:textId="2DE46404" w:rsidR="007D0364" w:rsidRDefault="007D0364" w:rsidP="00257641">
      <w:pPr>
        <w:pStyle w:val="normal6"/>
      </w:pPr>
      <w:r>
        <w:t xml:space="preserve">The MCO must ensure that the </w:t>
      </w:r>
      <w:r w:rsidR="00B609F5">
        <w:t xml:space="preserve">toll-free </w:t>
      </w:r>
      <w:r>
        <w:t>provider phone line meets the following minimum</w:t>
      </w:r>
      <w:r w:rsidR="003150A4">
        <w:t xml:space="preserve"> </w:t>
      </w:r>
      <w:r w:rsidR="0027635C">
        <w:t>Service Level Agreements (SLAs)</w:t>
      </w:r>
      <w:r>
        <w:t>:</w:t>
      </w:r>
    </w:p>
    <w:p w14:paraId="65486655" w14:textId="768A1803" w:rsidR="00946ABE" w:rsidRDefault="00D50DC4" w:rsidP="00257641">
      <w:pPr>
        <w:numPr>
          <w:ilvl w:val="0"/>
          <w:numId w:val="23"/>
        </w:numPr>
        <w:spacing w:after="120"/>
        <w:ind w:left="720"/>
        <w:rPr>
          <w:noProof w:val="0"/>
        </w:rPr>
      </w:pPr>
      <w:r>
        <w:rPr>
          <w:noProof w:val="0"/>
        </w:rPr>
        <w:t>Eighty</w:t>
      </w:r>
      <w:r w:rsidR="009B0E18">
        <w:rPr>
          <w:noProof w:val="0"/>
        </w:rPr>
        <w:t>-</w:t>
      </w:r>
      <w:r>
        <w:rPr>
          <w:noProof w:val="0"/>
        </w:rPr>
        <w:t xml:space="preserve">three </w:t>
      </w:r>
      <w:r w:rsidR="002277DD">
        <w:rPr>
          <w:noProof w:val="0"/>
        </w:rPr>
        <w:t>percent</w:t>
      </w:r>
      <w:r>
        <w:rPr>
          <w:noProof w:val="0"/>
        </w:rPr>
        <w:t xml:space="preserve"> </w:t>
      </w:r>
      <w:r w:rsidR="009B0E18">
        <w:rPr>
          <w:noProof w:val="0"/>
        </w:rPr>
        <w:t xml:space="preserve">(83%) </w:t>
      </w:r>
      <w:r>
        <w:rPr>
          <w:noProof w:val="0"/>
        </w:rPr>
        <w:t xml:space="preserve">of calls are answered live within thirty (30) seconds during operating hours. </w:t>
      </w:r>
      <w:r w:rsidRPr="00FD714B">
        <w:rPr>
          <w:noProof w:val="0"/>
        </w:rPr>
        <w:t xml:space="preserve">Time measured begins when the </w:t>
      </w:r>
      <w:r>
        <w:rPr>
          <w:noProof w:val="0"/>
        </w:rPr>
        <w:t>provider</w:t>
      </w:r>
      <w:r w:rsidRPr="00FD714B">
        <w:rPr>
          <w:noProof w:val="0"/>
        </w:rPr>
        <w:t xml:space="preserve"> is placed in the call queue to wait to speak to a </w:t>
      </w:r>
      <w:r>
        <w:rPr>
          <w:noProof w:val="0"/>
        </w:rPr>
        <w:t>Provider</w:t>
      </w:r>
      <w:r w:rsidRPr="00FD714B">
        <w:rPr>
          <w:noProof w:val="0"/>
        </w:rPr>
        <w:t xml:space="preserve"> Services representative</w:t>
      </w:r>
      <w:r>
        <w:rPr>
          <w:noProof w:val="0"/>
        </w:rPr>
        <w:t>;</w:t>
      </w:r>
      <w:r w:rsidR="009C56B8">
        <w:rPr>
          <w:noProof w:val="0"/>
        </w:rPr>
        <w:t xml:space="preserve"> and</w:t>
      </w:r>
    </w:p>
    <w:p w14:paraId="258AC863" w14:textId="5C73CB18" w:rsidR="0074133A" w:rsidRDefault="00D50DC4" w:rsidP="00257641">
      <w:pPr>
        <w:numPr>
          <w:ilvl w:val="0"/>
          <w:numId w:val="23"/>
        </w:numPr>
        <w:ind w:left="720"/>
        <w:rPr>
          <w:noProof w:val="0"/>
        </w:rPr>
      </w:pPr>
      <w:r>
        <w:rPr>
          <w:noProof w:val="0"/>
        </w:rPr>
        <w:t xml:space="preserve">The call abandonment rate does not exceed five percent </w:t>
      </w:r>
      <w:r w:rsidR="009B0E18">
        <w:rPr>
          <w:noProof w:val="0"/>
        </w:rPr>
        <w:t xml:space="preserve">(5%) </w:t>
      </w:r>
      <w:r>
        <w:rPr>
          <w:noProof w:val="0"/>
        </w:rPr>
        <w:t xml:space="preserve">of total calls for the </w:t>
      </w:r>
      <w:r w:rsidR="00FA7848">
        <w:rPr>
          <w:noProof w:val="0"/>
        </w:rPr>
        <w:t>month</w:t>
      </w:r>
      <w:r w:rsidR="00946ABE">
        <w:rPr>
          <w:noProof w:val="0"/>
        </w:rPr>
        <w:t>.</w:t>
      </w:r>
    </w:p>
    <w:p w14:paraId="57ADF666" w14:textId="7B20633A" w:rsidR="0027635C" w:rsidRDefault="0074133A" w:rsidP="00257641">
      <w:r>
        <w:t xml:space="preserve">If the MCO’s </w:t>
      </w:r>
      <w:r w:rsidR="00642406">
        <w:t>S</w:t>
      </w:r>
      <w:r>
        <w:t xml:space="preserve">ubcontractor operates a separate call center, the </w:t>
      </w:r>
      <w:r w:rsidR="00642406">
        <w:t>S</w:t>
      </w:r>
      <w:r>
        <w:t>ubcontractor’s call center must at a minimum meet the provider phone line performance standards set forth in this Section.</w:t>
      </w:r>
      <w:r w:rsidR="0027635C" w:rsidRPr="0027635C">
        <w:t xml:space="preserve"> </w:t>
      </w:r>
      <w:r w:rsidR="0027635C">
        <w:t>Failure by the MCO to ensure the provider call center meets the SLAs above shall result in a penalty of $5,000 per month for each SLA as</w:t>
      </w:r>
      <w:r w:rsidR="0027635C" w:rsidRPr="00C57F68">
        <w:t xml:space="preserve"> </w:t>
      </w:r>
      <w:r w:rsidR="0027635C">
        <w:t>outlined i</w:t>
      </w:r>
      <w:r w:rsidR="009D31CB">
        <w:t>n Appendix F</w:t>
      </w:r>
      <w:r w:rsidR="0027635C">
        <w:t xml:space="preserve">. </w:t>
      </w:r>
    </w:p>
    <w:p w14:paraId="33809D4D" w14:textId="3789EC2D" w:rsidR="009A0060" w:rsidRPr="00DF1D1C" w:rsidRDefault="00D82580" w:rsidP="00257641">
      <w:pPr>
        <w:pStyle w:val="Heading4"/>
      </w:pPr>
      <w:r>
        <w:t>3</w:t>
      </w:r>
      <w:r w:rsidR="004F31A7">
        <w:t xml:space="preserve">.6.2 </w:t>
      </w:r>
      <w:r w:rsidR="009A0060" w:rsidRPr="00DF1D1C">
        <w:t>Provider Manual</w:t>
      </w:r>
    </w:p>
    <w:p w14:paraId="681F53B5" w14:textId="4D16CDD2" w:rsidR="00533C21" w:rsidRDefault="00120678" w:rsidP="00257641">
      <w:r>
        <w:t xml:space="preserve">The MCO must </w:t>
      </w:r>
      <w:r w:rsidR="009A0060" w:rsidRPr="00DF1D1C">
        <w:t>develop, distribute and maintain a provider manual</w:t>
      </w:r>
      <w:r w:rsidR="0078080B" w:rsidRPr="00DF1D1C">
        <w:t xml:space="preserve">. </w:t>
      </w:r>
      <w:r w:rsidR="00A83C71" w:rsidRPr="00A83C71">
        <w:t xml:space="preserve">The MCO must submit </w:t>
      </w:r>
      <w:r w:rsidR="002B6BA2">
        <w:t xml:space="preserve">a copy of </w:t>
      </w:r>
      <w:r w:rsidR="00A83C71" w:rsidRPr="00A83C71">
        <w:t xml:space="preserve">the provider manual to </w:t>
      </w:r>
      <w:r w:rsidR="006B20DF">
        <w:t xml:space="preserve">DHHR </w:t>
      </w:r>
      <w:r w:rsidR="00982FC3">
        <w:t xml:space="preserve">as part of the MCO’s initial readiness review during implementation and annually </w:t>
      </w:r>
      <w:r w:rsidR="00346ECB">
        <w:t>by July 1</w:t>
      </w:r>
      <w:r w:rsidR="00E15009" w:rsidRPr="00D17863">
        <w:rPr>
          <w:vertAlign w:val="superscript"/>
        </w:rPr>
        <w:t>st</w:t>
      </w:r>
      <w:r w:rsidR="00346ECB">
        <w:t xml:space="preserve"> of each </w:t>
      </w:r>
      <w:r w:rsidR="009B19C2">
        <w:t xml:space="preserve">Contract </w:t>
      </w:r>
      <w:r w:rsidR="00346ECB">
        <w:t>year</w:t>
      </w:r>
      <w:r w:rsidR="00A83C71" w:rsidRPr="00A83C71">
        <w:t xml:space="preserve">. In </w:t>
      </w:r>
      <w:r w:rsidR="007339D7" w:rsidRPr="00A83C71">
        <w:t>addition</w:t>
      </w:r>
      <w:r w:rsidR="007339D7">
        <w:t xml:space="preserve">, </w:t>
      </w:r>
      <w:r w:rsidR="007339D7" w:rsidRPr="00DF1D1C">
        <w:t>the</w:t>
      </w:r>
      <w:r w:rsidR="009A0060" w:rsidRPr="00DF1D1C">
        <w:t xml:space="preserve"> MCO </w:t>
      </w:r>
      <w:r>
        <w:t>must</w:t>
      </w:r>
      <w:r w:rsidR="009A0060" w:rsidRPr="00DF1D1C">
        <w:t xml:space="preserve"> document the approval of the provider manual by the MCO Administrator and Medical Director and </w:t>
      </w:r>
      <w:r>
        <w:t>must</w:t>
      </w:r>
      <w:r w:rsidR="009A0060" w:rsidRPr="00DF1D1C">
        <w:t xml:space="preserve"> maintain documentation that verifies that the provider manual is reviewed at least annually</w:t>
      </w:r>
      <w:r w:rsidR="0078080B" w:rsidRPr="00DF1D1C">
        <w:t xml:space="preserve">. </w:t>
      </w:r>
      <w:r w:rsidR="009A0060" w:rsidRPr="00DF1D1C">
        <w:t xml:space="preserve">The MCO </w:t>
      </w:r>
      <w:r>
        <w:t>must</w:t>
      </w:r>
      <w:r w:rsidR="009A0060" w:rsidRPr="00DF1D1C">
        <w:t xml:space="preserve"> ensure that each provider (individual or group which submits claim and encounter data) is issued a </w:t>
      </w:r>
      <w:r w:rsidR="00226E89">
        <w:t xml:space="preserve">printed or electronic </w:t>
      </w:r>
      <w:r w:rsidR="009A0060" w:rsidRPr="00DF1D1C">
        <w:t>copy of the provider manual</w:t>
      </w:r>
      <w:r w:rsidR="00226E89">
        <w:t xml:space="preserve"> during the contracting </w:t>
      </w:r>
      <w:r w:rsidR="006B1F5E">
        <w:t xml:space="preserve">process </w:t>
      </w:r>
      <w:r w:rsidR="00226E89">
        <w:t>with the MCO</w:t>
      </w:r>
      <w:r w:rsidR="009A0060" w:rsidRPr="00DF1D1C">
        <w:t>.</w:t>
      </w:r>
      <w:r w:rsidR="00A83C71" w:rsidRPr="00A83C71">
        <w:t xml:space="preserve"> </w:t>
      </w:r>
      <w:r w:rsidR="00226E89">
        <w:t>The MCO must provide a copy of the provider manual</w:t>
      </w:r>
      <w:r w:rsidR="002B6BA2">
        <w:t xml:space="preserve"> to a provider</w:t>
      </w:r>
      <w:r w:rsidR="00226E89">
        <w:t xml:space="preserve"> upon request. </w:t>
      </w:r>
      <w:r w:rsidR="00A83C71" w:rsidRPr="00A83C71">
        <w:t xml:space="preserve">When there are </w:t>
      </w:r>
      <w:r w:rsidR="009B0E18">
        <w:t xml:space="preserve">Department policy or </w:t>
      </w:r>
      <w:r w:rsidR="00A83C71" w:rsidRPr="00A83C71">
        <w:t xml:space="preserve">program </w:t>
      </w:r>
      <w:r w:rsidR="009B0E18">
        <w:t xml:space="preserve">changes </w:t>
      </w:r>
      <w:r w:rsidR="00A83C71" w:rsidRPr="00A83C71">
        <w:t xml:space="preserve">or </w:t>
      </w:r>
      <w:r w:rsidR="009B0E18">
        <w:t xml:space="preserve">MCO procedure or </w:t>
      </w:r>
      <w:r w:rsidR="00A83C71" w:rsidRPr="00A83C71">
        <w:t xml:space="preserve">service site changes, notification </w:t>
      </w:r>
      <w:r w:rsidR="009B0E18">
        <w:t>must</w:t>
      </w:r>
      <w:r w:rsidR="009B0E18" w:rsidRPr="00A83C71">
        <w:t xml:space="preserve"> </w:t>
      </w:r>
      <w:r w:rsidR="00A83C71" w:rsidRPr="00A83C71">
        <w:t xml:space="preserve">be </w:t>
      </w:r>
      <w:r w:rsidR="009B0E18">
        <w:t>sent</w:t>
      </w:r>
      <w:r w:rsidR="009B0E18" w:rsidRPr="00A83C71">
        <w:t xml:space="preserve"> </w:t>
      </w:r>
      <w:r w:rsidR="00A83C71" w:rsidRPr="00A83C71">
        <w:t xml:space="preserve">to the affected providers at least </w:t>
      </w:r>
      <w:r w:rsidR="000271C6">
        <w:t>thirty</w:t>
      </w:r>
      <w:r w:rsidR="00A83C71" w:rsidRPr="00A83C71">
        <w:t xml:space="preserve"> </w:t>
      </w:r>
      <w:r w:rsidR="00F863FE">
        <w:t xml:space="preserve">(30) </w:t>
      </w:r>
      <w:r w:rsidR="00A83C71" w:rsidRPr="00A83C71">
        <w:t xml:space="preserve">calendar days before </w:t>
      </w:r>
      <w:r w:rsidR="00051231">
        <w:t xml:space="preserve">the </w:t>
      </w:r>
      <w:r w:rsidR="00A83C71" w:rsidRPr="00A83C71">
        <w:t>intended effective date of the change. The MCO must publish and keep current its prov</w:t>
      </w:r>
      <w:r w:rsidR="00861B93">
        <w:t>ider manual on the MCO website.</w:t>
      </w:r>
    </w:p>
    <w:p w14:paraId="14DB4490" w14:textId="65B250C6" w:rsidR="00A77315" w:rsidRPr="00DF1D1C" w:rsidRDefault="00D82580" w:rsidP="00257641">
      <w:pPr>
        <w:pStyle w:val="Heading4"/>
        <w:jc w:val="both"/>
      </w:pPr>
      <w:r>
        <w:t>3</w:t>
      </w:r>
      <w:r w:rsidR="00A77315">
        <w:t xml:space="preserve">.6.3 Provider </w:t>
      </w:r>
      <w:r w:rsidR="009B19C2">
        <w:t xml:space="preserve">Contract </w:t>
      </w:r>
    </w:p>
    <w:p w14:paraId="47AFE609" w14:textId="68BEACD1" w:rsidR="00E15009" w:rsidRDefault="00A77315" w:rsidP="00257641">
      <w:r w:rsidRPr="00DF1D1C">
        <w:t xml:space="preserve">The MCO’s provider contracts </w:t>
      </w:r>
      <w:r>
        <w:t>and</w:t>
      </w:r>
      <w:r w:rsidRPr="00DF1D1C">
        <w:t xml:space="preserve"> addenda to provider contracts must abide by all federal regulations and must be consistent with the requirements of this statement of work</w:t>
      </w:r>
      <w:r w:rsidR="00E15009">
        <w:t xml:space="preserve">. </w:t>
      </w:r>
      <w:r w:rsidR="00E15009" w:rsidRPr="00DF1D1C">
        <w:t xml:space="preserve">The MCO </w:t>
      </w:r>
      <w:r w:rsidR="00E15009" w:rsidRPr="00DF1D1C">
        <w:lastRenderedPageBreak/>
        <w:t xml:space="preserve">must </w:t>
      </w:r>
      <w:r w:rsidR="00E15009">
        <w:t xml:space="preserve">also </w:t>
      </w:r>
      <w:r w:rsidR="00E15009" w:rsidRPr="00DF1D1C">
        <w:t xml:space="preserve">comply with the prohibitions on inappropriate physician incentives as specified in Article III, Section </w:t>
      </w:r>
      <w:r w:rsidR="006D4624">
        <w:t>3</w:t>
      </w:r>
      <w:r w:rsidR="00E15009" w:rsidRPr="00DF1D1C">
        <w:t xml:space="preserve">.8 of this contract. </w:t>
      </w:r>
    </w:p>
    <w:p w14:paraId="4218BA24" w14:textId="688EE0DD" w:rsidR="00E15009" w:rsidRDefault="002F327E" w:rsidP="00257641">
      <w:r>
        <w:t>The Department will provide two</w:t>
      </w:r>
      <w:r w:rsidR="003A09BF">
        <w:t xml:space="preserve"> (2)</w:t>
      </w:r>
      <w:r>
        <w:t xml:space="preserve"> model provider contracts. One </w:t>
      </w:r>
      <w:r w:rsidR="00B9242A">
        <w:t xml:space="preserve">will be tailored to use with </w:t>
      </w:r>
      <w:r>
        <w:t xml:space="preserve">Medicaid service providers and </w:t>
      </w:r>
      <w:r w:rsidR="00B9242A">
        <w:t>the other will be tailored to use with</w:t>
      </w:r>
      <w:r>
        <w:t xml:space="preserve"> SNS providers. </w:t>
      </w:r>
      <w:r w:rsidR="00E15009" w:rsidRPr="00C05921">
        <w:t>T</w:t>
      </w:r>
      <w:r w:rsidR="00E15009">
        <w:t xml:space="preserve">he MCO must resubmit the </w:t>
      </w:r>
      <w:r w:rsidR="00B9242A">
        <w:t xml:space="preserve">revised </w:t>
      </w:r>
      <w:r w:rsidR="00E15009">
        <w:t>model p</w:t>
      </w:r>
      <w:r w:rsidR="00E15009" w:rsidRPr="00C05921">
        <w:t xml:space="preserve">rovider contracts </w:t>
      </w:r>
      <w:r w:rsidR="00E15009">
        <w:t xml:space="preserve">to the Department </w:t>
      </w:r>
      <w:r w:rsidR="00E15009" w:rsidRPr="00C05921">
        <w:t>any time it makes substantive modifications to such agreements.</w:t>
      </w:r>
      <w:r w:rsidR="00E15009">
        <w:t xml:space="preserve"> </w:t>
      </w:r>
    </w:p>
    <w:p w14:paraId="7E8D9B4C" w14:textId="198BB763" w:rsidR="00427BBA" w:rsidRDefault="00427BBA" w:rsidP="00257641">
      <w:pPr>
        <w:pStyle w:val="Heading5"/>
      </w:pPr>
      <w:r>
        <w:t>3.6.3.1 Medicaid Provider Contract</w:t>
      </w:r>
    </w:p>
    <w:p w14:paraId="3AE1FAD1" w14:textId="4680656F" w:rsidR="00A77315" w:rsidRPr="00DF1D1C" w:rsidRDefault="00E15009" w:rsidP="00257641">
      <w:pPr>
        <w:pStyle w:val="normal6"/>
      </w:pPr>
      <w:r>
        <w:t>A</w:t>
      </w:r>
      <w:r w:rsidR="00A77315">
        <w:t xml:space="preserve">t a minimum </w:t>
      </w:r>
      <w:r>
        <w:t xml:space="preserve">the MCO’s </w:t>
      </w:r>
      <w:r w:rsidR="002D4A9A">
        <w:t xml:space="preserve">Medicaid </w:t>
      </w:r>
      <w:r>
        <w:t xml:space="preserve">provider contracts and addenda </w:t>
      </w:r>
      <w:r w:rsidR="00A77315" w:rsidRPr="00DF1D1C">
        <w:t>must include the following provisions:</w:t>
      </w:r>
    </w:p>
    <w:p w14:paraId="0A5FE7BD" w14:textId="77777777" w:rsidR="00A77315" w:rsidRPr="00DF1D1C" w:rsidRDefault="00A77315" w:rsidP="00257641">
      <w:pPr>
        <w:numPr>
          <w:ilvl w:val="0"/>
          <w:numId w:val="17"/>
        </w:numPr>
        <w:tabs>
          <w:tab w:val="clear" w:pos="360"/>
        </w:tabs>
        <w:spacing w:after="120"/>
        <w:ind w:left="720"/>
        <w:jc w:val="both"/>
      </w:pPr>
      <w:r w:rsidRPr="00DF1D1C">
        <w:t>Enrollees will be held harmless for the costs of all Medicaid-covered services provided</w:t>
      </w:r>
      <w:r>
        <w:t xml:space="preserve"> except for applicable cost-sharing obligations.</w:t>
      </w:r>
      <w:r w:rsidRPr="005D5341">
        <w:t xml:space="preserve"> </w:t>
      </w:r>
      <w:r>
        <w:t xml:space="preserve">The </w:t>
      </w:r>
      <w:r w:rsidR="009B19C2">
        <w:t xml:space="preserve">Contract </w:t>
      </w:r>
      <w:r w:rsidRPr="005D5341">
        <w:t xml:space="preserve">must state that the providers </w:t>
      </w:r>
      <w:r>
        <w:t>must</w:t>
      </w:r>
      <w:r w:rsidRPr="005D5341">
        <w:t xml:space="preserve"> inform enrollees of the costs for non-covered services prior to rendering such services. </w:t>
      </w:r>
      <w:r>
        <w:t xml:space="preserve">The </w:t>
      </w:r>
      <w:r w:rsidRPr="005D5341">
        <w:t xml:space="preserve">provider </w:t>
      </w:r>
      <w:r w:rsidR="009B19C2">
        <w:t xml:space="preserve">Contract </w:t>
      </w:r>
      <w:r w:rsidRPr="005D5341">
        <w:t>must state that the MCO’s enrollees may not be held liable for the MCO’s debts in the</w:t>
      </w:r>
      <w:r>
        <w:t xml:space="preserve"> event of the MCO’s insolvency</w:t>
      </w:r>
      <w:r w:rsidRPr="00DF1D1C">
        <w:t>;</w:t>
      </w:r>
    </w:p>
    <w:p w14:paraId="1C49FFE6" w14:textId="3A18377B" w:rsidR="00A77315" w:rsidRPr="00DF1D1C" w:rsidRDefault="00A77315" w:rsidP="00257641">
      <w:pPr>
        <w:numPr>
          <w:ilvl w:val="0"/>
          <w:numId w:val="17"/>
        </w:numPr>
        <w:tabs>
          <w:tab w:val="clear" w:pos="360"/>
        </w:tabs>
        <w:spacing w:after="120"/>
        <w:ind w:left="720"/>
        <w:jc w:val="both"/>
      </w:pPr>
      <w:r w:rsidRPr="00DF1D1C">
        <w:t>Physicians</w:t>
      </w:r>
      <w:r w:rsidR="006E2CD6">
        <w:t xml:space="preserve"> </w:t>
      </w:r>
      <w:r w:rsidRPr="00DF1D1C">
        <w:t>will maintain adequate malpractice insurance with minimum coverage requirements of $1 million per individual episode and $1 million in the aggregate;</w:t>
      </w:r>
    </w:p>
    <w:p w14:paraId="5DEAE3E8" w14:textId="7F2691EB" w:rsidR="00A77315" w:rsidRDefault="00A77315" w:rsidP="00257641">
      <w:pPr>
        <w:numPr>
          <w:ilvl w:val="0"/>
          <w:numId w:val="17"/>
        </w:numPr>
        <w:tabs>
          <w:tab w:val="clear" w:pos="360"/>
        </w:tabs>
        <w:spacing w:after="120"/>
        <w:ind w:left="720"/>
        <w:jc w:val="both"/>
      </w:pPr>
      <w:r w:rsidRPr="00F61FD4">
        <w:t>Reimbursement terms</w:t>
      </w:r>
      <w:r w:rsidR="006E2CD6">
        <w:t xml:space="preserve">: </w:t>
      </w:r>
      <w:r w:rsidRPr="00F61FD4">
        <w:t xml:space="preserve">The </w:t>
      </w:r>
      <w:r w:rsidR="009B19C2">
        <w:t xml:space="preserve">Contract </w:t>
      </w:r>
      <w:r w:rsidRPr="00F61FD4">
        <w:t xml:space="preserve">must provide a complete description of the payment method or payment amounts applicable to a provider. The MCO provider </w:t>
      </w:r>
      <w:r w:rsidR="009B19C2">
        <w:t xml:space="preserve">Contract </w:t>
      </w:r>
      <w:r w:rsidRPr="00F61FD4">
        <w:t xml:space="preserve">or provider manual must explain to providers how to submit a clean claim including a complete listing of all required information, including claims coding and processing guidelines for the applicable provider type. The MCO must pay </w:t>
      </w:r>
      <w:r w:rsidR="009B0E18">
        <w:t xml:space="preserve">both </w:t>
      </w:r>
      <w:r w:rsidRPr="00F61FD4">
        <w:t xml:space="preserve">in-network </w:t>
      </w:r>
      <w:r w:rsidR="009B0E18">
        <w:t>and out-of-network</w:t>
      </w:r>
      <w:r w:rsidR="009B0E18" w:rsidRPr="00F61FD4">
        <w:t xml:space="preserve"> </w:t>
      </w:r>
      <w:r w:rsidRPr="00F61FD4">
        <w:t xml:space="preserve">providers within </w:t>
      </w:r>
      <w:r w:rsidR="003C0F50">
        <w:t xml:space="preserve">thirty </w:t>
      </w:r>
      <w:r w:rsidR="00394CED">
        <w:t>(</w:t>
      </w:r>
      <w:r w:rsidRPr="00F61FD4">
        <w:t>30</w:t>
      </w:r>
      <w:r w:rsidR="00394CED">
        <w:t>)</w:t>
      </w:r>
      <w:r w:rsidRPr="00F61FD4">
        <w:t xml:space="preserve"> </w:t>
      </w:r>
      <w:r w:rsidR="00F863FE">
        <w:t xml:space="preserve">calendar </w:t>
      </w:r>
      <w:r w:rsidRPr="00F61FD4">
        <w:t xml:space="preserve">days of clean claims receipt. The MCO provider must understand and agree that </w:t>
      </w:r>
      <w:r w:rsidR="006B20DF">
        <w:t>DHHR</w:t>
      </w:r>
      <w:r w:rsidR="006B20DF" w:rsidRPr="00F61FD4">
        <w:t xml:space="preserve"> </w:t>
      </w:r>
      <w:r w:rsidRPr="00F61FD4">
        <w:t xml:space="preserve">is not liable or responsible for payment for covered services rendered pursuant to the MCO provider contract; </w:t>
      </w:r>
    </w:p>
    <w:p w14:paraId="7B72527A" w14:textId="216A563E" w:rsidR="00770875" w:rsidRPr="00F61FD4" w:rsidRDefault="00770875" w:rsidP="00257641">
      <w:pPr>
        <w:numPr>
          <w:ilvl w:val="0"/>
          <w:numId w:val="17"/>
        </w:numPr>
        <w:tabs>
          <w:tab w:val="clear" w:pos="360"/>
        </w:tabs>
        <w:spacing w:after="120"/>
        <w:ind w:left="720"/>
        <w:jc w:val="both"/>
      </w:pPr>
      <w:r>
        <w:t>Requirement that providers attest to the following certification for claims for Medicaid goods and services. The certification should include the following information: All statements are true, accurate, and complete; no material fact has been omitted; all services will be medically necessary to the health of the specific patient; and understanding that payment will be from Federal and State funds and that any falsification or concealment of a material fact may be prosecuted under Federal and State law</w:t>
      </w:r>
    </w:p>
    <w:p w14:paraId="173634D1" w14:textId="77777777" w:rsidR="00A77315" w:rsidRDefault="00A77315" w:rsidP="00257641">
      <w:pPr>
        <w:numPr>
          <w:ilvl w:val="0"/>
          <w:numId w:val="17"/>
        </w:numPr>
        <w:tabs>
          <w:tab w:val="clear" w:pos="360"/>
        </w:tabs>
        <w:spacing w:after="120"/>
        <w:ind w:left="720"/>
        <w:jc w:val="both"/>
      </w:pPr>
      <w:r w:rsidRPr="00DF1D1C">
        <w:t>Clear definition of each party’s termination options</w:t>
      </w:r>
      <w:r>
        <w:t xml:space="preserve">; </w:t>
      </w:r>
    </w:p>
    <w:p w14:paraId="1595013B" w14:textId="6F4E4C55" w:rsidR="00A77315" w:rsidRDefault="00A77315" w:rsidP="00257641">
      <w:pPr>
        <w:numPr>
          <w:ilvl w:val="0"/>
          <w:numId w:val="17"/>
        </w:numPr>
        <w:tabs>
          <w:tab w:val="clear" w:pos="360"/>
        </w:tabs>
        <w:spacing w:after="120"/>
        <w:ind w:left="720"/>
        <w:jc w:val="both"/>
      </w:pPr>
      <w:r>
        <w:t>Requirements for provider disclosure of</w:t>
      </w:r>
      <w:r w:rsidR="00F24820">
        <w:t xml:space="preserve"> </w:t>
      </w:r>
      <w:r>
        <w:t xml:space="preserve">ownership and control, in accordance with 42 CFR 455.104. The </w:t>
      </w:r>
      <w:r w:rsidRPr="00162CD7">
        <w:t>MCO provider contracts must include language</w:t>
      </w:r>
      <w:r>
        <w:t xml:space="preserve"> defining ownership per 42 CFR</w:t>
      </w:r>
      <w:r w:rsidR="00F24820">
        <w:t xml:space="preserve"> </w:t>
      </w:r>
      <w:r w:rsidRPr="00162CD7">
        <w:t>455.101. The MCO provider contracts or disclosure forms must request the provider to disclose information on ownership and control</w:t>
      </w:r>
      <w:r>
        <w:t>, and information on interlocking relationships per 42 CFR 104 b (3)</w:t>
      </w:r>
      <w:r w:rsidRPr="00162CD7">
        <w:t xml:space="preserve">. </w:t>
      </w:r>
      <w:r>
        <w:t xml:space="preserve">A </w:t>
      </w:r>
      <w:r w:rsidRPr="00162CD7">
        <w:t>provider that is a business entity, corporation</w:t>
      </w:r>
      <w:r>
        <w:t>,</w:t>
      </w:r>
      <w:r w:rsidRPr="00162CD7">
        <w:t xml:space="preserve"> or a partnership must disclose the name, </w:t>
      </w:r>
      <w:r w:rsidR="00E15009">
        <w:t>date of birth (</w:t>
      </w:r>
      <w:r w:rsidRPr="00162CD7">
        <w:t>DOB</w:t>
      </w:r>
      <w:r w:rsidR="00E15009">
        <w:t>)</w:t>
      </w:r>
      <w:r w:rsidRPr="00162CD7">
        <w:t>, SSN</w:t>
      </w:r>
      <w:r>
        <w:t>,</w:t>
      </w:r>
      <w:r w:rsidRPr="00162CD7">
        <w:t xml:space="preserve"> and address of each person </w:t>
      </w:r>
      <w:r>
        <w:t>who is</w:t>
      </w:r>
      <w:r w:rsidRPr="00FA5B0A">
        <w:t xml:space="preserve"> </w:t>
      </w:r>
      <w:r>
        <w:t xml:space="preserve">provider’s </w:t>
      </w:r>
      <w:r w:rsidRPr="00DF1D1C">
        <w:rPr>
          <w:noProof w:val="0"/>
        </w:rPr>
        <w:t xml:space="preserve">director, officer, </w:t>
      </w:r>
      <w:r>
        <w:rPr>
          <w:noProof w:val="0"/>
        </w:rPr>
        <w:t xml:space="preserve">principal, </w:t>
      </w:r>
      <w:r w:rsidRPr="00DF1D1C">
        <w:rPr>
          <w:noProof w:val="0"/>
        </w:rPr>
        <w:t xml:space="preserve">partner, </w:t>
      </w:r>
      <w:r>
        <w:rPr>
          <w:noProof w:val="0"/>
        </w:rPr>
        <w:t xml:space="preserve">agent, managing employee, </w:t>
      </w:r>
      <w:r w:rsidRPr="00DF1D1C">
        <w:rPr>
          <w:noProof w:val="0"/>
        </w:rPr>
        <w:t xml:space="preserve">or </w:t>
      </w:r>
      <w:r>
        <w:rPr>
          <w:noProof w:val="0"/>
        </w:rPr>
        <w:t xml:space="preserve">other </w:t>
      </w:r>
      <w:r w:rsidRPr="00DF1D1C">
        <w:rPr>
          <w:noProof w:val="0"/>
        </w:rPr>
        <w:t xml:space="preserve">person with ownership </w:t>
      </w:r>
      <w:r>
        <w:rPr>
          <w:noProof w:val="0"/>
        </w:rPr>
        <w:t xml:space="preserve">or control interest </w:t>
      </w:r>
      <w:r w:rsidRPr="00DF1D1C">
        <w:rPr>
          <w:noProof w:val="0"/>
        </w:rPr>
        <w:t>of five</w:t>
      </w:r>
      <w:r w:rsidR="00E15009">
        <w:rPr>
          <w:noProof w:val="0"/>
        </w:rPr>
        <w:t xml:space="preserve"> </w:t>
      </w:r>
      <w:r w:rsidRPr="00DF1D1C">
        <w:rPr>
          <w:noProof w:val="0"/>
        </w:rPr>
        <w:t xml:space="preserve">percent </w:t>
      </w:r>
      <w:r w:rsidR="009B0E18">
        <w:rPr>
          <w:noProof w:val="0"/>
        </w:rPr>
        <w:t>(5%)</w:t>
      </w:r>
      <w:r w:rsidR="009B0E18" w:rsidRPr="00DF1D1C">
        <w:rPr>
          <w:noProof w:val="0"/>
        </w:rPr>
        <w:t xml:space="preserve"> </w:t>
      </w:r>
      <w:r>
        <w:rPr>
          <w:noProof w:val="0"/>
        </w:rPr>
        <w:t xml:space="preserve">or more in </w:t>
      </w:r>
      <w:r w:rsidRPr="00DF1D1C">
        <w:rPr>
          <w:noProof w:val="0"/>
        </w:rPr>
        <w:t xml:space="preserve">the </w:t>
      </w:r>
      <w:r>
        <w:rPr>
          <w:noProof w:val="0"/>
        </w:rPr>
        <w:t xml:space="preserve">provider or in the provider’s </w:t>
      </w:r>
      <w:r w:rsidR="00642406">
        <w:rPr>
          <w:noProof w:val="0"/>
        </w:rPr>
        <w:t>S</w:t>
      </w:r>
      <w:r>
        <w:rPr>
          <w:noProof w:val="0"/>
        </w:rPr>
        <w:t>ubcontractor</w:t>
      </w:r>
      <w:r w:rsidRPr="00162CD7">
        <w:t>. The address for corporate entities must include as applicable: primary business address, every business location, P.O. Box address</w:t>
      </w:r>
      <w:r>
        <w:t>,</w:t>
      </w:r>
      <w:r w:rsidRPr="00162CD7">
        <w:t xml:space="preserve"> and tax ID. </w:t>
      </w:r>
      <w:r>
        <w:t>C</w:t>
      </w:r>
      <w:r w:rsidRPr="00162CD7">
        <w:t>ontracts or disclosure forms must solicit information on interrelationships of</w:t>
      </w:r>
      <w:r>
        <w:t xml:space="preserve"> persons </w:t>
      </w:r>
      <w:r>
        <w:lastRenderedPageBreak/>
        <w:t xml:space="preserve">disclosed per 42 CFR </w:t>
      </w:r>
      <w:r w:rsidRPr="00162CD7">
        <w:t>455.104 (b)</w:t>
      </w:r>
      <w:r>
        <w:t xml:space="preserve">. </w:t>
      </w:r>
      <w:r w:rsidRPr="00162CD7">
        <w:t>MCO contracts or disclosure forms must request tax ID of any provider</w:t>
      </w:r>
      <w:r w:rsidR="00394CED">
        <w:t>’</w:t>
      </w:r>
      <w:r w:rsidRPr="00162CD7">
        <w:t xml:space="preserve">s </w:t>
      </w:r>
      <w:r w:rsidR="00642406">
        <w:t>S</w:t>
      </w:r>
      <w:r w:rsidRPr="00162CD7">
        <w:t xml:space="preserve">ubcontractor in which the provider (if entity) has a </w:t>
      </w:r>
      <w:r w:rsidR="00394CED">
        <w:t xml:space="preserve">five </w:t>
      </w:r>
      <w:r w:rsidRPr="00162CD7">
        <w:t xml:space="preserve">percent </w:t>
      </w:r>
      <w:r w:rsidR="009B0E18">
        <w:t>(</w:t>
      </w:r>
      <w:r w:rsidR="009B0E18" w:rsidRPr="00162CD7">
        <w:t>5</w:t>
      </w:r>
      <w:r w:rsidR="009B0E18">
        <w:t>%)</w:t>
      </w:r>
      <w:r w:rsidR="009B0E18" w:rsidRPr="00162CD7">
        <w:t xml:space="preserve"> </w:t>
      </w:r>
      <w:r w:rsidRPr="00162CD7">
        <w:t xml:space="preserve">or more interest. </w:t>
      </w:r>
      <w:r>
        <w:t xml:space="preserve">The MCO provider contracts must request the name of each entity in which the provider’s persons with ownership and control interest have an ownership or control interest. </w:t>
      </w:r>
      <w:r w:rsidRPr="00162CD7">
        <w:t xml:space="preserve">The provider must agree to keep information current at all times by informing </w:t>
      </w:r>
      <w:r>
        <w:t xml:space="preserve">the </w:t>
      </w:r>
      <w:r w:rsidRPr="00162CD7">
        <w:t xml:space="preserve">MCO in writing within </w:t>
      </w:r>
      <w:r w:rsidR="00394CED">
        <w:t>thirty-five (</w:t>
      </w:r>
      <w:r w:rsidRPr="00162CD7">
        <w:t>35</w:t>
      </w:r>
      <w:r w:rsidR="00394CED">
        <w:t>)</w:t>
      </w:r>
      <w:r w:rsidR="00F863FE">
        <w:t xml:space="preserve"> calendar</w:t>
      </w:r>
      <w:r w:rsidRPr="00162CD7">
        <w:t xml:space="preserve"> days of any ownership and control changes to the information contained in its application</w:t>
      </w:r>
      <w:r>
        <w:t>;</w:t>
      </w:r>
    </w:p>
    <w:p w14:paraId="105CFCF8" w14:textId="2AEEACDB" w:rsidR="00A77315" w:rsidRDefault="00A77315" w:rsidP="00257641">
      <w:pPr>
        <w:numPr>
          <w:ilvl w:val="0"/>
          <w:numId w:val="17"/>
        </w:numPr>
        <w:tabs>
          <w:tab w:val="clear" w:pos="360"/>
        </w:tabs>
        <w:spacing w:after="120"/>
        <w:ind w:left="720"/>
        <w:jc w:val="both"/>
      </w:pPr>
      <w:r>
        <w:t>Requirements for provider disclosure of significant business transactions, in accordance with 42 CFR 455.105.</w:t>
      </w:r>
      <w:r w:rsidRPr="00502DFC">
        <w:rPr>
          <w:noProof w:val="0"/>
        </w:rPr>
        <w:t xml:space="preserve"> </w:t>
      </w:r>
      <w:r>
        <w:rPr>
          <w:noProof w:val="0"/>
        </w:rPr>
        <w:t xml:space="preserve">MCO provider contracts must include language specifying that the contracted provider is required to disclose the following </w:t>
      </w:r>
      <w:r w:rsidRPr="00DF1D1C">
        <w:rPr>
          <w:noProof w:val="0"/>
        </w:rPr>
        <w:t xml:space="preserve">information related to business transactions </w:t>
      </w:r>
      <w:r>
        <w:rPr>
          <w:noProof w:val="0"/>
        </w:rPr>
        <w:t xml:space="preserve">within </w:t>
      </w:r>
      <w:r w:rsidR="001368A8">
        <w:rPr>
          <w:noProof w:val="0"/>
        </w:rPr>
        <w:t>thirty-five (</w:t>
      </w:r>
      <w:r>
        <w:rPr>
          <w:noProof w:val="0"/>
        </w:rPr>
        <w:t>35</w:t>
      </w:r>
      <w:r w:rsidR="001368A8">
        <w:rPr>
          <w:noProof w:val="0"/>
        </w:rPr>
        <w:t>)</w:t>
      </w:r>
      <w:r>
        <w:rPr>
          <w:noProof w:val="0"/>
        </w:rPr>
        <w:t xml:space="preserve"> </w:t>
      </w:r>
      <w:r w:rsidR="00F863FE">
        <w:rPr>
          <w:noProof w:val="0"/>
        </w:rPr>
        <w:t xml:space="preserve">calendar </w:t>
      </w:r>
      <w:r>
        <w:rPr>
          <w:noProof w:val="0"/>
        </w:rPr>
        <w:t>days of request of the Secretary of DHHS:</w:t>
      </w:r>
      <w:r w:rsidRPr="00DF1D1C">
        <w:rPr>
          <w:noProof w:val="0"/>
        </w:rPr>
        <w:t xml:space="preserve"> full and complete information about (1) the ownership of any </w:t>
      </w:r>
      <w:r w:rsidR="00642406">
        <w:rPr>
          <w:noProof w:val="0"/>
        </w:rPr>
        <w:t>S</w:t>
      </w:r>
      <w:r w:rsidRPr="00DF1D1C">
        <w:rPr>
          <w:noProof w:val="0"/>
        </w:rPr>
        <w:t xml:space="preserve">ubcontractor with whom the provider has had business transactions totaling more than $25,000 during the previous 12-month period and (2) any significant business transactions between the provider and any wholly owned supplier, or between the provider and any </w:t>
      </w:r>
      <w:r w:rsidR="00642406">
        <w:rPr>
          <w:noProof w:val="0"/>
        </w:rPr>
        <w:t>S</w:t>
      </w:r>
      <w:r w:rsidRPr="00DF1D1C">
        <w:rPr>
          <w:noProof w:val="0"/>
        </w:rPr>
        <w:t xml:space="preserve">ubcontractor, </w:t>
      </w:r>
      <w:r>
        <w:rPr>
          <w:noProof w:val="0"/>
        </w:rPr>
        <w:t>during the previous five years;</w:t>
      </w:r>
      <w:r>
        <w:t xml:space="preserve"> </w:t>
      </w:r>
    </w:p>
    <w:p w14:paraId="5A6162F9" w14:textId="2733843F" w:rsidR="00A77315" w:rsidRDefault="00A77315" w:rsidP="00257641">
      <w:pPr>
        <w:numPr>
          <w:ilvl w:val="0"/>
          <w:numId w:val="17"/>
        </w:numPr>
        <w:tabs>
          <w:tab w:val="clear" w:pos="360"/>
        </w:tabs>
        <w:spacing w:after="120"/>
        <w:ind w:left="720"/>
        <w:jc w:val="both"/>
      </w:pPr>
      <w:r>
        <w:t>Requirements for provider disclosure of health-care related criminal convictions, in accordance with 42 CFR 455.106.</w:t>
      </w:r>
      <w:r w:rsidRPr="00FA5B0A">
        <w:t xml:space="preserve"> </w:t>
      </w:r>
      <w:r>
        <w:t xml:space="preserve">The </w:t>
      </w:r>
      <w:r w:rsidRPr="00FA5B0A">
        <w:t xml:space="preserve">provider contracts or disclosure forms must request the provider, </w:t>
      </w:r>
      <w:r>
        <w:t xml:space="preserve">provider’s </w:t>
      </w:r>
      <w:r w:rsidRPr="00DF1D1C">
        <w:rPr>
          <w:noProof w:val="0"/>
        </w:rPr>
        <w:t xml:space="preserve">director, officer, </w:t>
      </w:r>
      <w:r>
        <w:rPr>
          <w:noProof w:val="0"/>
        </w:rPr>
        <w:t xml:space="preserve">principal, </w:t>
      </w:r>
      <w:r w:rsidRPr="00DF1D1C">
        <w:rPr>
          <w:noProof w:val="0"/>
        </w:rPr>
        <w:t xml:space="preserve">partner, </w:t>
      </w:r>
      <w:r>
        <w:rPr>
          <w:noProof w:val="0"/>
        </w:rPr>
        <w:t xml:space="preserve">agent, managing employee, </w:t>
      </w:r>
      <w:r w:rsidRPr="00DF1D1C">
        <w:rPr>
          <w:noProof w:val="0"/>
        </w:rPr>
        <w:t xml:space="preserve">or </w:t>
      </w:r>
      <w:r>
        <w:rPr>
          <w:noProof w:val="0"/>
        </w:rPr>
        <w:t xml:space="preserve">other </w:t>
      </w:r>
      <w:r w:rsidRPr="00DF1D1C">
        <w:rPr>
          <w:noProof w:val="0"/>
        </w:rPr>
        <w:t xml:space="preserve">person with ownership </w:t>
      </w:r>
      <w:r>
        <w:rPr>
          <w:noProof w:val="0"/>
        </w:rPr>
        <w:t xml:space="preserve">or control interest </w:t>
      </w:r>
      <w:r w:rsidRPr="00DF1D1C">
        <w:rPr>
          <w:noProof w:val="0"/>
        </w:rPr>
        <w:t>of five</w:t>
      </w:r>
      <w:r w:rsidR="00E15009">
        <w:rPr>
          <w:noProof w:val="0"/>
        </w:rPr>
        <w:t xml:space="preserve"> </w:t>
      </w:r>
      <w:r w:rsidRPr="00DF1D1C">
        <w:rPr>
          <w:noProof w:val="0"/>
        </w:rPr>
        <w:t xml:space="preserve">percent </w:t>
      </w:r>
      <w:r w:rsidR="009B0E18">
        <w:rPr>
          <w:noProof w:val="0"/>
        </w:rPr>
        <w:t>(5%)</w:t>
      </w:r>
      <w:r w:rsidR="009B0E18" w:rsidRPr="00DF1D1C">
        <w:rPr>
          <w:noProof w:val="0"/>
        </w:rPr>
        <w:t xml:space="preserve"> </w:t>
      </w:r>
      <w:r>
        <w:rPr>
          <w:noProof w:val="0"/>
        </w:rPr>
        <w:t xml:space="preserve">or more in </w:t>
      </w:r>
      <w:r w:rsidRPr="00DF1D1C">
        <w:rPr>
          <w:noProof w:val="0"/>
        </w:rPr>
        <w:t xml:space="preserve">the </w:t>
      </w:r>
      <w:r>
        <w:rPr>
          <w:noProof w:val="0"/>
        </w:rPr>
        <w:t>provider</w:t>
      </w:r>
      <w:r w:rsidRPr="00FA5B0A">
        <w:t xml:space="preserve"> to disclose information on criminal convictions related to Medicare, Medicaid, or Title XX programs at the time they apply or renew their applications for Medicaid participation or at any time on request. </w:t>
      </w:r>
      <w:r>
        <w:t>The</w:t>
      </w:r>
      <w:r w:rsidRPr="00FA5B0A">
        <w:t xml:space="preserve"> contracts must require a provider to notify the MCO immediately of the time </w:t>
      </w:r>
      <w:r>
        <w:t xml:space="preserve">the </w:t>
      </w:r>
      <w:r w:rsidRPr="00FA5B0A">
        <w:t>provider receives notice of such conviction. The MCO must include the definition of</w:t>
      </w:r>
      <w:r>
        <w:t xml:space="preserve"> “Convicted” per 42 CFR 1001.2 in the </w:t>
      </w:r>
      <w:r w:rsidR="009B19C2">
        <w:t xml:space="preserve">Contract </w:t>
      </w:r>
      <w:r>
        <w:t>or disclosure form;</w:t>
      </w:r>
    </w:p>
    <w:p w14:paraId="651EE317" w14:textId="77777777" w:rsidR="00A77315" w:rsidRDefault="00A77315" w:rsidP="00257641">
      <w:pPr>
        <w:numPr>
          <w:ilvl w:val="0"/>
          <w:numId w:val="17"/>
        </w:numPr>
        <w:tabs>
          <w:tab w:val="clear" w:pos="360"/>
        </w:tabs>
        <w:spacing w:after="120"/>
        <w:ind w:left="720"/>
        <w:jc w:val="both"/>
      </w:pPr>
      <w:r w:rsidRPr="003C0564">
        <w:t xml:space="preserve">Requirements for providers to report </w:t>
      </w:r>
      <w:r>
        <w:t xml:space="preserve">to the MCO </w:t>
      </w:r>
      <w:r w:rsidRPr="003C0564">
        <w:t>provider-preventable conditions associated with claims</w:t>
      </w:r>
      <w:r>
        <w:t>;</w:t>
      </w:r>
    </w:p>
    <w:p w14:paraId="6CFAD420" w14:textId="0AB4734F" w:rsidR="00A77315" w:rsidRDefault="00A77315" w:rsidP="00257641">
      <w:pPr>
        <w:numPr>
          <w:ilvl w:val="0"/>
          <w:numId w:val="17"/>
        </w:numPr>
        <w:tabs>
          <w:tab w:val="clear" w:pos="360"/>
        </w:tabs>
        <w:spacing w:after="120"/>
        <w:ind w:left="720"/>
        <w:jc w:val="both"/>
      </w:pPr>
      <w:r w:rsidRPr="00FA5B0A">
        <w:t xml:space="preserve">Certification that the provider, </w:t>
      </w:r>
      <w:r>
        <w:t xml:space="preserve">provider’s </w:t>
      </w:r>
      <w:r w:rsidRPr="00DF1D1C">
        <w:rPr>
          <w:noProof w:val="0"/>
        </w:rPr>
        <w:t xml:space="preserve">director, officer, </w:t>
      </w:r>
      <w:r>
        <w:rPr>
          <w:noProof w:val="0"/>
        </w:rPr>
        <w:t xml:space="preserve">principal, </w:t>
      </w:r>
      <w:r w:rsidRPr="00DF1D1C">
        <w:rPr>
          <w:noProof w:val="0"/>
        </w:rPr>
        <w:t xml:space="preserve">partner, </w:t>
      </w:r>
      <w:r>
        <w:rPr>
          <w:noProof w:val="0"/>
        </w:rPr>
        <w:t xml:space="preserve">managing employee, </w:t>
      </w:r>
      <w:r w:rsidRPr="00DF1D1C">
        <w:rPr>
          <w:noProof w:val="0"/>
        </w:rPr>
        <w:t xml:space="preserve">or </w:t>
      </w:r>
      <w:r>
        <w:rPr>
          <w:noProof w:val="0"/>
        </w:rPr>
        <w:t xml:space="preserve">other </w:t>
      </w:r>
      <w:r w:rsidRPr="00DF1D1C">
        <w:rPr>
          <w:noProof w:val="0"/>
        </w:rPr>
        <w:t xml:space="preserve">person with ownership </w:t>
      </w:r>
      <w:r>
        <w:rPr>
          <w:noProof w:val="0"/>
        </w:rPr>
        <w:t xml:space="preserve">or control interest </w:t>
      </w:r>
      <w:r w:rsidRPr="00DF1D1C">
        <w:rPr>
          <w:noProof w:val="0"/>
        </w:rPr>
        <w:t>of five</w:t>
      </w:r>
      <w:r w:rsidR="00E15009">
        <w:rPr>
          <w:noProof w:val="0"/>
        </w:rPr>
        <w:t xml:space="preserve"> </w:t>
      </w:r>
      <w:r w:rsidRPr="00DF1D1C">
        <w:rPr>
          <w:noProof w:val="0"/>
        </w:rPr>
        <w:t xml:space="preserve">percent </w:t>
      </w:r>
      <w:r w:rsidR="009B0E18">
        <w:rPr>
          <w:noProof w:val="0"/>
        </w:rPr>
        <w:t>(5%)</w:t>
      </w:r>
      <w:r w:rsidR="009B0E18" w:rsidRPr="00DF1D1C">
        <w:rPr>
          <w:noProof w:val="0"/>
        </w:rPr>
        <w:t xml:space="preserve"> </w:t>
      </w:r>
      <w:r>
        <w:rPr>
          <w:noProof w:val="0"/>
        </w:rPr>
        <w:t xml:space="preserve">or more in </w:t>
      </w:r>
      <w:r w:rsidRPr="00DF1D1C">
        <w:rPr>
          <w:noProof w:val="0"/>
        </w:rPr>
        <w:t xml:space="preserve">the </w:t>
      </w:r>
      <w:r>
        <w:rPr>
          <w:noProof w:val="0"/>
        </w:rPr>
        <w:t>provider</w:t>
      </w:r>
      <w:r w:rsidRPr="00FA5B0A">
        <w:t xml:space="preserve"> have not been excluded, suspended, debarred, revoked</w:t>
      </w:r>
      <w:r>
        <w:t>,</w:t>
      </w:r>
      <w:r w:rsidRPr="00FA5B0A">
        <w:t xml:space="preserve"> or any other synonymous action from participation in any program under Title XVIII (Medicare), Title XIX (Medicaid), or under the provisions of Executive Order 12549, relating to federal agreement. Certification that persons listed above have also not been excluded, suspended, debarred, revoked</w:t>
      </w:r>
      <w:r>
        <w:t>,</w:t>
      </w:r>
      <w:r w:rsidRPr="00FA5B0A">
        <w:t xml:space="preserve"> or any other synonymous action from participation in any other state or federal health-care program.</w:t>
      </w:r>
      <w:r w:rsidR="00F24820">
        <w:t xml:space="preserve"> </w:t>
      </w:r>
      <w:r w:rsidRPr="00FA5B0A">
        <w:t>Requirement for a provider to notify the MCO immediately of the time it receives notice that any action is being taken against a provider or any person above as defined under the provisions of Section 1128(A) or (B) of the Social Security Act (42 USC §1320a-7), which could result in exclusion from the Medicaid program. A provider must agree to fully comply at all times with the requirements of 45 CFR Part 76, relating to eligibility for federal agreements and grants</w:t>
      </w:r>
      <w:r>
        <w:t>;</w:t>
      </w:r>
    </w:p>
    <w:p w14:paraId="6DA8C99B" w14:textId="04141A50" w:rsidR="00A77315" w:rsidRDefault="00A77315" w:rsidP="00257641">
      <w:pPr>
        <w:numPr>
          <w:ilvl w:val="0"/>
          <w:numId w:val="17"/>
        </w:numPr>
        <w:tabs>
          <w:tab w:val="clear" w:pos="360"/>
        </w:tabs>
        <w:spacing w:after="120"/>
        <w:ind w:left="720"/>
        <w:jc w:val="both"/>
      </w:pPr>
      <w:r w:rsidRPr="00616A57">
        <w:t xml:space="preserve">Requirements for access to provider records. </w:t>
      </w:r>
      <w:r>
        <w:t xml:space="preserve">The </w:t>
      </w:r>
      <w:r w:rsidRPr="00616A57">
        <w:t xml:space="preserve">provider contracts must include a provision requiring MCO providers to provide </w:t>
      </w:r>
      <w:r>
        <w:t xml:space="preserve">to </w:t>
      </w:r>
      <w:r w:rsidR="006B20DF">
        <w:t>DHHR</w:t>
      </w:r>
      <w:r>
        <w:t>:</w:t>
      </w:r>
      <w:r w:rsidR="00F24820">
        <w:t xml:space="preserve"> </w:t>
      </w:r>
      <w:r w:rsidRPr="00616A57">
        <w:t xml:space="preserve">1. all information required under the MCO’s managed care </w:t>
      </w:r>
      <w:r w:rsidR="009B19C2">
        <w:t xml:space="preserve">Contract </w:t>
      </w:r>
      <w:r w:rsidRPr="00616A57">
        <w:t xml:space="preserve">with </w:t>
      </w:r>
      <w:r w:rsidR="006B20DF">
        <w:t>DHHR</w:t>
      </w:r>
      <w:r w:rsidRPr="00616A57">
        <w:t xml:space="preserve">, including but not limited to the reporting </w:t>
      </w:r>
      <w:r w:rsidRPr="00616A57">
        <w:lastRenderedPageBreak/>
        <w:t xml:space="preserve">requirements and other information related to the network providers' performance of its obligations under the MCO provider contracts; and 2. any information in its possession sufficient to permit </w:t>
      </w:r>
      <w:r w:rsidR="006B20DF">
        <w:t>DHHR</w:t>
      </w:r>
      <w:r w:rsidR="006B20DF" w:rsidRPr="00616A57">
        <w:t xml:space="preserve"> </w:t>
      </w:r>
      <w:r w:rsidRPr="00616A57">
        <w:t>to comply with the federal Balanced Budget Act of 1997 or other federal or state laws, rules, and regulations. MCO provider contracts must include a provision explaining that</w:t>
      </w:r>
      <w:r>
        <w:t>,</w:t>
      </w:r>
      <w:r w:rsidRPr="00616A57">
        <w:t xml:space="preserve"> if the network provider places required records in another legal entity's records, such as a hospital, the network provider is responsible for obtaining a copy of these records for use by the above named entities or their representative</w:t>
      </w:r>
      <w:r>
        <w:t>;</w:t>
      </w:r>
    </w:p>
    <w:p w14:paraId="7F4B346B" w14:textId="77777777" w:rsidR="00A77315" w:rsidRDefault="00A77315" w:rsidP="00257641">
      <w:pPr>
        <w:numPr>
          <w:ilvl w:val="0"/>
          <w:numId w:val="17"/>
        </w:numPr>
        <w:tabs>
          <w:tab w:val="clear" w:pos="360"/>
        </w:tabs>
        <w:spacing w:after="120"/>
        <w:ind w:left="720"/>
        <w:jc w:val="both"/>
      </w:pPr>
      <w:r w:rsidRPr="00616A57">
        <w:t xml:space="preserve">Requirement for providers to comply with 42 CFR 438.104. </w:t>
      </w:r>
      <w:r>
        <w:t xml:space="preserve">The </w:t>
      </w:r>
      <w:r w:rsidR="009B19C2">
        <w:t xml:space="preserve">Contract </w:t>
      </w:r>
      <w:r w:rsidRPr="00616A57">
        <w:t>must prohibit providers from engaging in direct marketing to enrollees that is designed to increase enrollment in a particular MCO. The prohibition should not constrain providers from engaging in permissible marketing activities consistent with broad outreach objectives and application assistance</w:t>
      </w:r>
      <w:r>
        <w:t>;</w:t>
      </w:r>
    </w:p>
    <w:p w14:paraId="0326E97B" w14:textId="06C9A91B" w:rsidR="00A77315" w:rsidRDefault="00A77315" w:rsidP="00257641">
      <w:pPr>
        <w:numPr>
          <w:ilvl w:val="0"/>
          <w:numId w:val="17"/>
        </w:numPr>
        <w:tabs>
          <w:tab w:val="clear" w:pos="360"/>
        </w:tabs>
        <w:spacing w:after="120"/>
        <w:ind w:left="720"/>
        <w:jc w:val="both"/>
      </w:pPr>
      <w:r w:rsidRPr="00616A57">
        <w:t xml:space="preserve">Requirement to comply with Section 6032 of the Deficit Reduction Act of 2005, if the network provider receives annual Medicaid payments of at least $5 million (cumulative, from all sources). A provider must: 1. Establish written policies for all employees, managers, officers, contractors, </w:t>
      </w:r>
      <w:r w:rsidR="00642406">
        <w:t>S</w:t>
      </w:r>
      <w:r w:rsidRPr="00616A57">
        <w:t xml:space="preserve">ubcontractors, and agents of the network provider. The policies must provide detailed information about the False Claims Act, administrative remedies for false claims and statements, any state laws about civil or criminal penalties for false claims, and whistleblower protections under such laws, as described in Section 1902(a)(68)(A). 2. Include as part of such written policies detailed provisions regarding the network provider’s policies and procedures for detecting and preventing </w:t>
      </w:r>
      <w:r w:rsidR="009B0E18">
        <w:t>FWA</w:t>
      </w:r>
      <w:r w:rsidRPr="00616A57">
        <w:t>. 3. Include in any employee handbook a specific discussion of the laws described in Section 1902(a)(68)(A), the rights of employees to be protected as whistleblowers, and the provider’s policies and procedures for detecting and pre</w:t>
      </w:r>
      <w:r>
        <w:t xml:space="preserve">venting </w:t>
      </w:r>
      <w:r w:rsidR="009B0E18">
        <w:t>FWA</w:t>
      </w:r>
      <w:r>
        <w:t>;</w:t>
      </w:r>
    </w:p>
    <w:p w14:paraId="06D7C9DC" w14:textId="77268F84" w:rsidR="00A77315" w:rsidRDefault="00A77315" w:rsidP="00257641">
      <w:pPr>
        <w:numPr>
          <w:ilvl w:val="0"/>
          <w:numId w:val="17"/>
        </w:numPr>
        <w:tabs>
          <w:tab w:val="clear" w:pos="360"/>
        </w:tabs>
        <w:spacing w:after="120"/>
        <w:ind w:left="720"/>
        <w:jc w:val="both"/>
      </w:pPr>
      <w:r w:rsidRPr="00616A57">
        <w:t>Requirement to comply with the Health Insurance Portability and Accountability Act of 1996 (HIPAA) (Public Law 104-191), and the Health Information Technology for Economic and Clinical Health Act (HITECH</w:t>
      </w:r>
      <w:r>
        <w:t xml:space="preserve"> Act) at 42 U.S.C. 17931 et.seq.</w:t>
      </w:r>
      <w:r w:rsidRPr="00D85863">
        <w:t xml:space="preserve"> </w:t>
      </w:r>
      <w:r>
        <w:t>T</w:t>
      </w:r>
      <w:r w:rsidRPr="00D85863">
        <w:t xml:space="preserve">he </w:t>
      </w:r>
      <w:r w:rsidR="009B19C2">
        <w:t>Contract</w:t>
      </w:r>
      <w:r w:rsidR="00F24820">
        <w:t xml:space="preserve"> </w:t>
      </w:r>
      <w:r>
        <w:t xml:space="preserve">must </w:t>
      </w:r>
      <w:r w:rsidRPr="00D85863">
        <w:t>explain that the provider must treat all information that is obtained through the performan</w:t>
      </w:r>
      <w:r>
        <w:t xml:space="preserve">ce of the services included in the </w:t>
      </w:r>
      <w:r w:rsidRPr="00D85863">
        <w:t xml:space="preserve">provider </w:t>
      </w:r>
      <w:r w:rsidR="009B19C2">
        <w:t xml:space="preserve">Contract </w:t>
      </w:r>
      <w:r w:rsidRPr="00D85863">
        <w:t xml:space="preserve">as confidential information to the extent that confidential treatment is provided under state and federal laws, rules, and regulations. This includes, but is not limited to, information relating to applicants or </w:t>
      </w:r>
      <w:r w:rsidR="00D63B83">
        <w:t>enrollee</w:t>
      </w:r>
      <w:r w:rsidR="00D63B83" w:rsidRPr="00D85863">
        <w:t xml:space="preserve">s </w:t>
      </w:r>
      <w:r w:rsidRPr="00D85863">
        <w:t xml:space="preserve">of </w:t>
      </w:r>
      <w:r w:rsidR="006B20DF">
        <w:t>DHHR</w:t>
      </w:r>
      <w:r w:rsidR="006B20DF" w:rsidRPr="00D85863">
        <w:t xml:space="preserve"> </w:t>
      </w:r>
      <w:r>
        <w:t>p</w:t>
      </w:r>
      <w:r w:rsidRPr="00D85863">
        <w:t>rograms.</w:t>
      </w:r>
    </w:p>
    <w:p w14:paraId="1F67BCEA" w14:textId="77777777" w:rsidR="00A77315" w:rsidRDefault="00A77315" w:rsidP="00257641">
      <w:pPr>
        <w:numPr>
          <w:ilvl w:val="0"/>
          <w:numId w:val="17"/>
        </w:numPr>
        <w:tabs>
          <w:tab w:val="clear" w:pos="360"/>
        </w:tabs>
        <w:spacing w:after="120"/>
        <w:ind w:left="720"/>
        <w:jc w:val="both"/>
      </w:pPr>
      <w:r w:rsidRPr="00616A57">
        <w:t xml:space="preserve">Requirement that provider may not interfere with or place any liens upon the State’s right or the MCO’s right, acting as the </w:t>
      </w:r>
      <w:r>
        <w:t>S</w:t>
      </w:r>
      <w:r w:rsidRPr="00616A57">
        <w:t>tate’s agent, to reco</w:t>
      </w:r>
      <w:r>
        <w:t>very from third party resources;</w:t>
      </w:r>
    </w:p>
    <w:p w14:paraId="69C72C1F" w14:textId="77777777" w:rsidR="00A77315" w:rsidRDefault="00A77315" w:rsidP="00257641">
      <w:pPr>
        <w:numPr>
          <w:ilvl w:val="0"/>
          <w:numId w:val="17"/>
        </w:numPr>
        <w:tabs>
          <w:tab w:val="clear" w:pos="360"/>
        </w:tabs>
        <w:spacing w:after="120"/>
        <w:ind w:left="720"/>
        <w:jc w:val="both"/>
      </w:pPr>
      <w:r>
        <w:t>R</w:t>
      </w:r>
      <w:r w:rsidRPr="00616A57">
        <w:t>equirement for provider to comply with 42 CFR 422.128 and West Virginia Health Care Decisions Act</w:t>
      </w:r>
      <w:r>
        <w:t xml:space="preserve"> relating to advance directives;</w:t>
      </w:r>
    </w:p>
    <w:p w14:paraId="18F48B07" w14:textId="0412CB42" w:rsidR="00A77315" w:rsidRDefault="00A77315" w:rsidP="00257641">
      <w:pPr>
        <w:numPr>
          <w:ilvl w:val="0"/>
          <w:numId w:val="17"/>
        </w:numPr>
        <w:tabs>
          <w:tab w:val="clear" w:pos="360"/>
        </w:tabs>
        <w:spacing w:after="120"/>
        <w:ind w:left="720"/>
        <w:jc w:val="both"/>
      </w:pPr>
      <w:r w:rsidRPr="00616A57">
        <w:t>Description of the MCO’s provider complaint and appeal processes. The processes must comply with the requirements of this Contract, 42 CFR</w:t>
      </w:r>
      <w:r w:rsidR="00F24820">
        <w:t xml:space="preserve"> </w:t>
      </w:r>
      <w:r w:rsidRPr="00616A57">
        <w:t>438.414, and must be the same for all providers</w:t>
      </w:r>
      <w:r>
        <w:t>;</w:t>
      </w:r>
    </w:p>
    <w:p w14:paraId="78863A98" w14:textId="77777777" w:rsidR="00A77315" w:rsidRDefault="00A77315" w:rsidP="00257641">
      <w:pPr>
        <w:numPr>
          <w:ilvl w:val="0"/>
          <w:numId w:val="17"/>
        </w:numPr>
        <w:tabs>
          <w:tab w:val="clear" w:pos="360"/>
        </w:tabs>
        <w:spacing w:after="120"/>
        <w:ind w:left="720"/>
        <w:jc w:val="both"/>
      </w:pPr>
      <w:r>
        <w:t xml:space="preserve">The provider </w:t>
      </w:r>
      <w:r w:rsidR="009B19C2">
        <w:t xml:space="preserve">Contract </w:t>
      </w:r>
      <w:r>
        <w:t>must prohibit providers from collecting copays for missed appointments;</w:t>
      </w:r>
    </w:p>
    <w:p w14:paraId="5082DC1E" w14:textId="470E3FA4" w:rsidR="00A77315" w:rsidRDefault="00A77315" w:rsidP="00257641">
      <w:pPr>
        <w:numPr>
          <w:ilvl w:val="0"/>
          <w:numId w:val="17"/>
        </w:numPr>
        <w:tabs>
          <w:tab w:val="clear" w:pos="360"/>
        </w:tabs>
        <w:spacing w:after="120"/>
        <w:ind w:left="720"/>
        <w:jc w:val="both"/>
      </w:pPr>
      <w:r>
        <w:t xml:space="preserve">The provider </w:t>
      </w:r>
      <w:r w:rsidR="009B19C2">
        <w:t xml:space="preserve">Contract </w:t>
      </w:r>
      <w:r>
        <w:t xml:space="preserve">must require emergency </w:t>
      </w:r>
      <w:r w:rsidRPr="002C171E">
        <w:t xml:space="preserve">care providers to educate the </w:t>
      </w:r>
      <w:r w:rsidR="00637C51">
        <w:t>enrollee</w:t>
      </w:r>
      <w:r w:rsidR="00637C51" w:rsidRPr="002C171E">
        <w:t xml:space="preserve"> </w:t>
      </w:r>
      <w:r w:rsidRPr="002C171E">
        <w:t xml:space="preserve">of the amount of his or her copay for non-emergency services provided in the emergency </w:t>
      </w:r>
      <w:r w:rsidRPr="002C171E">
        <w:lastRenderedPageBreak/>
        <w:t>department prior to providing non-emergency services. The emergency services provider must be required to provide a</w:t>
      </w:r>
      <w:r w:rsidR="00637C51">
        <w:t>n</w:t>
      </w:r>
      <w:r w:rsidRPr="002C171E">
        <w:t xml:space="preserve"> </w:t>
      </w:r>
      <w:r w:rsidR="00637C51">
        <w:t>enrollee</w:t>
      </w:r>
      <w:r w:rsidR="00637C51" w:rsidRPr="002C171E">
        <w:t xml:space="preserve"> </w:t>
      </w:r>
      <w:r w:rsidRPr="002C171E">
        <w:t>with the name and location of an available and accessible alternative non-emergency services provider</w:t>
      </w:r>
      <w:r w:rsidR="00994F1E">
        <w:t>;</w:t>
      </w:r>
      <w:r w:rsidR="00A02C61">
        <w:t xml:space="preserve"> </w:t>
      </w:r>
    </w:p>
    <w:p w14:paraId="4EF7702E" w14:textId="75F8C9EE" w:rsidR="009B0E18" w:rsidRDefault="00994F1E" w:rsidP="00257641">
      <w:pPr>
        <w:numPr>
          <w:ilvl w:val="0"/>
          <w:numId w:val="17"/>
        </w:numPr>
        <w:tabs>
          <w:tab w:val="clear" w:pos="360"/>
        </w:tabs>
        <w:spacing w:after="120"/>
        <w:ind w:left="720"/>
        <w:jc w:val="both"/>
      </w:pPr>
      <w:r>
        <w:t>Requirement for provider reporting and return of overpayments</w:t>
      </w:r>
      <w:r w:rsidR="00E15009" w:rsidRPr="00E15009">
        <w:t xml:space="preserve"> </w:t>
      </w:r>
      <w:r w:rsidR="00E15009">
        <w:t xml:space="preserve">as outlined in Article III, section </w:t>
      </w:r>
      <w:r w:rsidR="000F7540">
        <w:t>9</w:t>
      </w:r>
      <w:r w:rsidR="00E15009">
        <w:t xml:space="preserve">.3; </w:t>
      </w:r>
    </w:p>
    <w:p w14:paraId="1EBDBA48" w14:textId="6467A0E7" w:rsidR="009B0E18" w:rsidRDefault="009B0E18" w:rsidP="00257641">
      <w:pPr>
        <w:numPr>
          <w:ilvl w:val="0"/>
          <w:numId w:val="17"/>
        </w:numPr>
        <w:tabs>
          <w:tab w:val="clear" w:pos="360"/>
        </w:tabs>
        <w:ind w:left="720"/>
        <w:jc w:val="both"/>
      </w:pPr>
      <w:r>
        <w:t xml:space="preserve">Notice to the provider of the State’s right to collect MCO overpayments directly from the provider pursuant to the MCO’s assignment of rights to the Department, as described in Article III, Section </w:t>
      </w:r>
      <w:r w:rsidR="000F7540">
        <w:t>9</w:t>
      </w:r>
      <w:r>
        <w:t>.3 of the contract between the MCO and the State.</w:t>
      </w:r>
    </w:p>
    <w:p w14:paraId="66854114" w14:textId="6FA03039" w:rsidR="00E15009" w:rsidRDefault="009B0E18" w:rsidP="00257641">
      <w:pPr>
        <w:numPr>
          <w:ilvl w:val="0"/>
          <w:numId w:val="17"/>
        </w:numPr>
        <w:tabs>
          <w:tab w:val="clear" w:pos="360"/>
        </w:tabs>
        <w:spacing w:after="120"/>
        <w:ind w:left="720"/>
        <w:jc w:val="both"/>
      </w:pPr>
      <w:r>
        <w:t xml:space="preserve">Notice to the provider that in the event the State collects overpayments directly from the provider, the provider’s appeal rights are outlined in the BMS policy manual Chapter 800(B), which can be found on the BMS website; </w:t>
      </w:r>
      <w:r w:rsidR="00E15009">
        <w:t>and</w:t>
      </w:r>
    </w:p>
    <w:p w14:paraId="7C93C29A" w14:textId="4F227F3B" w:rsidR="00A77315" w:rsidRDefault="00A77315" w:rsidP="00257641">
      <w:pPr>
        <w:numPr>
          <w:ilvl w:val="0"/>
          <w:numId w:val="17"/>
        </w:numPr>
        <w:tabs>
          <w:tab w:val="clear" w:pos="360"/>
        </w:tabs>
        <w:ind w:left="720"/>
        <w:jc w:val="both"/>
      </w:pPr>
      <w:r w:rsidRPr="00DF1D1C">
        <w:t xml:space="preserve">Contracts with primary care providers (PCPs) must also include a requirement that the provider have </w:t>
      </w:r>
      <w:r w:rsidR="009B0E18">
        <w:t>twenty-four (</w:t>
      </w:r>
      <w:r w:rsidRPr="00DF1D1C">
        <w:t>24</w:t>
      </w:r>
      <w:r w:rsidR="009B0E18">
        <w:t>)</w:t>
      </w:r>
      <w:r w:rsidRPr="00DF1D1C">
        <w:t>-hour physician coverage.</w:t>
      </w:r>
    </w:p>
    <w:p w14:paraId="6697ADDC" w14:textId="3BC9A485" w:rsidR="00225222" w:rsidRDefault="00D82580" w:rsidP="00257641">
      <w:pPr>
        <w:pStyle w:val="Heading4"/>
      </w:pPr>
      <w:r>
        <w:t>3</w:t>
      </w:r>
      <w:r w:rsidR="00A77315">
        <w:t>.6.4</w:t>
      </w:r>
      <w:r w:rsidR="004F31A7">
        <w:t xml:space="preserve"> </w:t>
      </w:r>
      <w:r w:rsidR="00225222">
        <w:t xml:space="preserve">Provider </w:t>
      </w:r>
      <w:r w:rsidR="001F7A75">
        <w:t xml:space="preserve">Information </w:t>
      </w:r>
      <w:r w:rsidR="00225222">
        <w:t>Systems Support</w:t>
      </w:r>
    </w:p>
    <w:p w14:paraId="63F5B626" w14:textId="0169355F" w:rsidR="00D75035" w:rsidRDefault="007A09DA" w:rsidP="00257641">
      <w:r w:rsidRPr="003A09BF">
        <w:t xml:space="preserve">The MCO must work with providers to establish electronic billing, authorization and reporting systems that are compatible with provider </w:t>
      </w:r>
      <w:r>
        <w:rPr>
          <w:lang w:bidi="en-US"/>
        </w:rPr>
        <w:t>electronic health record (</w:t>
      </w:r>
      <w:r>
        <w:t>EHR) systems</w:t>
      </w:r>
      <w:r w:rsidRPr="003A09BF">
        <w:t>.</w:t>
      </w:r>
      <w:r>
        <w:t xml:space="preserve"> </w:t>
      </w:r>
      <w:r w:rsidR="00D75035">
        <w:t>The MCO</w:t>
      </w:r>
      <w:r>
        <w:t>’s</w:t>
      </w:r>
      <w:r w:rsidR="00D75035">
        <w:t xml:space="preserve"> </w:t>
      </w:r>
      <w:r w:rsidR="00D75035" w:rsidRPr="00C22DFF">
        <w:t>hardware, software</w:t>
      </w:r>
      <w:r w:rsidR="004646FE">
        <w:t>,</w:t>
      </w:r>
      <w:r w:rsidR="00D75035" w:rsidRPr="00C22DFF">
        <w:t xml:space="preserve"> and communications </w:t>
      </w:r>
      <w:r>
        <w:t xml:space="preserve">must be </w:t>
      </w:r>
      <w:r w:rsidR="00D75035">
        <w:t>capable of accommodating</w:t>
      </w:r>
      <w:r w:rsidR="00D75035" w:rsidRPr="00C22DFF">
        <w:t xml:space="preserve"> </w:t>
      </w:r>
      <w:r w:rsidR="00306F03">
        <w:t>individual</w:t>
      </w:r>
      <w:r w:rsidR="00D75035">
        <w:t xml:space="preserve"> provider information systems. Such accommodations may not be in violation</w:t>
      </w:r>
      <w:r w:rsidR="00D75035" w:rsidRPr="00C22DFF">
        <w:t xml:space="preserve"> </w:t>
      </w:r>
      <w:r w:rsidR="00D75035">
        <w:t xml:space="preserve">any </w:t>
      </w:r>
      <w:r w:rsidR="00D75035" w:rsidRPr="00C22DFF">
        <w:t>requirement</w:t>
      </w:r>
      <w:r w:rsidR="00D75035">
        <w:t xml:space="preserve">s promulgated pursuant to </w:t>
      </w:r>
      <w:r w:rsidR="00D75035" w:rsidRPr="00181700">
        <w:t>Health Insurance Portability and Accountability Act of 1996, P.L. 104-191 (August 21</w:t>
      </w:r>
      <w:r w:rsidR="00D75035">
        <w:t xml:space="preserve">, 1996), as amended or modified, </w:t>
      </w:r>
      <w:r w:rsidR="00D75035" w:rsidRPr="00181700">
        <w:t>Health Information Technology for Economic and Clinical Health Act (HITECH Act)</w:t>
      </w:r>
      <w:r w:rsidR="004646FE">
        <w:t>,</w:t>
      </w:r>
      <w:r w:rsidR="00D75035">
        <w:t xml:space="preserve"> and other applicable federal and state laws. </w:t>
      </w:r>
    </w:p>
    <w:p w14:paraId="6459B8DA" w14:textId="41B95723" w:rsidR="003D2315" w:rsidRDefault="00D82580" w:rsidP="00257641">
      <w:pPr>
        <w:pStyle w:val="Heading4"/>
      </w:pPr>
      <w:r>
        <w:t>3</w:t>
      </w:r>
      <w:r w:rsidR="003D2315">
        <w:t xml:space="preserve">.6.5 </w:t>
      </w:r>
      <w:r w:rsidR="00D40A78" w:rsidRPr="00D40A78">
        <w:t>Provider Satisfaction Survey</w:t>
      </w:r>
    </w:p>
    <w:p w14:paraId="6115765C" w14:textId="77777777" w:rsidR="00D40A78" w:rsidRPr="00CA4626" w:rsidRDefault="00D40A78" w:rsidP="00257641">
      <w:bookmarkStart w:id="119" w:name="_Toc73441792"/>
      <w:r w:rsidRPr="00CA4626">
        <w:t>The MCO is required to d</w:t>
      </w:r>
      <w:r w:rsidR="005C1369" w:rsidRPr="00CA4626">
        <w:t xml:space="preserve">esign, develop, and implement an annual </w:t>
      </w:r>
      <w:r w:rsidRPr="00CA4626">
        <w:t xml:space="preserve">provider satisfaction survey to </w:t>
      </w:r>
      <w:r w:rsidR="00F347EE" w:rsidRPr="00CA4626">
        <w:t>evaluate provider or provider staff satisfaction with the MCO.</w:t>
      </w:r>
    </w:p>
    <w:p w14:paraId="0F6A883C" w14:textId="08AC5FDB" w:rsidR="000B3DAA" w:rsidRPr="00533C21" w:rsidRDefault="000B3DAA" w:rsidP="00257641">
      <w:r w:rsidRPr="00CA4626">
        <w:t>The MCO must collect, analyze, and submit provider survey results</w:t>
      </w:r>
      <w:r w:rsidR="005C1369" w:rsidRPr="00CA4626">
        <w:t xml:space="preserve"> to the Department on an annual</w:t>
      </w:r>
      <w:r w:rsidRPr="00CA4626">
        <w:t xml:space="preserve"> basis. </w:t>
      </w:r>
      <w:r w:rsidR="005C1369" w:rsidRPr="00CA4626">
        <w:t xml:space="preserve">The survey </w:t>
      </w:r>
      <w:r w:rsidR="006876E5">
        <w:t>must</w:t>
      </w:r>
      <w:r w:rsidR="006876E5" w:rsidRPr="00CA4626">
        <w:t xml:space="preserve"> </w:t>
      </w:r>
      <w:r w:rsidR="005C1369" w:rsidRPr="00CA4626">
        <w:t xml:space="preserve">be submitted to prior to the conclusion of the contracting period of each </w:t>
      </w:r>
      <w:r w:rsidR="009B19C2">
        <w:t xml:space="preserve">Contract </w:t>
      </w:r>
      <w:r w:rsidR="005C1369" w:rsidRPr="00CA4626">
        <w:t>year, June 30</w:t>
      </w:r>
      <w:r w:rsidR="005C1369" w:rsidRPr="00CA4626">
        <w:rPr>
          <w:vertAlign w:val="superscript"/>
        </w:rPr>
        <w:t>th</w:t>
      </w:r>
      <w:r w:rsidR="005C1369" w:rsidRPr="00CA4626">
        <w:t>.</w:t>
      </w:r>
    </w:p>
    <w:p w14:paraId="04F90CFD" w14:textId="4445C10E" w:rsidR="009A0060" w:rsidRPr="00DF1D1C" w:rsidRDefault="00D82580" w:rsidP="00257641">
      <w:pPr>
        <w:pStyle w:val="Heading3"/>
        <w:tabs>
          <w:tab w:val="left" w:pos="1890"/>
        </w:tabs>
      </w:pPr>
      <w:bookmarkStart w:id="120" w:name="_Toc8129020"/>
      <w:r>
        <w:t>3</w:t>
      </w:r>
      <w:r w:rsidR="009A0060" w:rsidRPr="00DF1D1C">
        <w:t>.7</w:t>
      </w:r>
      <w:r w:rsidR="009A0060" w:rsidRPr="00DF1D1C">
        <w:tab/>
        <w:t>Provider Reimbursement</w:t>
      </w:r>
      <w:bookmarkEnd w:id="119"/>
      <w:bookmarkEnd w:id="120"/>
    </w:p>
    <w:p w14:paraId="6173F94F" w14:textId="2E38C0A1" w:rsidR="009A0060" w:rsidRPr="00DF1D1C" w:rsidRDefault="00D82580" w:rsidP="00257641">
      <w:pPr>
        <w:pStyle w:val="StyleHeading4After0pt"/>
      </w:pPr>
      <w:r>
        <w:t>3</w:t>
      </w:r>
      <w:r w:rsidR="00251DAB">
        <w:t xml:space="preserve">.7.1 </w:t>
      </w:r>
      <w:r w:rsidR="009A0060" w:rsidRPr="00DF1D1C">
        <w:t>General</w:t>
      </w:r>
    </w:p>
    <w:p w14:paraId="3BA2CCC1" w14:textId="3C3138B5" w:rsidR="009B0E18" w:rsidRDefault="00C22DFF" w:rsidP="00257641">
      <w:r>
        <w:t>The Department</w:t>
      </w:r>
      <w:r w:rsidR="009A0060" w:rsidRPr="00DF1D1C">
        <w:t xml:space="preserve"> believes that one of the advantages of a managed care system is that it permits MCOs and providers to enter into creative payment arrangements intended to encourage and reward effective utilization management and quality of care</w:t>
      </w:r>
      <w:r w:rsidR="0078080B" w:rsidRPr="00DF1D1C">
        <w:t xml:space="preserve">. </w:t>
      </w:r>
      <w:r w:rsidR="002D4A9A">
        <w:t>The Department</w:t>
      </w:r>
      <w:r w:rsidR="002D4A9A" w:rsidRPr="00DF1D1C">
        <w:t xml:space="preserve"> </w:t>
      </w:r>
      <w:r w:rsidR="009A0060" w:rsidRPr="00DF1D1C">
        <w:t>therefore intends to give MCOs and providers as much freedom as possible to negotiate mutually acceptable payment terms</w:t>
      </w:r>
      <w:r w:rsidR="0078080B" w:rsidRPr="00DF1D1C">
        <w:t xml:space="preserve">. </w:t>
      </w:r>
      <w:r w:rsidR="009A0060" w:rsidRPr="00DF1D1C">
        <w:t xml:space="preserve">However, </w:t>
      </w:r>
      <w:r w:rsidR="009B0E18">
        <w:t>r</w:t>
      </w:r>
      <w:r w:rsidR="009B0E18" w:rsidRPr="00D33F07">
        <w:t>eimbursement rate amounts over 102.5% of the Medicaid FFS rates</w:t>
      </w:r>
      <w:r w:rsidR="009B0E18">
        <w:t xml:space="preserve"> </w:t>
      </w:r>
      <w:r w:rsidR="009B0E18" w:rsidRPr="00D33F07">
        <w:t>are not included in data as part of rate setting</w:t>
      </w:r>
      <w:r w:rsidR="009B0E18">
        <w:t xml:space="preserve"> to develop the </w:t>
      </w:r>
      <w:r w:rsidR="009D2775">
        <w:t>PMPM</w:t>
      </w:r>
      <w:r w:rsidR="009B0E18">
        <w:t xml:space="preserve"> capitation payment for the MCO</w:t>
      </w:r>
      <w:r w:rsidR="009B0E18" w:rsidRPr="00D33F07">
        <w:t>.</w:t>
      </w:r>
    </w:p>
    <w:p w14:paraId="39303CC4" w14:textId="27DBDA2B" w:rsidR="009A0060" w:rsidRDefault="009B0E18" w:rsidP="00257641">
      <w:r>
        <w:t>R</w:t>
      </w:r>
      <w:r w:rsidR="009A0060" w:rsidRPr="00DF1D1C">
        <w:t xml:space="preserve">egardless of the specific arrangements </w:t>
      </w:r>
      <w:r>
        <w:t>the MCO</w:t>
      </w:r>
      <w:r w:rsidRPr="00DF1D1C">
        <w:t xml:space="preserve"> </w:t>
      </w:r>
      <w:r w:rsidR="009A0060" w:rsidRPr="00DF1D1C">
        <w:t xml:space="preserve">makes with providers, the MCO must make timely payments to both its contracted and non-contracted providers, subject to the conditions described below. </w:t>
      </w:r>
      <w:r w:rsidR="002F703F" w:rsidRPr="00DF1D1C">
        <w:t xml:space="preserve">This includes making a full payment rather than installment payments for a </w:t>
      </w:r>
      <w:r w:rsidR="002F703F" w:rsidRPr="00DF1D1C">
        <w:lastRenderedPageBreak/>
        <w:t xml:space="preserve">course of treatment if </w:t>
      </w:r>
      <w:r>
        <w:t>FFS</w:t>
      </w:r>
      <w:r w:rsidR="002F703F" w:rsidRPr="00DF1D1C">
        <w:t xml:space="preserve"> reimburses the entire cost of the treatment at the initiation of service. </w:t>
      </w:r>
      <w:r w:rsidR="009A0060" w:rsidRPr="00DF1D1C">
        <w:t xml:space="preserve">Additionally, the MCO must accept electronic claims as well as paper claims from providers. </w:t>
      </w:r>
      <w:r w:rsidR="00F018DA">
        <w:t xml:space="preserve">The MCO must accept </w:t>
      </w:r>
      <w:r w:rsidR="003A09BF">
        <w:t xml:space="preserve">Medicaid </w:t>
      </w:r>
      <w:r w:rsidR="00F018DA">
        <w:t xml:space="preserve">claims submitted using the </w:t>
      </w:r>
      <w:r w:rsidR="00637C51">
        <w:t xml:space="preserve">enrollee’s </w:t>
      </w:r>
      <w:r w:rsidR="00F018DA">
        <w:t xml:space="preserve">Medical Assistance ID (MAID). </w:t>
      </w:r>
      <w:r w:rsidR="0055268F">
        <w:t xml:space="preserve">The MCO must also require all </w:t>
      </w:r>
      <w:r w:rsidR="003A09BF">
        <w:t xml:space="preserve">Medicaid </w:t>
      </w:r>
      <w:r w:rsidR="0055268F">
        <w:t>claims for payment for items or services that were ordered to contain the NPI of the physician or other professional who ordered or referred such items or services.</w:t>
      </w:r>
    </w:p>
    <w:p w14:paraId="31F1A206" w14:textId="4EB04404" w:rsidR="00EF1574" w:rsidRPr="00DF1D1C" w:rsidRDefault="00EF1574" w:rsidP="00257641">
      <w:r>
        <w:t xml:space="preserve">The MCO may not seek recoupment of any provider payments beyond </w:t>
      </w:r>
      <w:r w:rsidR="006B20DF">
        <w:t>twenty-four (</w:t>
      </w:r>
      <w:r>
        <w:t>24</w:t>
      </w:r>
      <w:r w:rsidR="006B20DF">
        <w:t>)</w:t>
      </w:r>
      <w:r>
        <w:t xml:space="preserve"> months </w:t>
      </w:r>
      <w:r w:rsidR="008C763C">
        <w:t xml:space="preserve">from the date of service </w:t>
      </w:r>
      <w:r w:rsidR="006607F6">
        <w:t>unless such recoupment is due to provider fraud, waste or abuse.</w:t>
      </w:r>
    </w:p>
    <w:p w14:paraId="0A9808B8" w14:textId="5B2E1B61" w:rsidR="009A0060" w:rsidRPr="00DF1D1C" w:rsidRDefault="00D82580" w:rsidP="00257641">
      <w:pPr>
        <w:pStyle w:val="StyleHeading4After0pt"/>
      </w:pPr>
      <w:r>
        <w:t>3</w:t>
      </w:r>
      <w:r w:rsidR="00251DAB">
        <w:t xml:space="preserve">.7.2 </w:t>
      </w:r>
      <w:r w:rsidR="009A0060" w:rsidRPr="00DF1D1C">
        <w:t>In-Network Services</w:t>
      </w:r>
    </w:p>
    <w:p w14:paraId="05932256" w14:textId="7694980E" w:rsidR="009A0060" w:rsidRPr="00DF1D1C" w:rsidRDefault="00516020" w:rsidP="00257641">
      <w:pPr>
        <w:pStyle w:val="normal6"/>
      </w:pPr>
      <w:r>
        <w:t xml:space="preserve">Subject to Article III, </w:t>
      </w:r>
      <w:r w:rsidR="006B20DF">
        <w:t xml:space="preserve">Section </w:t>
      </w:r>
      <w:r w:rsidR="004A2393">
        <w:t>3</w:t>
      </w:r>
      <w:r>
        <w:t xml:space="preserve">.7, </w:t>
      </w:r>
      <w:r w:rsidRPr="00516020">
        <w:t>Timely Payment Requirement</w:t>
      </w:r>
      <w:r>
        <w:t>, t</w:t>
      </w:r>
      <w:r w:rsidR="009A0060" w:rsidRPr="00DF1D1C">
        <w:t>he MCO must make timely payme</w:t>
      </w:r>
      <w:r w:rsidR="009771A6">
        <w:t xml:space="preserve">nt within </w:t>
      </w:r>
      <w:r w:rsidR="00BF3C3E">
        <w:t>thirty (</w:t>
      </w:r>
      <w:r w:rsidR="009771A6">
        <w:t>30</w:t>
      </w:r>
      <w:r w:rsidR="00BF3C3E">
        <w:t>)</w:t>
      </w:r>
      <w:r w:rsidR="009771A6">
        <w:t xml:space="preserve"> calendar days </w:t>
      </w:r>
      <w:r w:rsidR="009B0E18" w:rsidRPr="009B0E18">
        <w:t xml:space="preserve">for clean claims to in-network providers </w:t>
      </w:r>
      <w:r w:rsidR="009771A6">
        <w:t>for Medically N</w:t>
      </w:r>
      <w:r w:rsidR="009A0060" w:rsidRPr="00DF1D1C">
        <w:t xml:space="preserve">ecessary, covered </w:t>
      </w:r>
      <w:r w:rsidR="009B19C2">
        <w:t xml:space="preserve">Contract </w:t>
      </w:r>
      <w:r w:rsidR="009A0060" w:rsidRPr="00DF1D1C">
        <w:t>services when:</w:t>
      </w:r>
    </w:p>
    <w:p w14:paraId="7898E626" w14:textId="77777777" w:rsidR="009A0060" w:rsidRPr="00DF1D1C" w:rsidRDefault="009A0060" w:rsidP="00257641">
      <w:pPr>
        <w:numPr>
          <w:ilvl w:val="0"/>
          <w:numId w:val="53"/>
        </w:numPr>
        <w:spacing w:after="120"/>
        <w:ind w:left="720"/>
      </w:pPr>
      <w:r w:rsidRPr="00DF1D1C">
        <w:t>Services were rendered to treat a medical emergency</w:t>
      </w:r>
      <w:r w:rsidR="00384DC7">
        <w:t>;</w:t>
      </w:r>
    </w:p>
    <w:p w14:paraId="1CC246C1" w14:textId="5996F59D" w:rsidR="009A0060" w:rsidRPr="00DF1D1C" w:rsidRDefault="009A0060" w:rsidP="00257641">
      <w:pPr>
        <w:numPr>
          <w:ilvl w:val="0"/>
          <w:numId w:val="53"/>
        </w:numPr>
        <w:spacing w:after="120"/>
        <w:ind w:left="720"/>
      </w:pPr>
      <w:r w:rsidRPr="00DF1D1C">
        <w:t>Services were rendered under the terms of the MCO</w:t>
      </w:r>
      <w:r w:rsidR="00FA1C0C" w:rsidRPr="00DF1D1C">
        <w:t>’</w:t>
      </w:r>
      <w:r w:rsidRPr="00DF1D1C">
        <w:t xml:space="preserve">s </w:t>
      </w:r>
      <w:r w:rsidR="009B19C2">
        <w:t xml:space="preserve">Contract </w:t>
      </w:r>
      <w:r w:rsidRPr="00DF1D1C">
        <w:t>with the provider</w:t>
      </w:r>
      <w:r w:rsidR="00384DC7">
        <w:t>;</w:t>
      </w:r>
      <w:r w:rsidRPr="00DF1D1C">
        <w:t xml:space="preserve"> </w:t>
      </w:r>
    </w:p>
    <w:p w14:paraId="4083957C" w14:textId="77777777" w:rsidR="00B34F65" w:rsidRDefault="009A0060" w:rsidP="00051602">
      <w:pPr>
        <w:numPr>
          <w:ilvl w:val="0"/>
          <w:numId w:val="53"/>
        </w:numPr>
        <w:spacing w:after="120"/>
        <w:ind w:left="720"/>
      </w:pPr>
      <w:r w:rsidRPr="00DF1D1C">
        <w:t>Services were prior authorized</w:t>
      </w:r>
      <w:r w:rsidR="00B34F65">
        <w:t>; or</w:t>
      </w:r>
    </w:p>
    <w:p w14:paraId="642112D5" w14:textId="296B1AE8" w:rsidR="00C24762" w:rsidRDefault="00B34F65" w:rsidP="00051602">
      <w:pPr>
        <w:numPr>
          <w:ilvl w:val="0"/>
          <w:numId w:val="53"/>
        </w:numPr>
        <w:spacing w:after="120"/>
        <w:ind w:left="720"/>
      </w:pPr>
      <w:r w:rsidRPr="00110CD1">
        <w:t>Retro-authorization meeting medical necessity has been granted due to the nature of service</w:t>
      </w:r>
      <w:r w:rsidR="009A0060" w:rsidRPr="00DF1D1C">
        <w:t>.</w:t>
      </w:r>
    </w:p>
    <w:p w14:paraId="73D28F98" w14:textId="77777777" w:rsidR="00051602" w:rsidRPr="00DF1D1C" w:rsidRDefault="00051602" w:rsidP="00051602">
      <w:pPr>
        <w:spacing w:after="120"/>
        <w:ind w:left="360"/>
      </w:pPr>
    </w:p>
    <w:p w14:paraId="63DC6279" w14:textId="12DD2E7C" w:rsidR="009A0060" w:rsidRPr="00DF1D1C" w:rsidRDefault="00D82580" w:rsidP="00257641">
      <w:pPr>
        <w:pStyle w:val="StyleHeading4After0pt"/>
      </w:pPr>
      <w:r>
        <w:t>3</w:t>
      </w:r>
      <w:r w:rsidR="00251DAB">
        <w:t xml:space="preserve">.7.3 </w:t>
      </w:r>
      <w:r w:rsidR="009A0060" w:rsidRPr="00DF1D1C">
        <w:t>Out-of-Network Services</w:t>
      </w:r>
    </w:p>
    <w:p w14:paraId="18BAA7C8" w14:textId="3D9A3EA2" w:rsidR="009A0060" w:rsidRPr="00DF1D1C" w:rsidRDefault="00F6635B" w:rsidP="00257641">
      <w:pPr>
        <w:pStyle w:val="normal6"/>
      </w:pPr>
      <w:r>
        <w:t xml:space="preserve">Subject to Article III, </w:t>
      </w:r>
      <w:r w:rsidR="007D3337">
        <w:t xml:space="preserve">Section </w:t>
      </w:r>
      <w:r w:rsidR="004A2393">
        <w:t>3</w:t>
      </w:r>
      <w:r>
        <w:t xml:space="preserve">.7, </w:t>
      </w:r>
      <w:r w:rsidRPr="00516020">
        <w:t>Timely Payment Requirement</w:t>
      </w:r>
      <w:r>
        <w:t>, t</w:t>
      </w:r>
      <w:r w:rsidR="009A0060" w:rsidRPr="00DF1D1C">
        <w:t xml:space="preserve">he MCO must make timely payments </w:t>
      </w:r>
      <w:r w:rsidR="000F7540">
        <w:t xml:space="preserve">within thirty (30) calendar days </w:t>
      </w:r>
      <w:r w:rsidR="000F7540" w:rsidRPr="009B0E18">
        <w:t xml:space="preserve">for clean claims </w:t>
      </w:r>
      <w:r w:rsidR="009A0060" w:rsidRPr="00DF1D1C">
        <w:t>t</w:t>
      </w:r>
      <w:r w:rsidR="00CF66F2">
        <w:t>o out-of-network providers for Medically N</w:t>
      </w:r>
      <w:r w:rsidR="009A0060" w:rsidRPr="00DF1D1C">
        <w:t>ecessary, covered services when:</w:t>
      </w:r>
    </w:p>
    <w:p w14:paraId="4BC365BE" w14:textId="740994AA" w:rsidR="009A0060" w:rsidRPr="00DF1D1C" w:rsidRDefault="009A0060" w:rsidP="00257641">
      <w:pPr>
        <w:numPr>
          <w:ilvl w:val="0"/>
          <w:numId w:val="24"/>
        </w:numPr>
        <w:tabs>
          <w:tab w:val="clear" w:pos="360"/>
        </w:tabs>
        <w:spacing w:after="120"/>
        <w:ind w:left="720"/>
      </w:pPr>
      <w:r w:rsidRPr="00DF1D1C">
        <w:t>Services were rendere</w:t>
      </w:r>
      <w:r w:rsidR="002F1405">
        <w:t>d to treat a Medical E</w:t>
      </w:r>
      <w:r w:rsidR="00930CFE">
        <w:t>mergency</w:t>
      </w:r>
      <w:r w:rsidR="00B34F65">
        <w:t>;</w:t>
      </w:r>
      <w:r w:rsidR="00930CFE">
        <w:t xml:space="preserve"> </w:t>
      </w:r>
    </w:p>
    <w:p w14:paraId="22230BCF" w14:textId="453EB6E5" w:rsidR="009A0060" w:rsidRPr="00DF1D1C" w:rsidRDefault="009A0060" w:rsidP="00257641">
      <w:pPr>
        <w:numPr>
          <w:ilvl w:val="0"/>
          <w:numId w:val="24"/>
        </w:numPr>
        <w:tabs>
          <w:tab w:val="clear" w:pos="360"/>
        </w:tabs>
        <w:spacing w:after="120"/>
        <w:ind w:left="720"/>
      </w:pPr>
      <w:r w:rsidRPr="00DF1D1C">
        <w:t>Services were for family planning and sexually transmitted diseases</w:t>
      </w:r>
      <w:r w:rsidR="00B34F65">
        <w:t>;</w:t>
      </w:r>
    </w:p>
    <w:p w14:paraId="3588B940" w14:textId="11FB3EEB" w:rsidR="009A0060" w:rsidRDefault="009A0060" w:rsidP="00257641">
      <w:pPr>
        <w:numPr>
          <w:ilvl w:val="0"/>
          <w:numId w:val="24"/>
        </w:numPr>
        <w:tabs>
          <w:tab w:val="clear" w:pos="360"/>
        </w:tabs>
        <w:spacing w:after="120"/>
        <w:ind w:left="720"/>
      </w:pPr>
      <w:r w:rsidRPr="00DF1D1C">
        <w:t>Services were prior authorized</w:t>
      </w:r>
      <w:r w:rsidR="00B34F65">
        <w:t>;</w:t>
      </w:r>
      <w:r w:rsidR="007D3337">
        <w:t xml:space="preserve"> or</w:t>
      </w:r>
    </w:p>
    <w:p w14:paraId="41C92FFE" w14:textId="600C4E22" w:rsidR="004844B9" w:rsidRPr="00110CD1" w:rsidRDefault="004844B9" w:rsidP="00257641">
      <w:pPr>
        <w:numPr>
          <w:ilvl w:val="0"/>
          <w:numId w:val="24"/>
        </w:numPr>
        <w:tabs>
          <w:tab w:val="clear" w:pos="360"/>
        </w:tabs>
        <w:spacing w:after="120"/>
        <w:ind w:left="720"/>
      </w:pPr>
      <w:r w:rsidRPr="00110CD1">
        <w:t xml:space="preserve">Retro-authorization meeting medical necessity has been granted due to the nature of service. </w:t>
      </w:r>
    </w:p>
    <w:p w14:paraId="593796CD" w14:textId="70DEFCFC" w:rsidR="00C24762" w:rsidRDefault="00274F5C" w:rsidP="00257641">
      <w:r w:rsidRPr="00CA4626">
        <w:t xml:space="preserve">For non-emergency out-of-network services, the MCO may reimburse providers at eighty </w:t>
      </w:r>
      <w:r w:rsidR="00A66E5B" w:rsidRPr="00CA4626">
        <w:t xml:space="preserve">(80) </w:t>
      </w:r>
      <w:r w:rsidRPr="00CA4626">
        <w:t>percent of the prevailing Medicaid fee-for-service</w:t>
      </w:r>
      <w:r w:rsidR="00974944">
        <w:t xml:space="preserve"> (</w:t>
      </w:r>
      <w:r w:rsidR="00B1152B">
        <w:t>FFS</w:t>
      </w:r>
      <w:r w:rsidR="00974944">
        <w:t>)</w:t>
      </w:r>
      <w:r w:rsidRPr="00CA4626">
        <w:t xml:space="preserve"> rate or higher</w:t>
      </w:r>
      <w:r w:rsidR="00FB43F2" w:rsidRPr="00CA4626">
        <w:t>, unless such services are deemed medically unnecessary</w:t>
      </w:r>
      <w:r w:rsidR="00110CD1">
        <w:t>, are</w:t>
      </w:r>
      <w:r w:rsidR="00FB43F2" w:rsidRPr="00CA4626">
        <w:t xml:space="preserve"> not covered</w:t>
      </w:r>
      <w:r w:rsidR="002621C4" w:rsidRPr="00CA4626">
        <w:t xml:space="preserve"> by the MCO</w:t>
      </w:r>
      <w:r w:rsidR="00110CD1">
        <w:t xml:space="preserve">, </w:t>
      </w:r>
      <w:r w:rsidR="00110CD1" w:rsidRPr="00110CD1">
        <w:t>or do not receive authorization</w:t>
      </w:r>
      <w:r w:rsidR="00FB43F2" w:rsidRPr="00CA4626">
        <w:t>.</w:t>
      </w:r>
      <w:r w:rsidR="00F24820">
        <w:t xml:space="preserve"> </w:t>
      </w:r>
    </w:p>
    <w:p w14:paraId="44A12C69" w14:textId="39037357" w:rsidR="00EC0872" w:rsidRDefault="00EC0872" w:rsidP="00257641">
      <w:r w:rsidRPr="00EC0872">
        <w:t xml:space="preserve">Consistent with Article III, Section </w:t>
      </w:r>
      <w:r w:rsidR="0023754F">
        <w:t>2</w:t>
      </w:r>
      <w:r w:rsidRPr="00EC0872">
        <w:t xml:space="preserve">.2.2, reimbursement for emergency services provided out-of-network must be equal to the Medicaid prevailing FFS reimbursement level for emergency services, less any payments for direct costs of medical education and direct costs of graduate medical education included in the FFS reimbursement rate. </w:t>
      </w:r>
    </w:p>
    <w:p w14:paraId="76318E3C" w14:textId="0731C7D4" w:rsidR="001F37AA" w:rsidRDefault="00D82580" w:rsidP="00257641">
      <w:pPr>
        <w:pStyle w:val="Heading4"/>
      </w:pPr>
      <w:r>
        <w:t>3</w:t>
      </w:r>
      <w:r w:rsidR="001F37AA">
        <w:t>.7.4 Out</w:t>
      </w:r>
      <w:r w:rsidR="00277BE5">
        <w:t>-</w:t>
      </w:r>
      <w:r w:rsidR="001F37AA">
        <w:t>of</w:t>
      </w:r>
      <w:r w:rsidR="00277BE5">
        <w:t>-</w:t>
      </w:r>
      <w:r w:rsidR="001F37AA">
        <w:t>Network Hospital Tra</w:t>
      </w:r>
      <w:r w:rsidR="00DB329A">
        <w:t>n</w:t>
      </w:r>
      <w:r w:rsidR="001F37AA">
        <w:t xml:space="preserve">sfers </w:t>
      </w:r>
    </w:p>
    <w:p w14:paraId="662A88AF" w14:textId="7EC51F80" w:rsidR="005F56C6" w:rsidRDefault="001F37AA" w:rsidP="00257641">
      <w:r w:rsidRPr="00396CA5">
        <w:t>The MCO must pay a</w:t>
      </w:r>
      <w:r w:rsidR="00637C51">
        <w:t>n</w:t>
      </w:r>
      <w:r w:rsidRPr="00396CA5">
        <w:t xml:space="preserve"> </w:t>
      </w:r>
      <w:r w:rsidR="00637C51">
        <w:t xml:space="preserve">enrollee’s </w:t>
      </w:r>
      <w:r w:rsidRPr="00396CA5">
        <w:t xml:space="preserve">existing </w:t>
      </w:r>
      <w:r>
        <w:t>o</w:t>
      </w:r>
      <w:r w:rsidRPr="00396CA5">
        <w:t>ut-of-</w:t>
      </w:r>
      <w:r>
        <w:t>n</w:t>
      </w:r>
      <w:r w:rsidRPr="00396CA5">
        <w:t xml:space="preserve">etwork </w:t>
      </w:r>
      <w:r>
        <w:t>hospital</w:t>
      </w:r>
      <w:r w:rsidR="004108D3">
        <w:t xml:space="preserve"> </w:t>
      </w:r>
      <w:r w:rsidR="00DB329A">
        <w:t>fees</w:t>
      </w:r>
      <w:r>
        <w:t xml:space="preserve"> </w:t>
      </w:r>
      <w:r w:rsidRPr="00396CA5">
        <w:t>for Medically Necess</w:t>
      </w:r>
      <w:r>
        <w:t xml:space="preserve">ary covered emergency services until the </w:t>
      </w:r>
      <w:r w:rsidR="00637C51">
        <w:t>enrollee</w:t>
      </w:r>
      <w:r w:rsidR="00637C51" w:rsidRPr="00396CA5">
        <w:t xml:space="preserve">’s </w:t>
      </w:r>
      <w:r w:rsidRPr="00396CA5">
        <w:t xml:space="preserve">records, clinical information and care can be </w:t>
      </w:r>
      <w:r w:rsidRPr="00396CA5">
        <w:lastRenderedPageBreak/>
        <w:t xml:space="preserve">transferred to a </w:t>
      </w:r>
      <w:r>
        <w:t>n</w:t>
      </w:r>
      <w:r w:rsidRPr="00396CA5">
        <w:t xml:space="preserve">etwork </w:t>
      </w:r>
      <w:r>
        <w:t xml:space="preserve">hospital, or until such time as the </w:t>
      </w:r>
      <w:r w:rsidR="00637C51">
        <w:t>enrollee</w:t>
      </w:r>
      <w:r w:rsidR="00637C51" w:rsidRPr="00396CA5">
        <w:t xml:space="preserve"> </w:t>
      </w:r>
      <w:r w:rsidRPr="00396CA5">
        <w:t>is no longer enrolled in that MCO, whichever is shorter.</w:t>
      </w:r>
      <w:r>
        <w:t xml:space="preserve"> </w:t>
      </w:r>
      <w:r w:rsidRPr="00396CA5">
        <w:t xml:space="preserve">The MCO must accept the </w:t>
      </w:r>
      <w:r>
        <w:t>o</w:t>
      </w:r>
      <w:r w:rsidRPr="00396CA5">
        <w:t>ut-of-</w:t>
      </w:r>
      <w:r>
        <w:t>n</w:t>
      </w:r>
      <w:r w:rsidRPr="00396CA5">
        <w:t xml:space="preserve">etwork </w:t>
      </w:r>
      <w:r>
        <w:t>hospital</w:t>
      </w:r>
      <w:r w:rsidRPr="00396CA5">
        <w:t xml:space="preserve"> physician or provid</w:t>
      </w:r>
      <w:r>
        <w:t xml:space="preserve">er’s </w:t>
      </w:r>
      <w:r w:rsidR="00BC2955">
        <w:t xml:space="preserve">binding </w:t>
      </w:r>
      <w:r>
        <w:t xml:space="preserve">determination of when the </w:t>
      </w:r>
      <w:r w:rsidR="00637C51">
        <w:t>enrollee</w:t>
      </w:r>
      <w:r w:rsidR="00637C51" w:rsidRPr="00396CA5">
        <w:t xml:space="preserve"> </w:t>
      </w:r>
      <w:r w:rsidRPr="00396CA5">
        <w:t>is sufficiently stabilized for transfer</w:t>
      </w:r>
      <w:r w:rsidR="00BC2955">
        <w:t xml:space="preserve"> or discharge</w:t>
      </w:r>
      <w:r w:rsidRPr="00396CA5">
        <w:t>.</w:t>
      </w:r>
    </w:p>
    <w:p w14:paraId="08CA8934" w14:textId="1BCBCC43" w:rsidR="009A0060" w:rsidRPr="00DF1D1C" w:rsidRDefault="00D82580" w:rsidP="00257641">
      <w:pPr>
        <w:pStyle w:val="Heading4"/>
      </w:pPr>
      <w:r>
        <w:t>3</w:t>
      </w:r>
      <w:r w:rsidR="001F37AA">
        <w:t>.7.5</w:t>
      </w:r>
      <w:r w:rsidR="00251DAB">
        <w:t xml:space="preserve"> </w:t>
      </w:r>
      <w:r w:rsidR="009A0060" w:rsidRPr="00DF1D1C">
        <w:t>Emergency Services</w:t>
      </w:r>
    </w:p>
    <w:p w14:paraId="5CFE4B62" w14:textId="77777777" w:rsidR="009A0060" w:rsidRPr="00DF1D1C" w:rsidRDefault="009A0060" w:rsidP="00257641">
      <w:pPr>
        <w:pStyle w:val="normal6"/>
      </w:pPr>
      <w:r w:rsidRPr="00DF1D1C">
        <w:t>When emergency services are provided to an enrollee of the MCO, the MCO</w:t>
      </w:r>
      <w:r w:rsidR="00FA1C0C" w:rsidRPr="00DF1D1C">
        <w:t>’</w:t>
      </w:r>
      <w:r w:rsidRPr="00DF1D1C">
        <w:t>s liability for payment is determined as follows:</w:t>
      </w:r>
    </w:p>
    <w:p w14:paraId="229ED0FC" w14:textId="77777777" w:rsidR="009A0060" w:rsidRPr="00DF1D1C" w:rsidRDefault="009A0060" w:rsidP="00257641">
      <w:pPr>
        <w:numPr>
          <w:ilvl w:val="0"/>
          <w:numId w:val="25"/>
        </w:numPr>
        <w:tabs>
          <w:tab w:val="clear" w:pos="360"/>
        </w:tabs>
        <w:spacing w:after="120"/>
        <w:ind w:left="720"/>
      </w:pPr>
      <w:r w:rsidRPr="00DF1D1C">
        <w:rPr>
          <w:b/>
        </w:rPr>
        <w:t>Presence of a Clinical Emergency:</w:t>
      </w:r>
      <w:r w:rsidRPr="00DF1D1C">
        <w:t xml:space="preserve"> If the screening examination leads to a clinical determination by the examining physician that an actual emergency medical condition exists, the MCO must pay for both the services involved in the screening examination and the services required to stabilize the patient.</w:t>
      </w:r>
    </w:p>
    <w:p w14:paraId="41C419FB" w14:textId="77777777" w:rsidR="009A0060" w:rsidRPr="00DF1D1C" w:rsidRDefault="009A0060" w:rsidP="00257641">
      <w:pPr>
        <w:numPr>
          <w:ilvl w:val="0"/>
          <w:numId w:val="25"/>
        </w:numPr>
        <w:tabs>
          <w:tab w:val="clear" w:pos="360"/>
        </w:tabs>
        <w:spacing w:after="120"/>
        <w:ind w:left="720"/>
      </w:pPr>
      <w:r w:rsidRPr="00DF1D1C">
        <w:rPr>
          <w:b/>
        </w:rPr>
        <w:t>Emergency Services Continue Until the Patient Can be Safely Discharged or Transferred:</w:t>
      </w:r>
      <w:r w:rsidRPr="00DF1D1C">
        <w:t xml:space="preserve"> The MCO is required to pay for al</w:t>
      </w:r>
      <w:r w:rsidR="00D95AF9">
        <w:t>l emergency services which are Medically N</w:t>
      </w:r>
      <w:r w:rsidRPr="00DF1D1C">
        <w:t>ecessary until the clinical emergency is stabilized. This includes all treatment that may be necessary to assure, within reasonable medical probability, that no material deterioration of the patient</w:t>
      </w:r>
      <w:r w:rsidR="00FA1C0C" w:rsidRPr="00DF1D1C">
        <w:t>’</w:t>
      </w:r>
      <w:r w:rsidRPr="00DF1D1C">
        <w:t>s condition is likely to result from, or occur during, discharge of the patient or transfer of the patient to another facility. If there is a disagreement between a hospital and the MCO concerning whether the patient is stable enough for discharge or transfer, or whether the medical benefits of an unstabilized transfer outweigh the risks, the judgment of the attending physician(s) actually caring for the enrollee at the treating facility prevails and is binding on the MCO. The MCO may establish arrangements with hospitals whereby the MCO may send one of its own physicians with appropriate Emergency Room privileges to assume the attending physician</w:t>
      </w:r>
      <w:r w:rsidR="00FA1C0C" w:rsidRPr="00DF1D1C">
        <w:t>’</w:t>
      </w:r>
      <w:r w:rsidRPr="00DF1D1C">
        <w:t>s responsibilities to stabilize, treat, and transfer the patient.</w:t>
      </w:r>
    </w:p>
    <w:p w14:paraId="1B258222" w14:textId="3D27C28C" w:rsidR="009A0060" w:rsidRPr="00DF1D1C" w:rsidRDefault="009A0060" w:rsidP="00257641">
      <w:pPr>
        <w:numPr>
          <w:ilvl w:val="0"/>
          <w:numId w:val="25"/>
        </w:numPr>
        <w:tabs>
          <w:tab w:val="clear" w:pos="360"/>
        </w:tabs>
        <w:spacing w:after="120"/>
        <w:ind w:left="720"/>
      </w:pPr>
      <w:r w:rsidRPr="00DF1D1C">
        <w:rPr>
          <w:b/>
        </w:rPr>
        <w:t>Subsequent Screening and Treatment:</w:t>
      </w:r>
      <w:r w:rsidR="00F24820">
        <w:t xml:space="preserve"> </w:t>
      </w:r>
      <w:r w:rsidRPr="00DF1D1C">
        <w:t>An enrollee who has an emergency medical condition may not be held liable for payment of subsequent screening and treatment needed to diagnose the specific condition.</w:t>
      </w:r>
    </w:p>
    <w:p w14:paraId="08FE24ED" w14:textId="7467DB50" w:rsidR="009A0060" w:rsidRPr="00DF1D1C" w:rsidRDefault="009A0060" w:rsidP="00257641">
      <w:pPr>
        <w:numPr>
          <w:ilvl w:val="0"/>
          <w:numId w:val="25"/>
        </w:numPr>
        <w:tabs>
          <w:tab w:val="clear" w:pos="360"/>
        </w:tabs>
        <w:spacing w:after="120"/>
        <w:ind w:left="720"/>
        <w:rPr>
          <w:b/>
        </w:rPr>
      </w:pPr>
      <w:r w:rsidRPr="00DF1D1C">
        <w:rPr>
          <w:b/>
        </w:rPr>
        <w:t>Notification of Enrollee</w:t>
      </w:r>
      <w:r w:rsidR="00FA1C0C" w:rsidRPr="00DF1D1C">
        <w:rPr>
          <w:b/>
        </w:rPr>
        <w:t>’</w:t>
      </w:r>
      <w:r w:rsidRPr="00DF1D1C">
        <w:rPr>
          <w:b/>
        </w:rPr>
        <w:t>s PCP:</w:t>
      </w:r>
      <w:r w:rsidR="00F24820">
        <w:t xml:space="preserve"> </w:t>
      </w:r>
      <w:r w:rsidRPr="00DF1D1C">
        <w:t xml:space="preserve">The MCO </w:t>
      </w:r>
      <w:r w:rsidR="00370043">
        <w:t>may</w:t>
      </w:r>
      <w:r w:rsidRPr="00DF1D1C">
        <w:t xml:space="preserve"> not refuse to cover emergency services solely based on the emergency room provider or hospital not notifying the enrollee</w:t>
      </w:r>
      <w:r w:rsidR="00FA1C0C" w:rsidRPr="00DF1D1C">
        <w:t>’</w:t>
      </w:r>
      <w:r w:rsidRPr="00DF1D1C">
        <w:t xml:space="preserve">s primary care provider, MCO, or </w:t>
      </w:r>
      <w:r w:rsidR="00AB5F64">
        <w:t>DHHR</w:t>
      </w:r>
      <w:r w:rsidR="00AB5F64" w:rsidRPr="00DF1D1C">
        <w:t xml:space="preserve"> </w:t>
      </w:r>
      <w:r w:rsidRPr="00DF1D1C">
        <w:t>of the enrollee</w:t>
      </w:r>
      <w:r w:rsidR="00FA1C0C" w:rsidRPr="00DF1D1C">
        <w:t>’</w:t>
      </w:r>
      <w:r w:rsidRPr="00DF1D1C">
        <w:t xml:space="preserve">s screening and treatment within </w:t>
      </w:r>
      <w:r w:rsidR="000B2251">
        <w:t>ten (</w:t>
      </w:r>
      <w:r w:rsidRPr="00DF1D1C">
        <w:t>10</w:t>
      </w:r>
      <w:r w:rsidR="000B2251">
        <w:t>)</w:t>
      </w:r>
      <w:r w:rsidRPr="00DF1D1C">
        <w:t xml:space="preserve"> calendar days of presentation for emergency services</w:t>
      </w:r>
      <w:r w:rsidR="0078080B" w:rsidRPr="00DF1D1C">
        <w:t xml:space="preserve">. </w:t>
      </w:r>
      <w:r w:rsidRPr="00DF1D1C">
        <w:t>Nothing is this provision precludes the MCO from complying with all other emergency service claims payment requirements as set forth in this contract.</w:t>
      </w:r>
    </w:p>
    <w:p w14:paraId="18DB5205" w14:textId="77777777" w:rsidR="009A0060" w:rsidRPr="00DF1D1C" w:rsidRDefault="009A0060" w:rsidP="00257641">
      <w:pPr>
        <w:numPr>
          <w:ilvl w:val="0"/>
          <w:numId w:val="25"/>
        </w:numPr>
        <w:tabs>
          <w:tab w:val="clear" w:pos="360"/>
        </w:tabs>
        <w:spacing w:after="120"/>
        <w:ind w:left="720"/>
      </w:pPr>
      <w:r w:rsidRPr="00DF1D1C">
        <w:rPr>
          <w:b/>
        </w:rPr>
        <w:t xml:space="preserve">Absence of a Clinical Emergency: </w:t>
      </w:r>
      <w:r w:rsidRPr="00DF1D1C">
        <w:t>If the screening examination leads to a clinical determination by the examining physician that an actual emergency medical condition does not exist, then the determining factor for payment liability should be whether the enrollee had acute symptoms of sufficient severity at the time of presentation. In these cases, the MCO must review the presenting symptoms of an enrollee and must pay for all services involved in the screening examination where the presenting symptoms (including severe pain) were of sufficient severity to have warranted emergency attention under the prudent layperson standard. If a Medicaid beneficiary believes that a claim for emergency services has been inappropriately denied by a MCO, the beneficiary may seek recourse through the MCO or BMS appeal process.</w:t>
      </w:r>
    </w:p>
    <w:p w14:paraId="30E64CF4" w14:textId="77777777" w:rsidR="009A0060" w:rsidRPr="00DF1D1C" w:rsidRDefault="009A0060" w:rsidP="00257641">
      <w:pPr>
        <w:numPr>
          <w:ilvl w:val="0"/>
          <w:numId w:val="25"/>
        </w:numPr>
        <w:tabs>
          <w:tab w:val="clear" w:pos="360"/>
        </w:tabs>
        <w:ind w:left="720"/>
      </w:pPr>
      <w:r w:rsidRPr="00DF1D1C">
        <w:rPr>
          <w:b/>
        </w:rPr>
        <w:lastRenderedPageBreak/>
        <w:t>Referrals:</w:t>
      </w:r>
      <w:r w:rsidRPr="00DF1D1C">
        <w:t xml:space="preserve"> When an enrollee</w:t>
      </w:r>
      <w:r w:rsidR="00FA1C0C" w:rsidRPr="00DF1D1C">
        <w:t>’</w:t>
      </w:r>
      <w:r w:rsidRPr="00DF1D1C">
        <w:t xml:space="preserve">s </w:t>
      </w:r>
      <w:r w:rsidR="00B03AC5">
        <w:t>PCP</w:t>
      </w:r>
      <w:r w:rsidRPr="00DF1D1C">
        <w:t xml:space="preserve"> or other </w:t>
      </w:r>
      <w:r w:rsidR="00B03AC5">
        <w:t>MCO</w:t>
      </w:r>
      <w:r w:rsidR="00B03AC5" w:rsidRPr="00DF1D1C">
        <w:t xml:space="preserve"> </w:t>
      </w:r>
      <w:r w:rsidRPr="00DF1D1C">
        <w:t xml:space="preserve">representative instructs the beneficiary to seek emergency care in-network or out-of-network, the </w:t>
      </w:r>
      <w:r w:rsidR="00B03AC5">
        <w:t>MCO</w:t>
      </w:r>
      <w:r w:rsidR="00B03AC5" w:rsidRPr="00DF1D1C">
        <w:t xml:space="preserve"> </w:t>
      </w:r>
      <w:r w:rsidRPr="00DF1D1C">
        <w:t>is responsible for payment for the medical scree</w:t>
      </w:r>
      <w:r w:rsidR="00D95AF9">
        <w:t>ning examination and for other M</w:t>
      </w:r>
      <w:r w:rsidRPr="00DF1D1C">
        <w:t>edically</w:t>
      </w:r>
      <w:r w:rsidR="00D95AF9">
        <w:t xml:space="preserve"> N</w:t>
      </w:r>
      <w:r w:rsidRPr="00DF1D1C">
        <w:t>ecessary emergency services, without regard to whether the patient meets the prudent layperson standard described above.</w:t>
      </w:r>
    </w:p>
    <w:p w14:paraId="0E22FCE4" w14:textId="77777777" w:rsidR="009A0060" w:rsidRPr="00DF1D1C" w:rsidRDefault="009A0060" w:rsidP="00257641">
      <w:r w:rsidRPr="00DF1D1C">
        <w:t xml:space="preserve">The MCO </w:t>
      </w:r>
      <w:r w:rsidR="00370043">
        <w:t xml:space="preserve">must </w:t>
      </w:r>
      <w:r w:rsidRPr="00DF1D1C">
        <w:t>promptly pay for all covered</w:t>
      </w:r>
      <w:r w:rsidR="00D95AF9">
        <w:t xml:space="preserve"> emergency services, including Medically N</w:t>
      </w:r>
      <w:r w:rsidRPr="00DF1D1C">
        <w:t>ecessary testing to determine if a medical emergency exists, that are furnished by providers that do not have arrangements with the MCO. This includes emergency services provided by a non</w:t>
      </w:r>
      <w:r w:rsidRPr="00DF1D1C">
        <w:noBreakHyphen/>
        <w:t>participating provider when the time required to reach the MCO</w:t>
      </w:r>
      <w:r w:rsidR="00FA1C0C" w:rsidRPr="00DF1D1C">
        <w:t>’</w:t>
      </w:r>
      <w:r w:rsidRPr="00DF1D1C">
        <w:t>s facilities, or the facilities of a provider with which the MCO has contracted would have meant risk of permanent damage to the enrollee</w:t>
      </w:r>
      <w:r w:rsidR="00FA1C0C" w:rsidRPr="00DF1D1C">
        <w:t>’</w:t>
      </w:r>
      <w:r w:rsidRPr="00DF1D1C">
        <w:t>s health.</w:t>
      </w:r>
    </w:p>
    <w:p w14:paraId="6F4C7EE8" w14:textId="6EA97B09" w:rsidR="009A0060" w:rsidRPr="00DF1D1C" w:rsidRDefault="00D82580" w:rsidP="00257641">
      <w:pPr>
        <w:pStyle w:val="Heading4"/>
      </w:pPr>
      <w:r>
        <w:t>3</w:t>
      </w:r>
      <w:r w:rsidR="001F37AA">
        <w:t>.7.6</w:t>
      </w:r>
      <w:r w:rsidR="00251DAB">
        <w:t xml:space="preserve"> </w:t>
      </w:r>
      <w:r w:rsidR="002D4A9A">
        <w:t>CAH</w:t>
      </w:r>
      <w:r w:rsidR="00FA44AF">
        <w:t xml:space="preserve"> Reimbursement</w:t>
      </w:r>
    </w:p>
    <w:p w14:paraId="64AD8071" w14:textId="557D9D88" w:rsidR="009A0060" w:rsidRPr="00DF1D1C" w:rsidRDefault="00E93505" w:rsidP="00257641">
      <w:r w:rsidRPr="00DF1D1C">
        <w:t xml:space="preserve">MCOs contracting with CAH </w:t>
      </w:r>
      <w:r w:rsidR="00370043">
        <w:t xml:space="preserve">must </w:t>
      </w:r>
      <w:r w:rsidRPr="00DF1D1C">
        <w:t xml:space="preserve">make payment to CAH at the prevailing Medicaid </w:t>
      </w:r>
      <w:r w:rsidR="00BA0F70" w:rsidRPr="00DF1D1C">
        <w:t>reimbursement</w:t>
      </w:r>
      <w:r w:rsidR="00320E68" w:rsidRPr="00DF1D1C">
        <w:t xml:space="preserve"> rate</w:t>
      </w:r>
      <w:r w:rsidR="0078080B" w:rsidRPr="00DF1D1C">
        <w:t xml:space="preserve">. </w:t>
      </w:r>
      <w:r w:rsidRPr="00DF1D1C">
        <w:t xml:space="preserve">MCO contracts with CAH </w:t>
      </w:r>
      <w:r w:rsidR="00370043">
        <w:t>must</w:t>
      </w:r>
      <w:r w:rsidRPr="00DF1D1C">
        <w:t xml:space="preserve"> stipulate this reimbursement arrangement</w:t>
      </w:r>
      <w:r w:rsidR="0078080B" w:rsidRPr="00DF1D1C">
        <w:t xml:space="preserve">. </w:t>
      </w:r>
      <w:r w:rsidRPr="00DF1D1C">
        <w:t xml:space="preserve">Upon </w:t>
      </w:r>
      <w:r w:rsidR="00AB5F64">
        <w:t>DHHR</w:t>
      </w:r>
      <w:r w:rsidR="00AB5F64" w:rsidRPr="00DF1D1C">
        <w:t xml:space="preserve"> </w:t>
      </w:r>
      <w:r w:rsidRPr="00DF1D1C">
        <w:t>notification to the MCO of any changes to the C</w:t>
      </w:r>
      <w:r w:rsidR="00370043">
        <w:t>AH reimbursement rates, the MCO must</w:t>
      </w:r>
      <w:r w:rsidRPr="00DF1D1C">
        <w:t xml:space="preserve"> update payment rates to CAH effective </w:t>
      </w:r>
      <w:r w:rsidR="00270AC7" w:rsidRPr="00DF1D1C">
        <w:t xml:space="preserve">from the designated </w:t>
      </w:r>
      <w:r w:rsidR="00AB5F64">
        <w:t>DHHR</w:t>
      </w:r>
      <w:r w:rsidR="00AB5F64" w:rsidRPr="00DF1D1C">
        <w:t xml:space="preserve"> </w:t>
      </w:r>
      <w:r w:rsidR="00270AC7" w:rsidRPr="00DF1D1C">
        <w:t>effective date</w:t>
      </w:r>
      <w:r w:rsidR="0078080B" w:rsidRPr="00DF1D1C">
        <w:t xml:space="preserve">. </w:t>
      </w:r>
      <w:r w:rsidRPr="00DF1D1C">
        <w:t>The MCO must pay the new rate for claims not yet paid with a date of service on or after the effective date of change.</w:t>
      </w:r>
      <w:r w:rsidR="00FA44AF" w:rsidRPr="00FA44AF" w:rsidDel="00080B72">
        <w:t xml:space="preserve"> </w:t>
      </w:r>
      <w:r w:rsidR="00FA44AF" w:rsidRPr="00DF1D1C" w:rsidDel="00080B72">
        <w:t>The new payment rate must be loaded into the MCO’s claims payment system within</w:t>
      </w:r>
      <w:r w:rsidR="00FA44AF" w:rsidDel="00080B72">
        <w:t xml:space="preserve"> thirty (</w:t>
      </w:r>
      <w:r w:rsidR="00FA44AF" w:rsidRPr="00DF1D1C" w:rsidDel="00080B72">
        <w:t>30</w:t>
      </w:r>
      <w:r w:rsidR="00FA44AF" w:rsidDel="00080B72">
        <w:t>)</w:t>
      </w:r>
      <w:r w:rsidR="00FA44AF" w:rsidRPr="00DF1D1C" w:rsidDel="00080B72">
        <w:t xml:space="preserve"> </w:t>
      </w:r>
      <w:r w:rsidR="00FA44AF" w:rsidDel="00080B72">
        <w:t xml:space="preserve">calendar </w:t>
      </w:r>
      <w:r w:rsidR="00FA44AF" w:rsidRPr="00DF1D1C" w:rsidDel="00080B72">
        <w:t xml:space="preserve">days of notification </w:t>
      </w:r>
      <w:r w:rsidR="009D2775">
        <w:t xml:space="preserve">by the Department </w:t>
      </w:r>
      <w:r w:rsidR="00FA44AF" w:rsidRPr="00DF1D1C" w:rsidDel="00080B72">
        <w:t>of the payment rate change.</w:t>
      </w:r>
    </w:p>
    <w:p w14:paraId="6F255A1F" w14:textId="3119F207" w:rsidR="009A0060" w:rsidRPr="00F61FD4" w:rsidRDefault="00D82580" w:rsidP="00257641">
      <w:pPr>
        <w:pStyle w:val="Heading4"/>
      </w:pPr>
      <w:r>
        <w:t>3</w:t>
      </w:r>
      <w:r w:rsidR="001F37AA" w:rsidRPr="00F61FD4">
        <w:t>.7.7</w:t>
      </w:r>
      <w:r w:rsidR="00251DAB" w:rsidRPr="00F61FD4">
        <w:t xml:space="preserve"> </w:t>
      </w:r>
      <w:r w:rsidR="009A0060" w:rsidRPr="00F61FD4">
        <w:t xml:space="preserve">Timely Payment Requirement </w:t>
      </w:r>
    </w:p>
    <w:p w14:paraId="06FF46C2" w14:textId="6B565AB2" w:rsidR="00F70A9B" w:rsidRPr="00F61FD4" w:rsidRDefault="009A0060" w:rsidP="00257641">
      <w:r w:rsidRPr="00F61FD4">
        <w:t>The MCO must agree to make timely claims payments to both its contracted and non</w:t>
      </w:r>
      <w:r w:rsidRPr="00F61FD4">
        <w:noBreakHyphen/>
        <w:t>contracted providers</w:t>
      </w:r>
      <w:r w:rsidR="0078080B" w:rsidRPr="00F61FD4">
        <w:t xml:space="preserve">. </w:t>
      </w:r>
      <w:r w:rsidRPr="00F61FD4">
        <w:t xml:space="preserve">A claim is defined as a bill for services, a line item of service, or all services for one </w:t>
      </w:r>
      <w:r w:rsidR="00D63B83">
        <w:t>enrollee</w:t>
      </w:r>
      <w:r w:rsidR="00D63B83" w:rsidRPr="00F61FD4">
        <w:t xml:space="preserve"> </w:t>
      </w:r>
      <w:r w:rsidRPr="00F61FD4">
        <w:t>within a bill</w:t>
      </w:r>
      <w:r w:rsidR="0078080B" w:rsidRPr="00F61FD4">
        <w:t xml:space="preserve">. </w:t>
      </w:r>
      <w:r w:rsidRPr="00F61FD4">
        <w:t>A clean claim is defined as one that can be processed without obtaining additional information from the provider of the service or from a third party</w:t>
      </w:r>
      <w:r w:rsidR="0078080B" w:rsidRPr="00F61FD4">
        <w:t xml:space="preserve">. </w:t>
      </w:r>
      <w:r w:rsidRPr="00F61FD4">
        <w:t>It does not include a claim from a provider who is under investigation for fraud or abuse, or a claim under review for medical necessity</w:t>
      </w:r>
      <w:r w:rsidR="0078080B" w:rsidRPr="00F61FD4">
        <w:t xml:space="preserve">. </w:t>
      </w:r>
    </w:p>
    <w:p w14:paraId="0A4A3EBF" w14:textId="423292D3" w:rsidR="000C5C17" w:rsidRPr="00F61FD4" w:rsidRDefault="009A0060" w:rsidP="00257641">
      <w:r w:rsidRPr="00F61FD4">
        <w:t xml:space="preserve">The MCO must pay all clean </w:t>
      </w:r>
      <w:r w:rsidR="007D3337">
        <w:t xml:space="preserve">electronic and paper </w:t>
      </w:r>
      <w:r w:rsidRPr="00F61FD4">
        <w:t xml:space="preserve">claims for covered services </w:t>
      </w:r>
      <w:r w:rsidR="007D3337">
        <w:t xml:space="preserve">from both in-network and out-of-network providers </w:t>
      </w:r>
      <w:r w:rsidRPr="00F61FD4">
        <w:t>within</w:t>
      </w:r>
      <w:r w:rsidR="00384DC7">
        <w:t xml:space="preserve"> thirty</w:t>
      </w:r>
      <w:r w:rsidRPr="00F61FD4">
        <w:t xml:space="preserve"> </w:t>
      </w:r>
      <w:r w:rsidR="00384DC7">
        <w:t>(</w:t>
      </w:r>
      <w:r w:rsidRPr="00F61FD4">
        <w:t>30</w:t>
      </w:r>
      <w:r w:rsidR="00384DC7">
        <w:t>)</w:t>
      </w:r>
      <w:r w:rsidRPr="00F61FD4">
        <w:t xml:space="preserve"> calendar days of receipt, except to the extent </w:t>
      </w:r>
      <w:r w:rsidR="00E250AE" w:rsidRPr="00F61FD4">
        <w:t xml:space="preserve">the </w:t>
      </w:r>
      <w:r w:rsidR="00346ECB" w:rsidRPr="00F61FD4">
        <w:t xml:space="preserve">provider </w:t>
      </w:r>
      <w:r w:rsidRPr="00F61FD4">
        <w:t>ha</w:t>
      </w:r>
      <w:r w:rsidR="00E250AE" w:rsidRPr="00F61FD4">
        <w:t>s</w:t>
      </w:r>
      <w:r w:rsidRPr="00F61FD4">
        <w:t xml:space="preserve"> agreed to later payment</w:t>
      </w:r>
      <w:r w:rsidR="00E250AE" w:rsidRPr="00F61FD4">
        <w:t xml:space="preserve"> in writing</w:t>
      </w:r>
      <w:r w:rsidR="0078080B" w:rsidRPr="00F61FD4">
        <w:t xml:space="preserve">. </w:t>
      </w:r>
    </w:p>
    <w:p w14:paraId="411A0BB5" w14:textId="77777777" w:rsidR="000C5C17" w:rsidRPr="00F61FD4" w:rsidRDefault="009A0060" w:rsidP="00257641">
      <w:r w:rsidRPr="00F61FD4">
        <w:t xml:space="preserve">The MCO must agree to specify the date of receipt as the date the </w:t>
      </w:r>
      <w:r w:rsidR="00F70A9B" w:rsidRPr="00F61FD4">
        <w:t xml:space="preserve">MCO </w:t>
      </w:r>
      <w:r w:rsidRPr="00F61FD4">
        <w:t>receives the claim, as indicated by its date stamp</w:t>
      </w:r>
      <w:r w:rsidR="008F020F">
        <w:t xml:space="preserve"> (including electronic date stamp)</w:t>
      </w:r>
      <w:r w:rsidRPr="00F61FD4">
        <w:t xml:space="preserve"> on the claim, and date of payment as the date of the check </w:t>
      </w:r>
      <w:r w:rsidR="00E250AE" w:rsidRPr="00F61FD4">
        <w:t xml:space="preserve">release </w:t>
      </w:r>
      <w:r w:rsidRPr="00F61FD4">
        <w:t>or other form of payment</w:t>
      </w:r>
      <w:r w:rsidR="00E250AE" w:rsidRPr="00F61FD4">
        <w:t xml:space="preserve"> release to the provider</w:t>
      </w:r>
      <w:r w:rsidRPr="00F61FD4">
        <w:t xml:space="preserve">. </w:t>
      </w:r>
    </w:p>
    <w:p w14:paraId="7278A0B6" w14:textId="26607163" w:rsidR="007D3337" w:rsidRPr="00F61FD4" w:rsidRDefault="00866827" w:rsidP="00257641">
      <w:r>
        <w:t>The MCO must submit monthly a claims aging report</w:t>
      </w:r>
      <w:r w:rsidRPr="00F66D35">
        <w:t xml:space="preserve"> </w:t>
      </w:r>
      <w:r>
        <w:t xml:space="preserve">that provides information </w:t>
      </w:r>
      <w:r w:rsidR="007D3337" w:rsidRPr="00F66D35">
        <w:t xml:space="preserve">on all overdue </w:t>
      </w:r>
      <w:r w:rsidR="007D3337">
        <w:t xml:space="preserve">clean </w:t>
      </w:r>
      <w:r w:rsidR="007D3337" w:rsidRPr="00F66D35">
        <w:t>claims for both in-network and out-of-network providers</w:t>
      </w:r>
      <w:r w:rsidR="007D3337">
        <w:t xml:space="preserve"> as noted in Appendix </w:t>
      </w:r>
      <w:r w:rsidR="009D31CB">
        <w:t>D</w:t>
      </w:r>
      <w:r w:rsidR="007D3337">
        <w:t>.</w:t>
      </w:r>
    </w:p>
    <w:p w14:paraId="1F3FFC91" w14:textId="0D4721B8" w:rsidR="00477628" w:rsidRDefault="00B46136" w:rsidP="00257641">
      <w:r w:rsidRPr="00F61FD4">
        <w:t xml:space="preserve">The MCO must pay </w:t>
      </w:r>
      <w:r w:rsidR="0023754F">
        <w:t xml:space="preserve">both in-network and out-of-network providers </w:t>
      </w:r>
      <w:r w:rsidRPr="00F61FD4">
        <w:t xml:space="preserve">interest at </w:t>
      </w:r>
      <w:r w:rsidR="00866827">
        <w:t xml:space="preserve">eighteen percent (18%) </w:t>
      </w:r>
      <w:r w:rsidRPr="00F61FD4">
        <w:t xml:space="preserve">per annum, calculated daily for the full period in which the clean claim remains unpaid beyond the </w:t>
      </w:r>
      <w:r w:rsidR="00C43B8D">
        <w:t>thirty (</w:t>
      </w:r>
      <w:r w:rsidRPr="00F61FD4">
        <w:t>3</w:t>
      </w:r>
      <w:r w:rsidR="00C43B8D">
        <w:t xml:space="preserve">0) </w:t>
      </w:r>
      <w:r w:rsidR="00F863FE">
        <w:t xml:space="preserve">calendar </w:t>
      </w:r>
      <w:r w:rsidRPr="00F61FD4">
        <w:t xml:space="preserve">day </w:t>
      </w:r>
      <w:r w:rsidR="00D222D9" w:rsidRPr="00F61FD4">
        <w:t xml:space="preserve">clean </w:t>
      </w:r>
      <w:r w:rsidRPr="00F61FD4">
        <w:t>claims payment deadline. Interest owed to the provider must be paid on the same date as the claim</w:t>
      </w:r>
      <w:r w:rsidR="006E11D6" w:rsidRPr="00F61FD4">
        <w:t>. The interest paid to the providers will</w:t>
      </w:r>
      <w:r w:rsidR="00863F1C" w:rsidRPr="00F61FD4">
        <w:t xml:space="preserve"> </w:t>
      </w:r>
      <w:r w:rsidR="00857DEB" w:rsidRPr="00F61FD4">
        <w:t xml:space="preserve">not </w:t>
      </w:r>
      <w:r w:rsidR="00863F1C" w:rsidRPr="00F61FD4">
        <w:t xml:space="preserve">be </w:t>
      </w:r>
      <w:r w:rsidR="00857DEB" w:rsidRPr="00F61FD4">
        <w:t xml:space="preserve">reported as a part of the MCO </w:t>
      </w:r>
      <w:r w:rsidR="00863F1C" w:rsidRPr="00F61FD4">
        <w:t>encounter data</w:t>
      </w:r>
      <w:r w:rsidRPr="00F61FD4">
        <w:t>.</w:t>
      </w:r>
      <w:r>
        <w:t xml:space="preserve"> </w:t>
      </w:r>
      <w:r w:rsidR="00CD7D99">
        <w:t>This provision does not apply to payments made due to a rate change per Art</w:t>
      </w:r>
      <w:r w:rsidR="001C6CEB">
        <w:t>icle</w:t>
      </w:r>
      <w:r w:rsidR="00CD7D99">
        <w:t xml:space="preserve"> III, </w:t>
      </w:r>
      <w:r w:rsidR="00AB5F64">
        <w:t xml:space="preserve">Section </w:t>
      </w:r>
      <w:r w:rsidR="0023754F">
        <w:t>3</w:t>
      </w:r>
      <w:r w:rsidR="00CD7D99">
        <w:t>.7.9.</w:t>
      </w:r>
    </w:p>
    <w:p w14:paraId="74C90A09" w14:textId="2EC48381" w:rsidR="00EC66D6" w:rsidRPr="00DF1D1C" w:rsidRDefault="00D82580" w:rsidP="00257641">
      <w:pPr>
        <w:pStyle w:val="Heading4"/>
      </w:pPr>
      <w:r>
        <w:lastRenderedPageBreak/>
        <w:t>3</w:t>
      </w:r>
      <w:r w:rsidR="001F37AA">
        <w:t>.7.8</w:t>
      </w:r>
      <w:r w:rsidR="00251DAB">
        <w:t xml:space="preserve"> </w:t>
      </w:r>
      <w:r w:rsidR="00C23811">
        <w:t xml:space="preserve">Payments for </w:t>
      </w:r>
      <w:r w:rsidR="002128D7">
        <w:t>Provider-Preventable Conditions</w:t>
      </w:r>
    </w:p>
    <w:p w14:paraId="5F92E06C" w14:textId="51463495" w:rsidR="00FA628C" w:rsidRDefault="001769F2" w:rsidP="00257641">
      <w:r>
        <w:t>Section 2702(a) of the Affordable Care Act</w:t>
      </w:r>
      <w:r w:rsidR="00866827">
        <w:t xml:space="preserve"> (ACA)</w:t>
      </w:r>
      <w:r>
        <w:t xml:space="preserve"> prohibits </w:t>
      </w:r>
      <w:r w:rsidR="00AB5F64">
        <w:t>f</w:t>
      </w:r>
      <w:r>
        <w:t>ederal financial participation (FFP) payments to States for any amounts expended for providing medical assistance for Provider Preventable Conditions (PPCs)</w:t>
      </w:r>
      <w:r w:rsidR="002128D7">
        <w:t xml:space="preserve">, </w:t>
      </w:r>
      <w:r w:rsidR="00F33B38">
        <w:t>including health</w:t>
      </w:r>
      <w:r>
        <w:t xml:space="preserve"> care-acquired conditions (HCACs) </w:t>
      </w:r>
      <w:r w:rsidR="002128D7">
        <w:t xml:space="preserve">and </w:t>
      </w:r>
      <w:r>
        <w:t>other provider-preventable conditions (OPPCs)</w:t>
      </w:r>
      <w:r w:rsidR="002128D7">
        <w:t>.</w:t>
      </w:r>
      <w:r>
        <w:t xml:space="preserve"> </w:t>
      </w:r>
      <w:r w:rsidR="00FA628C">
        <w:t>PPCs are hospital-acquired conditions not present on hospital admission,</w:t>
      </w:r>
      <w:r w:rsidR="001C1C9C">
        <w:t xml:space="preserve"> </w:t>
      </w:r>
      <w:r w:rsidR="00FA628C">
        <w:t xml:space="preserve">the wrong procedure performed on a patient, and procedures performed on a wrong patient or body part. </w:t>
      </w:r>
    </w:p>
    <w:p w14:paraId="20B87178" w14:textId="2EB63F14" w:rsidR="001769F2" w:rsidRDefault="001769F2" w:rsidP="00257641">
      <w:r>
        <w:t xml:space="preserve">The MCO may not make payments for PPCs as defined by the </w:t>
      </w:r>
      <w:r w:rsidR="00FA628C">
        <w:t xml:space="preserve">federal regulations and </w:t>
      </w:r>
      <w:r w:rsidR="00AB5F64">
        <w:t xml:space="preserve">DHHR </w:t>
      </w:r>
      <w:r>
        <w:t>policy</w:t>
      </w:r>
      <w:r w:rsidR="00D64F50">
        <w:t xml:space="preserve"> in accordance with 42 CFR 438.6</w:t>
      </w:r>
      <w:r>
        <w:t xml:space="preserve">. </w:t>
      </w:r>
      <w:r w:rsidR="003C0564">
        <w:t xml:space="preserve">The MCO will track PPC data and make it available to </w:t>
      </w:r>
      <w:r w:rsidR="00AB5F64">
        <w:t xml:space="preserve">DHHR </w:t>
      </w:r>
      <w:r w:rsidR="003C0564">
        <w:t>upon request.</w:t>
      </w:r>
      <w:r w:rsidR="00FA628C">
        <w:t xml:space="preserve"> </w:t>
      </w:r>
    </w:p>
    <w:p w14:paraId="5EE5C117" w14:textId="209EBA75" w:rsidR="0010476B" w:rsidRPr="005C2321" w:rsidRDefault="00D82580" w:rsidP="00257641">
      <w:pPr>
        <w:pStyle w:val="Heading4"/>
      </w:pPr>
      <w:r>
        <w:t>3</w:t>
      </w:r>
      <w:r w:rsidR="0010476B" w:rsidRPr="00531FBB">
        <w:t>.7.9 Medicaid Provider Rate Changes</w:t>
      </w:r>
    </w:p>
    <w:p w14:paraId="2F2D678C" w14:textId="03CD0186" w:rsidR="0010476B" w:rsidRDefault="0010476B" w:rsidP="00257641">
      <w:r>
        <w:t xml:space="preserve">In the case of provider reimbursement that is tied to the Medicaid </w:t>
      </w:r>
      <w:r w:rsidR="00866827">
        <w:t>FFS</w:t>
      </w:r>
      <w:r>
        <w:t xml:space="preserve"> rate</w:t>
      </w:r>
      <w:r w:rsidR="006A4912">
        <w:t xml:space="preserve"> schedule</w:t>
      </w:r>
      <w:r>
        <w:t xml:space="preserve">, the MCO is required to </w:t>
      </w:r>
      <w:r w:rsidR="00CF7ECC">
        <w:t xml:space="preserve">implement any rate changes adopted by the Department within </w:t>
      </w:r>
      <w:r w:rsidR="00C43B8D">
        <w:t>thirty (</w:t>
      </w:r>
      <w:r w:rsidR="00CF7ECC">
        <w:t>30</w:t>
      </w:r>
      <w:r w:rsidR="00C43B8D">
        <w:t>)</w:t>
      </w:r>
      <w:r w:rsidR="00FD0264">
        <w:t xml:space="preserve"> calendar</w:t>
      </w:r>
      <w:r w:rsidR="00CF7ECC">
        <w:t xml:space="preserve"> days of notification of the rate change.</w:t>
      </w:r>
      <w:r w:rsidR="006A4912">
        <w:t xml:space="preserve"> </w:t>
      </w:r>
      <w:r w:rsidR="003D31CE" w:rsidRPr="003D31CE">
        <w:t xml:space="preserve">The MCO must pay the new rate for claims not yet paid with a date of service on or after the effective date of change. </w:t>
      </w:r>
      <w:r w:rsidR="00AC3A7B">
        <w:t xml:space="preserve">The MCO must reprocess </w:t>
      </w:r>
      <w:r w:rsidR="00AC3A7B" w:rsidRPr="00AC3A7B">
        <w:t>any claims paid between the notification date and the system load date to the updated rate</w:t>
      </w:r>
      <w:r w:rsidR="00AC3A7B">
        <w:t xml:space="preserve">. </w:t>
      </w:r>
      <w:r w:rsidR="006A4912">
        <w:t>This provision does not apply to payments made to CAH under Article II</w:t>
      </w:r>
      <w:r w:rsidR="00CD7D99">
        <w:t>I</w:t>
      </w:r>
      <w:r w:rsidR="006A4912">
        <w:t xml:space="preserve">, </w:t>
      </w:r>
      <w:r w:rsidR="00AB5F64">
        <w:t xml:space="preserve">Section </w:t>
      </w:r>
      <w:r w:rsidR="0023754F">
        <w:t>3</w:t>
      </w:r>
      <w:r w:rsidR="006A4912">
        <w:t>.7.6</w:t>
      </w:r>
      <w:r w:rsidR="00CD7D99">
        <w:t xml:space="preserve"> or payments made to FQHCs/RHCs per Article III, </w:t>
      </w:r>
      <w:r w:rsidR="00AB5F64">
        <w:t xml:space="preserve">Section </w:t>
      </w:r>
      <w:r w:rsidR="0023754F">
        <w:t>3</w:t>
      </w:r>
      <w:r w:rsidR="00CD7D99">
        <w:t>.4.</w:t>
      </w:r>
      <w:r w:rsidR="00AC12A0">
        <w:t>1</w:t>
      </w:r>
      <w:r w:rsidR="00CD7D99">
        <w:t>.</w:t>
      </w:r>
      <w:r w:rsidR="003D31CE">
        <w:t xml:space="preserve"> </w:t>
      </w:r>
    </w:p>
    <w:p w14:paraId="7BEA37AE" w14:textId="01EE1BAC" w:rsidR="00531FBB" w:rsidRPr="00531FBB" w:rsidRDefault="00D82580" w:rsidP="00257641">
      <w:pPr>
        <w:pStyle w:val="Heading4"/>
        <w:ind w:left="0" w:firstLine="0"/>
      </w:pPr>
      <w:r>
        <w:t>3</w:t>
      </w:r>
      <w:r w:rsidR="00F4432B">
        <w:t xml:space="preserve">.7.10 </w:t>
      </w:r>
      <w:r w:rsidR="00C32964">
        <w:t>Alternat</w:t>
      </w:r>
      <w:r w:rsidR="00C70CD1">
        <w:t>iv</w:t>
      </w:r>
      <w:r w:rsidR="00C32964">
        <w:t>e Payment Models (APM)</w:t>
      </w:r>
    </w:p>
    <w:p w14:paraId="6366F589" w14:textId="6AE25FC3" w:rsidR="00BA5423" w:rsidRDefault="00AB5F64" w:rsidP="00257641">
      <w:r>
        <w:t xml:space="preserve">DHHR </w:t>
      </w:r>
      <w:r w:rsidR="00C32964">
        <w:t>support</w:t>
      </w:r>
      <w:r w:rsidR="000E619E">
        <w:t>s</w:t>
      </w:r>
      <w:r w:rsidR="00C32964">
        <w:t xml:space="preserve"> a</w:t>
      </w:r>
      <w:r w:rsidR="00531FBB">
        <w:t xml:space="preserve"> </w:t>
      </w:r>
      <w:r w:rsidR="00C32964">
        <w:t>value</w:t>
      </w:r>
      <w:r w:rsidR="001647D5">
        <w:t>-</w:t>
      </w:r>
      <w:r w:rsidR="00C32964">
        <w:t xml:space="preserve">based health care system </w:t>
      </w:r>
      <w:r w:rsidR="00531FBB" w:rsidRPr="00DB1D35">
        <w:t xml:space="preserve">where </w:t>
      </w:r>
      <w:r w:rsidR="00637C51">
        <w:t>enrollee</w:t>
      </w:r>
      <w:r w:rsidR="00637C51" w:rsidRPr="00DB1D35">
        <w:t xml:space="preserve"> </w:t>
      </w:r>
      <w:r w:rsidR="00531FBB" w:rsidRPr="00DB1D35">
        <w:t xml:space="preserve">experience and population </w:t>
      </w:r>
      <w:r w:rsidR="00C32964">
        <w:t>health are improved, the trajectory of health care cost is contained</w:t>
      </w:r>
      <w:r w:rsidR="00531FBB" w:rsidRPr="00DB1D35">
        <w:t xml:space="preserve"> through aligned incentives with managed care organization and provider partners, and there is a commitment to continuous quality improvement and learning.</w:t>
      </w:r>
      <w:r w:rsidR="00531FBB">
        <w:t xml:space="preserve"> </w:t>
      </w:r>
      <w:r w:rsidR="00C32964">
        <w:t>To support this effort, the MCO is required to implement alternat</w:t>
      </w:r>
      <w:r w:rsidR="00C70CD1">
        <w:t>iv</w:t>
      </w:r>
      <w:r w:rsidR="00C32964">
        <w:t xml:space="preserve">e payment models (APMs) that shift from </w:t>
      </w:r>
      <w:r w:rsidR="00866827">
        <w:t>FFM</w:t>
      </w:r>
      <w:r w:rsidR="00C32964">
        <w:t xml:space="preserve"> reimbursement to reimbursement that rewards improved delivery of health care. </w:t>
      </w:r>
      <w:r w:rsidR="009D2775">
        <w:t xml:space="preserve">Beginning in SFY 2021, the Department will require a percentage of contracts be established that reimburse using </w:t>
      </w:r>
      <w:r w:rsidR="002E7807">
        <w:t>APM</w:t>
      </w:r>
      <w:r w:rsidR="009D2775">
        <w:t>. This percentage shall increase in each subsequent contract year.</w:t>
      </w:r>
      <w:r w:rsidR="003150A4">
        <w:t xml:space="preserve"> </w:t>
      </w:r>
      <w:r w:rsidR="009D2775">
        <w:t>While not enforced in the initial contract period, the MCO is encouraged to begin establishing contracts using an APM approach.</w:t>
      </w:r>
    </w:p>
    <w:p w14:paraId="18BA49B3" w14:textId="21BE07A3" w:rsidR="007D3337" w:rsidRDefault="00D82580" w:rsidP="00257641">
      <w:pPr>
        <w:pStyle w:val="Heading5"/>
      </w:pPr>
      <w:r>
        <w:t xml:space="preserve">3.7.10.1 </w:t>
      </w:r>
      <w:r w:rsidR="007D3337" w:rsidRPr="00F934F9">
        <w:t>Design of APM Models</w:t>
      </w:r>
    </w:p>
    <w:p w14:paraId="7FE67530" w14:textId="0980BAD9" w:rsidR="00BA5423" w:rsidRDefault="00BA5423" w:rsidP="00257641">
      <w:pPr>
        <w:pStyle w:val="normal6"/>
      </w:pPr>
      <w:r>
        <w:t xml:space="preserve">The MCO </w:t>
      </w:r>
      <w:r w:rsidR="006876E5">
        <w:t xml:space="preserve">must </w:t>
      </w:r>
      <w:r>
        <w:t>design and implement payment models with network providers that tie reimbursement to measureable outcomes. APMs may include</w:t>
      </w:r>
      <w:r w:rsidR="000E619E">
        <w:t>,</w:t>
      </w:r>
      <w:r w:rsidR="00E30CA1">
        <w:t xml:space="preserve"> but are not limited to</w:t>
      </w:r>
      <w:r w:rsidR="000E619E">
        <w:t xml:space="preserve"> the following</w:t>
      </w:r>
      <w:r w:rsidR="00E30CA1">
        <w:t>:</w:t>
      </w:r>
    </w:p>
    <w:p w14:paraId="472AAC45" w14:textId="77777777" w:rsidR="00BA5423" w:rsidRPr="003E542D" w:rsidRDefault="00BA5423" w:rsidP="00257641">
      <w:pPr>
        <w:numPr>
          <w:ilvl w:val="0"/>
          <w:numId w:val="114"/>
        </w:numPr>
        <w:spacing w:after="120"/>
      </w:pPr>
      <w:r w:rsidRPr="003E542D">
        <w:t>Primary care incentives;</w:t>
      </w:r>
    </w:p>
    <w:p w14:paraId="4B1FBA64" w14:textId="77777777" w:rsidR="00BA5423" w:rsidRPr="007843B2" w:rsidRDefault="00BA5423" w:rsidP="00257641">
      <w:pPr>
        <w:numPr>
          <w:ilvl w:val="0"/>
          <w:numId w:val="114"/>
        </w:numPr>
        <w:spacing w:after="120"/>
      </w:pPr>
      <w:r w:rsidRPr="007843B2">
        <w:t>Payment for performance;</w:t>
      </w:r>
    </w:p>
    <w:p w14:paraId="1B3E7AAD" w14:textId="77777777" w:rsidR="00BA5423" w:rsidRPr="003B6C58" w:rsidRDefault="00E30CA1" w:rsidP="00257641">
      <w:pPr>
        <w:numPr>
          <w:ilvl w:val="0"/>
          <w:numId w:val="114"/>
        </w:numPr>
        <w:spacing w:after="120"/>
      </w:pPr>
      <w:r w:rsidRPr="003B6C58">
        <w:t>Shared savings arrangements;</w:t>
      </w:r>
    </w:p>
    <w:p w14:paraId="46F50B59" w14:textId="77777777" w:rsidR="00E30CA1" w:rsidRPr="003B6C58" w:rsidRDefault="00E30CA1" w:rsidP="00257641">
      <w:pPr>
        <w:numPr>
          <w:ilvl w:val="0"/>
          <w:numId w:val="114"/>
        </w:numPr>
        <w:spacing w:after="120"/>
      </w:pPr>
      <w:r w:rsidRPr="003B6C58">
        <w:t>Risk sharing arrangements;</w:t>
      </w:r>
    </w:p>
    <w:p w14:paraId="41C140A1" w14:textId="77777777" w:rsidR="00BC743F" w:rsidRPr="003E542D" w:rsidRDefault="00E30CA1" w:rsidP="00257641">
      <w:pPr>
        <w:numPr>
          <w:ilvl w:val="0"/>
          <w:numId w:val="114"/>
        </w:numPr>
        <w:spacing w:after="120"/>
      </w:pPr>
      <w:r w:rsidRPr="003B6C58">
        <w:t>Episodes of care/bundled payments; and</w:t>
      </w:r>
    </w:p>
    <w:p w14:paraId="2DD93E86" w14:textId="77777777" w:rsidR="00E30CA1" w:rsidRPr="003B6C58" w:rsidRDefault="00E30CA1" w:rsidP="00257641">
      <w:pPr>
        <w:numPr>
          <w:ilvl w:val="0"/>
          <w:numId w:val="114"/>
        </w:numPr>
      </w:pPr>
      <w:r w:rsidRPr="00C43612">
        <w:t>Capitation Payments with Performance and Quality Requirements</w:t>
      </w:r>
      <w:r w:rsidRPr="003E542D">
        <w:t>.</w:t>
      </w:r>
    </w:p>
    <w:p w14:paraId="024072F3" w14:textId="77777777" w:rsidR="00E30CA1" w:rsidRDefault="00E30CA1" w:rsidP="00257641">
      <w:r>
        <w:lastRenderedPageBreak/>
        <w:t>Prior authorization and utilization management activities do not qualify as APMs.</w:t>
      </w:r>
    </w:p>
    <w:p w14:paraId="135C92D2" w14:textId="49F04E7A" w:rsidR="008C6B03" w:rsidRDefault="00D82580" w:rsidP="00257641">
      <w:pPr>
        <w:pStyle w:val="Heading5"/>
      </w:pPr>
      <w:r>
        <w:t xml:space="preserve">3.7.10.2 </w:t>
      </w:r>
      <w:r w:rsidR="008C6B03" w:rsidRPr="00890E2A">
        <w:t>APM Activities Report</w:t>
      </w:r>
    </w:p>
    <w:p w14:paraId="7D8686B3" w14:textId="35FBF8DE" w:rsidR="00E30CA1" w:rsidRDefault="00E30CA1" w:rsidP="00257641">
      <w:pPr>
        <w:pStyle w:val="normal6"/>
      </w:pPr>
      <w:r>
        <w:t xml:space="preserve">The MCO is required to submit a report to </w:t>
      </w:r>
      <w:r w:rsidR="00AB5F64">
        <w:t xml:space="preserve">DHHR </w:t>
      </w:r>
      <w:r>
        <w:t xml:space="preserve">annually on </w:t>
      </w:r>
      <w:r w:rsidR="001C6CEB">
        <w:t>its</w:t>
      </w:r>
      <w:r>
        <w:t xml:space="preserve"> APM activities. The report specifications are outlined in Appendix </w:t>
      </w:r>
      <w:r w:rsidR="002E7807">
        <w:t>H</w:t>
      </w:r>
      <w:r>
        <w:t xml:space="preserve"> but should include: </w:t>
      </w:r>
    </w:p>
    <w:p w14:paraId="2CEA8A99" w14:textId="77777777" w:rsidR="00E30CA1" w:rsidRDefault="001C6CEB" w:rsidP="00257641">
      <w:pPr>
        <w:numPr>
          <w:ilvl w:val="0"/>
          <w:numId w:val="115"/>
        </w:numPr>
        <w:spacing w:after="120"/>
      </w:pPr>
      <w:r>
        <w:t>A t</w:t>
      </w:r>
      <w:r w:rsidR="00E30CA1">
        <w:t>horough description of the MCO</w:t>
      </w:r>
      <w:r w:rsidR="00E30CA1" w:rsidRPr="00DB1D35">
        <w:t>’s</w:t>
      </w:r>
      <w:r w:rsidR="00E30CA1">
        <w:t xml:space="preserve"> APM</w:t>
      </w:r>
      <w:r w:rsidR="00E30CA1" w:rsidRPr="00DB1D35">
        <w:t xml:space="preserve"> initiatives</w:t>
      </w:r>
      <w:r w:rsidR="004C18DA">
        <w:t>;</w:t>
      </w:r>
    </w:p>
    <w:p w14:paraId="3CD3ED05" w14:textId="77777777" w:rsidR="00E30CA1" w:rsidRDefault="00E30CA1" w:rsidP="00257641">
      <w:pPr>
        <w:numPr>
          <w:ilvl w:val="0"/>
          <w:numId w:val="115"/>
        </w:numPr>
        <w:spacing w:after="120"/>
      </w:pPr>
      <w:r w:rsidRPr="00DB1D35">
        <w:t>Goals and outcome m</w:t>
      </w:r>
      <w:r>
        <w:t xml:space="preserve">easures for the </w:t>
      </w:r>
      <w:r w:rsidR="009B19C2">
        <w:t xml:space="preserve">Contract </w:t>
      </w:r>
      <w:r>
        <w:t>year</w:t>
      </w:r>
      <w:r w:rsidR="004C18DA">
        <w:t>;</w:t>
      </w:r>
    </w:p>
    <w:p w14:paraId="29389FB3" w14:textId="77777777" w:rsidR="00E30CA1" w:rsidRDefault="00E30CA1" w:rsidP="00257641">
      <w:pPr>
        <w:numPr>
          <w:ilvl w:val="0"/>
          <w:numId w:val="115"/>
        </w:numPr>
        <w:spacing w:after="120"/>
      </w:pPr>
      <w:r w:rsidRPr="00DB1D35">
        <w:t>Description of monitoring activities</w:t>
      </w:r>
      <w:r>
        <w:t xml:space="preserve"> to occur throughout the year</w:t>
      </w:r>
      <w:r w:rsidR="004C18DA">
        <w:t>;</w:t>
      </w:r>
    </w:p>
    <w:p w14:paraId="7C53696B" w14:textId="77777777" w:rsidR="00E30CA1" w:rsidRDefault="00E30CA1" w:rsidP="00257641">
      <w:pPr>
        <w:numPr>
          <w:ilvl w:val="0"/>
          <w:numId w:val="115"/>
        </w:numPr>
        <w:spacing w:after="120"/>
      </w:pPr>
      <w:r w:rsidRPr="00DB1D35">
        <w:t>Evaluation of the effectiveness of the previous year’s initiatives</w:t>
      </w:r>
      <w:r w:rsidR="004C18DA">
        <w:t>;</w:t>
      </w:r>
    </w:p>
    <w:p w14:paraId="27003472" w14:textId="77777777" w:rsidR="00E30CA1" w:rsidRDefault="00E30CA1" w:rsidP="00257641">
      <w:pPr>
        <w:numPr>
          <w:ilvl w:val="0"/>
          <w:numId w:val="115"/>
        </w:numPr>
        <w:spacing w:after="120"/>
      </w:pPr>
      <w:r w:rsidRPr="00DB1D35">
        <w:t>Summary of lessons learne</w:t>
      </w:r>
      <w:r>
        <w:t>d and any implemented changes</w:t>
      </w:r>
      <w:r w:rsidR="004C18DA">
        <w:t>;</w:t>
      </w:r>
    </w:p>
    <w:p w14:paraId="4DE8B595" w14:textId="77777777" w:rsidR="00B5479E" w:rsidRDefault="00E30CA1" w:rsidP="00257641">
      <w:pPr>
        <w:numPr>
          <w:ilvl w:val="0"/>
          <w:numId w:val="115"/>
        </w:numPr>
        <w:spacing w:after="120"/>
      </w:pPr>
      <w:r w:rsidRPr="00DB1D35">
        <w:t xml:space="preserve">Description of </w:t>
      </w:r>
      <w:r>
        <w:t>the most significant barriers</w:t>
      </w:r>
      <w:r w:rsidR="004C18DA">
        <w:t>; and</w:t>
      </w:r>
    </w:p>
    <w:p w14:paraId="738AE97F" w14:textId="77777777" w:rsidR="00E30CA1" w:rsidRDefault="00E30CA1" w:rsidP="00257641">
      <w:pPr>
        <w:numPr>
          <w:ilvl w:val="0"/>
          <w:numId w:val="115"/>
        </w:numPr>
      </w:pPr>
      <w:r w:rsidRPr="00DB1D35">
        <w:t>Plan</w:t>
      </w:r>
      <w:r>
        <w:t>s</w:t>
      </w:r>
      <w:r w:rsidRPr="00DB1D35">
        <w:t xml:space="preserve"> for next </w:t>
      </w:r>
      <w:r w:rsidR="009B19C2">
        <w:t xml:space="preserve">Contract </w:t>
      </w:r>
      <w:r w:rsidRPr="00DB1D35">
        <w:t>year</w:t>
      </w:r>
      <w:r w:rsidR="004C18DA">
        <w:t xml:space="preserve">. </w:t>
      </w:r>
    </w:p>
    <w:p w14:paraId="427F8415" w14:textId="2843BE48" w:rsidR="007D3FC8" w:rsidRDefault="007D3FC8" w:rsidP="00257641">
      <w:pPr>
        <w:pStyle w:val="Heading4"/>
      </w:pPr>
      <w:r>
        <w:t xml:space="preserve">3.7.11 </w:t>
      </w:r>
      <w:r w:rsidRPr="00615976">
        <w:t>Requirements for Provider-Administered Drug Reimbusement</w:t>
      </w:r>
    </w:p>
    <w:p w14:paraId="53779B06" w14:textId="77777777" w:rsidR="007D3FC8" w:rsidRDefault="007D3FC8" w:rsidP="00257641">
      <w:r w:rsidRPr="001208FE">
        <w:t xml:space="preserve">All outpatient medical claims for </w:t>
      </w:r>
      <w:r>
        <w:t>provider</w:t>
      </w:r>
      <w:r w:rsidRPr="001208FE">
        <w:t>-administered drugs must contain a Healthcare Common Procedur</w:t>
      </w:r>
      <w:r>
        <w:t>e Coding System (HCPCS) code, a</w:t>
      </w:r>
      <w:r w:rsidRPr="001208FE">
        <w:t xml:space="preserve"> </w:t>
      </w:r>
      <w:r>
        <w:t>National Drug Codes (</w:t>
      </w:r>
      <w:r w:rsidRPr="001208FE">
        <w:t>NDC</w:t>
      </w:r>
      <w:r>
        <w:t>)</w:t>
      </w:r>
      <w:r w:rsidRPr="001208FE">
        <w:t xml:space="preserve"> number, the NDC unit of measure, and the NDC quantity. The MCO must edit claims using the </w:t>
      </w:r>
      <w:r>
        <w:t>West Virginia’s</w:t>
      </w:r>
      <w:r w:rsidRPr="001208FE">
        <w:t xml:space="preserve"> </w:t>
      </w:r>
      <w:r>
        <w:t>NDC to HCPCS Crosswalk file provided to the MCO monthly.</w:t>
      </w:r>
      <w:r w:rsidRPr="001208FE">
        <w:t xml:space="preserve"> The MCO must deny the entire claim or claim line item, if such a claim is missing the NDC information, or the NDC is not valid for the corresponding HCPCS code, as the drug is not considered a covered Medicaid benefit. This requirement applies to Medicare cross-over claims in addition to the other claims where a third party paid a portion of the claim.</w:t>
      </w:r>
    </w:p>
    <w:p w14:paraId="332C9B35" w14:textId="2DD0C429" w:rsidR="009A0060" w:rsidRPr="00DF1D1C" w:rsidRDefault="00D82580" w:rsidP="00257641">
      <w:pPr>
        <w:pStyle w:val="Heading3"/>
      </w:pPr>
      <w:bookmarkStart w:id="121" w:name="_Toc73441793"/>
      <w:bookmarkStart w:id="122" w:name="_Toc8129021"/>
      <w:r>
        <w:t>3</w:t>
      </w:r>
      <w:r w:rsidR="009A0060" w:rsidRPr="00DF1D1C">
        <w:t>.8</w:t>
      </w:r>
      <w:r w:rsidR="009A0060" w:rsidRPr="00DF1D1C">
        <w:tab/>
        <w:t>Prohibitions on Inappropriate Physician Incentives</w:t>
      </w:r>
      <w:bookmarkEnd w:id="121"/>
      <w:bookmarkEnd w:id="122"/>
    </w:p>
    <w:p w14:paraId="514B13A6" w14:textId="77777777" w:rsidR="009A0060" w:rsidRPr="00DF1D1C" w:rsidRDefault="009A0060" w:rsidP="00257641">
      <w:r w:rsidRPr="00DF1D1C">
        <w:t>The MCO must comply with regulatory requirements regarding physician incentive</w:t>
      </w:r>
      <w:r w:rsidR="00C624C8" w:rsidRPr="00DF1D1C">
        <w:t>s</w:t>
      </w:r>
      <w:r w:rsidRPr="00DF1D1C">
        <w:t xml:space="preserve"> as specified in </w:t>
      </w:r>
      <w:r w:rsidR="00C624C8" w:rsidRPr="00DF1D1C">
        <w:t xml:space="preserve">42 CFR 417.479, </w:t>
      </w:r>
      <w:r w:rsidRPr="00DF1D1C">
        <w:t xml:space="preserve">42 CFR 438.6(h), 42 CFR 422.208, and 42 CFR </w:t>
      </w:r>
      <w:r w:rsidR="00E50B37" w:rsidRPr="00DF1D1C">
        <w:t>422.</w:t>
      </w:r>
      <w:r w:rsidRPr="00DF1D1C">
        <w:t>210</w:t>
      </w:r>
      <w:r w:rsidR="0078080B" w:rsidRPr="00DF1D1C">
        <w:t xml:space="preserve">. </w:t>
      </w:r>
      <w:r w:rsidRPr="00DF1D1C">
        <w:t xml:space="preserve">The MCO </w:t>
      </w:r>
      <w:r w:rsidR="00540C4A">
        <w:t>may</w:t>
      </w:r>
      <w:r w:rsidR="00540C4A" w:rsidRPr="00DF1D1C">
        <w:t xml:space="preserve"> </w:t>
      </w:r>
      <w:r w:rsidRPr="00DF1D1C">
        <w:t>not make specific payment, directly or indirectly, to a physician or physician group as an</w:t>
      </w:r>
      <w:r w:rsidR="0055753A">
        <w:t xml:space="preserve"> inducement to reduce or limit Medically N</w:t>
      </w:r>
      <w:r w:rsidRPr="00DF1D1C">
        <w:t xml:space="preserve">ecessary </w:t>
      </w:r>
      <w:r w:rsidR="0055753A">
        <w:t xml:space="preserve">covered </w:t>
      </w:r>
      <w:r w:rsidRPr="00DF1D1C">
        <w:t>services furnished to any particular enrollee</w:t>
      </w:r>
      <w:r w:rsidR="0078080B" w:rsidRPr="00DF1D1C">
        <w:t xml:space="preserve">. </w:t>
      </w:r>
      <w:r w:rsidRPr="00DF1D1C">
        <w:t>Indirect payments may include offerings of monetary value (such as stock options or waivers of debt) measured in the present or future.</w:t>
      </w:r>
    </w:p>
    <w:p w14:paraId="483DA783" w14:textId="50DF5EC8" w:rsidR="00C624C8" w:rsidRPr="00DF1D1C" w:rsidRDefault="00C624C8" w:rsidP="00257641">
      <w:r w:rsidRPr="00DF1D1C">
        <w:t xml:space="preserve">As specified in 42 CFR 417.479, MCOs that operate physician incentive plans that place physicians or physician groups at substantial financial risk must conduct enrollee surveys. These surveys must include either all current Medicaid enrollees </w:t>
      </w:r>
      <w:r w:rsidR="00C07122">
        <w:t xml:space="preserve">or their representatives </w:t>
      </w:r>
      <w:r w:rsidRPr="00DF1D1C">
        <w:t>in the MCO and those who have disenrolled (other than because of loss of eligibility or relocation outside the MCO</w:t>
      </w:r>
      <w:r w:rsidR="00FA1C0C" w:rsidRPr="00DF1D1C">
        <w:t>’</w:t>
      </w:r>
      <w:r w:rsidRPr="00DF1D1C">
        <w:t xml:space="preserve">s service area) in the past </w:t>
      </w:r>
      <w:r w:rsidR="005F2A9A">
        <w:t>twelve (</w:t>
      </w:r>
      <w:r w:rsidRPr="00DF1D1C">
        <w:t>12</w:t>
      </w:r>
      <w:r w:rsidR="005F2A9A">
        <w:t>)</w:t>
      </w:r>
      <w:r w:rsidRPr="00DF1D1C">
        <w:t xml:space="preserve"> months, or a</w:t>
      </w:r>
      <w:r w:rsidR="00D3240C" w:rsidRPr="00DF1D1C">
        <w:t xml:space="preserve"> statistically valid </w:t>
      </w:r>
      <w:r w:rsidRPr="00DF1D1C">
        <w:t xml:space="preserve">sample of these same enrollees and disenrollees. The surveys must address enrollee/disenrollee satisfaction with the quality of services provided and the accessibility of the services and must be conducted on an annual basis. </w:t>
      </w:r>
    </w:p>
    <w:p w14:paraId="00502F20" w14:textId="6B620744" w:rsidR="009A0060" w:rsidRPr="00DF1D1C" w:rsidRDefault="00112236" w:rsidP="00257641">
      <w:pPr>
        <w:pStyle w:val="normal6"/>
      </w:pPr>
      <w:r w:rsidRPr="00DF1D1C">
        <w:t>The</w:t>
      </w:r>
      <w:r w:rsidR="009A0060" w:rsidRPr="00DF1D1C">
        <w:t xml:space="preserve"> MCO </w:t>
      </w:r>
      <w:r w:rsidR="008746FD" w:rsidRPr="00DF1D1C">
        <w:t xml:space="preserve">must collect the following information annually and make it available to </w:t>
      </w:r>
      <w:r w:rsidR="00AB5F64">
        <w:t>DHHR</w:t>
      </w:r>
      <w:r w:rsidR="00AB5F64" w:rsidRPr="00DF1D1C">
        <w:t xml:space="preserve"> </w:t>
      </w:r>
      <w:r w:rsidR="008746FD" w:rsidRPr="00DF1D1C">
        <w:t>and CMS upon requ</w:t>
      </w:r>
      <w:r w:rsidR="008746FD" w:rsidRPr="00B806BF">
        <w:t>e</w:t>
      </w:r>
      <w:r w:rsidR="008746FD" w:rsidRPr="00DF1D1C">
        <w:t xml:space="preserve">st, within </w:t>
      </w:r>
      <w:r w:rsidR="00C42731">
        <w:t>ten (</w:t>
      </w:r>
      <w:r w:rsidR="008746FD" w:rsidRPr="00DF1D1C">
        <w:t>10</w:t>
      </w:r>
      <w:r w:rsidR="00C42731">
        <w:t>)</w:t>
      </w:r>
      <w:r w:rsidR="008746FD" w:rsidRPr="00DF1D1C">
        <w:t xml:space="preserve"> </w:t>
      </w:r>
      <w:r w:rsidR="00F3479E">
        <w:t>business</w:t>
      </w:r>
      <w:r w:rsidR="00F3479E" w:rsidRPr="00DF1D1C">
        <w:t xml:space="preserve"> </w:t>
      </w:r>
      <w:r w:rsidR="008746FD" w:rsidRPr="00DF1D1C">
        <w:t>days.</w:t>
      </w:r>
    </w:p>
    <w:p w14:paraId="1F2C8CA2" w14:textId="77777777" w:rsidR="009A0060" w:rsidRPr="00E671F8" w:rsidRDefault="009A0060" w:rsidP="00257641">
      <w:pPr>
        <w:pStyle w:val="bullet1"/>
      </w:pPr>
      <w:r w:rsidRPr="00E671F8">
        <w:lastRenderedPageBreak/>
        <w:t>Whether services not furnished by the physician or physician group are covered by the incentive plan.</w:t>
      </w:r>
    </w:p>
    <w:p w14:paraId="0B1BEA90" w14:textId="77777777" w:rsidR="009A0060" w:rsidRPr="00E671F8" w:rsidRDefault="009A0060" w:rsidP="00257641">
      <w:pPr>
        <w:pStyle w:val="bullet1"/>
      </w:pPr>
      <w:r w:rsidRPr="00E671F8">
        <w:t>The type or types of incentive arrangements, such as</w:t>
      </w:r>
      <w:r w:rsidR="00EC2474" w:rsidRPr="00E671F8">
        <w:t xml:space="preserve"> </w:t>
      </w:r>
      <w:r w:rsidRPr="00E671F8">
        <w:t>bonus, capitation.</w:t>
      </w:r>
    </w:p>
    <w:p w14:paraId="490251A8" w14:textId="77777777" w:rsidR="009A0060" w:rsidRPr="00E671F8" w:rsidRDefault="009A0060" w:rsidP="00257641">
      <w:pPr>
        <w:pStyle w:val="bullet1"/>
      </w:pPr>
      <w:r w:rsidRPr="00E671F8">
        <w:t>The percent of any bonus the plan uses.</w:t>
      </w:r>
    </w:p>
    <w:p w14:paraId="79036E79" w14:textId="77777777" w:rsidR="009A0060" w:rsidRPr="00E671F8" w:rsidRDefault="009A0060" w:rsidP="00257641">
      <w:pPr>
        <w:pStyle w:val="bullet1"/>
      </w:pPr>
      <w:r w:rsidRPr="00E671F8">
        <w:t>Assurance that the physicians or physician group has adequate stop-loss protection, and the amount and type of stop-loss protection.</w:t>
      </w:r>
    </w:p>
    <w:p w14:paraId="13B20D00" w14:textId="77777777" w:rsidR="009A0060" w:rsidRPr="00E671F8" w:rsidRDefault="009A0060" w:rsidP="00257641">
      <w:pPr>
        <w:pStyle w:val="bullet1"/>
      </w:pPr>
      <w:r w:rsidRPr="00E671F8">
        <w:t>The patient panel size and, if the plan uses pooling, the pooling method.</w:t>
      </w:r>
    </w:p>
    <w:p w14:paraId="30A961FD" w14:textId="2ABDA50E" w:rsidR="009A0060" w:rsidRPr="00E671F8" w:rsidRDefault="009A0060" w:rsidP="00257641">
      <w:pPr>
        <w:pStyle w:val="bullet1"/>
      </w:pPr>
      <w:r w:rsidRPr="00E671F8">
        <w:t>If the MCO is required to conduct enrollee</w:t>
      </w:r>
      <w:r w:rsidR="00C624C8" w:rsidRPr="00E671F8">
        <w:t>/disenrollee</w:t>
      </w:r>
      <w:r w:rsidRPr="00E671F8">
        <w:t xml:space="preserve"> surveys, provide a summary of the survey results to </w:t>
      </w:r>
      <w:r w:rsidR="00AB5F64">
        <w:t>DHHR</w:t>
      </w:r>
      <w:r w:rsidR="00AB5F64" w:rsidRPr="00E671F8">
        <w:t xml:space="preserve"> </w:t>
      </w:r>
      <w:r w:rsidRPr="00E671F8">
        <w:t>and, upon request, to enrollees.</w:t>
      </w:r>
    </w:p>
    <w:p w14:paraId="6D20E818" w14:textId="77777777" w:rsidR="009A0060" w:rsidRPr="00E671F8" w:rsidRDefault="009A0060" w:rsidP="00257641">
      <w:pPr>
        <w:pStyle w:val="bullet1last"/>
      </w:pPr>
      <w:r w:rsidRPr="00E671F8">
        <w:t>Information on the physician incentive plan to enrollees, upon request.</w:t>
      </w:r>
    </w:p>
    <w:p w14:paraId="2274E1F9" w14:textId="77777777" w:rsidR="009A0060" w:rsidRPr="00DF1D1C" w:rsidRDefault="009A0060" w:rsidP="00257641">
      <w:r w:rsidRPr="00DF1D1C">
        <w:t xml:space="preserve">The MCO </w:t>
      </w:r>
      <w:r w:rsidR="00540C4A">
        <w:t>must</w:t>
      </w:r>
      <w:r w:rsidRPr="00DF1D1C">
        <w:t xml:space="preserve"> comply with any additional rules regarding physician incentives released by CMS.</w:t>
      </w:r>
    </w:p>
    <w:p w14:paraId="790DCDAB" w14:textId="2A8CC5D0" w:rsidR="009A0060" w:rsidRPr="0093307D" w:rsidRDefault="00D82580" w:rsidP="007610FD">
      <w:pPr>
        <w:pStyle w:val="Heading2"/>
      </w:pPr>
      <w:bookmarkStart w:id="123" w:name="_Toc73441794"/>
      <w:bookmarkStart w:id="124" w:name="_Toc8129022"/>
      <w:r>
        <w:t>4</w:t>
      </w:r>
      <w:r w:rsidR="00851ED0">
        <w:t xml:space="preserve">. </w:t>
      </w:r>
      <w:r w:rsidR="009A0060" w:rsidRPr="0093307D">
        <w:t xml:space="preserve">ENROLLMENT &amp; </w:t>
      </w:r>
      <w:r w:rsidR="00637C51">
        <w:t>ENROLLEE</w:t>
      </w:r>
      <w:r w:rsidR="00637C51" w:rsidRPr="0093307D">
        <w:t xml:space="preserve"> </w:t>
      </w:r>
      <w:r w:rsidR="009A0060" w:rsidRPr="0093307D">
        <w:t>SERVICES</w:t>
      </w:r>
      <w:bookmarkEnd w:id="123"/>
      <w:bookmarkEnd w:id="124"/>
    </w:p>
    <w:p w14:paraId="21980C83" w14:textId="2BA958E1" w:rsidR="00C76F4A" w:rsidRPr="00536597" w:rsidRDefault="009A0060" w:rsidP="00257641">
      <w:r w:rsidRPr="00DF1D1C">
        <w:t>The program will enroll the</w:t>
      </w:r>
      <w:r w:rsidR="00060144">
        <w:t xml:space="preserve"> children and </w:t>
      </w:r>
      <w:r w:rsidR="00060144" w:rsidRPr="00060144">
        <w:t xml:space="preserve">youth in the foster care system, </w:t>
      </w:r>
      <w:r w:rsidR="00AB5F64">
        <w:t>individuals</w:t>
      </w:r>
      <w:r w:rsidR="00060144">
        <w:t xml:space="preserve"> </w:t>
      </w:r>
      <w:r w:rsidR="00AB5F64">
        <w:t>receiving</w:t>
      </w:r>
      <w:r w:rsidR="00060144">
        <w:t xml:space="preserve"> adoption assistance</w:t>
      </w:r>
      <w:r w:rsidR="001543F3">
        <w:t xml:space="preserve"> in phase one and </w:t>
      </w:r>
      <w:r w:rsidR="00AB5F64">
        <w:t xml:space="preserve">individuals between </w:t>
      </w:r>
      <w:r w:rsidR="00D566E2">
        <w:t>eighteen (</w:t>
      </w:r>
      <w:r w:rsidR="00AB5F64">
        <w:t>18</w:t>
      </w:r>
      <w:r w:rsidR="00D566E2">
        <w:t>)</w:t>
      </w:r>
      <w:r w:rsidR="00AB5F64">
        <w:t xml:space="preserve"> and </w:t>
      </w:r>
      <w:r w:rsidR="00D566E2">
        <w:t>twenty-six (</w:t>
      </w:r>
      <w:r w:rsidR="00AB5F64">
        <w:t>26</w:t>
      </w:r>
      <w:r w:rsidR="00D566E2">
        <w:t>)</w:t>
      </w:r>
      <w:r w:rsidR="00AB5F64">
        <w:t xml:space="preserve"> who were formerly in foster care, </w:t>
      </w:r>
      <w:r w:rsidR="00060144">
        <w:t xml:space="preserve">children and </w:t>
      </w:r>
      <w:r w:rsidR="00060144" w:rsidRPr="00060144">
        <w:t xml:space="preserve">youth at risk of entering the foster care system, and </w:t>
      </w:r>
      <w:r w:rsidR="001543F3">
        <w:t>parents</w:t>
      </w:r>
      <w:r w:rsidR="00060144" w:rsidRPr="00060144">
        <w:t xml:space="preserve"> of </w:t>
      </w:r>
      <w:r w:rsidR="00060144">
        <w:t xml:space="preserve">children and </w:t>
      </w:r>
      <w:r w:rsidR="00060144" w:rsidRPr="00060144">
        <w:t>youth at risk of entering the foster care system</w:t>
      </w:r>
      <w:r w:rsidR="001543F3">
        <w:t xml:space="preserve"> in phase two</w:t>
      </w:r>
      <w:r w:rsidR="009D2775">
        <w:t xml:space="preserve"> (to be defined)</w:t>
      </w:r>
      <w:r w:rsidRPr="00DF1D1C">
        <w:t xml:space="preserve">. </w:t>
      </w:r>
      <w:r w:rsidR="00890D6B" w:rsidRPr="00536597">
        <w:t xml:space="preserve">The MCO will </w:t>
      </w:r>
      <w:r w:rsidRPr="00536597">
        <w:t xml:space="preserve">be furnished with an enrollment roster that identifies individuals enrolled in the MCO, including all new enrollees, on a </w:t>
      </w:r>
      <w:r w:rsidR="009D2775">
        <w:t xml:space="preserve">daily and </w:t>
      </w:r>
      <w:r w:rsidRPr="00536597">
        <w:t>monthly basis</w:t>
      </w:r>
      <w:r w:rsidR="0078080B" w:rsidRPr="00536597">
        <w:t xml:space="preserve">. </w:t>
      </w:r>
      <w:r w:rsidRPr="00536597">
        <w:t>All enrollment activities are subject to the standards and requirements set forth in this contract.</w:t>
      </w:r>
      <w:bookmarkStart w:id="125" w:name="_Toc73441795"/>
    </w:p>
    <w:p w14:paraId="6124CCF0" w14:textId="57FBEA3B" w:rsidR="009A0060" w:rsidRPr="00DF1D1C" w:rsidRDefault="00D82580" w:rsidP="00257641">
      <w:pPr>
        <w:pStyle w:val="Heading3"/>
        <w:ind w:left="360" w:firstLine="0"/>
      </w:pPr>
      <w:bookmarkStart w:id="126" w:name="_Toc8129023"/>
      <w:r>
        <w:t>4</w:t>
      </w:r>
      <w:r w:rsidR="009A0060" w:rsidRPr="00DF1D1C">
        <w:t>.1</w:t>
      </w:r>
      <w:r w:rsidR="009A0060" w:rsidRPr="00DF1D1C">
        <w:tab/>
        <w:t>Marketing</w:t>
      </w:r>
      <w:bookmarkEnd w:id="125"/>
      <w:bookmarkEnd w:id="126"/>
    </w:p>
    <w:p w14:paraId="6E21845C" w14:textId="3F177F45" w:rsidR="00117793" w:rsidRPr="00DF1D1C" w:rsidRDefault="00596E71" w:rsidP="00257641">
      <w:pPr>
        <w:pStyle w:val="Heading4"/>
      </w:pPr>
      <w:r>
        <w:t>4</w:t>
      </w:r>
      <w:r w:rsidR="00941B0B">
        <w:t>.1.</w:t>
      </w:r>
      <w:r w:rsidR="00491C08">
        <w:t>1</w:t>
      </w:r>
      <w:r w:rsidR="00941B0B">
        <w:t xml:space="preserve"> </w:t>
      </w:r>
      <w:r w:rsidR="00117793" w:rsidRPr="00DF1D1C">
        <w:t>Marketing Plan</w:t>
      </w:r>
    </w:p>
    <w:p w14:paraId="16DFA9D9" w14:textId="1E872CC0" w:rsidR="00117793" w:rsidRPr="00DF1D1C" w:rsidRDefault="00117793" w:rsidP="00257641">
      <w:r w:rsidRPr="00DF1D1C">
        <w:t xml:space="preserve">The MCO must submit a marketing plan to the </w:t>
      </w:r>
      <w:r w:rsidR="00510A6E" w:rsidRPr="00DF1D1C">
        <w:t>Department</w:t>
      </w:r>
      <w:r w:rsidRPr="00DF1D1C">
        <w:t xml:space="preserve"> for prior written approval by </w:t>
      </w:r>
      <w:r w:rsidR="007A212C" w:rsidRPr="00DF1D1C">
        <w:t xml:space="preserve">October </w:t>
      </w:r>
      <w:r w:rsidRPr="00DF1D1C">
        <w:t>1</w:t>
      </w:r>
      <w:r w:rsidR="008C6B03" w:rsidRPr="00D17863">
        <w:rPr>
          <w:vertAlign w:val="superscript"/>
        </w:rPr>
        <w:t>st</w:t>
      </w:r>
      <w:r w:rsidRPr="00DF1D1C">
        <w:t xml:space="preserve"> of each </w:t>
      </w:r>
      <w:r w:rsidR="009B19C2">
        <w:t xml:space="preserve">Contract </w:t>
      </w:r>
      <w:r w:rsidRPr="00DF1D1C">
        <w:t>year.</w:t>
      </w:r>
      <w:r w:rsidR="00D3240C" w:rsidRPr="00DF1D1C">
        <w:t xml:space="preserve"> If the marketing plan is modified during the </w:t>
      </w:r>
      <w:r w:rsidR="009B19C2">
        <w:t xml:space="preserve">Contract </w:t>
      </w:r>
      <w:r w:rsidR="00D3240C" w:rsidRPr="00DF1D1C">
        <w:t>year, the revised marketing plan must be submitted to the Department for written approval prior to engaging in any activities not specified in the original plan</w:t>
      </w:r>
      <w:r w:rsidR="0078080B" w:rsidRPr="00DF1D1C">
        <w:t xml:space="preserve">. </w:t>
      </w:r>
      <w:r w:rsidR="00AA0517">
        <w:t xml:space="preserve">The MCO marketing plan must comply with the </w:t>
      </w:r>
      <w:r w:rsidR="0043533E">
        <w:t xml:space="preserve">DHHR </w:t>
      </w:r>
      <w:r w:rsidR="00AA0517">
        <w:t xml:space="preserve">Marketing Policies as described in </w:t>
      </w:r>
      <w:r w:rsidR="00F33B38">
        <w:t>Appendix</w:t>
      </w:r>
      <w:r w:rsidR="00AA0517">
        <w:t xml:space="preserve"> </w:t>
      </w:r>
      <w:r w:rsidR="009D31CB">
        <w:t>C</w:t>
      </w:r>
      <w:r w:rsidR="00AA0517">
        <w:t xml:space="preserve"> of this Contract. </w:t>
      </w:r>
    </w:p>
    <w:p w14:paraId="1D839704" w14:textId="40CB838E" w:rsidR="009A0060" w:rsidRPr="00DF1D1C" w:rsidRDefault="00596E71" w:rsidP="00257641">
      <w:pPr>
        <w:pStyle w:val="Heading4"/>
      </w:pPr>
      <w:r>
        <w:t>4</w:t>
      </w:r>
      <w:r w:rsidR="00941B0B">
        <w:t>.1.</w:t>
      </w:r>
      <w:r w:rsidR="00491C08">
        <w:t>2</w:t>
      </w:r>
      <w:r w:rsidR="00941B0B">
        <w:t xml:space="preserve"> </w:t>
      </w:r>
      <w:r w:rsidR="009A0060" w:rsidRPr="00DF1D1C">
        <w:t>Marketing Materials</w:t>
      </w:r>
    </w:p>
    <w:p w14:paraId="6724A415" w14:textId="46DC9218" w:rsidR="009A0060" w:rsidRPr="00DF1D1C" w:rsidRDefault="0088288A" w:rsidP="00257641">
      <w:pPr>
        <w:pStyle w:val="normal6"/>
      </w:pPr>
      <w:r w:rsidRPr="00DF1D1C">
        <w:t xml:space="preserve">The MCO must follow the marketing guidelines </w:t>
      </w:r>
      <w:r>
        <w:t xml:space="preserve">as </w:t>
      </w:r>
      <w:r w:rsidRPr="00DF1D1C">
        <w:t xml:space="preserve">described in </w:t>
      </w:r>
      <w:r>
        <w:t xml:space="preserve">42 CFR </w:t>
      </w:r>
      <w:r w:rsidRPr="00CB4B69">
        <w:t>438.104</w:t>
      </w:r>
      <w:r>
        <w:t xml:space="preserve"> and </w:t>
      </w:r>
      <w:r w:rsidR="00F33B38">
        <w:t>Appendix</w:t>
      </w:r>
      <w:r w:rsidRPr="00DF1D1C">
        <w:t xml:space="preserve"> </w:t>
      </w:r>
      <w:r w:rsidR="009D31CB">
        <w:t>C</w:t>
      </w:r>
      <w:r w:rsidRPr="00DF1D1C">
        <w:t xml:space="preserve">, </w:t>
      </w:r>
      <w:r w:rsidR="0043533E">
        <w:t xml:space="preserve">DHHR </w:t>
      </w:r>
      <w:r w:rsidRPr="00DF1D1C">
        <w:t xml:space="preserve">Marketing </w:t>
      </w:r>
      <w:r>
        <w:t>Policies</w:t>
      </w:r>
      <w:r w:rsidRPr="00DF1D1C">
        <w:t xml:space="preserve">. </w:t>
      </w:r>
      <w:r w:rsidR="009A0060" w:rsidRPr="00DF1D1C">
        <w:t xml:space="preserve">All marketing materials must be prepared at a reading level no higher than the sixth grade and must satisfy the information requirements of this </w:t>
      </w:r>
      <w:r w:rsidR="009B19C2">
        <w:t xml:space="preserve">Contract </w:t>
      </w:r>
      <w:r w:rsidR="009A0060" w:rsidRPr="00DF1D1C">
        <w:t>to ensure that before enrolling</w:t>
      </w:r>
      <w:r w:rsidR="00903221">
        <w:t xml:space="preserve"> in the MCO</w:t>
      </w:r>
      <w:r w:rsidR="009A0060" w:rsidRPr="00DF1D1C">
        <w:t xml:space="preserve">, </w:t>
      </w:r>
      <w:r w:rsidR="00903221">
        <w:t>individuals</w:t>
      </w:r>
      <w:r w:rsidR="009A0060" w:rsidRPr="00DF1D1C">
        <w:t xml:space="preserve"> receive accurate oral and written information needed to make an informed decision on whether to enroll</w:t>
      </w:r>
      <w:r w:rsidR="0078080B" w:rsidRPr="00DF1D1C">
        <w:t xml:space="preserve">. </w:t>
      </w:r>
      <w:r w:rsidR="009A0060" w:rsidRPr="00DF1D1C">
        <w:rPr>
          <w:snapToGrid w:val="0"/>
        </w:rPr>
        <w:t>Materials should use an easily readable typeface (such as</w:t>
      </w:r>
      <w:r w:rsidR="001506ED">
        <w:rPr>
          <w:snapToGrid w:val="0"/>
        </w:rPr>
        <w:t xml:space="preserve"> </w:t>
      </w:r>
      <w:r w:rsidR="009A4997">
        <w:rPr>
          <w:snapToGrid w:val="0"/>
        </w:rPr>
        <w:t>twelve (</w:t>
      </w:r>
      <w:r w:rsidR="001506ED">
        <w:rPr>
          <w:snapToGrid w:val="0"/>
        </w:rPr>
        <w:t>12</w:t>
      </w:r>
      <w:r w:rsidR="009A4997">
        <w:rPr>
          <w:snapToGrid w:val="0"/>
        </w:rPr>
        <w:t>)</w:t>
      </w:r>
      <w:r w:rsidR="001506ED">
        <w:rPr>
          <w:snapToGrid w:val="0"/>
        </w:rPr>
        <w:t xml:space="preserve"> or</w:t>
      </w:r>
      <w:r w:rsidR="009A0060" w:rsidRPr="00DF1D1C">
        <w:rPr>
          <w:snapToGrid w:val="0"/>
        </w:rPr>
        <w:t xml:space="preserve"> </w:t>
      </w:r>
      <w:r w:rsidR="009A4997">
        <w:rPr>
          <w:snapToGrid w:val="0"/>
        </w:rPr>
        <w:t>fourteen (</w:t>
      </w:r>
      <w:r w:rsidR="009A0060" w:rsidRPr="00DF1D1C">
        <w:rPr>
          <w:snapToGrid w:val="0"/>
        </w:rPr>
        <w:t>14</w:t>
      </w:r>
      <w:r w:rsidR="009A4997">
        <w:rPr>
          <w:snapToGrid w:val="0"/>
        </w:rPr>
        <w:t>)</w:t>
      </w:r>
      <w:r w:rsidR="009A0060" w:rsidRPr="00DF1D1C">
        <w:rPr>
          <w:snapToGrid w:val="0"/>
        </w:rPr>
        <w:t xml:space="preserve"> point), frequent headings, and should provide short, simple explanations of key concepts. Technical or legal language should be avoided whenever possible</w:t>
      </w:r>
      <w:r w:rsidR="0078080B" w:rsidRPr="00DF1D1C">
        <w:rPr>
          <w:snapToGrid w:val="0"/>
        </w:rPr>
        <w:t xml:space="preserve">. </w:t>
      </w:r>
      <w:r w:rsidR="009A0060" w:rsidRPr="00DF1D1C">
        <w:t xml:space="preserve">The MCO must submit evidence to </w:t>
      </w:r>
      <w:r w:rsidR="0043533E">
        <w:t>DHHR</w:t>
      </w:r>
      <w:r w:rsidR="0043533E" w:rsidRPr="00DF1D1C">
        <w:t xml:space="preserve"> </w:t>
      </w:r>
      <w:r w:rsidR="009A0060" w:rsidRPr="00DF1D1C">
        <w:t xml:space="preserve">that its materials satisfy </w:t>
      </w:r>
      <w:r w:rsidR="009A0060" w:rsidRPr="00DF1D1C">
        <w:lastRenderedPageBreak/>
        <w:t>this requirement</w:t>
      </w:r>
      <w:r w:rsidR="009A0060" w:rsidRPr="00DF1D1C">
        <w:rPr>
          <w:rStyle w:val="FootnoteReference"/>
        </w:rPr>
        <w:footnoteReference w:id="12"/>
      </w:r>
      <w:r w:rsidR="009A0060" w:rsidRPr="00DF1D1C">
        <w:t xml:space="preserve"> and provide a written assurance that marketing materials do not mislead, confuse or defraud </w:t>
      </w:r>
      <w:r w:rsidR="00F76962">
        <w:t>enrollee</w:t>
      </w:r>
      <w:r w:rsidR="00F76962" w:rsidRPr="00DF1D1C">
        <w:t xml:space="preserve">s </w:t>
      </w:r>
      <w:r w:rsidR="009A0060" w:rsidRPr="00DF1D1C">
        <w:t xml:space="preserve">or </w:t>
      </w:r>
      <w:r w:rsidR="0043533E">
        <w:t>DHHR</w:t>
      </w:r>
      <w:r w:rsidR="0078080B" w:rsidRPr="00DF1D1C">
        <w:t xml:space="preserve">. </w:t>
      </w:r>
      <w:r w:rsidR="00120678">
        <w:t xml:space="preserve">Such written assurance must </w:t>
      </w:r>
      <w:r w:rsidR="009A0060" w:rsidRPr="00DF1D1C">
        <w:t>be provided annually or with each submission of new or revised marketing materials</w:t>
      </w:r>
      <w:r w:rsidR="0078080B" w:rsidRPr="00DF1D1C">
        <w:t xml:space="preserve">. </w:t>
      </w:r>
      <w:r w:rsidR="009A0060" w:rsidRPr="00DF1D1C">
        <w:t>Statements that will be considered inaccurate, false, misleading include, but are not limited to, any assertion or statement (whether written or oral) that:</w:t>
      </w:r>
    </w:p>
    <w:p w14:paraId="03B7B51D" w14:textId="77777777" w:rsidR="009A0060" w:rsidRPr="00DF1D1C" w:rsidRDefault="009A0060" w:rsidP="00257641">
      <w:pPr>
        <w:pStyle w:val="bullet1"/>
      </w:pPr>
      <w:r w:rsidRPr="00DF1D1C">
        <w:t xml:space="preserve">The </w:t>
      </w:r>
      <w:r w:rsidRPr="005437B9">
        <w:t>potential enrollee must enroll in the MCO in order to obtain benefits or in order to not lose benefits</w:t>
      </w:r>
      <w:r w:rsidRPr="00DF1D1C">
        <w:t>; or</w:t>
      </w:r>
    </w:p>
    <w:p w14:paraId="39ABDA33" w14:textId="12E33572" w:rsidR="009A0060" w:rsidRDefault="009A0060" w:rsidP="00257641">
      <w:pPr>
        <w:pStyle w:val="bullet1last"/>
      </w:pPr>
      <w:r w:rsidRPr="00DF1D1C">
        <w:t>The MCO is endorsed by CMS</w:t>
      </w:r>
      <w:r w:rsidR="002D4A9A">
        <w:t>, ACF</w:t>
      </w:r>
      <w:r w:rsidRPr="00DF1D1C">
        <w:t>, the federal or state government, or similar entity.</w:t>
      </w:r>
    </w:p>
    <w:p w14:paraId="10DEA701" w14:textId="6866066C" w:rsidR="00846485" w:rsidRPr="00846485" w:rsidRDefault="00846485" w:rsidP="00257641">
      <w:pPr>
        <w:pStyle w:val="normal6"/>
      </w:pPr>
      <w:r>
        <w:t>Marketing m</w:t>
      </w:r>
      <w:r w:rsidRPr="00846485">
        <w:t>aterials that require</w:t>
      </w:r>
      <w:r w:rsidR="00023624">
        <w:t xml:space="preserve"> </w:t>
      </w:r>
      <w:r w:rsidR="0043533E">
        <w:t>DHHR</w:t>
      </w:r>
      <w:r w:rsidR="0043533E" w:rsidRPr="00846485">
        <w:t xml:space="preserve"> </w:t>
      </w:r>
      <w:r w:rsidRPr="00846485">
        <w:t>review and approval include but are not limited to:</w:t>
      </w:r>
    </w:p>
    <w:p w14:paraId="48B987FC" w14:textId="16DD7764" w:rsidR="00846485" w:rsidRPr="00846485" w:rsidRDefault="00AB0191" w:rsidP="00257641">
      <w:pPr>
        <w:pStyle w:val="StyleBodyTextIndentTimesNewRoman12ptLeftAfter6pt"/>
        <w:ind w:left="720" w:hanging="360"/>
        <w:rPr>
          <w:spacing w:val="0"/>
        </w:rPr>
      </w:pPr>
      <w:r>
        <w:rPr>
          <w:spacing w:val="0"/>
        </w:rPr>
        <w:t>1.</w:t>
      </w:r>
      <w:r>
        <w:rPr>
          <w:spacing w:val="0"/>
        </w:rPr>
        <w:tab/>
      </w:r>
      <w:r w:rsidR="00846485" w:rsidRPr="00846485">
        <w:rPr>
          <w:spacing w:val="0"/>
        </w:rPr>
        <w:t xml:space="preserve">Marketing </w:t>
      </w:r>
      <w:r w:rsidR="008F3F98">
        <w:rPr>
          <w:spacing w:val="0"/>
        </w:rPr>
        <w:t>m</w:t>
      </w:r>
      <w:r w:rsidR="00846485" w:rsidRPr="00846485">
        <w:rPr>
          <w:spacing w:val="0"/>
        </w:rPr>
        <w:t>aterials</w:t>
      </w:r>
      <w:r w:rsidR="00846485">
        <w:rPr>
          <w:spacing w:val="0"/>
        </w:rPr>
        <w:t xml:space="preserve"> to potential </w:t>
      </w:r>
      <w:r w:rsidR="00637C51">
        <w:rPr>
          <w:spacing w:val="0"/>
        </w:rPr>
        <w:t>enrollees</w:t>
      </w:r>
      <w:r w:rsidR="00D8735E">
        <w:rPr>
          <w:spacing w:val="0"/>
        </w:rPr>
        <w:t>;</w:t>
      </w:r>
      <w:r w:rsidR="00846485">
        <w:rPr>
          <w:spacing w:val="0"/>
        </w:rPr>
        <w:t xml:space="preserve"> </w:t>
      </w:r>
    </w:p>
    <w:p w14:paraId="10A2B859" w14:textId="4939F48B" w:rsidR="00846485" w:rsidRPr="00846485" w:rsidRDefault="00AB0191" w:rsidP="00257641">
      <w:pPr>
        <w:pStyle w:val="StyleBodyTextIndentTimesNewRoman12ptLeftAfter6pt"/>
        <w:ind w:left="720" w:hanging="360"/>
        <w:rPr>
          <w:spacing w:val="0"/>
        </w:rPr>
      </w:pPr>
      <w:r>
        <w:rPr>
          <w:spacing w:val="0"/>
        </w:rPr>
        <w:t>2.</w:t>
      </w:r>
      <w:r>
        <w:rPr>
          <w:spacing w:val="0"/>
        </w:rPr>
        <w:tab/>
      </w:r>
      <w:r w:rsidR="00637C51">
        <w:rPr>
          <w:spacing w:val="0"/>
        </w:rPr>
        <w:t>Enrollee</w:t>
      </w:r>
      <w:r w:rsidR="00637C51" w:rsidRPr="00846485">
        <w:rPr>
          <w:spacing w:val="0"/>
        </w:rPr>
        <w:t xml:space="preserve"> </w:t>
      </w:r>
      <w:r w:rsidR="00846485" w:rsidRPr="00846485">
        <w:rPr>
          <w:spacing w:val="0"/>
        </w:rPr>
        <w:t>materials (Provider Directories, Member ID cards, etc.)</w:t>
      </w:r>
      <w:r w:rsidR="00D8735E">
        <w:rPr>
          <w:spacing w:val="0"/>
        </w:rPr>
        <w:t>;</w:t>
      </w:r>
    </w:p>
    <w:p w14:paraId="4D86F417" w14:textId="77777777" w:rsidR="00846485" w:rsidRPr="00846485" w:rsidRDefault="00AB0191" w:rsidP="00257641">
      <w:pPr>
        <w:pStyle w:val="StyleBodyTextIndentTimesNewRoman12ptLeftAfter6pt"/>
        <w:ind w:left="720" w:hanging="360"/>
        <w:rPr>
          <w:spacing w:val="0"/>
        </w:rPr>
      </w:pPr>
      <w:r>
        <w:rPr>
          <w:spacing w:val="0"/>
        </w:rPr>
        <w:t>3.</w:t>
      </w:r>
      <w:r>
        <w:rPr>
          <w:spacing w:val="0"/>
        </w:rPr>
        <w:tab/>
      </w:r>
      <w:r w:rsidR="00846485" w:rsidRPr="00846485">
        <w:rPr>
          <w:spacing w:val="0"/>
        </w:rPr>
        <w:t>Information to be used on the MCO’s Website or the Internet</w:t>
      </w:r>
      <w:r w:rsidR="00D8735E">
        <w:rPr>
          <w:spacing w:val="0"/>
        </w:rPr>
        <w:t>;</w:t>
      </w:r>
    </w:p>
    <w:p w14:paraId="4D4EF451" w14:textId="77777777" w:rsidR="00846485" w:rsidRPr="00846485" w:rsidRDefault="00AB0191" w:rsidP="00257641">
      <w:pPr>
        <w:pStyle w:val="StyleBodyTextIndentTimesNewRoman12ptLeftAfter6pt"/>
        <w:ind w:left="720" w:hanging="360"/>
        <w:rPr>
          <w:spacing w:val="0"/>
        </w:rPr>
      </w:pPr>
      <w:r>
        <w:rPr>
          <w:spacing w:val="0"/>
        </w:rPr>
        <w:t>4.</w:t>
      </w:r>
      <w:r>
        <w:rPr>
          <w:spacing w:val="0"/>
        </w:rPr>
        <w:tab/>
      </w:r>
      <w:r w:rsidR="00846485" w:rsidRPr="00846485">
        <w:rPr>
          <w:spacing w:val="0"/>
        </w:rPr>
        <w:t>Print media</w:t>
      </w:r>
      <w:r w:rsidR="00D8735E">
        <w:rPr>
          <w:spacing w:val="0"/>
        </w:rPr>
        <w:t>;</w:t>
      </w:r>
    </w:p>
    <w:p w14:paraId="68FF98B9" w14:textId="77777777" w:rsidR="00846485" w:rsidRPr="00846485" w:rsidRDefault="00AB0191" w:rsidP="00257641">
      <w:pPr>
        <w:pStyle w:val="StyleBodyTextIndentTimesNewRoman12ptLeftAfter6pt"/>
        <w:ind w:left="720" w:hanging="360"/>
        <w:rPr>
          <w:spacing w:val="0"/>
        </w:rPr>
      </w:pPr>
      <w:r>
        <w:rPr>
          <w:spacing w:val="0"/>
        </w:rPr>
        <w:t>5.</w:t>
      </w:r>
      <w:r>
        <w:rPr>
          <w:spacing w:val="0"/>
        </w:rPr>
        <w:tab/>
      </w:r>
      <w:r w:rsidR="00846485" w:rsidRPr="00846485">
        <w:rPr>
          <w:spacing w:val="0"/>
        </w:rPr>
        <w:t>Television and radio storyboards or scripts</w:t>
      </w:r>
      <w:r w:rsidR="00D8735E">
        <w:rPr>
          <w:spacing w:val="0"/>
        </w:rPr>
        <w:t xml:space="preserve">; and </w:t>
      </w:r>
    </w:p>
    <w:p w14:paraId="3092CE1F" w14:textId="4F6761B2" w:rsidR="00846485" w:rsidRPr="00DF1D1C" w:rsidRDefault="00AB0191" w:rsidP="00257641">
      <w:pPr>
        <w:pStyle w:val="StyleBodyTextIndentTimesNewRoman12ptLeftAfter6pt"/>
        <w:widowControl/>
        <w:tabs>
          <w:tab w:val="clear" w:pos="720"/>
        </w:tabs>
        <w:spacing w:after="240"/>
        <w:ind w:left="720" w:hanging="360"/>
        <w:rPr>
          <w:spacing w:val="0"/>
        </w:rPr>
      </w:pPr>
      <w:r>
        <w:rPr>
          <w:spacing w:val="0"/>
        </w:rPr>
        <w:t>6.</w:t>
      </w:r>
      <w:r>
        <w:rPr>
          <w:spacing w:val="0"/>
        </w:rPr>
        <w:tab/>
      </w:r>
      <w:r w:rsidR="00637C51">
        <w:rPr>
          <w:spacing w:val="0"/>
        </w:rPr>
        <w:t>Enrollee</w:t>
      </w:r>
      <w:r w:rsidR="00637C51" w:rsidRPr="00846485">
        <w:rPr>
          <w:spacing w:val="0"/>
        </w:rPr>
        <w:t xml:space="preserve"> </w:t>
      </w:r>
      <w:r w:rsidR="00846485" w:rsidRPr="00846485">
        <w:rPr>
          <w:spacing w:val="0"/>
        </w:rPr>
        <w:t>participation materials</w:t>
      </w:r>
      <w:r w:rsidR="00D8735E">
        <w:rPr>
          <w:spacing w:val="0"/>
        </w:rPr>
        <w:t>.</w:t>
      </w:r>
    </w:p>
    <w:p w14:paraId="0AFA37BB" w14:textId="77777777" w:rsidR="009A0060" w:rsidRPr="00DF1D1C" w:rsidRDefault="009A0060" w:rsidP="00257641">
      <w:pPr>
        <w:rPr>
          <w:snapToGrid w:val="0"/>
        </w:rPr>
      </w:pPr>
      <w:r w:rsidRPr="00DF1D1C">
        <w:rPr>
          <w:snapToGrid w:val="0"/>
        </w:rPr>
        <w:t>Any changes to marketing materials must be submitted to BMS for approval</w:t>
      </w:r>
      <w:r w:rsidR="0078080B" w:rsidRPr="00DF1D1C">
        <w:rPr>
          <w:snapToGrid w:val="0"/>
        </w:rPr>
        <w:t xml:space="preserve">. </w:t>
      </w:r>
    </w:p>
    <w:p w14:paraId="3C38CAD0" w14:textId="7C7ED891" w:rsidR="009A0060" w:rsidRPr="00DF1D1C" w:rsidRDefault="00F777D5" w:rsidP="00257641">
      <w:pPr>
        <w:pStyle w:val="Heading3"/>
      </w:pPr>
      <w:bookmarkStart w:id="127" w:name="_Toc73441796"/>
      <w:bookmarkStart w:id="128" w:name="_Toc8129024"/>
      <w:r>
        <w:t>4</w:t>
      </w:r>
      <w:r w:rsidR="009A0060" w:rsidRPr="00DF1D1C">
        <w:t>.2</w:t>
      </w:r>
      <w:r w:rsidR="009A0060" w:rsidRPr="00DF1D1C">
        <w:tab/>
        <w:t>Enrollment</w:t>
      </w:r>
      <w:bookmarkEnd w:id="127"/>
      <w:bookmarkEnd w:id="128"/>
    </w:p>
    <w:p w14:paraId="69C96B25" w14:textId="7D2C94F0" w:rsidR="009A0060" w:rsidRPr="00DF1D1C" w:rsidRDefault="00F777D5" w:rsidP="00257641">
      <w:pPr>
        <w:pStyle w:val="Heading4"/>
      </w:pPr>
      <w:r>
        <w:t>4</w:t>
      </w:r>
      <w:r w:rsidR="00A52138">
        <w:t xml:space="preserve">.2.1 </w:t>
      </w:r>
      <w:r w:rsidR="009A0060" w:rsidRPr="00DF1D1C">
        <w:t>Process</w:t>
      </w:r>
    </w:p>
    <w:p w14:paraId="6F20659F" w14:textId="248340D9" w:rsidR="009A0060" w:rsidRDefault="00196ED9" w:rsidP="00257641">
      <w:r>
        <w:t xml:space="preserve">The MCO will </w:t>
      </w:r>
      <w:r w:rsidR="009A0060" w:rsidRPr="00DF1D1C">
        <w:t>conduct continuous open enrol</w:t>
      </w:r>
      <w:r>
        <w:t>lment during which the MCO must</w:t>
      </w:r>
      <w:r w:rsidR="009A0060" w:rsidRPr="00DF1D1C">
        <w:t xml:space="preserve"> accept </w:t>
      </w:r>
      <w:r w:rsidR="00F76962">
        <w:t>enrollee</w:t>
      </w:r>
      <w:r w:rsidR="00F76962" w:rsidRPr="00DF1D1C">
        <w:t xml:space="preserve">s </w:t>
      </w:r>
      <w:r w:rsidR="009A0060" w:rsidRPr="00DF1D1C">
        <w:t xml:space="preserve">eligible for coverage under this </w:t>
      </w:r>
      <w:r w:rsidR="009B19C2">
        <w:t xml:space="preserve">Contract </w:t>
      </w:r>
      <w:r w:rsidR="009A0060" w:rsidRPr="00DF1D1C">
        <w:t xml:space="preserve">in the order in which they are enrolled without regard to health status of the </w:t>
      </w:r>
      <w:r w:rsidR="00F76962">
        <w:t>enrollee</w:t>
      </w:r>
      <w:r w:rsidR="00F76962" w:rsidRPr="00DF1D1C">
        <w:t xml:space="preserve"> </w:t>
      </w:r>
      <w:r w:rsidR="009A0060" w:rsidRPr="00DF1D1C">
        <w:t>or any other factors. The MCO will accept individuals who are eligible in the order in which they apply, without restriction unless authorized by the Regional Administrator (42 CFR 434.25) and up its enrollment limits as discussed below</w:t>
      </w:r>
      <w:r w:rsidR="0078080B" w:rsidRPr="00DF1D1C">
        <w:t xml:space="preserve">. </w:t>
      </w:r>
      <w:r w:rsidR="009A0060" w:rsidRPr="00DF1D1C">
        <w:t xml:space="preserve">The </w:t>
      </w:r>
      <w:r w:rsidR="0073202A">
        <w:t>MCO</w:t>
      </w:r>
      <w:r w:rsidR="009A0060" w:rsidRPr="00DF1D1C">
        <w:t xml:space="preserve"> must accept enrollees in the order in which they apply (i.e., the order in which their enrollment information is transferred by the Department) up to the limits set by the Department. The MCO </w:t>
      </w:r>
      <w:r>
        <w:t>may</w:t>
      </w:r>
      <w:r w:rsidR="009A0060" w:rsidRPr="00DF1D1C">
        <w:t xml:space="preserve"> not attempt to discourage or delay enrollment of eligible Medicaid </w:t>
      </w:r>
      <w:r w:rsidR="00F76962">
        <w:t>enrollee</w:t>
      </w:r>
      <w:r w:rsidR="00F76962" w:rsidRPr="00DF1D1C">
        <w:t>s</w:t>
      </w:r>
      <w:r w:rsidR="0078080B" w:rsidRPr="00DF1D1C">
        <w:t>.</w:t>
      </w:r>
    </w:p>
    <w:p w14:paraId="48E77647" w14:textId="1B7BA09F" w:rsidR="009A0060" w:rsidRPr="00DF1D1C" w:rsidRDefault="008C6B03" w:rsidP="00257641">
      <w:pPr>
        <w:pStyle w:val="Heading5"/>
      </w:pPr>
      <w:r>
        <w:t xml:space="preserve">4.2.1.1 </w:t>
      </w:r>
      <w:r w:rsidR="009A0060" w:rsidRPr="00DF1D1C">
        <w:t>Pre-existing Conditions</w:t>
      </w:r>
    </w:p>
    <w:p w14:paraId="72B162D3" w14:textId="3E1BD24F" w:rsidR="009A0060" w:rsidRDefault="009A0060" w:rsidP="00257641">
      <w:r w:rsidRPr="00DF1D1C">
        <w:t>The MCO must assume responsibility for all covered medical conditions of each enrollee inclusive of pre-existing conditions as of the effective date of enrollment in the plan</w:t>
      </w:r>
      <w:r w:rsidR="0078080B" w:rsidRPr="00DF1D1C">
        <w:t xml:space="preserve">. </w:t>
      </w:r>
      <w:r w:rsidRPr="00DF1D1C">
        <w:t xml:space="preserve">The MCO must have a process for determining which </w:t>
      </w:r>
      <w:r w:rsidR="00637C51">
        <w:t>enrollee</w:t>
      </w:r>
      <w:r w:rsidR="00637C51" w:rsidRPr="00DF1D1C">
        <w:t xml:space="preserve">s </w:t>
      </w:r>
      <w:r w:rsidRPr="00DF1D1C">
        <w:t xml:space="preserve">may have pre-existing, chronic, or catastrophic illnesses, conducting outreach, and developing appropriate treatment plans for these </w:t>
      </w:r>
      <w:r w:rsidR="00637C51">
        <w:t>enrollee</w:t>
      </w:r>
      <w:r w:rsidR="00637C51" w:rsidRPr="00DF1D1C">
        <w:t>s</w:t>
      </w:r>
      <w:r w:rsidR="00637C51">
        <w:t xml:space="preserve"> </w:t>
      </w:r>
      <w:r w:rsidR="008B429A">
        <w:t>as described in</w:t>
      </w:r>
      <w:r w:rsidR="00006245">
        <w:t xml:space="preserve"> Article III, Section </w:t>
      </w:r>
      <w:r w:rsidR="00274F18">
        <w:t>6.3</w:t>
      </w:r>
      <w:r w:rsidRPr="00DF1D1C">
        <w:t xml:space="preserve">. </w:t>
      </w:r>
    </w:p>
    <w:p w14:paraId="1A291B1C" w14:textId="70CDA7FC" w:rsidR="009A0060" w:rsidRPr="00DF1D1C" w:rsidRDefault="008C6B03" w:rsidP="00257641">
      <w:pPr>
        <w:pStyle w:val="Heading5"/>
      </w:pPr>
      <w:r>
        <w:lastRenderedPageBreak/>
        <w:t xml:space="preserve">4.2.1.2 </w:t>
      </w:r>
      <w:r w:rsidR="009A0060" w:rsidRPr="00DF1D1C">
        <w:t xml:space="preserve">Confinement to an Inpatient Care Facility at Time of Enrollment or Disenrollment </w:t>
      </w:r>
    </w:p>
    <w:p w14:paraId="3601CEB9" w14:textId="109A19F9" w:rsidR="002226CC" w:rsidRDefault="00A36517" w:rsidP="00257641">
      <w:r>
        <w:t xml:space="preserve">Notwithstanding </w:t>
      </w:r>
      <w:r w:rsidR="00BF32A3">
        <w:t xml:space="preserve">Article III, Section </w:t>
      </w:r>
      <w:r w:rsidR="005071C2">
        <w:t>8</w:t>
      </w:r>
      <w:r w:rsidR="00BF32A3">
        <w:t>.6</w:t>
      </w:r>
      <w:r w:rsidR="00FE69E5">
        <w:t xml:space="preserve">, Responsibility for Inpatient Care, </w:t>
      </w:r>
      <w:r w:rsidR="00A7169A">
        <w:t xml:space="preserve">if </w:t>
      </w:r>
      <w:r w:rsidR="00FE69E5">
        <w:t>a</w:t>
      </w:r>
      <w:r w:rsidR="00637C51">
        <w:t>n</w:t>
      </w:r>
      <w:r w:rsidR="00FE69E5">
        <w:t xml:space="preserve"> </w:t>
      </w:r>
      <w:r w:rsidR="00637C51">
        <w:t>enrollee</w:t>
      </w:r>
      <w:r w:rsidR="00637C51" w:rsidRPr="00DF1D1C">
        <w:t xml:space="preserve"> </w:t>
      </w:r>
      <w:r w:rsidR="009A0060" w:rsidRPr="00DF1D1C">
        <w:t>is confined to an inpatient</w:t>
      </w:r>
      <w:r w:rsidR="00A7169A">
        <w:t xml:space="preserve"> care facility on the effective </w:t>
      </w:r>
      <w:r w:rsidR="009A0060" w:rsidRPr="00DF1D1C">
        <w:t xml:space="preserve">date for initial enrollment with the MCO, coverage of inpatient facility </w:t>
      </w:r>
      <w:r w:rsidR="0039389C" w:rsidRPr="00DF1D1C">
        <w:t>charges</w:t>
      </w:r>
      <w:r w:rsidR="008B7048" w:rsidRPr="00DF1D1C">
        <w:t xml:space="preserve"> </w:t>
      </w:r>
      <w:r w:rsidR="008D623B" w:rsidRPr="00DF1D1C">
        <w:t xml:space="preserve">(including charges at a transfer facility, if the </w:t>
      </w:r>
      <w:r w:rsidR="00637C51">
        <w:t>enrollee</w:t>
      </w:r>
      <w:r w:rsidR="00637C51" w:rsidRPr="00DF1D1C">
        <w:t xml:space="preserve"> </w:t>
      </w:r>
      <w:r w:rsidR="008D623B" w:rsidRPr="00DF1D1C">
        <w:t>is transferred during the stay</w:t>
      </w:r>
      <w:r w:rsidR="004B4F2D">
        <w:t xml:space="preserve">, </w:t>
      </w:r>
      <w:r w:rsidR="004B4F2D" w:rsidRPr="00006245">
        <w:t>or within the facility</w:t>
      </w:r>
      <w:r w:rsidR="008D623B" w:rsidRPr="00333623">
        <w:t>)</w:t>
      </w:r>
      <w:r w:rsidR="008B7048" w:rsidRPr="00DF1D1C">
        <w:t xml:space="preserve"> </w:t>
      </w:r>
      <w:r w:rsidR="009A0060" w:rsidRPr="00DF1D1C">
        <w:t xml:space="preserve">will be the responsibility of </w:t>
      </w:r>
      <w:r w:rsidR="0043533E">
        <w:t>DHHR</w:t>
      </w:r>
      <w:r w:rsidR="0043533E" w:rsidRPr="00DF1D1C">
        <w:t xml:space="preserve"> </w:t>
      </w:r>
      <w:r w:rsidR="009A0060" w:rsidRPr="00DF1D1C">
        <w:t xml:space="preserve">until </w:t>
      </w:r>
      <w:r w:rsidR="000C1FF6">
        <w:t xml:space="preserve">the </w:t>
      </w:r>
      <w:r w:rsidR="00637C51">
        <w:t xml:space="preserve">enrollee </w:t>
      </w:r>
      <w:r w:rsidR="000C1FF6">
        <w:t xml:space="preserve">is </w:t>
      </w:r>
      <w:r w:rsidR="009A0060" w:rsidRPr="00DF1D1C">
        <w:t>discharge</w:t>
      </w:r>
      <w:r w:rsidR="000C1FF6">
        <w:t>d</w:t>
      </w:r>
      <w:r w:rsidR="0078080B" w:rsidRPr="00DF1D1C">
        <w:t xml:space="preserve">. </w:t>
      </w:r>
      <w:r w:rsidR="0039389C" w:rsidRPr="00DF1D1C">
        <w:t xml:space="preserve">The MCO is responsible for all </w:t>
      </w:r>
      <w:r w:rsidR="00C22356" w:rsidRPr="00DF1D1C">
        <w:t xml:space="preserve">other covered services provided </w:t>
      </w:r>
      <w:r w:rsidR="0039389C" w:rsidRPr="00DF1D1C">
        <w:t xml:space="preserve">on or after the effective date of </w:t>
      </w:r>
      <w:r>
        <w:t xml:space="preserve">MCO </w:t>
      </w:r>
      <w:r w:rsidR="0039389C" w:rsidRPr="00DF1D1C">
        <w:t>enrollment</w:t>
      </w:r>
      <w:r w:rsidR="005501D2">
        <w:t>,</w:t>
      </w:r>
      <w:r>
        <w:t xml:space="preserve"> including</w:t>
      </w:r>
      <w:r w:rsidR="00F14D35">
        <w:t xml:space="preserve"> but not limited to emergency transportation, professional fees during the inpatient stay and outpatient care. </w:t>
      </w:r>
    </w:p>
    <w:p w14:paraId="7E6468F8" w14:textId="5F70E147" w:rsidR="00E22377" w:rsidRDefault="00345A5B" w:rsidP="00257641">
      <w:r>
        <w:t xml:space="preserve">The MCO is responsible for </w:t>
      </w:r>
      <w:r w:rsidR="009F1947">
        <w:t xml:space="preserve">all charges during the </w:t>
      </w:r>
      <w:r w:rsidR="00006711">
        <w:t xml:space="preserve">inpatient </w:t>
      </w:r>
      <w:r w:rsidR="005210EF">
        <w:t>newborn</w:t>
      </w:r>
      <w:r>
        <w:t xml:space="preserve"> </w:t>
      </w:r>
      <w:r w:rsidR="009F1947">
        <w:t xml:space="preserve">stay </w:t>
      </w:r>
      <w:r w:rsidR="00C00281">
        <w:t xml:space="preserve">if such </w:t>
      </w:r>
      <w:r w:rsidR="009A0060" w:rsidRPr="00DF1D1C">
        <w:t xml:space="preserve">newborn </w:t>
      </w:r>
      <w:r w:rsidR="00C00281">
        <w:t xml:space="preserve">is </w:t>
      </w:r>
      <w:r w:rsidR="009A0060" w:rsidRPr="00DF1D1C">
        <w:t>born to a mother who is a</w:t>
      </w:r>
      <w:r w:rsidR="00A36517">
        <w:t xml:space="preserve"> current MCO </w:t>
      </w:r>
      <w:r w:rsidR="00637C51">
        <w:t xml:space="preserve">enrollee </w:t>
      </w:r>
      <w:r w:rsidR="00006711">
        <w:t>until the newborn’s discharge.</w:t>
      </w:r>
      <w:r w:rsidR="0078080B" w:rsidRPr="00DF1D1C">
        <w:t xml:space="preserve"> </w:t>
      </w:r>
    </w:p>
    <w:p w14:paraId="61CF3893" w14:textId="235526FB" w:rsidR="009A0060" w:rsidRPr="00DF1D1C" w:rsidRDefault="008C6B03" w:rsidP="00257641">
      <w:pPr>
        <w:pStyle w:val="Heading5"/>
      </w:pPr>
      <w:r>
        <w:t>4.2.1.3</w:t>
      </w:r>
      <w:r w:rsidR="003150A4">
        <w:t xml:space="preserve"> </w:t>
      </w:r>
      <w:r w:rsidR="009A0060" w:rsidRPr="00DF1D1C">
        <w:t>Enrollment of Program Newborns</w:t>
      </w:r>
    </w:p>
    <w:p w14:paraId="38CA7C4D" w14:textId="087F3C36" w:rsidR="009A0060" w:rsidRPr="00DF1D1C" w:rsidRDefault="009A0060" w:rsidP="00257641">
      <w:r w:rsidRPr="00DF1D1C">
        <w:t xml:space="preserve">The MCO must have written policies and procedures for enrolling newborn children of </w:t>
      </w:r>
      <w:r w:rsidR="00637C51">
        <w:t>enrollee</w:t>
      </w:r>
      <w:r w:rsidR="00637C51" w:rsidRPr="00DF1D1C">
        <w:t xml:space="preserve">s </w:t>
      </w:r>
      <w:r w:rsidRPr="00DF1D1C">
        <w:t>retroactively effective to the time of birth</w:t>
      </w:r>
      <w:r w:rsidR="0078080B" w:rsidRPr="00DF1D1C">
        <w:t xml:space="preserve">. </w:t>
      </w:r>
      <w:r w:rsidRPr="00DF1D1C">
        <w:t xml:space="preserve">These enrollment procedures must include transfer of newborn information to both </w:t>
      </w:r>
      <w:r w:rsidR="00347423">
        <w:t>DHHR</w:t>
      </w:r>
      <w:r w:rsidR="00347423" w:rsidRPr="00DF1D1C">
        <w:t xml:space="preserve"> </w:t>
      </w:r>
      <w:r w:rsidRPr="00DF1D1C">
        <w:t xml:space="preserve">and must provide for processing completion within </w:t>
      </w:r>
      <w:r w:rsidR="00C00E02">
        <w:t>thirty (</w:t>
      </w:r>
      <w:r w:rsidRPr="00DF1D1C">
        <w:t>30</w:t>
      </w:r>
      <w:r w:rsidR="00C00E02">
        <w:t>)</w:t>
      </w:r>
      <w:r w:rsidR="00F863FE">
        <w:t xml:space="preserve"> calendar</w:t>
      </w:r>
      <w:r w:rsidRPr="00DF1D1C">
        <w:t xml:space="preserve"> days of the date of birth</w:t>
      </w:r>
      <w:r w:rsidR="0078080B" w:rsidRPr="00DF1D1C">
        <w:t xml:space="preserve">. </w:t>
      </w:r>
      <w:r w:rsidR="009771A6">
        <w:t xml:space="preserve">The MCO is responsible for all covered </w:t>
      </w:r>
      <w:r w:rsidRPr="00DF1D1C">
        <w:t xml:space="preserve">services provided under </w:t>
      </w:r>
      <w:r w:rsidR="00336546">
        <w:t>this contract</w:t>
      </w:r>
      <w:r w:rsidRPr="00DF1D1C">
        <w:t xml:space="preserve"> to the newborn child </w:t>
      </w:r>
      <w:r w:rsidR="00336546">
        <w:t>during this time</w:t>
      </w:r>
      <w:r w:rsidR="0078080B" w:rsidRPr="00DF1D1C">
        <w:t xml:space="preserve">. </w:t>
      </w:r>
      <w:r w:rsidRPr="00DF1D1C">
        <w:t>The child</w:t>
      </w:r>
      <w:r w:rsidR="00FA1C0C" w:rsidRPr="00DF1D1C">
        <w:t>’</w:t>
      </w:r>
      <w:r w:rsidR="00120678">
        <w:t>s date of birth will</w:t>
      </w:r>
      <w:r w:rsidRPr="00DF1D1C">
        <w:t xml:space="preserve"> be counted as day one</w:t>
      </w:r>
      <w:r w:rsidR="0078080B" w:rsidRPr="00DF1D1C">
        <w:t xml:space="preserve">. </w:t>
      </w:r>
      <w:r w:rsidR="00347423">
        <w:t>DHHR</w:t>
      </w:r>
      <w:r w:rsidR="00347423" w:rsidRPr="00DF1D1C">
        <w:t xml:space="preserve"> </w:t>
      </w:r>
      <w:r w:rsidRPr="00DF1D1C">
        <w:t>will pay a full month</w:t>
      </w:r>
      <w:r w:rsidR="00FA1C0C" w:rsidRPr="00DF1D1C">
        <w:t>’</w:t>
      </w:r>
      <w:r w:rsidRPr="00DF1D1C">
        <w:t>s capitation for all newborns</w:t>
      </w:r>
      <w:r w:rsidR="0078080B" w:rsidRPr="00DF1D1C">
        <w:t xml:space="preserve">. </w:t>
      </w:r>
      <w:r w:rsidR="00120678">
        <w:t>The MCO will</w:t>
      </w:r>
      <w:r w:rsidRPr="00DF1D1C">
        <w:t xml:space="preserve"> receive capitation payments for all subsequent months that the child remains enrolled with the MCO</w:t>
      </w:r>
      <w:r w:rsidR="0078080B" w:rsidRPr="00DF1D1C">
        <w:t xml:space="preserve">. </w:t>
      </w:r>
      <w:r w:rsidR="00491C08">
        <w:t>The MCO must inform the CPS worker of the birth of an infant to a child in Foster Care within</w:t>
      </w:r>
      <w:r w:rsidR="00347423">
        <w:t xml:space="preserve"> one</w:t>
      </w:r>
      <w:r w:rsidR="00491C08">
        <w:t xml:space="preserve"> </w:t>
      </w:r>
      <w:r w:rsidR="00347423">
        <w:t>(</w:t>
      </w:r>
      <w:r w:rsidR="00491C08">
        <w:t>1</w:t>
      </w:r>
      <w:r w:rsidR="00347423">
        <w:t>)</w:t>
      </w:r>
      <w:r w:rsidR="00491C08">
        <w:t xml:space="preserve"> business day of learning of the birth.</w:t>
      </w:r>
      <w:r w:rsidR="003150A4">
        <w:t xml:space="preserve"> </w:t>
      </w:r>
    </w:p>
    <w:p w14:paraId="4B0F71D6" w14:textId="1AC62773" w:rsidR="006355FD" w:rsidRPr="00DF1D1C" w:rsidRDefault="008A4274" w:rsidP="00257641">
      <w:pPr>
        <w:pStyle w:val="Heading5"/>
      </w:pPr>
      <w:r>
        <w:t>4.2.1.4</w:t>
      </w:r>
      <w:r w:rsidR="003150A4">
        <w:t xml:space="preserve"> </w:t>
      </w:r>
      <w:r w:rsidR="006355FD" w:rsidRPr="00DF1D1C">
        <w:t>Enrollment of Persons with Other Primary Coverage</w:t>
      </w:r>
    </w:p>
    <w:p w14:paraId="2A8EECBF" w14:textId="77777777" w:rsidR="00497A2B" w:rsidRPr="00F81016" w:rsidRDefault="006355FD" w:rsidP="00257641">
      <w:r w:rsidRPr="00DF1D1C">
        <w:t xml:space="preserve">For enrollees with other primary coverage, the MCO must assume responsibility </w:t>
      </w:r>
      <w:r w:rsidR="003B5DC6" w:rsidRPr="00DF1D1C">
        <w:t xml:space="preserve">for Medicaid </w:t>
      </w:r>
      <w:r w:rsidRPr="00DF1D1C">
        <w:t>covered services that are not provided by the primary carrier</w:t>
      </w:r>
      <w:r w:rsidR="0078080B" w:rsidRPr="00DF1D1C">
        <w:t xml:space="preserve">. </w:t>
      </w:r>
      <w:r w:rsidRPr="00DF1D1C">
        <w:t xml:space="preserve">The MCO will defer utilization </w:t>
      </w:r>
      <w:r w:rsidR="003B5DC6" w:rsidRPr="00DF1D1C">
        <w:t xml:space="preserve">management </w:t>
      </w:r>
      <w:r w:rsidRPr="00DF1D1C">
        <w:t xml:space="preserve">decisions to </w:t>
      </w:r>
      <w:r w:rsidR="003B5DC6" w:rsidRPr="00DF1D1C">
        <w:t>the primary carrier, except for those Medicaid</w:t>
      </w:r>
      <w:r w:rsidR="003920BD" w:rsidRPr="00DF1D1C">
        <w:t xml:space="preserve"> </w:t>
      </w:r>
      <w:r w:rsidR="003B5DC6" w:rsidRPr="00DF1D1C">
        <w:t>services and benefits that are carved out of the primary carrier</w:t>
      </w:r>
      <w:r w:rsidR="00FA1C0C" w:rsidRPr="00DF1D1C">
        <w:t>’</w:t>
      </w:r>
      <w:r w:rsidR="003B5DC6" w:rsidRPr="00DF1D1C">
        <w:t xml:space="preserve">s benefits package, which are </w:t>
      </w:r>
      <w:r w:rsidRPr="00DF1D1C">
        <w:t>the sole responsibility of the MCO.</w:t>
      </w:r>
    </w:p>
    <w:p w14:paraId="481D123C" w14:textId="32E57436" w:rsidR="009A0060" w:rsidRPr="00DF1D1C" w:rsidRDefault="00F777D5" w:rsidP="00257641">
      <w:pPr>
        <w:pStyle w:val="Heading4"/>
      </w:pPr>
      <w:r>
        <w:t>4</w:t>
      </w:r>
      <w:r w:rsidR="00C961A3">
        <w:t>.</w:t>
      </w:r>
      <w:r w:rsidR="001567C0">
        <w:t>2.</w:t>
      </w:r>
      <w:r w:rsidR="00126753">
        <w:t>2</w:t>
      </w:r>
      <w:r w:rsidR="00A52138">
        <w:t xml:space="preserve"> </w:t>
      </w:r>
      <w:r w:rsidR="009A0060" w:rsidRPr="00DF1D1C">
        <w:t>Assignment of Primary Care Provider</w:t>
      </w:r>
    </w:p>
    <w:p w14:paraId="1E516024" w14:textId="14359ED0" w:rsidR="009A0060" w:rsidRPr="00DF1D1C" w:rsidRDefault="009A0060" w:rsidP="00257641">
      <w:r w:rsidRPr="00DF1D1C">
        <w:t xml:space="preserve">The MCO must inform each enrollee about the full panel of participating providers. To the extent possible and appropriate, the MCO must offer each enrollee covered under this </w:t>
      </w:r>
      <w:r w:rsidR="009B19C2">
        <w:t xml:space="preserve">Contract </w:t>
      </w:r>
      <w:r w:rsidRPr="00DF1D1C">
        <w:t>the opportunity to choose among participating providers at the time of enrollment. This does not preclude the MCO from assigning a primary care provider to an enrollee who does not choose one. The MCO may assign an enrollee to a primary care provider when a</w:t>
      </w:r>
      <w:r w:rsidR="00F76962">
        <w:t>n</w:t>
      </w:r>
      <w:r w:rsidRPr="00DF1D1C">
        <w:t xml:space="preserve"> </w:t>
      </w:r>
      <w:r w:rsidR="00F76962">
        <w:t>enrollee</w:t>
      </w:r>
      <w:r w:rsidR="00F76962" w:rsidRPr="00DF1D1C">
        <w:t xml:space="preserve"> </w:t>
      </w:r>
      <w:r w:rsidRPr="00DF1D1C">
        <w:t xml:space="preserve">fails to choose one after being notified to do so. The MCO must set a period of time during which an enrollee may select a PCP, not to exceed </w:t>
      </w:r>
      <w:r w:rsidR="009D2775">
        <w:t>five</w:t>
      </w:r>
      <w:r w:rsidR="009A4997">
        <w:t xml:space="preserve"> (</w:t>
      </w:r>
      <w:r w:rsidR="009D2775">
        <w:t>5</w:t>
      </w:r>
      <w:r w:rsidR="009A4997">
        <w:t>)</w:t>
      </w:r>
      <w:r w:rsidRPr="00DF1D1C">
        <w:t xml:space="preserve"> </w:t>
      </w:r>
      <w:r w:rsidR="00347423">
        <w:t xml:space="preserve">calendar </w:t>
      </w:r>
      <w:r w:rsidRPr="00DF1D1C">
        <w:t>days after enrollment. Upon expiration of this time period, the MCO must assign the enrollee to a PCP. The assignment must be appropriate to the enrollee</w:t>
      </w:r>
      <w:r w:rsidR="00FA1C0C" w:rsidRPr="00DF1D1C">
        <w:t>’</w:t>
      </w:r>
      <w:r w:rsidRPr="00DF1D1C">
        <w:t>s age, sex, and residence.</w:t>
      </w:r>
    </w:p>
    <w:p w14:paraId="32E1FE79" w14:textId="00DE0F62" w:rsidR="009A0060" w:rsidRPr="00DF1D1C" w:rsidRDefault="009A0060" w:rsidP="00257641">
      <w:r w:rsidRPr="00DF1D1C">
        <w:t>The enrollee must be notified of this assignment and of the procedures for changing the designated provider</w:t>
      </w:r>
      <w:r w:rsidR="0078080B" w:rsidRPr="00DF1D1C">
        <w:t xml:space="preserve">. </w:t>
      </w:r>
      <w:r w:rsidRPr="00DF1D1C">
        <w:t>In the event that a primary care provider ceases to be affiliated with the MCO, the MCO</w:t>
      </w:r>
      <w:r w:rsidR="00FA1C0C" w:rsidRPr="00DF1D1C">
        <w:t>’</w:t>
      </w:r>
      <w:r w:rsidRPr="00DF1D1C">
        <w:t xml:space="preserve">s procedures must provide for notice to affected enrollees at least </w:t>
      </w:r>
      <w:r w:rsidR="00347423">
        <w:t>thirty (</w:t>
      </w:r>
      <w:r w:rsidRPr="00DF1D1C">
        <w:t>30</w:t>
      </w:r>
      <w:r w:rsidR="00347423">
        <w:t>) calendar</w:t>
      </w:r>
      <w:r w:rsidRPr="00DF1D1C">
        <w:t xml:space="preserve"> days before the termination date and promptly assist enrollees in obtaining a new primary care provider.</w:t>
      </w:r>
    </w:p>
    <w:p w14:paraId="22EC470B" w14:textId="27A80A4B" w:rsidR="009A0060" w:rsidRPr="00DF1D1C" w:rsidRDefault="00F777D5" w:rsidP="00257641">
      <w:pPr>
        <w:pStyle w:val="Heading4"/>
      </w:pPr>
      <w:r>
        <w:lastRenderedPageBreak/>
        <w:t>4</w:t>
      </w:r>
      <w:r w:rsidR="00C961A3">
        <w:t>.</w:t>
      </w:r>
      <w:r w:rsidR="001567C0">
        <w:t>2.</w:t>
      </w:r>
      <w:r w:rsidR="00126753">
        <w:t>3</w:t>
      </w:r>
      <w:r w:rsidR="00A52138">
        <w:t xml:space="preserve"> </w:t>
      </w:r>
      <w:r w:rsidR="009A0060" w:rsidRPr="00DF1D1C">
        <w:t>Enrollment Limits</w:t>
      </w:r>
    </w:p>
    <w:p w14:paraId="5D6E37BA" w14:textId="0AD4FDDC" w:rsidR="009A0060" w:rsidRPr="00DF1D1C" w:rsidRDefault="007A0E36" w:rsidP="00257641">
      <w:r>
        <w:t>In accordance with 42 CFR</w:t>
      </w:r>
      <w:r w:rsidR="00253CA6">
        <w:t xml:space="preserve"> 438.206,</w:t>
      </w:r>
      <w:r>
        <w:t xml:space="preserve"> </w:t>
      </w:r>
      <w:r w:rsidR="00347423">
        <w:t>DHHR</w:t>
      </w:r>
      <w:r w:rsidR="00347423" w:rsidRPr="00DF1D1C">
        <w:t xml:space="preserve"> </w:t>
      </w:r>
      <w:r w:rsidR="009A0060" w:rsidRPr="00DF1D1C">
        <w:t>may establish a maximum Medicaid enrollment level for Medicaid beneficiaries for the MCO on a county</w:t>
      </w:r>
      <w:r w:rsidR="009A0060" w:rsidRPr="00DF1D1C">
        <w:noBreakHyphen/>
        <w:t xml:space="preserve">specific basis dependent on </w:t>
      </w:r>
      <w:r w:rsidR="00347423">
        <w:t>DHHR</w:t>
      </w:r>
      <w:r w:rsidR="00347423" w:rsidRPr="00DF1D1C">
        <w:t>’</w:t>
      </w:r>
      <w:r w:rsidR="00347423">
        <w:t>s</w:t>
      </w:r>
      <w:r w:rsidR="00347423" w:rsidRPr="00DF1D1C">
        <w:t xml:space="preserve"> </w:t>
      </w:r>
      <w:r w:rsidR="009A0060" w:rsidRPr="00DF1D1C">
        <w:t>evaluation of the capacity of the MCO</w:t>
      </w:r>
      <w:r w:rsidR="00FA1C0C" w:rsidRPr="00DF1D1C">
        <w:t>’</w:t>
      </w:r>
      <w:r w:rsidR="009A0060" w:rsidRPr="00DF1D1C">
        <w:t xml:space="preserve">s network. Subsequent to the establishment of this limit, if the MCO wishes to change its maximum enrollment level, it must gain </w:t>
      </w:r>
      <w:r w:rsidR="00347423">
        <w:t>DHHR</w:t>
      </w:r>
      <w:r w:rsidR="00347423" w:rsidRPr="00DF1D1C">
        <w:t>’</w:t>
      </w:r>
      <w:r w:rsidR="00347423">
        <w:t>s</w:t>
      </w:r>
      <w:r w:rsidR="00347423" w:rsidRPr="00DF1D1C">
        <w:t xml:space="preserve"> </w:t>
      </w:r>
      <w:r w:rsidR="009A0060" w:rsidRPr="00DF1D1C">
        <w:t xml:space="preserve">approval. The MCO must notify </w:t>
      </w:r>
      <w:r w:rsidR="00347423">
        <w:t>DHHR</w:t>
      </w:r>
      <w:r w:rsidR="00347423" w:rsidRPr="00DF1D1C">
        <w:t xml:space="preserve"> </w:t>
      </w:r>
      <w:r w:rsidR="00347423">
        <w:t>forty-five (</w:t>
      </w:r>
      <w:r w:rsidR="009A0060" w:rsidRPr="00DF1D1C">
        <w:t>45</w:t>
      </w:r>
      <w:r w:rsidR="00347423">
        <w:t>) calendar</w:t>
      </w:r>
      <w:r w:rsidR="009A0060" w:rsidRPr="00DF1D1C">
        <w:t xml:space="preserve"> days prior to the desired effective date of the change. </w:t>
      </w:r>
      <w:r w:rsidR="00DE4BF9">
        <w:t>DHHR</w:t>
      </w:r>
      <w:r w:rsidR="00DE4BF9" w:rsidRPr="00DF1D1C">
        <w:t xml:space="preserve"> </w:t>
      </w:r>
      <w:r w:rsidR="009A0060" w:rsidRPr="00DF1D1C">
        <w:t xml:space="preserve">will issue its approval or disapproval in </w:t>
      </w:r>
      <w:r w:rsidR="00794B77">
        <w:t>thirty (</w:t>
      </w:r>
      <w:r w:rsidR="009A0060" w:rsidRPr="00DF1D1C">
        <w:t>30</w:t>
      </w:r>
      <w:r w:rsidR="00794B77">
        <w:t>)</w:t>
      </w:r>
      <w:r w:rsidR="009A0060" w:rsidRPr="00DF1D1C">
        <w:t xml:space="preserve"> </w:t>
      </w:r>
      <w:r w:rsidR="00347423">
        <w:t xml:space="preserve">calendar </w:t>
      </w:r>
      <w:r w:rsidR="009A0060" w:rsidRPr="00DF1D1C">
        <w:t xml:space="preserve">days, subject to </w:t>
      </w:r>
      <w:r w:rsidR="00347423">
        <w:t>DHHR</w:t>
      </w:r>
      <w:r w:rsidR="00347423" w:rsidRPr="00DF1D1C">
        <w:t>’</w:t>
      </w:r>
      <w:r w:rsidR="00347423">
        <w:t>s</w:t>
      </w:r>
      <w:r w:rsidR="00347423" w:rsidRPr="00DF1D1C">
        <w:t xml:space="preserve"> </w:t>
      </w:r>
      <w:r w:rsidR="009A0060" w:rsidRPr="00DF1D1C">
        <w:t xml:space="preserve">timely receipt of all necessary information from the MCO to make the determination. If the change is an increase, the MCO must demonstrate its capability to serve additional enrollees. An increase will be effective the first of the month after </w:t>
      </w:r>
      <w:r w:rsidR="00347423">
        <w:t>DHHR</w:t>
      </w:r>
      <w:r w:rsidR="00347423" w:rsidRPr="00DF1D1C">
        <w:t xml:space="preserve"> </w:t>
      </w:r>
      <w:r w:rsidR="009A0060" w:rsidRPr="00DF1D1C">
        <w:t>confirms additional capacity exists</w:t>
      </w:r>
      <w:r w:rsidR="0078080B" w:rsidRPr="00DF1D1C">
        <w:t xml:space="preserve">. </w:t>
      </w:r>
      <w:r w:rsidR="009A0060" w:rsidRPr="00DF1D1C">
        <w:t xml:space="preserve">If capacity is decreased because of a reduction in the number of participating providers available to Medicaid enrollees, then </w:t>
      </w:r>
      <w:r w:rsidR="00347423">
        <w:t>DHHR</w:t>
      </w:r>
      <w:r w:rsidR="00347423" w:rsidRPr="00DF1D1C">
        <w:t xml:space="preserve"> </w:t>
      </w:r>
      <w:r w:rsidR="009A0060" w:rsidRPr="00DF1D1C">
        <w:t>will give the patients of those providers leaving the network the option to voluntarily disenroll from the plan.</w:t>
      </w:r>
    </w:p>
    <w:p w14:paraId="685CC664" w14:textId="281B99CB" w:rsidR="005131FC" w:rsidRPr="00DF1D1C" w:rsidRDefault="00F777D5" w:rsidP="00257641">
      <w:pPr>
        <w:pStyle w:val="Heading4"/>
      </w:pPr>
      <w:r>
        <w:t>4</w:t>
      </w:r>
      <w:r w:rsidR="00C961A3">
        <w:t>.</w:t>
      </w:r>
      <w:r w:rsidR="001567C0">
        <w:t>2.</w:t>
      </w:r>
      <w:r w:rsidR="00126753">
        <w:t xml:space="preserve">4 </w:t>
      </w:r>
      <w:r w:rsidR="009A0060" w:rsidRPr="00DF1D1C">
        <w:t>Disenrollments</w:t>
      </w:r>
    </w:p>
    <w:p w14:paraId="4A33D2C7" w14:textId="3DB037E4" w:rsidR="009A0060" w:rsidRPr="00DF1D1C" w:rsidRDefault="009A0060" w:rsidP="00257641">
      <w:r w:rsidRPr="00DF1D1C">
        <w:t xml:space="preserve">The term “disenrollment” will be used to refer to beneficiaries who </w:t>
      </w:r>
      <w:r w:rsidR="00FF5099" w:rsidRPr="00DF1D1C">
        <w:t>leave the MCO in which they are enrolled</w:t>
      </w:r>
      <w:r w:rsidR="0078080B" w:rsidRPr="00DF1D1C">
        <w:t xml:space="preserve">. </w:t>
      </w:r>
      <w:r w:rsidR="00FF5099" w:rsidRPr="00DF1D1C">
        <w:t xml:space="preserve">Disenrollment may be initiated by </w:t>
      </w:r>
      <w:r w:rsidR="00DE4BF9">
        <w:t>DHHR</w:t>
      </w:r>
      <w:r w:rsidR="004A27FA">
        <w:t xml:space="preserve"> or by the child’s adoptive parent</w:t>
      </w:r>
      <w:r w:rsidR="009D2775">
        <w:t xml:space="preserve">, </w:t>
      </w:r>
      <w:r w:rsidR="009D2775" w:rsidRPr="009D2775">
        <w:t>kinship relative</w:t>
      </w:r>
      <w:r w:rsidR="009D2775">
        <w:t>,</w:t>
      </w:r>
      <w:r w:rsidR="009D2775" w:rsidRPr="009D2775">
        <w:t xml:space="preserve"> or caregiver</w:t>
      </w:r>
      <w:r w:rsidR="00FF5099" w:rsidRPr="00DF1D1C">
        <w:t>.</w:t>
      </w:r>
    </w:p>
    <w:p w14:paraId="4129FE13" w14:textId="6DB4565F" w:rsidR="009A0060" w:rsidRPr="00DF1D1C" w:rsidRDefault="00FF5099" w:rsidP="00257641">
      <w:r w:rsidRPr="00DF1D1C">
        <w:t xml:space="preserve">The MCO must have written policies and procedures for transferring relevant patient information, including medical records and other pertinent materials, when an enrollee is disenrolled from the MCO and enrolled in another </w:t>
      </w:r>
      <w:r w:rsidR="00F02CEF">
        <w:t xml:space="preserve">MHT, WVBH, commercial </w:t>
      </w:r>
      <w:r w:rsidRPr="00DF1D1C">
        <w:t>MCO</w:t>
      </w:r>
      <w:r w:rsidR="00517225">
        <w:t>, or FFS</w:t>
      </w:r>
      <w:r w:rsidRPr="00DF1D1C">
        <w:t>.</w:t>
      </w:r>
    </w:p>
    <w:p w14:paraId="0304FA52" w14:textId="4F010A99" w:rsidR="00FF5099" w:rsidRPr="00DF1D1C" w:rsidRDefault="008A4274" w:rsidP="00257641">
      <w:pPr>
        <w:pStyle w:val="Heading5"/>
      </w:pPr>
      <w:r>
        <w:t>4.2.4.1</w:t>
      </w:r>
      <w:r w:rsidR="003150A4">
        <w:t xml:space="preserve"> </w:t>
      </w:r>
      <w:r w:rsidR="00FF5099" w:rsidRPr="00DF1D1C">
        <w:t>MCO-Initiated Disenrollment</w:t>
      </w:r>
    </w:p>
    <w:p w14:paraId="7103BFFA" w14:textId="77777777" w:rsidR="009A0060" w:rsidRPr="00DF1D1C" w:rsidRDefault="009A0060" w:rsidP="00257641">
      <w:pPr>
        <w:pStyle w:val="normal6"/>
      </w:pPr>
      <w:r w:rsidRPr="00DF1D1C">
        <w:t>Involuntary beneficiary disenrollment from the MCO may occur for the following reasons:</w:t>
      </w:r>
    </w:p>
    <w:p w14:paraId="797732A5" w14:textId="16416336" w:rsidR="009A0060" w:rsidRPr="00DF1D1C" w:rsidRDefault="009A0060" w:rsidP="00257641">
      <w:pPr>
        <w:numPr>
          <w:ilvl w:val="0"/>
          <w:numId w:val="9"/>
        </w:numPr>
        <w:tabs>
          <w:tab w:val="clear" w:pos="360"/>
        </w:tabs>
        <w:spacing w:after="120"/>
        <w:ind w:left="720"/>
      </w:pPr>
      <w:r w:rsidRPr="00DF1D1C">
        <w:t>The beneficiary</w:t>
      </w:r>
      <w:r w:rsidR="00FA1C0C" w:rsidRPr="00DF1D1C">
        <w:t>’</w:t>
      </w:r>
      <w:r w:rsidRPr="00DF1D1C">
        <w:t>s permanent residence changes to a location outside the MCO</w:t>
      </w:r>
      <w:r w:rsidR="00FA1C0C" w:rsidRPr="00DF1D1C">
        <w:t>’</w:t>
      </w:r>
      <w:r w:rsidRPr="00DF1D1C">
        <w:t>s Medicaid service area</w:t>
      </w:r>
      <w:r w:rsidR="0078080B" w:rsidRPr="00DF1D1C">
        <w:t xml:space="preserve">. </w:t>
      </w:r>
    </w:p>
    <w:p w14:paraId="6CDED6BB" w14:textId="77777777" w:rsidR="009A0060" w:rsidRPr="00DF1D1C" w:rsidRDefault="009A0060" w:rsidP="00257641">
      <w:pPr>
        <w:numPr>
          <w:ilvl w:val="0"/>
          <w:numId w:val="9"/>
        </w:numPr>
        <w:tabs>
          <w:tab w:val="clear" w:pos="360"/>
        </w:tabs>
        <w:spacing w:after="120"/>
        <w:ind w:left="720"/>
      </w:pPr>
      <w:r w:rsidRPr="00DF1D1C">
        <w:t>Continuous placement in a</w:t>
      </w:r>
      <w:r w:rsidR="000401AE">
        <w:t xml:space="preserve"> </w:t>
      </w:r>
      <w:r w:rsidRPr="00DF1D1C">
        <w:t xml:space="preserve">nursing facility, State institution or intermediate care facility for the mentally retarded for more than </w:t>
      </w:r>
      <w:r w:rsidR="00794B77">
        <w:t>thirty (</w:t>
      </w:r>
      <w:r w:rsidRPr="00DF1D1C">
        <w:t>30</w:t>
      </w:r>
      <w:r w:rsidR="00794B77">
        <w:t>)</w:t>
      </w:r>
      <w:r w:rsidRPr="00DF1D1C">
        <w:t xml:space="preserve"> calendar days</w:t>
      </w:r>
      <w:r w:rsidR="00C00E02">
        <w:t>;</w:t>
      </w:r>
    </w:p>
    <w:p w14:paraId="3BE0A843" w14:textId="6587BA99" w:rsidR="009A0060" w:rsidRPr="00DF1D1C" w:rsidRDefault="009A0060" w:rsidP="00257641">
      <w:pPr>
        <w:numPr>
          <w:ilvl w:val="0"/>
          <w:numId w:val="9"/>
        </w:numPr>
        <w:tabs>
          <w:tab w:val="clear" w:pos="360"/>
        </w:tabs>
        <w:spacing w:after="120"/>
        <w:ind w:left="720"/>
      </w:pPr>
      <w:r w:rsidRPr="00DF1D1C">
        <w:t>Error in enrollment</w:t>
      </w:r>
      <w:r w:rsidR="0078080B" w:rsidRPr="00DF1D1C">
        <w:t xml:space="preserve">. </w:t>
      </w:r>
      <w:r w:rsidRPr="00DF1D1C">
        <w:t>This may occur if the beneficiary was inaccurately classified as eligible for enrollment in an MCO, if the beneficiary does not meet the eligibility requirements for eligibility groups permitted to enroll in an MCO, or after a request for exemption is approved if the beneficiary</w:t>
      </w:r>
      <w:r w:rsidR="00042AF7">
        <w:t xml:space="preserve"> was enrolled</w:t>
      </w:r>
      <w:r w:rsidRPr="00DF1D1C">
        <w:t xml:space="preserve"> while their exemption request was being considere</w:t>
      </w:r>
      <w:r w:rsidR="00C00E02">
        <w:t>d; or</w:t>
      </w:r>
    </w:p>
    <w:p w14:paraId="34A3F492" w14:textId="77777777" w:rsidR="009A0060" w:rsidRPr="00DF1D1C" w:rsidRDefault="007F6237" w:rsidP="00257641">
      <w:pPr>
        <w:numPr>
          <w:ilvl w:val="0"/>
          <w:numId w:val="9"/>
        </w:numPr>
        <w:tabs>
          <w:tab w:val="clear" w:pos="360"/>
        </w:tabs>
        <w:ind w:left="720"/>
      </w:pPr>
      <w:r w:rsidRPr="00DF1D1C">
        <w:t>B</w:t>
      </w:r>
      <w:r w:rsidR="009A0060" w:rsidRPr="00DF1D1C">
        <w:t>eneficiary death.</w:t>
      </w:r>
    </w:p>
    <w:p w14:paraId="10EA63E7" w14:textId="55B18174" w:rsidR="009A0060" w:rsidRPr="00DF1D1C" w:rsidRDefault="009A0060" w:rsidP="00257641">
      <w:r w:rsidRPr="00DF1D1C">
        <w:t xml:space="preserve">The MCO may not </w:t>
      </w:r>
      <w:r w:rsidR="00FF5099" w:rsidRPr="00DF1D1C">
        <w:t>initiate disenrollment for</w:t>
      </w:r>
      <w:r w:rsidRPr="00DF1D1C">
        <w:t xml:space="preserve"> any </w:t>
      </w:r>
      <w:r w:rsidR="00637C51">
        <w:t>enrollee</w:t>
      </w:r>
      <w:r w:rsidR="00637C51" w:rsidRPr="00DF1D1C">
        <w:t xml:space="preserve"> </w:t>
      </w:r>
      <w:r w:rsidRPr="00DF1D1C">
        <w:t>except as specified above; the MCO may not terminate enrollment because of an adverse change in the enrollee</w:t>
      </w:r>
      <w:r w:rsidR="00FA1C0C" w:rsidRPr="00DF1D1C">
        <w:t>’</w:t>
      </w:r>
      <w:r w:rsidRPr="00DF1D1C">
        <w:t>s health status; the enrollee</w:t>
      </w:r>
      <w:r w:rsidR="00FA1C0C" w:rsidRPr="00DF1D1C">
        <w:t>’</w:t>
      </w:r>
      <w:r w:rsidRPr="00DF1D1C">
        <w:t>s utilization of medical services; diminished mental capacity; or uncooperative or disruptive behavior resulting from his or her special needs (except when his or her continued enrollment in the MCO seriously impairs the entity</w:t>
      </w:r>
      <w:r w:rsidR="00FA1C0C" w:rsidRPr="00DF1D1C">
        <w:t>’</w:t>
      </w:r>
      <w:r w:rsidRPr="00DF1D1C">
        <w:t xml:space="preserve">s ability to furnish services to either this or other enrollees). </w:t>
      </w:r>
      <w:r w:rsidR="00FF5099" w:rsidRPr="00DF1D1C">
        <w:t>The MCO may not request disenrollment because of an enrollee</w:t>
      </w:r>
      <w:r w:rsidR="00FA1C0C" w:rsidRPr="00DF1D1C">
        <w:t>’</w:t>
      </w:r>
      <w:r w:rsidR="00FF5099" w:rsidRPr="00DF1D1C">
        <w:t>s attempt to exercise his or her rights under the grievance system</w:t>
      </w:r>
      <w:r w:rsidR="0078080B" w:rsidRPr="00DF1D1C">
        <w:t xml:space="preserve">. </w:t>
      </w:r>
      <w:r w:rsidRPr="00DF1D1C">
        <w:t xml:space="preserve">The MCO must assure </w:t>
      </w:r>
      <w:r w:rsidR="00DE4BF9">
        <w:t>DHHR</w:t>
      </w:r>
      <w:r w:rsidR="00DE4BF9" w:rsidRPr="00DF1D1C">
        <w:t xml:space="preserve"> </w:t>
      </w:r>
      <w:r w:rsidRPr="00DF1D1C">
        <w:t>that terminations are consistent with the reasons permitted under the contract</w:t>
      </w:r>
      <w:r w:rsidR="0078080B" w:rsidRPr="00DF1D1C">
        <w:t xml:space="preserve">. </w:t>
      </w:r>
      <w:r w:rsidR="00DE4BF9">
        <w:t>DHHR</w:t>
      </w:r>
      <w:r w:rsidR="00DE4BF9" w:rsidRPr="00DF1D1C">
        <w:t xml:space="preserve"> </w:t>
      </w:r>
      <w:r w:rsidRPr="00DF1D1C">
        <w:t xml:space="preserve">has </w:t>
      </w:r>
      <w:r w:rsidRPr="00DF1D1C">
        <w:lastRenderedPageBreak/>
        <w:t xml:space="preserve">responsibility for promptly arranging for services for any </w:t>
      </w:r>
      <w:r w:rsidR="00442E8D">
        <w:t>enrollee</w:t>
      </w:r>
      <w:r w:rsidR="00442E8D" w:rsidRPr="00DF1D1C">
        <w:t xml:space="preserve"> </w:t>
      </w:r>
      <w:r w:rsidRPr="00DF1D1C">
        <w:t>whose enrollment is terminated for reasons other than loss of Medicaid eligibility.</w:t>
      </w:r>
    </w:p>
    <w:p w14:paraId="0B0746C0" w14:textId="15C033F5" w:rsidR="00F965B7" w:rsidRPr="00DF1D1C" w:rsidRDefault="000B5169" w:rsidP="00257641">
      <w:r>
        <w:t>In the case of continuous placement in a</w:t>
      </w:r>
      <w:r w:rsidR="0040780A">
        <w:t xml:space="preserve"> facility or institution </w:t>
      </w:r>
      <w:r>
        <w:t>for more than</w:t>
      </w:r>
      <w:r w:rsidR="00B40E8E">
        <w:t xml:space="preserve"> thirty</w:t>
      </w:r>
      <w:r>
        <w:t xml:space="preserve"> </w:t>
      </w:r>
      <w:r w:rsidR="00B40E8E">
        <w:t>(</w:t>
      </w:r>
      <w:r>
        <w:t>30</w:t>
      </w:r>
      <w:r w:rsidR="00B40E8E">
        <w:t>)</w:t>
      </w:r>
      <w:r>
        <w:t xml:space="preserve"> calendar days, the MCO must notify </w:t>
      </w:r>
      <w:r w:rsidR="00DE4BF9">
        <w:t xml:space="preserve">DHHR </w:t>
      </w:r>
      <w:r>
        <w:t xml:space="preserve">within </w:t>
      </w:r>
      <w:r w:rsidR="003C4B4A">
        <w:t>five (</w:t>
      </w:r>
      <w:r>
        <w:t>5</w:t>
      </w:r>
      <w:r w:rsidR="003C4B4A">
        <w:t>)</w:t>
      </w:r>
      <w:r>
        <w:t xml:space="preserve"> business days following the 30</w:t>
      </w:r>
      <w:r w:rsidRPr="0040780A">
        <w:rPr>
          <w:vertAlign w:val="superscript"/>
        </w:rPr>
        <w:t>th</w:t>
      </w:r>
      <w:r>
        <w:t xml:space="preserve"> day of admission.</w:t>
      </w:r>
      <w:r w:rsidR="00F24820">
        <w:t xml:space="preserve"> </w:t>
      </w:r>
      <w:r w:rsidR="009A0060" w:rsidRPr="00DF1D1C">
        <w:t>The effective</w:t>
      </w:r>
      <w:r w:rsidR="00C54CE5">
        <w:t xml:space="preserve"> date of the disenrollment will</w:t>
      </w:r>
      <w:r w:rsidR="009A0060" w:rsidRPr="00DF1D1C">
        <w:t xml:space="preserve"> be no later than the first day of the second month after the month in which the MCO requests termination</w:t>
      </w:r>
      <w:r w:rsidR="0078080B" w:rsidRPr="00DF1D1C">
        <w:t xml:space="preserve">. </w:t>
      </w:r>
      <w:r w:rsidR="009A0060" w:rsidRPr="00DF1D1C">
        <w:t xml:space="preserve">When notifying </w:t>
      </w:r>
      <w:r w:rsidR="00DE4BF9">
        <w:t>DHHR</w:t>
      </w:r>
      <w:r w:rsidR="00DE4BF9" w:rsidRPr="00DF1D1C">
        <w:t xml:space="preserve"> </w:t>
      </w:r>
      <w:r w:rsidR="009A0060" w:rsidRPr="00DF1D1C">
        <w:t>of its intent to disenroll a</w:t>
      </w:r>
      <w:r w:rsidR="00637C51">
        <w:t>n</w:t>
      </w:r>
      <w:r w:rsidR="009A0060" w:rsidRPr="00DF1D1C">
        <w:t xml:space="preserve"> </w:t>
      </w:r>
      <w:r w:rsidR="00637C51">
        <w:t>enrollee</w:t>
      </w:r>
      <w:r w:rsidR="009A0060" w:rsidRPr="00DF1D1C">
        <w:t xml:space="preserve">, the MCO </w:t>
      </w:r>
      <w:r w:rsidR="00C54CE5">
        <w:t>must</w:t>
      </w:r>
      <w:r w:rsidR="009A0060" w:rsidRPr="00DF1D1C">
        <w:t xml:space="preserve"> specify the reason for the request in order to assure </w:t>
      </w:r>
      <w:r w:rsidR="00DE4BF9">
        <w:t>DHHR</w:t>
      </w:r>
      <w:r w:rsidR="00DE4BF9" w:rsidRPr="00DF1D1C">
        <w:t xml:space="preserve"> </w:t>
      </w:r>
      <w:r w:rsidR="009A0060" w:rsidRPr="00DF1D1C">
        <w:t xml:space="preserve">that the reason for the request is consistent with the permissible reasons specified in this contract. </w:t>
      </w:r>
      <w:r w:rsidR="00DE4BF9">
        <w:t>DHHR</w:t>
      </w:r>
      <w:r w:rsidR="00DE4BF9" w:rsidRPr="00DF1D1C">
        <w:t xml:space="preserve"> </w:t>
      </w:r>
      <w:r w:rsidR="009A0060" w:rsidRPr="00DF1D1C">
        <w:t>will make the final decision to approve or deny the requested MCO-initiated disenrollment</w:t>
      </w:r>
      <w:r w:rsidR="0078080B" w:rsidRPr="00DF1D1C">
        <w:t xml:space="preserve">. </w:t>
      </w:r>
      <w:r w:rsidR="009A0060" w:rsidRPr="00DF1D1C">
        <w:t xml:space="preserve">If </w:t>
      </w:r>
      <w:r w:rsidR="00DE4BF9">
        <w:t>DHHR</w:t>
      </w:r>
      <w:r w:rsidR="00DE4BF9" w:rsidRPr="00DF1D1C">
        <w:t xml:space="preserve"> </w:t>
      </w:r>
      <w:r w:rsidR="009A0060" w:rsidRPr="00DF1D1C">
        <w:t>does not act on the MCO</w:t>
      </w:r>
      <w:r w:rsidR="00FA1C0C" w:rsidRPr="00DF1D1C">
        <w:t>’</w:t>
      </w:r>
      <w:r w:rsidR="009A0060" w:rsidRPr="00DF1D1C">
        <w:t xml:space="preserve">s request for a disenrollment, the disenrollment </w:t>
      </w:r>
      <w:r w:rsidR="00C54CE5">
        <w:t>will</w:t>
      </w:r>
      <w:r w:rsidR="009A0060" w:rsidRPr="00DF1D1C">
        <w:t xml:space="preserve"> be considered </w:t>
      </w:r>
      <w:r w:rsidR="00C54CE5">
        <w:t xml:space="preserve">as </w:t>
      </w:r>
      <w:r w:rsidR="009A0060" w:rsidRPr="00DF1D1C">
        <w:t>approved.</w:t>
      </w:r>
    </w:p>
    <w:p w14:paraId="3131DF36" w14:textId="0740F846" w:rsidR="009A0060" w:rsidRPr="00DF1D1C" w:rsidRDefault="004D3035" w:rsidP="00257641">
      <w:pPr>
        <w:pStyle w:val="Heading5"/>
      </w:pPr>
      <w:r>
        <w:t>4.2.4.2</w:t>
      </w:r>
      <w:r w:rsidR="003150A4">
        <w:t xml:space="preserve"> </w:t>
      </w:r>
      <w:r w:rsidR="009A0060" w:rsidRPr="00DF1D1C">
        <w:t xml:space="preserve">Enrollee-Initiated </w:t>
      </w:r>
      <w:r w:rsidR="00FF5099" w:rsidRPr="00DF1D1C">
        <w:t>Disenrollment</w:t>
      </w:r>
    </w:p>
    <w:p w14:paraId="614CDB94" w14:textId="63C93219" w:rsidR="001476CD" w:rsidRPr="00DF1D1C" w:rsidRDefault="009A0060" w:rsidP="00257641">
      <w:r w:rsidRPr="00DF1D1C">
        <w:t>MCO enrollees</w:t>
      </w:r>
      <w:r w:rsidR="004A27FA">
        <w:t xml:space="preserve"> eligible through adoption assistance</w:t>
      </w:r>
      <w:r w:rsidRPr="00DF1D1C">
        <w:t xml:space="preserve"> may request </w:t>
      </w:r>
      <w:r w:rsidR="00FF5099" w:rsidRPr="00DF1D1C">
        <w:t>disenrollment</w:t>
      </w:r>
      <w:r w:rsidRPr="00DF1D1C">
        <w:t xml:space="preserve"> at any time for any reason</w:t>
      </w:r>
      <w:r w:rsidR="0078080B" w:rsidRPr="00DF1D1C">
        <w:t xml:space="preserve">. </w:t>
      </w:r>
      <w:r w:rsidR="00C54CE5">
        <w:t>Disenrollment will</w:t>
      </w:r>
      <w:r w:rsidR="00FF5099" w:rsidRPr="00DF1D1C">
        <w:t xml:space="preserve"> be effective no later than the first day of the second month after the month in which the enrollee requests disenrollment</w:t>
      </w:r>
      <w:r w:rsidR="0078080B" w:rsidRPr="00DF1D1C">
        <w:t xml:space="preserve">. </w:t>
      </w:r>
    </w:p>
    <w:p w14:paraId="5C90A91C" w14:textId="0995F84D" w:rsidR="009A0060" w:rsidRPr="00DF1D1C" w:rsidRDefault="00F777D5" w:rsidP="00257641">
      <w:pPr>
        <w:pStyle w:val="Heading3"/>
      </w:pPr>
      <w:bookmarkStart w:id="129" w:name="_Toc73441797"/>
      <w:bookmarkStart w:id="130" w:name="_Toc8129025"/>
      <w:r>
        <w:t>4</w:t>
      </w:r>
      <w:r w:rsidR="009A0060" w:rsidRPr="00DF1D1C">
        <w:t>.3</w:t>
      </w:r>
      <w:r w:rsidR="009A0060" w:rsidRPr="00DF1D1C">
        <w:tab/>
      </w:r>
      <w:r w:rsidR="00637C51">
        <w:t>Enrollee</w:t>
      </w:r>
      <w:r w:rsidR="00637C51" w:rsidRPr="00DF1D1C">
        <w:t xml:space="preserve"> </w:t>
      </w:r>
      <w:r w:rsidR="009A0060" w:rsidRPr="00DF1D1C">
        <w:t>Services Department</w:t>
      </w:r>
      <w:bookmarkEnd w:id="129"/>
      <w:bookmarkEnd w:id="130"/>
    </w:p>
    <w:p w14:paraId="34B48A0A" w14:textId="0B95C41E" w:rsidR="009A0060" w:rsidRPr="00DF1D1C" w:rsidRDefault="00F777D5" w:rsidP="00257641">
      <w:pPr>
        <w:pStyle w:val="Heading4"/>
      </w:pPr>
      <w:r>
        <w:t>4</w:t>
      </w:r>
      <w:r w:rsidR="00324F24">
        <w:t xml:space="preserve">.3.1 </w:t>
      </w:r>
      <w:r w:rsidR="009A0060" w:rsidRPr="00DF1D1C">
        <w:t>General Requirements</w:t>
      </w:r>
    </w:p>
    <w:p w14:paraId="0D206692" w14:textId="761D5017" w:rsidR="009A0060" w:rsidRDefault="001C67A4" w:rsidP="00257641">
      <w:r w:rsidRPr="001C67A4">
        <w:t>The MCO must maintain a</w:t>
      </w:r>
      <w:r w:rsidR="00637C51">
        <w:t>n</w:t>
      </w:r>
      <w:r w:rsidRPr="001C67A4">
        <w:t xml:space="preserve"> </w:t>
      </w:r>
      <w:r w:rsidR="00637C51">
        <w:t>Enrollee</w:t>
      </w:r>
      <w:r w:rsidR="00637C51" w:rsidRPr="001C67A4">
        <w:t xml:space="preserve"> </w:t>
      </w:r>
      <w:r w:rsidRPr="001C67A4">
        <w:t xml:space="preserve">Services Department to assist </w:t>
      </w:r>
      <w:r w:rsidR="00637C51">
        <w:t>enrollee</w:t>
      </w:r>
      <w:r w:rsidR="00637C51" w:rsidRPr="001C67A4">
        <w:t xml:space="preserve">s </w:t>
      </w:r>
      <w:r w:rsidRPr="001C67A4">
        <w:t>in obtaining</w:t>
      </w:r>
      <w:r w:rsidR="004A27FA">
        <w:t xml:space="preserve"> </w:t>
      </w:r>
      <w:r w:rsidRPr="001C67A4">
        <w:t xml:space="preserve">Medicaid </w:t>
      </w:r>
      <w:r w:rsidR="004A27FA">
        <w:t xml:space="preserve">and SNS </w:t>
      </w:r>
      <w:r w:rsidRPr="001C67A4">
        <w:t xml:space="preserve">covered services. </w:t>
      </w:r>
      <w:r w:rsidR="009A0060" w:rsidRPr="00DF1D1C">
        <w:t xml:space="preserve">The </w:t>
      </w:r>
      <w:r w:rsidR="00637C51">
        <w:t>Enrollee</w:t>
      </w:r>
      <w:r w:rsidR="00637C51" w:rsidRPr="00DF1D1C">
        <w:t xml:space="preserve"> </w:t>
      </w:r>
      <w:r w:rsidR="009A0060" w:rsidRPr="00DF1D1C">
        <w:t>Services Department</w:t>
      </w:r>
      <w:r w:rsidR="006D21F7">
        <w:t xml:space="preserve">, at the minimum, </w:t>
      </w:r>
      <w:r w:rsidR="009A0060" w:rsidRPr="00DF1D1C">
        <w:t xml:space="preserve">must be accessible during </w:t>
      </w:r>
      <w:r w:rsidR="00946ABE">
        <w:t xml:space="preserve">regular </w:t>
      </w:r>
      <w:r w:rsidR="009A0060" w:rsidRPr="00DF1D1C">
        <w:t>business hours</w:t>
      </w:r>
      <w:r w:rsidR="00003867">
        <w:t xml:space="preserve">, at least for </w:t>
      </w:r>
      <w:r w:rsidR="00DD150F">
        <w:t xml:space="preserve">nine </w:t>
      </w:r>
      <w:r w:rsidR="0000506F">
        <w:t>(</w:t>
      </w:r>
      <w:r w:rsidR="00DD150F">
        <w:t>9</w:t>
      </w:r>
      <w:r w:rsidR="0000506F">
        <w:t>)</w:t>
      </w:r>
      <w:r w:rsidR="00003867">
        <w:t xml:space="preserve"> hours a day </w:t>
      </w:r>
      <w:r w:rsidR="009A0060" w:rsidRPr="00DF1D1C">
        <w:t>and through a toll-free phone number</w:t>
      </w:r>
      <w:r w:rsidR="0078080B" w:rsidRPr="00DF1D1C">
        <w:t xml:space="preserve">. </w:t>
      </w:r>
      <w:r w:rsidR="009A0060" w:rsidRPr="00DF1D1C">
        <w:t xml:space="preserve">The </w:t>
      </w:r>
      <w:r w:rsidR="00637C51">
        <w:t>Enrollee</w:t>
      </w:r>
      <w:r w:rsidR="00637C51" w:rsidRPr="00DF1D1C">
        <w:t xml:space="preserve"> </w:t>
      </w:r>
      <w:r w:rsidR="009A0060" w:rsidRPr="00DF1D1C">
        <w:t>Services Department must work with Medicaid enrollees</w:t>
      </w:r>
      <w:r w:rsidR="00853250">
        <w:t>, CPS</w:t>
      </w:r>
      <w:r w:rsidR="00F264C5">
        <w:t xml:space="preserve"> workers, </w:t>
      </w:r>
      <w:r w:rsidR="00517225">
        <w:t xml:space="preserve">Adoptive and </w:t>
      </w:r>
      <w:r w:rsidR="00F264C5">
        <w:t xml:space="preserve">Foster Care parents, </w:t>
      </w:r>
      <w:r w:rsidR="009A0060" w:rsidRPr="00DF1D1C">
        <w:t>and providers to handle questions and complaints and to facilitate the provision of services.</w:t>
      </w:r>
    </w:p>
    <w:p w14:paraId="2F0BA6B6" w14:textId="5D9687BA" w:rsidR="006867F8" w:rsidRDefault="006867F8" w:rsidP="00257641">
      <w:pPr>
        <w:pStyle w:val="normal6"/>
      </w:pPr>
      <w:r w:rsidRPr="001935F6">
        <w:t>The MCO must ensure that the</w:t>
      </w:r>
      <w:r w:rsidR="00517225">
        <w:t xml:space="preserve"> toll-free</w:t>
      </w:r>
      <w:r w:rsidRPr="001935F6">
        <w:t xml:space="preserve"> </w:t>
      </w:r>
      <w:r w:rsidR="00637C51">
        <w:t>enrollee</w:t>
      </w:r>
      <w:r w:rsidR="00637C51" w:rsidRPr="001935F6">
        <w:t xml:space="preserve"> </w:t>
      </w:r>
      <w:r w:rsidRPr="001935F6">
        <w:t>services phone line meets the following minimu</w:t>
      </w:r>
      <w:r>
        <w:t xml:space="preserve">m </w:t>
      </w:r>
      <w:r w:rsidR="00517225">
        <w:t>SLAs</w:t>
      </w:r>
      <w:r w:rsidRPr="001935F6">
        <w:t>:</w:t>
      </w:r>
    </w:p>
    <w:p w14:paraId="6D076C61" w14:textId="5C102C9B" w:rsidR="006867F8" w:rsidRDefault="00E408A3" w:rsidP="00257641">
      <w:pPr>
        <w:numPr>
          <w:ilvl w:val="0"/>
          <w:numId w:val="54"/>
        </w:numPr>
        <w:spacing w:after="120"/>
        <w:rPr>
          <w:noProof w:val="0"/>
        </w:rPr>
      </w:pPr>
      <w:r>
        <w:rPr>
          <w:noProof w:val="0"/>
        </w:rPr>
        <w:t>Eighty</w:t>
      </w:r>
      <w:r w:rsidR="0000506F">
        <w:rPr>
          <w:noProof w:val="0"/>
        </w:rPr>
        <w:t>-t</w:t>
      </w:r>
      <w:r>
        <w:rPr>
          <w:noProof w:val="0"/>
        </w:rPr>
        <w:t xml:space="preserve">hree </w:t>
      </w:r>
      <w:r w:rsidR="0000506F">
        <w:rPr>
          <w:noProof w:val="0"/>
        </w:rPr>
        <w:t>percent</w:t>
      </w:r>
      <w:r w:rsidR="005209F8">
        <w:rPr>
          <w:noProof w:val="0"/>
        </w:rPr>
        <w:t xml:space="preserve"> </w:t>
      </w:r>
      <w:r w:rsidR="001323A3">
        <w:rPr>
          <w:noProof w:val="0"/>
        </w:rPr>
        <w:t xml:space="preserve">(83%) </w:t>
      </w:r>
      <w:r w:rsidR="005209F8">
        <w:rPr>
          <w:noProof w:val="0"/>
        </w:rPr>
        <w:t>of calls are answered live within thirty (30) seconds during operating hours</w:t>
      </w:r>
      <w:r w:rsidR="00FD714B">
        <w:rPr>
          <w:noProof w:val="0"/>
        </w:rPr>
        <w:t xml:space="preserve">. </w:t>
      </w:r>
      <w:r w:rsidR="00FD714B" w:rsidRPr="00FD714B">
        <w:rPr>
          <w:noProof w:val="0"/>
        </w:rPr>
        <w:t xml:space="preserve">Time measured begins when the </w:t>
      </w:r>
      <w:r w:rsidR="00637C51">
        <w:rPr>
          <w:noProof w:val="0"/>
        </w:rPr>
        <w:t>enrollee</w:t>
      </w:r>
      <w:r w:rsidR="00637C51" w:rsidRPr="00FD714B">
        <w:rPr>
          <w:noProof w:val="0"/>
        </w:rPr>
        <w:t xml:space="preserve"> </w:t>
      </w:r>
      <w:r w:rsidR="00FD714B" w:rsidRPr="00FD714B">
        <w:rPr>
          <w:noProof w:val="0"/>
        </w:rPr>
        <w:t xml:space="preserve">is placed in the call queue to wait to speak to a </w:t>
      </w:r>
      <w:r w:rsidR="00637C51">
        <w:rPr>
          <w:noProof w:val="0"/>
        </w:rPr>
        <w:t>Enrollee</w:t>
      </w:r>
      <w:r w:rsidR="00637C51" w:rsidRPr="00FD714B">
        <w:rPr>
          <w:noProof w:val="0"/>
        </w:rPr>
        <w:t xml:space="preserve"> </w:t>
      </w:r>
      <w:r w:rsidR="00FD714B" w:rsidRPr="00FD714B">
        <w:rPr>
          <w:noProof w:val="0"/>
        </w:rPr>
        <w:t>Services representative</w:t>
      </w:r>
      <w:r w:rsidR="009849F8">
        <w:rPr>
          <w:noProof w:val="0"/>
        </w:rPr>
        <w:t>;</w:t>
      </w:r>
      <w:r w:rsidR="00466D4C">
        <w:rPr>
          <w:noProof w:val="0"/>
        </w:rPr>
        <w:t xml:space="preserve"> and</w:t>
      </w:r>
    </w:p>
    <w:p w14:paraId="50D5C464" w14:textId="4B87CCFB" w:rsidR="00EB212B" w:rsidRDefault="006867F8" w:rsidP="00257641">
      <w:pPr>
        <w:numPr>
          <w:ilvl w:val="0"/>
          <w:numId w:val="54"/>
        </w:numPr>
      </w:pPr>
      <w:r>
        <w:rPr>
          <w:noProof w:val="0"/>
        </w:rPr>
        <w:t xml:space="preserve">The call abandonment rate does not exceed </w:t>
      </w:r>
      <w:r w:rsidR="00B04832">
        <w:rPr>
          <w:noProof w:val="0"/>
        </w:rPr>
        <w:t>five</w:t>
      </w:r>
      <w:r>
        <w:rPr>
          <w:noProof w:val="0"/>
        </w:rPr>
        <w:t xml:space="preserve"> percent </w:t>
      </w:r>
      <w:r w:rsidR="001323A3">
        <w:rPr>
          <w:noProof w:val="0"/>
        </w:rPr>
        <w:t xml:space="preserve">(5%) </w:t>
      </w:r>
      <w:r>
        <w:rPr>
          <w:noProof w:val="0"/>
        </w:rPr>
        <w:t xml:space="preserve">of total calls for the </w:t>
      </w:r>
      <w:r w:rsidR="00517225">
        <w:rPr>
          <w:noProof w:val="0"/>
        </w:rPr>
        <w:t>month</w:t>
      </w:r>
      <w:r w:rsidR="00003867">
        <w:rPr>
          <w:noProof w:val="0"/>
        </w:rPr>
        <w:t>.</w:t>
      </w:r>
    </w:p>
    <w:p w14:paraId="1A77EFA6" w14:textId="738C1E88" w:rsidR="00DD150F" w:rsidRDefault="00DD150F" w:rsidP="00257641">
      <w:r w:rsidRPr="00DD150F">
        <w:t xml:space="preserve">The MCO </w:t>
      </w:r>
      <w:r w:rsidR="006876E5">
        <w:t>must</w:t>
      </w:r>
      <w:r w:rsidR="006876E5" w:rsidRPr="00DD150F">
        <w:t xml:space="preserve"> </w:t>
      </w:r>
      <w:r w:rsidRPr="00DD150F">
        <w:t>be required to submit monthly reports outlining its performance against the above referenced measures and submit an attestation to its accuracy.</w:t>
      </w:r>
    </w:p>
    <w:p w14:paraId="33DC139C" w14:textId="167BB4F4" w:rsidR="009A0060" w:rsidRPr="00DF1D1C" w:rsidRDefault="00F777D5" w:rsidP="00257641">
      <w:pPr>
        <w:pStyle w:val="Heading3"/>
      </w:pPr>
      <w:bookmarkStart w:id="131" w:name="_Toc73441798"/>
      <w:bookmarkStart w:id="132" w:name="_Toc8129026"/>
      <w:r>
        <w:t>4</w:t>
      </w:r>
      <w:r w:rsidR="009A0060" w:rsidRPr="00DF1D1C">
        <w:t>.4</w:t>
      </w:r>
      <w:r w:rsidR="009A0060" w:rsidRPr="00DF1D1C">
        <w:tab/>
        <w:t>Materials</w:t>
      </w:r>
      <w:bookmarkEnd w:id="131"/>
      <w:bookmarkEnd w:id="132"/>
    </w:p>
    <w:p w14:paraId="1CE91500" w14:textId="1F65CE0B" w:rsidR="00DF0AFE" w:rsidRDefault="00F777D5" w:rsidP="00257641">
      <w:pPr>
        <w:pStyle w:val="Heading4"/>
      </w:pPr>
      <w:r>
        <w:t>4</w:t>
      </w:r>
      <w:r w:rsidR="00324F24">
        <w:t xml:space="preserve">.4.1 </w:t>
      </w:r>
      <w:r w:rsidR="009A0060" w:rsidRPr="00DF1D1C">
        <w:t>Enrollee Information</w:t>
      </w:r>
    </w:p>
    <w:p w14:paraId="34D765DC" w14:textId="6B6AE1DF" w:rsidR="00941BDE" w:rsidRDefault="00104FD1" w:rsidP="00257641">
      <w:r w:rsidRPr="00C43612">
        <w:t xml:space="preserve">The MCO must provide all paper and electronic informational materials </w:t>
      </w:r>
      <w:r w:rsidR="00177B81" w:rsidRPr="00C43612">
        <w:t xml:space="preserve">(using a font size no smaller than </w:t>
      </w:r>
      <w:r w:rsidR="0000506F">
        <w:t>twelve (</w:t>
      </w:r>
      <w:r w:rsidR="00177B81" w:rsidRPr="00C43612">
        <w:t>12</w:t>
      </w:r>
      <w:r w:rsidR="0000506F">
        <w:t>)</w:t>
      </w:r>
      <w:r w:rsidR="00177B81" w:rsidRPr="00C43612">
        <w:t xml:space="preserve"> point) </w:t>
      </w:r>
      <w:r w:rsidRPr="00C43612">
        <w:t xml:space="preserve">relating to </w:t>
      </w:r>
      <w:r w:rsidR="00812B22" w:rsidRPr="00C43612">
        <w:t xml:space="preserve">the </w:t>
      </w:r>
      <w:r w:rsidRPr="00C43612">
        <w:t xml:space="preserve">Medicaid program in a manner and format consistent with the requirements of 42 CFR § 438.10. </w:t>
      </w:r>
      <w:r w:rsidR="00CD1783" w:rsidRPr="00C43612">
        <w:t xml:space="preserve">The enrollee must be informed that the information is </w:t>
      </w:r>
      <w:r w:rsidR="00AB25BC" w:rsidRPr="00C43612">
        <w:t>available in paper form with</w:t>
      </w:r>
      <w:r w:rsidR="00CD1783" w:rsidRPr="00C43612">
        <w:t xml:space="preserve">out charge upon request and must </w:t>
      </w:r>
      <w:r w:rsidR="00AB25BC" w:rsidRPr="00C43612">
        <w:t xml:space="preserve">be </w:t>
      </w:r>
      <w:r w:rsidR="00CD1783" w:rsidRPr="00C43612">
        <w:t>pro</w:t>
      </w:r>
      <w:r w:rsidR="00AB25BC" w:rsidRPr="00C43612">
        <w:t>vided with the information with</w:t>
      </w:r>
      <w:r w:rsidR="00CD1783" w:rsidRPr="00C43612">
        <w:t xml:space="preserve">in five </w:t>
      </w:r>
      <w:r w:rsidR="006979AE">
        <w:t xml:space="preserve">(5) </w:t>
      </w:r>
      <w:r w:rsidR="00CD1783" w:rsidRPr="00C43612">
        <w:t xml:space="preserve">business days. Electronic information must be placed on a website that is prominent and readily </w:t>
      </w:r>
      <w:r w:rsidR="00AB25BC" w:rsidRPr="00C43612">
        <w:t>accessible</w:t>
      </w:r>
      <w:r w:rsidR="00CD1783" w:rsidRPr="00C43612">
        <w:t xml:space="preserve">. </w:t>
      </w:r>
      <w:r w:rsidR="00AB25BC" w:rsidRPr="00C43612">
        <w:t xml:space="preserve">It must be provided in an electronic form which </w:t>
      </w:r>
      <w:r w:rsidR="00AB25BC" w:rsidRPr="00C43612">
        <w:lastRenderedPageBreak/>
        <w:t xml:space="preserve">can be electronically retained and printed. </w:t>
      </w:r>
      <w:r w:rsidR="009A0060" w:rsidRPr="00C43612">
        <w:t>Enrollee information provided by the MCO must be readable at the 6</w:t>
      </w:r>
      <w:r w:rsidR="009A0060" w:rsidRPr="00D17863">
        <w:rPr>
          <w:vertAlign w:val="superscript"/>
        </w:rPr>
        <w:t>th</w:t>
      </w:r>
      <w:r w:rsidR="009A0060" w:rsidRPr="00C43612">
        <w:t xml:space="preserve"> grade level and easily understood, and available in the language(s) of the major population groups served and, as needed, in alternative formats (i.e., Braille) for those who are unable to see or read written materials</w:t>
      </w:r>
      <w:r w:rsidR="0078080B" w:rsidRPr="00C43612">
        <w:t xml:space="preserve">. </w:t>
      </w:r>
      <w:r w:rsidR="009A0060" w:rsidRPr="00C43612">
        <w:t xml:space="preserve">The MCO must make </w:t>
      </w:r>
      <w:r w:rsidR="00164B98" w:rsidRPr="00C43612">
        <w:t>auxiliary aids and services</w:t>
      </w:r>
      <w:r w:rsidR="00911C3C">
        <w:t xml:space="preserve">, </w:t>
      </w:r>
      <w:r w:rsidR="00164B98" w:rsidRPr="00C43612">
        <w:t xml:space="preserve">as well as </w:t>
      </w:r>
      <w:r w:rsidR="009A0060" w:rsidRPr="00C43612">
        <w:t>oral interpretation services available in all non-English languages to all enrollees and potential enrollees free of charge</w:t>
      </w:r>
      <w:r w:rsidR="0078080B" w:rsidRPr="00C43612">
        <w:t xml:space="preserve">. </w:t>
      </w:r>
      <w:r w:rsidR="009A0060" w:rsidRPr="00C43612">
        <w:t>The MCO must notify enrollees that oral interpretation services are available for any language, that written information is available in prevalent languages, and how to access those services</w:t>
      </w:r>
      <w:r w:rsidR="009E2A6A" w:rsidRPr="00C43612">
        <w:t>.</w:t>
      </w:r>
      <w:r w:rsidR="00164B98" w:rsidRPr="00C43612">
        <w:t xml:space="preserve"> Written materials must include taglines</w:t>
      </w:r>
      <w:r w:rsidR="001B6FF6" w:rsidRPr="00C43612">
        <w:t xml:space="preserve"> in the prevalent non-English languages and large print</w:t>
      </w:r>
      <w:r w:rsidR="00164B98" w:rsidRPr="00C43612">
        <w:t xml:space="preserve"> (in a font size no smaller than </w:t>
      </w:r>
      <w:r w:rsidR="009A4997">
        <w:t>eighteen (</w:t>
      </w:r>
      <w:r w:rsidR="00164B98" w:rsidRPr="00C43612">
        <w:t>18</w:t>
      </w:r>
      <w:r w:rsidR="009A4997">
        <w:t xml:space="preserve">) </w:t>
      </w:r>
      <w:r w:rsidR="00164B98" w:rsidRPr="00C43612">
        <w:t>point</w:t>
      </w:r>
      <w:r w:rsidR="009A4997">
        <w:t>)</w:t>
      </w:r>
      <w:r w:rsidR="00164B98" w:rsidRPr="00C43612">
        <w:t xml:space="preserve"> explaining the availability of written translation or oral interpretation and the toll-free and TYY/TDY telephone number of the MCOs. </w:t>
      </w:r>
      <w:r w:rsidR="009A0060" w:rsidRPr="00DF1D1C">
        <w:t xml:space="preserve">MCOs must make its written material available in the prevalent non-English languages in its service area, as identified by </w:t>
      </w:r>
      <w:r w:rsidR="00DE4BF9">
        <w:t>DHHR</w:t>
      </w:r>
      <w:r w:rsidR="00DE4BF9" w:rsidRPr="00DF1D1C">
        <w:t xml:space="preserve"> </w:t>
      </w:r>
      <w:r w:rsidR="009A0060" w:rsidRPr="00DF1D1C">
        <w:t xml:space="preserve">in accordance with Article III, Section </w:t>
      </w:r>
      <w:r w:rsidR="005071C2">
        <w:t>4</w:t>
      </w:r>
      <w:r w:rsidR="009A0060" w:rsidRPr="00DF1D1C">
        <w:t>.</w:t>
      </w:r>
      <w:r w:rsidR="00B950CD" w:rsidRPr="00DF1D1C">
        <w:t>7</w:t>
      </w:r>
      <w:r w:rsidR="0078080B" w:rsidRPr="00DF1D1C">
        <w:t xml:space="preserve">. </w:t>
      </w:r>
    </w:p>
    <w:p w14:paraId="466B7FFD" w14:textId="15B4E26C" w:rsidR="009A0060" w:rsidRPr="00DF1D1C" w:rsidRDefault="00F777D5" w:rsidP="00257641">
      <w:pPr>
        <w:pStyle w:val="Heading4"/>
      </w:pPr>
      <w:r>
        <w:t>4</w:t>
      </w:r>
      <w:r w:rsidR="00324F24">
        <w:t xml:space="preserve">.4.2 </w:t>
      </w:r>
      <w:r w:rsidR="009A0060" w:rsidRPr="00DF1D1C">
        <w:t>Member ID Cards</w:t>
      </w:r>
    </w:p>
    <w:p w14:paraId="2519E94C" w14:textId="75E2B3DD" w:rsidR="00040B17" w:rsidRDefault="009A0060" w:rsidP="00257641">
      <w:r w:rsidRPr="00DF1D1C">
        <w:t xml:space="preserve">The MCO must </w:t>
      </w:r>
      <w:r w:rsidR="00DD150F" w:rsidRPr="00DD150F">
        <w:t>establish a process by which member ID cards can be obtained via an electronic portal and available by mail upon request</w:t>
      </w:r>
      <w:r w:rsidRPr="00DF1D1C">
        <w:t>. The card should not be overtly different in design from the card issued to the MCO</w:t>
      </w:r>
      <w:r w:rsidR="00FA1C0C" w:rsidRPr="00DF1D1C">
        <w:t>’</w:t>
      </w:r>
      <w:r w:rsidRPr="00DF1D1C">
        <w:t>s commercially enrolled enrollees</w:t>
      </w:r>
      <w:r w:rsidR="0078080B" w:rsidRPr="00DF1D1C">
        <w:t xml:space="preserve">. </w:t>
      </w:r>
      <w:r w:rsidRPr="00DF1D1C">
        <w:t xml:space="preserve">The MCO must issue all enrollees a permanent identification card within </w:t>
      </w:r>
      <w:r w:rsidR="003C4B4A">
        <w:t>five (</w:t>
      </w:r>
      <w:r w:rsidR="00AA668D">
        <w:t>5</w:t>
      </w:r>
      <w:r w:rsidR="003C4B4A">
        <w:t>)</w:t>
      </w:r>
      <w:r w:rsidR="00AA668D">
        <w:t xml:space="preserve"> </w:t>
      </w:r>
      <w:r w:rsidR="00174713">
        <w:t xml:space="preserve">business </w:t>
      </w:r>
      <w:r w:rsidRPr="00DF1D1C">
        <w:t>days of enrollment</w:t>
      </w:r>
      <w:r w:rsidR="00DD150F">
        <w:t xml:space="preserve"> through its electronic </w:t>
      </w:r>
      <w:r w:rsidR="00AF588A">
        <w:t>portal</w:t>
      </w:r>
      <w:r w:rsidR="0078080B" w:rsidRPr="00DF1D1C">
        <w:t xml:space="preserve">. </w:t>
      </w:r>
      <w:r w:rsidR="00A45AEC" w:rsidRPr="00DF1D1C">
        <w:t xml:space="preserve">The MCO may issue one </w:t>
      </w:r>
      <w:r w:rsidR="00D566E2">
        <w:t xml:space="preserve">(1) </w:t>
      </w:r>
      <w:r w:rsidR="00A45AEC" w:rsidRPr="00DF1D1C">
        <w:t>identification card for all covered benefits</w:t>
      </w:r>
      <w:r w:rsidR="0036206C">
        <w:t xml:space="preserve"> except for a dental benefit card, which may be issued separately</w:t>
      </w:r>
      <w:r w:rsidR="00A45AEC" w:rsidRPr="00DF1D1C">
        <w:t xml:space="preserve">. </w:t>
      </w:r>
      <w:r w:rsidRPr="00DF1D1C">
        <w:t xml:space="preserve">PCP information must be updated </w:t>
      </w:r>
      <w:r w:rsidR="00040B17">
        <w:t>a</w:t>
      </w:r>
      <w:r w:rsidR="00040B17" w:rsidRPr="00040B17">
        <w:t xml:space="preserve">s soon as it becomes available. The MCO must issue a replacement card within </w:t>
      </w:r>
      <w:r w:rsidR="003C4B4A">
        <w:t>five (</w:t>
      </w:r>
      <w:r w:rsidR="00AA668D">
        <w:t>5</w:t>
      </w:r>
      <w:r w:rsidR="003C4B4A">
        <w:t>)</w:t>
      </w:r>
      <w:r w:rsidR="00040B17" w:rsidRPr="00040B17">
        <w:t xml:space="preserve"> business days of </w:t>
      </w:r>
      <w:r w:rsidR="0040345E">
        <w:t>a</w:t>
      </w:r>
      <w:r w:rsidR="007954E7">
        <w:t>n</w:t>
      </w:r>
      <w:r w:rsidR="0040345E">
        <w:t xml:space="preserve"> </w:t>
      </w:r>
      <w:r w:rsidR="00637C51">
        <w:t>enrollee</w:t>
      </w:r>
      <w:r w:rsidR="00637C51" w:rsidRPr="00040B17">
        <w:t xml:space="preserve">'s </w:t>
      </w:r>
      <w:r w:rsidR="00040B17" w:rsidRPr="00040B17">
        <w:t>request.</w:t>
      </w:r>
      <w:r w:rsidR="008F020F">
        <w:t xml:space="preserve"> The MCO is not required to issue </w:t>
      </w:r>
      <w:r w:rsidR="009E5EFE">
        <w:t xml:space="preserve">a </w:t>
      </w:r>
      <w:r w:rsidR="008F020F">
        <w:t xml:space="preserve">new </w:t>
      </w:r>
      <w:r w:rsidR="008F020F" w:rsidRPr="008F020F">
        <w:t>card if</w:t>
      </w:r>
      <w:r w:rsidR="009E5EFE">
        <w:t xml:space="preserve"> the</w:t>
      </w:r>
      <w:r w:rsidR="008F020F" w:rsidRPr="008F020F">
        <w:t xml:space="preserve"> </w:t>
      </w:r>
      <w:r w:rsidR="007954E7">
        <w:t>enrollee</w:t>
      </w:r>
      <w:r w:rsidR="007954E7" w:rsidRPr="008F020F">
        <w:t xml:space="preserve"> </w:t>
      </w:r>
      <w:r w:rsidR="008F020F" w:rsidRPr="008F020F">
        <w:t xml:space="preserve">has been </w:t>
      </w:r>
      <w:r w:rsidR="008F020F">
        <w:t>previous</w:t>
      </w:r>
      <w:r w:rsidR="004D3035">
        <w:t>ly</w:t>
      </w:r>
      <w:r w:rsidR="008F020F">
        <w:t xml:space="preserve"> enrolled with the MCO</w:t>
      </w:r>
      <w:r w:rsidR="008F020F" w:rsidRPr="008F020F">
        <w:t xml:space="preserve"> </w:t>
      </w:r>
      <w:r w:rsidR="008F020F">
        <w:t xml:space="preserve">and received a card within the past </w:t>
      </w:r>
      <w:r w:rsidR="009A4997">
        <w:t>twelve (</w:t>
      </w:r>
      <w:r w:rsidR="008F020F">
        <w:t>12</w:t>
      </w:r>
      <w:r w:rsidR="009A4997">
        <w:t>)</w:t>
      </w:r>
      <w:r w:rsidR="008F020F">
        <w:t xml:space="preserve"> months unle</w:t>
      </w:r>
      <w:r w:rsidR="008F020F" w:rsidRPr="008F020F">
        <w:t>ss a new card is requested.</w:t>
      </w:r>
      <w:r w:rsidR="008F020F">
        <w:t xml:space="preserve"> </w:t>
      </w:r>
    </w:p>
    <w:p w14:paraId="6E17E106" w14:textId="77777777" w:rsidR="009A0060" w:rsidRPr="00DF1D1C" w:rsidRDefault="009A0060" w:rsidP="00257641">
      <w:pPr>
        <w:pStyle w:val="normal6"/>
      </w:pPr>
      <w:r w:rsidRPr="00DF1D1C">
        <w:t>The card must include at least the following information:</w:t>
      </w:r>
    </w:p>
    <w:p w14:paraId="252089E9" w14:textId="77777777" w:rsidR="009A0060" w:rsidRPr="00DF1D1C" w:rsidRDefault="009A0060" w:rsidP="00257641">
      <w:pPr>
        <w:numPr>
          <w:ilvl w:val="0"/>
          <w:numId w:val="26"/>
        </w:numPr>
        <w:tabs>
          <w:tab w:val="clear" w:pos="360"/>
        </w:tabs>
        <w:spacing w:after="120"/>
        <w:ind w:left="720"/>
      </w:pPr>
      <w:r w:rsidRPr="00DF1D1C">
        <w:t>Beneficiary name;</w:t>
      </w:r>
    </w:p>
    <w:p w14:paraId="6C576451" w14:textId="77777777" w:rsidR="009A0060" w:rsidRPr="00DF1D1C" w:rsidRDefault="00E23069" w:rsidP="00257641">
      <w:pPr>
        <w:numPr>
          <w:ilvl w:val="0"/>
          <w:numId w:val="26"/>
        </w:numPr>
        <w:tabs>
          <w:tab w:val="clear" w:pos="360"/>
        </w:tabs>
        <w:spacing w:after="120"/>
        <w:ind w:left="720"/>
      </w:pPr>
      <w:r>
        <w:t>State-assigned b</w:t>
      </w:r>
      <w:r w:rsidR="009A0060" w:rsidRPr="00DF1D1C">
        <w:t>eneficiary Medicaid identification number;</w:t>
      </w:r>
    </w:p>
    <w:p w14:paraId="6FB06BDD" w14:textId="77777777" w:rsidR="009A0060" w:rsidRPr="00DF1D1C" w:rsidRDefault="009A0060" w:rsidP="00257641">
      <w:pPr>
        <w:numPr>
          <w:ilvl w:val="0"/>
          <w:numId w:val="26"/>
        </w:numPr>
        <w:tabs>
          <w:tab w:val="clear" w:pos="360"/>
        </w:tabs>
        <w:spacing w:after="120"/>
        <w:ind w:left="720"/>
      </w:pPr>
      <w:r w:rsidRPr="00DF1D1C">
        <w:t>MCO name;</w:t>
      </w:r>
    </w:p>
    <w:p w14:paraId="5E26E19D" w14:textId="0C27ABFE" w:rsidR="009A0060" w:rsidRPr="00DF1D1C" w:rsidRDefault="00943674" w:rsidP="00257641">
      <w:pPr>
        <w:numPr>
          <w:ilvl w:val="0"/>
          <w:numId w:val="26"/>
        </w:numPr>
        <w:tabs>
          <w:tab w:val="clear" w:pos="360"/>
        </w:tabs>
        <w:spacing w:after="120"/>
        <w:ind w:left="720"/>
      </w:pPr>
      <w:r>
        <w:t>Twenty-four (</w:t>
      </w:r>
      <w:r w:rsidR="009A0060" w:rsidRPr="00DF1D1C">
        <w:t>24</w:t>
      </w:r>
      <w:r>
        <w:t>)</w:t>
      </w:r>
      <w:r w:rsidR="009A0060" w:rsidRPr="00DF1D1C">
        <w:t>-hour telephone number for use in urgent or emergent medical situations;</w:t>
      </w:r>
    </w:p>
    <w:p w14:paraId="14AA2645" w14:textId="151B2305" w:rsidR="009A0060" w:rsidRPr="00DF1D1C" w:rsidRDefault="009A0060" w:rsidP="00257641">
      <w:pPr>
        <w:numPr>
          <w:ilvl w:val="0"/>
          <w:numId w:val="26"/>
        </w:numPr>
        <w:tabs>
          <w:tab w:val="clear" w:pos="360"/>
        </w:tabs>
        <w:spacing w:after="120"/>
        <w:ind w:left="720"/>
      </w:pPr>
      <w:r w:rsidRPr="00DF1D1C">
        <w:t xml:space="preserve">Telephone number for </w:t>
      </w:r>
      <w:r w:rsidR="007954E7">
        <w:t>enrollee</w:t>
      </w:r>
      <w:r w:rsidR="007954E7" w:rsidRPr="00DF1D1C">
        <w:t xml:space="preserve"> </w:t>
      </w:r>
      <w:r w:rsidRPr="00DF1D1C">
        <w:t>services (if different);</w:t>
      </w:r>
    </w:p>
    <w:p w14:paraId="5E8ADD90" w14:textId="77777777" w:rsidR="009A0060" w:rsidRDefault="009A0060" w:rsidP="00257641">
      <w:pPr>
        <w:numPr>
          <w:ilvl w:val="0"/>
          <w:numId w:val="26"/>
        </w:numPr>
        <w:tabs>
          <w:tab w:val="clear" w:pos="360"/>
        </w:tabs>
        <w:spacing w:after="120"/>
        <w:ind w:left="720"/>
      </w:pPr>
      <w:r w:rsidRPr="00DF1D1C">
        <w:t xml:space="preserve">Primary care provider name and office telephone number; </w:t>
      </w:r>
    </w:p>
    <w:p w14:paraId="1062B582" w14:textId="28692177" w:rsidR="00A771F7" w:rsidRPr="00DF1D1C" w:rsidRDefault="00A771F7" w:rsidP="00257641">
      <w:pPr>
        <w:numPr>
          <w:ilvl w:val="0"/>
          <w:numId w:val="26"/>
        </w:numPr>
        <w:tabs>
          <w:tab w:val="clear" w:pos="360"/>
        </w:tabs>
        <w:spacing w:after="120"/>
        <w:ind w:left="720"/>
      </w:pPr>
      <w:r w:rsidRPr="00A771F7">
        <w:t xml:space="preserve">TTY number; </w:t>
      </w:r>
      <w:r w:rsidR="004D3035">
        <w:t>and</w:t>
      </w:r>
    </w:p>
    <w:p w14:paraId="35D9E7B0" w14:textId="7148226D" w:rsidR="009A0060" w:rsidRDefault="00943674" w:rsidP="00257641">
      <w:pPr>
        <w:numPr>
          <w:ilvl w:val="0"/>
          <w:numId w:val="26"/>
        </w:numPr>
        <w:tabs>
          <w:tab w:val="clear" w:pos="360"/>
        </w:tabs>
        <w:ind w:left="720"/>
      </w:pPr>
      <w:r>
        <w:t xml:space="preserve">The </w:t>
      </w:r>
      <w:r w:rsidR="00C442BB">
        <w:t>name of the</w:t>
      </w:r>
      <w:r>
        <w:t xml:space="preserve"> MCO program (</w:t>
      </w:r>
      <w:r w:rsidR="00C442BB">
        <w:t>Specialized Managed Care Plan for Children and Y</w:t>
      </w:r>
      <w:r w:rsidR="00C442BB" w:rsidRPr="007E0BD9">
        <w:t>outh</w:t>
      </w:r>
      <w:r w:rsidR="00C442BB">
        <w:t>)</w:t>
      </w:r>
      <w:r w:rsidR="004D3035">
        <w:t>.</w:t>
      </w:r>
    </w:p>
    <w:p w14:paraId="47C762E7" w14:textId="25075E5F" w:rsidR="009A0060" w:rsidRPr="00AE1B19" w:rsidRDefault="009A0060" w:rsidP="00257641">
      <w:r w:rsidRPr="00AE1B19">
        <w:t xml:space="preserve">The </w:t>
      </w:r>
      <w:r w:rsidR="00DD150F" w:rsidRPr="00AE1B19">
        <w:t xml:space="preserve">MCO </w:t>
      </w:r>
      <w:r w:rsidR="00867BB7">
        <w:t>must</w:t>
      </w:r>
      <w:r w:rsidR="00867BB7" w:rsidRPr="00AE1B19">
        <w:t xml:space="preserve"> </w:t>
      </w:r>
      <w:r w:rsidR="00DD150F" w:rsidRPr="00AE1B19">
        <w:t xml:space="preserve">work with providers to educate that the MCO card is not necessary at the time of visit and help to educate providers on using their enrollment portal or the WVMMIS portal to confirm eligibility of the </w:t>
      </w:r>
      <w:r w:rsidR="007954E7">
        <w:t>enrollee</w:t>
      </w:r>
      <w:r w:rsidRPr="00AE1B19">
        <w:t>.</w:t>
      </w:r>
    </w:p>
    <w:p w14:paraId="472A046B" w14:textId="26BC1C22" w:rsidR="009A0060" w:rsidRPr="00DF1D1C" w:rsidRDefault="00F777D5" w:rsidP="00257641">
      <w:pPr>
        <w:pStyle w:val="Heading4"/>
      </w:pPr>
      <w:r>
        <w:lastRenderedPageBreak/>
        <w:t>4</w:t>
      </w:r>
      <w:r w:rsidR="00324F24">
        <w:t xml:space="preserve">.4.3 </w:t>
      </w:r>
      <w:r w:rsidR="007954E7">
        <w:t>Enrollee</w:t>
      </w:r>
      <w:r w:rsidR="007954E7" w:rsidRPr="00DF1D1C">
        <w:t xml:space="preserve"> </w:t>
      </w:r>
      <w:r w:rsidR="009A0060" w:rsidRPr="00DF1D1C">
        <w:t>Handbook</w:t>
      </w:r>
    </w:p>
    <w:p w14:paraId="31F8682B" w14:textId="3B254A9F" w:rsidR="00DB05FD" w:rsidRPr="00DF1D1C" w:rsidRDefault="00D95208" w:rsidP="00257641">
      <w:r>
        <w:t>The MCO must</w:t>
      </w:r>
      <w:r w:rsidR="009A0060" w:rsidRPr="00DF1D1C">
        <w:t xml:space="preserve"> mail an enrollee handbook to the</w:t>
      </w:r>
      <w:r w:rsidR="001B6FF6">
        <w:t xml:space="preserve"> new</w:t>
      </w:r>
      <w:r w:rsidR="009A0060" w:rsidRPr="00DF1D1C">
        <w:t xml:space="preserve"> enrollee</w:t>
      </w:r>
      <w:r w:rsidR="00FA1C0C" w:rsidRPr="00DF1D1C">
        <w:t>’</w:t>
      </w:r>
      <w:r w:rsidR="009A0060" w:rsidRPr="00DF1D1C">
        <w:t xml:space="preserve">s household </w:t>
      </w:r>
      <w:r w:rsidR="00103988">
        <w:t>within</w:t>
      </w:r>
      <w:r w:rsidR="006B75E6">
        <w:t xml:space="preserve"> five (</w:t>
      </w:r>
      <w:r w:rsidR="00AA668D">
        <w:t>5</w:t>
      </w:r>
      <w:r w:rsidR="006B75E6">
        <w:t>)</w:t>
      </w:r>
      <w:r w:rsidR="00103988">
        <w:t xml:space="preserve"> </w:t>
      </w:r>
      <w:r w:rsidR="00103988" w:rsidRPr="00103988">
        <w:t xml:space="preserve">business days </w:t>
      </w:r>
      <w:r w:rsidR="009A0060" w:rsidRPr="00DF1D1C">
        <w:t>of official enrollment notification to the MCO</w:t>
      </w:r>
      <w:r w:rsidR="005578A9">
        <w:t xml:space="preserve">, </w:t>
      </w:r>
      <w:r w:rsidR="00B94F5C">
        <w:t>provide the enrollee handbook by email after obtaining the enrollee’s agreement to receive the information by email</w:t>
      </w:r>
      <w:r w:rsidR="005578A9">
        <w:t xml:space="preserve">, or advise enrollees in paper or electronic form that the information is available on the internet and includes the applicable email address, provided that enrollees with disabilities who cannot access this information online are provided auxiliary aids and services upon request at no cost. </w:t>
      </w:r>
      <w:r w:rsidR="000C0675">
        <w:t xml:space="preserve">For </w:t>
      </w:r>
      <w:r w:rsidR="007954E7">
        <w:t xml:space="preserve">enrollees </w:t>
      </w:r>
      <w:r w:rsidR="000C0675">
        <w:t xml:space="preserve">previously enrolled in the MCO within the previous </w:t>
      </w:r>
      <w:r w:rsidR="006B75E6">
        <w:t>twelve (</w:t>
      </w:r>
      <w:r w:rsidR="000C0675">
        <w:t>12</w:t>
      </w:r>
      <w:r w:rsidR="006B75E6">
        <w:t>)</w:t>
      </w:r>
      <w:r w:rsidR="000C0675">
        <w:t xml:space="preserve"> months, the MCO is not required to mail another handbook. The</w:t>
      </w:r>
      <w:r w:rsidR="002D72AE">
        <w:t xml:space="preserve"> MCO must notify</w:t>
      </w:r>
      <w:r w:rsidR="006F2F02">
        <w:t xml:space="preserve"> re-enrolled </w:t>
      </w:r>
      <w:r w:rsidR="007954E7">
        <w:t xml:space="preserve">enrollees </w:t>
      </w:r>
      <w:r w:rsidR="006F2F02">
        <w:t xml:space="preserve">with </w:t>
      </w:r>
      <w:r w:rsidR="002D72AE">
        <w:t xml:space="preserve">information on how to obtain a new handbook upon request. </w:t>
      </w:r>
      <w:r w:rsidR="009A0060" w:rsidRPr="00DF1D1C">
        <w:t>The MCO must provide periodic updates to the enrollee handbook as needed explaining changes</w:t>
      </w:r>
      <w:r w:rsidR="00103988" w:rsidRPr="00103988">
        <w:t xml:space="preserve"> </w:t>
      </w:r>
      <w:r w:rsidR="00812B22">
        <w:t xml:space="preserve">to </w:t>
      </w:r>
      <w:r w:rsidR="00103988" w:rsidRPr="00103988">
        <w:t>the MCO policies</w:t>
      </w:r>
      <w:r w:rsidR="00B869D2">
        <w:t xml:space="preserve">, </w:t>
      </w:r>
      <w:r w:rsidR="00103988" w:rsidRPr="00103988">
        <w:t>Medicaid program</w:t>
      </w:r>
      <w:r w:rsidR="00B869D2">
        <w:t>, or the foster care program</w:t>
      </w:r>
      <w:r w:rsidR="00103988" w:rsidRPr="00103988">
        <w:t>.</w:t>
      </w:r>
      <w:r w:rsidR="009A0060" w:rsidRPr="00DF1D1C">
        <w:t xml:space="preserve"> When there are program or service site changes, notification will be provided to the affected enrollees at least fourteen </w:t>
      </w:r>
      <w:r w:rsidR="00F863FE">
        <w:t xml:space="preserve">(14) </w:t>
      </w:r>
      <w:r w:rsidR="009A0060" w:rsidRPr="00DF1D1C">
        <w:t xml:space="preserve">calendar days </w:t>
      </w:r>
      <w:r w:rsidR="003531B6">
        <w:t>before</w:t>
      </w:r>
      <w:r w:rsidR="003531B6" w:rsidRPr="003531B6">
        <w:t xml:space="preserve"> </w:t>
      </w:r>
      <w:r w:rsidR="003531B6" w:rsidRPr="00243AF5">
        <w:t>intended effective date of the change</w:t>
      </w:r>
      <w:r w:rsidR="00103988" w:rsidRPr="00103988">
        <w:t>.</w:t>
      </w:r>
      <w:r w:rsidR="00103988">
        <w:t xml:space="preserve"> </w:t>
      </w:r>
      <w:r w:rsidR="00196ED9">
        <w:t xml:space="preserve">The MCO must </w:t>
      </w:r>
      <w:r w:rsidR="009A0060" w:rsidRPr="00DF1D1C">
        <w:t xml:space="preserve">maintain documentation verifying that the </w:t>
      </w:r>
      <w:r w:rsidR="007954E7">
        <w:t>enrollee</w:t>
      </w:r>
      <w:r w:rsidR="007954E7" w:rsidRPr="00DF1D1C">
        <w:t xml:space="preserve"> </w:t>
      </w:r>
      <w:r w:rsidR="009A0060" w:rsidRPr="00DF1D1C">
        <w:t>handbook is reviewed at least once a year</w:t>
      </w:r>
      <w:r w:rsidR="0078080B" w:rsidRPr="00DF1D1C">
        <w:t>.</w:t>
      </w:r>
      <w:r w:rsidR="00F24820">
        <w:t xml:space="preserve"> </w:t>
      </w:r>
      <w:r w:rsidR="00103988" w:rsidRPr="00103988">
        <w:t>The MCO must</w:t>
      </w:r>
      <w:r w:rsidR="007D05A0">
        <w:t xml:space="preserve"> notify its enrollees that</w:t>
      </w:r>
      <w:r w:rsidR="00103988" w:rsidRPr="00103988">
        <w:t xml:space="preserve"> an updated </w:t>
      </w:r>
      <w:r w:rsidR="007954E7">
        <w:t>enrollee</w:t>
      </w:r>
      <w:r w:rsidR="007954E7" w:rsidRPr="00103988">
        <w:t xml:space="preserve"> </w:t>
      </w:r>
      <w:r w:rsidR="00103988" w:rsidRPr="00103988">
        <w:t xml:space="preserve">handbook </w:t>
      </w:r>
      <w:r w:rsidR="007D05A0">
        <w:t>is available</w:t>
      </w:r>
      <w:r w:rsidR="00103988" w:rsidRPr="00103988">
        <w:t xml:space="preserve"> at least annually after initial enrollment. The MCO must publish and keep current its </w:t>
      </w:r>
      <w:r w:rsidR="007954E7">
        <w:t>enrollee</w:t>
      </w:r>
      <w:r w:rsidR="007954E7" w:rsidRPr="00103988">
        <w:t xml:space="preserve"> </w:t>
      </w:r>
      <w:r w:rsidR="00103988" w:rsidRPr="00103988">
        <w:t>handbook on</w:t>
      </w:r>
      <w:r>
        <w:t xml:space="preserve"> the MCO website. The MCO must </w:t>
      </w:r>
      <w:r w:rsidR="00103988" w:rsidRPr="00103988">
        <w:t>provide a</w:t>
      </w:r>
      <w:r w:rsidR="007954E7">
        <w:t>n</w:t>
      </w:r>
      <w:r w:rsidR="00103988" w:rsidRPr="00103988">
        <w:t xml:space="preserve"> </w:t>
      </w:r>
      <w:r w:rsidR="007954E7">
        <w:t>enrollee</w:t>
      </w:r>
      <w:r w:rsidR="007954E7" w:rsidRPr="00103988">
        <w:t xml:space="preserve"> </w:t>
      </w:r>
      <w:r w:rsidR="00103988" w:rsidRPr="00103988">
        <w:t xml:space="preserve">handbook to enrollees within </w:t>
      </w:r>
      <w:r w:rsidR="00B41708">
        <w:t>five (</w:t>
      </w:r>
      <w:r w:rsidR="00AA668D">
        <w:t>5</w:t>
      </w:r>
      <w:r w:rsidR="00B41708">
        <w:t>)</w:t>
      </w:r>
      <w:r w:rsidR="00103988" w:rsidRPr="00103988">
        <w:t xml:space="preserve"> business days upon request.</w:t>
      </w:r>
    </w:p>
    <w:p w14:paraId="21C117A9" w14:textId="20AC88DC" w:rsidR="009A0060" w:rsidRPr="00DF1D1C" w:rsidRDefault="00DC327E" w:rsidP="00257641">
      <w:r>
        <w:t xml:space="preserve">The MCO must use the model </w:t>
      </w:r>
      <w:r w:rsidR="007954E7">
        <w:t xml:space="preserve">enrollee </w:t>
      </w:r>
      <w:r>
        <w:t xml:space="preserve">handbook supplied by </w:t>
      </w:r>
      <w:r w:rsidR="00DE4BF9">
        <w:t xml:space="preserve">DHHR </w:t>
      </w:r>
      <w:r>
        <w:t xml:space="preserve">and insert MCO-specific material as directed in the template. </w:t>
      </w:r>
      <w:r w:rsidR="00B9444F">
        <w:t xml:space="preserve">The MCO must use the definitions included in the model handbook in enrollee communications. </w:t>
      </w:r>
    </w:p>
    <w:p w14:paraId="57007EEE" w14:textId="160B2442" w:rsidR="004D3035" w:rsidRDefault="00F777D5" w:rsidP="00257641">
      <w:pPr>
        <w:pStyle w:val="Heading5"/>
      </w:pPr>
      <w:r>
        <w:t xml:space="preserve">4.4.3.1 </w:t>
      </w:r>
      <w:r w:rsidR="00A81BCF">
        <w:t>Enrollee</w:t>
      </w:r>
      <w:r w:rsidR="00A81BCF" w:rsidRPr="00037B99">
        <w:t xml:space="preserve"> </w:t>
      </w:r>
      <w:r w:rsidR="004D3035" w:rsidRPr="00037B99">
        <w:t>Handbook Requirements</w:t>
      </w:r>
    </w:p>
    <w:p w14:paraId="07B5604D" w14:textId="49125610" w:rsidR="009A0060" w:rsidRPr="00DF1D1C" w:rsidRDefault="009A0060" w:rsidP="00257641">
      <w:pPr>
        <w:pStyle w:val="normal6"/>
      </w:pPr>
      <w:r w:rsidRPr="00DF1D1C">
        <w:t>The handbook must include the fo</w:t>
      </w:r>
      <w:r w:rsidR="00D95208">
        <w:t xml:space="preserve">llowing information which must </w:t>
      </w:r>
      <w:r w:rsidRPr="00DF1D1C">
        <w:t>adhere to the standards set forth in this contract:</w:t>
      </w:r>
    </w:p>
    <w:p w14:paraId="543C1C66" w14:textId="77777777" w:rsidR="009A0060" w:rsidRPr="00DF1D1C" w:rsidRDefault="009A0060" w:rsidP="00257641">
      <w:pPr>
        <w:numPr>
          <w:ilvl w:val="0"/>
          <w:numId w:val="27"/>
        </w:numPr>
        <w:tabs>
          <w:tab w:val="clear" w:pos="450"/>
        </w:tabs>
        <w:spacing w:after="120"/>
        <w:ind w:left="720"/>
      </w:pPr>
      <w:r w:rsidRPr="00DF1D1C">
        <w:t>Table of contents;</w:t>
      </w:r>
    </w:p>
    <w:p w14:paraId="211A5843" w14:textId="77777777" w:rsidR="009A0060" w:rsidRPr="00DF1D1C" w:rsidRDefault="009A0060" w:rsidP="00257641">
      <w:pPr>
        <w:numPr>
          <w:ilvl w:val="0"/>
          <w:numId w:val="27"/>
        </w:numPr>
        <w:tabs>
          <w:tab w:val="clear" w:pos="450"/>
        </w:tabs>
        <w:spacing w:after="120"/>
        <w:ind w:left="720"/>
      </w:pPr>
      <w:r w:rsidRPr="00DF1D1C">
        <w:t>The phone number which can be used for assistance in obtaining emergency care;</w:t>
      </w:r>
    </w:p>
    <w:p w14:paraId="0AB8C8B3" w14:textId="594B54B1" w:rsidR="009A0060" w:rsidRDefault="009A0060" w:rsidP="00257641">
      <w:pPr>
        <w:numPr>
          <w:ilvl w:val="0"/>
          <w:numId w:val="27"/>
        </w:numPr>
        <w:tabs>
          <w:tab w:val="clear" w:pos="450"/>
        </w:tabs>
        <w:spacing w:after="120"/>
        <w:ind w:left="720"/>
      </w:pPr>
      <w:r w:rsidRPr="00DF1D1C">
        <w:t xml:space="preserve">A description of all available </w:t>
      </w:r>
      <w:r w:rsidR="009B19C2">
        <w:t xml:space="preserve">Contract </w:t>
      </w:r>
      <w:r w:rsidRPr="00DF1D1C">
        <w:t>services</w:t>
      </w:r>
      <w:r w:rsidR="007252BE">
        <w:t>,</w:t>
      </w:r>
      <w:r w:rsidRPr="00DF1D1C">
        <w:t xml:space="preserve"> including amount, duration, scope</w:t>
      </w:r>
      <w:r w:rsidR="007252BE">
        <w:t>,</w:t>
      </w:r>
      <w:r w:rsidRPr="00DF1D1C">
        <w:t xml:space="preserve"> and how to access those services (e.g., whether the enrollee can self-refer to the service or if a referral or prior authorization is needed); and an explanation of any service limitations or exclusions from coverage;</w:t>
      </w:r>
    </w:p>
    <w:p w14:paraId="43E5FB39" w14:textId="2D87C30D" w:rsidR="00B9444F" w:rsidRPr="00DF1D1C" w:rsidRDefault="00B9444F" w:rsidP="00257641">
      <w:pPr>
        <w:numPr>
          <w:ilvl w:val="0"/>
          <w:numId w:val="27"/>
        </w:numPr>
        <w:tabs>
          <w:tab w:val="clear" w:pos="450"/>
        </w:tabs>
        <w:spacing w:after="120"/>
        <w:ind w:left="720"/>
      </w:pPr>
      <w:r>
        <w:t>A description of any restrictions on the enrollee’s freedom of choice among network providers;</w:t>
      </w:r>
    </w:p>
    <w:p w14:paraId="6DF84401" w14:textId="447AC4A1" w:rsidR="009A0060" w:rsidRPr="00DF1D1C" w:rsidRDefault="009A0060" w:rsidP="00257641">
      <w:pPr>
        <w:numPr>
          <w:ilvl w:val="0"/>
          <w:numId w:val="27"/>
        </w:numPr>
        <w:tabs>
          <w:tab w:val="clear" w:pos="450"/>
        </w:tabs>
        <w:spacing w:after="120"/>
        <w:ind w:left="720"/>
      </w:pPr>
      <w:r w:rsidRPr="00DF1D1C">
        <w:t xml:space="preserve">The </w:t>
      </w:r>
      <w:r w:rsidR="00020790">
        <w:t xml:space="preserve">toll-free </w:t>
      </w:r>
      <w:r w:rsidRPr="00DF1D1C">
        <w:t xml:space="preserve">phone number for </w:t>
      </w:r>
      <w:r w:rsidR="00257D9D" w:rsidRPr="00DF1D1C">
        <w:t xml:space="preserve">the </w:t>
      </w:r>
      <w:r w:rsidR="00A81BCF">
        <w:t>enrollee</w:t>
      </w:r>
      <w:r w:rsidR="00A81BCF" w:rsidRPr="00DF1D1C">
        <w:t xml:space="preserve"> </w:t>
      </w:r>
      <w:r w:rsidRPr="00DF1D1C">
        <w:t xml:space="preserve">services department, </w:t>
      </w:r>
      <w:r w:rsidR="00020790">
        <w:t xml:space="preserve">medical management, and any other unit providing services directly to employees, along with their </w:t>
      </w:r>
      <w:r w:rsidRPr="00DF1D1C">
        <w:t>hours of operation, and a description of its function;</w:t>
      </w:r>
    </w:p>
    <w:p w14:paraId="6855D76B" w14:textId="77777777" w:rsidR="00B41708" w:rsidRPr="00DF1D1C" w:rsidRDefault="009A0060" w:rsidP="00257641">
      <w:pPr>
        <w:numPr>
          <w:ilvl w:val="0"/>
          <w:numId w:val="27"/>
        </w:numPr>
        <w:tabs>
          <w:tab w:val="clear" w:pos="450"/>
        </w:tabs>
        <w:spacing w:after="120"/>
        <w:ind w:left="720"/>
      </w:pPr>
      <w:r w:rsidRPr="00DF1D1C">
        <w:t>Informal and formal grievance, appeal, and state fair hearing procedures, including:</w:t>
      </w:r>
    </w:p>
    <w:p w14:paraId="403603DB" w14:textId="77777777" w:rsidR="00651596" w:rsidRDefault="00651596" w:rsidP="00257641">
      <w:pPr>
        <w:numPr>
          <w:ilvl w:val="1"/>
          <w:numId w:val="27"/>
        </w:numPr>
        <w:spacing w:after="60"/>
      </w:pPr>
      <w:r>
        <w:t>The right to file grievances and appeals;</w:t>
      </w:r>
    </w:p>
    <w:p w14:paraId="733EB62E" w14:textId="54F2884B" w:rsidR="00B41708" w:rsidRPr="00DF1D1C" w:rsidRDefault="009A0060" w:rsidP="00257641">
      <w:pPr>
        <w:numPr>
          <w:ilvl w:val="1"/>
          <w:numId w:val="27"/>
        </w:numPr>
        <w:spacing w:after="60"/>
      </w:pPr>
      <w:r w:rsidRPr="00DF1D1C">
        <w:t>Filing procedures, requirements, and timeframes for complaints, grievances and appeals, and state fair hearing;</w:t>
      </w:r>
      <w:r w:rsidR="00F24820">
        <w:t xml:space="preserve"> </w:t>
      </w:r>
    </w:p>
    <w:p w14:paraId="47E009CE" w14:textId="77777777" w:rsidR="009A0060" w:rsidRDefault="009A0060" w:rsidP="00257641">
      <w:pPr>
        <w:numPr>
          <w:ilvl w:val="1"/>
          <w:numId w:val="27"/>
        </w:numPr>
        <w:spacing w:after="60"/>
      </w:pPr>
      <w:r w:rsidRPr="00DF1D1C">
        <w:t>The method of obtaining a hearing and the rules governing representation at a hearing;</w:t>
      </w:r>
    </w:p>
    <w:p w14:paraId="78E510DA" w14:textId="77777777" w:rsidR="00DB1166" w:rsidRPr="00DF1D1C" w:rsidRDefault="00DB1166" w:rsidP="00257641">
      <w:pPr>
        <w:numPr>
          <w:ilvl w:val="1"/>
          <w:numId w:val="27"/>
        </w:numPr>
        <w:spacing w:after="60"/>
      </w:pPr>
      <w:r>
        <w:lastRenderedPageBreak/>
        <w:t>The right to request a State fair hearing after a determination has been made on an enrollee’s appeal, which is adverse to the enrollee;</w:t>
      </w:r>
    </w:p>
    <w:p w14:paraId="06C4866A" w14:textId="77777777" w:rsidR="009A0060" w:rsidRPr="00DF1D1C" w:rsidRDefault="009A0060" w:rsidP="00257641">
      <w:pPr>
        <w:numPr>
          <w:ilvl w:val="1"/>
          <w:numId w:val="27"/>
        </w:numPr>
        <w:spacing w:after="60"/>
      </w:pPr>
      <w:r w:rsidRPr="00DF1D1C">
        <w:t>The availability of assistance if filing grievances and appeals, the toll-free numbers available for filing a grievance or appeal by phone;</w:t>
      </w:r>
    </w:p>
    <w:p w14:paraId="3C6556DE" w14:textId="39FCFE84" w:rsidR="00B41708" w:rsidRPr="00DF1D1C" w:rsidRDefault="009A0060" w:rsidP="00257641">
      <w:pPr>
        <w:numPr>
          <w:ilvl w:val="1"/>
          <w:numId w:val="27"/>
        </w:numPr>
        <w:spacing w:after="60"/>
      </w:pPr>
      <w:r w:rsidRPr="00DF1D1C">
        <w:t xml:space="preserve">The opportunity to have benefits continue if the enrollee files an appeal or request for a state fair hearing within </w:t>
      </w:r>
      <w:r w:rsidR="00DE4BF9">
        <w:t>DHHR</w:t>
      </w:r>
      <w:r w:rsidR="00DE4BF9" w:rsidRPr="00DF1D1C">
        <w:t xml:space="preserve"> </w:t>
      </w:r>
      <w:r w:rsidRPr="00DF1D1C">
        <w:t>specified timeframes upon request; and</w:t>
      </w:r>
    </w:p>
    <w:p w14:paraId="16C24BA2" w14:textId="77777777" w:rsidR="00DD4D4A" w:rsidRPr="00DF1D1C" w:rsidRDefault="009A0060" w:rsidP="00257641">
      <w:pPr>
        <w:numPr>
          <w:ilvl w:val="1"/>
          <w:numId w:val="27"/>
        </w:numPr>
        <w:spacing w:after="120"/>
      </w:pPr>
      <w:r w:rsidRPr="00DF1D1C">
        <w:t>The requirement that enrollees may have to pay the cost of services received while the appeal is pending, if the final decision is adverse to the enrollee;</w:t>
      </w:r>
    </w:p>
    <w:p w14:paraId="36DC362E" w14:textId="2E5DCEE6" w:rsidR="00DD4D4A" w:rsidRDefault="00DD4D4A" w:rsidP="00257641">
      <w:pPr>
        <w:numPr>
          <w:ilvl w:val="0"/>
          <w:numId w:val="27"/>
        </w:numPr>
        <w:tabs>
          <w:tab w:val="clear" w:pos="450"/>
        </w:tabs>
        <w:spacing w:after="120"/>
        <w:ind w:left="720"/>
      </w:pPr>
      <w:r>
        <w:t>How to report suspected fraud</w:t>
      </w:r>
      <w:r w:rsidR="00783A0A">
        <w:t>, wasted,</w:t>
      </w:r>
      <w:r>
        <w:t xml:space="preserve"> or abuse;</w:t>
      </w:r>
    </w:p>
    <w:p w14:paraId="3917629F" w14:textId="77777777" w:rsidR="009A0060" w:rsidRPr="00DF1D1C" w:rsidRDefault="00A71BED" w:rsidP="00257641">
      <w:pPr>
        <w:numPr>
          <w:ilvl w:val="0"/>
          <w:numId w:val="27"/>
        </w:numPr>
        <w:tabs>
          <w:tab w:val="clear" w:pos="450"/>
        </w:tabs>
        <w:spacing w:after="120"/>
        <w:ind w:left="720"/>
      </w:pPr>
      <w:r w:rsidRPr="00DF1D1C">
        <w:t>D</w:t>
      </w:r>
      <w:r w:rsidR="009A0060" w:rsidRPr="00DF1D1C">
        <w:t>isenrollment policies;</w:t>
      </w:r>
    </w:p>
    <w:p w14:paraId="512F346B" w14:textId="30557254" w:rsidR="009A0060" w:rsidRPr="00DF1D1C" w:rsidRDefault="009A0060" w:rsidP="00257641">
      <w:pPr>
        <w:numPr>
          <w:ilvl w:val="0"/>
          <w:numId w:val="27"/>
        </w:numPr>
        <w:tabs>
          <w:tab w:val="clear" w:pos="450"/>
        </w:tabs>
        <w:spacing w:after="120"/>
        <w:ind w:left="720"/>
      </w:pPr>
      <w:r w:rsidRPr="00DF1D1C">
        <w:t>How to obtain EPSDT services;</w:t>
      </w:r>
    </w:p>
    <w:p w14:paraId="1AFAD1BA" w14:textId="174A7900" w:rsidR="009A0060" w:rsidRDefault="009A0060" w:rsidP="00257641">
      <w:pPr>
        <w:numPr>
          <w:ilvl w:val="0"/>
          <w:numId w:val="27"/>
        </w:numPr>
        <w:tabs>
          <w:tab w:val="clear" w:pos="450"/>
        </w:tabs>
        <w:spacing w:after="120"/>
        <w:ind w:left="720"/>
      </w:pPr>
      <w:r w:rsidRPr="00DF1D1C">
        <w:t xml:space="preserve">Information on family planning services, including a discussion of </w:t>
      </w:r>
      <w:r w:rsidR="00A81BCF">
        <w:t>enrollee</w:t>
      </w:r>
      <w:r w:rsidR="00A81BCF" w:rsidRPr="00DF1D1C">
        <w:t xml:space="preserve">s’ </w:t>
      </w:r>
      <w:r w:rsidRPr="00DF1D1C">
        <w:t>right to self</w:t>
      </w:r>
      <w:r w:rsidRPr="00DF1D1C">
        <w:noBreakHyphen/>
        <w:t>refer to in</w:t>
      </w:r>
      <w:r w:rsidRPr="00DF1D1C">
        <w:noBreakHyphen/>
      </w:r>
      <w:r w:rsidR="00F42305">
        <w:t>network</w:t>
      </w:r>
      <w:r w:rsidR="00F42305" w:rsidRPr="00DF1D1C">
        <w:t xml:space="preserve"> </w:t>
      </w:r>
      <w:r w:rsidRPr="00DF1D1C">
        <w:t>and out</w:t>
      </w:r>
      <w:r w:rsidRPr="00DF1D1C">
        <w:noBreakHyphen/>
        <w:t>of</w:t>
      </w:r>
      <w:r w:rsidRPr="00DF1D1C">
        <w:noBreakHyphen/>
      </w:r>
      <w:r w:rsidR="00F42305">
        <w:t>network</w:t>
      </w:r>
      <w:r w:rsidRPr="00DF1D1C">
        <w:t>, Medicaid-participating family planning providers;</w:t>
      </w:r>
    </w:p>
    <w:p w14:paraId="234C92C8" w14:textId="77777777" w:rsidR="00651596" w:rsidRPr="00DF1D1C" w:rsidRDefault="00651596" w:rsidP="00257641">
      <w:pPr>
        <w:numPr>
          <w:ilvl w:val="0"/>
          <w:numId w:val="27"/>
        </w:numPr>
        <w:tabs>
          <w:tab w:val="clear" w:pos="450"/>
        </w:tabs>
        <w:spacing w:after="120"/>
        <w:ind w:left="720"/>
      </w:pPr>
      <w:r>
        <w:t>Information on the process of selecting and changing the enrollee’s primary care provider;</w:t>
      </w:r>
    </w:p>
    <w:p w14:paraId="4BA7BDB3" w14:textId="77777777" w:rsidR="009A0060" w:rsidRPr="00DF1D1C" w:rsidRDefault="009A0060" w:rsidP="00257641">
      <w:pPr>
        <w:numPr>
          <w:ilvl w:val="0"/>
          <w:numId w:val="27"/>
        </w:numPr>
        <w:tabs>
          <w:tab w:val="clear" w:pos="450"/>
        </w:tabs>
        <w:spacing w:after="120"/>
        <w:ind w:left="720"/>
      </w:pPr>
      <w:r w:rsidRPr="00DF1D1C">
        <w:t>Information concerning policies on advance directives;</w:t>
      </w:r>
    </w:p>
    <w:p w14:paraId="7D255AF5" w14:textId="77777777" w:rsidR="009A0060" w:rsidRDefault="009A0060" w:rsidP="00257641">
      <w:pPr>
        <w:numPr>
          <w:ilvl w:val="0"/>
          <w:numId w:val="27"/>
        </w:numPr>
        <w:tabs>
          <w:tab w:val="clear" w:pos="450"/>
        </w:tabs>
        <w:spacing w:after="120"/>
        <w:ind w:left="720"/>
      </w:pPr>
      <w:r w:rsidRPr="00DF1D1C">
        <w:t xml:space="preserve">Explanation of emergency care, after hours care, urgent care, routine care and </w:t>
      </w:r>
      <w:r w:rsidR="00F42305" w:rsidRPr="00DF1D1C">
        <w:t>well</w:t>
      </w:r>
      <w:r w:rsidR="00F42305">
        <w:t>-</w:t>
      </w:r>
      <w:r w:rsidRPr="00DF1D1C">
        <w:t>care, the process and procedure for obtaining each; and a statement that it is appropriate for an enrollee to use the 911 emergency telephone number for an emergency medical condition;</w:t>
      </w:r>
    </w:p>
    <w:p w14:paraId="1D1F6E87" w14:textId="77777777" w:rsidR="00651596" w:rsidRPr="00DF1D1C" w:rsidRDefault="00651596" w:rsidP="00257641">
      <w:pPr>
        <w:numPr>
          <w:ilvl w:val="0"/>
          <w:numId w:val="27"/>
        </w:numPr>
        <w:tabs>
          <w:tab w:val="clear" w:pos="450"/>
        </w:tabs>
        <w:spacing w:after="120"/>
        <w:ind w:left="720"/>
      </w:pPr>
      <w:r>
        <w:t>Explanation of what constitutes an emergency medical condition and emergency services;</w:t>
      </w:r>
    </w:p>
    <w:p w14:paraId="59DFFEE4" w14:textId="77777777" w:rsidR="009A0060" w:rsidRPr="00DF1D1C" w:rsidRDefault="009A0060" w:rsidP="00257641">
      <w:pPr>
        <w:numPr>
          <w:ilvl w:val="0"/>
          <w:numId w:val="27"/>
        </w:numPr>
        <w:tabs>
          <w:tab w:val="clear" w:pos="450"/>
        </w:tabs>
        <w:spacing w:after="120"/>
        <w:ind w:left="720"/>
      </w:pPr>
      <w:r w:rsidRPr="00DF1D1C">
        <w:t>The fact that prior authorization is not required for emergency services;</w:t>
      </w:r>
    </w:p>
    <w:p w14:paraId="01426678" w14:textId="77777777" w:rsidR="009A0060" w:rsidRPr="00DF1D1C" w:rsidRDefault="009A0060" w:rsidP="00257641">
      <w:pPr>
        <w:numPr>
          <w:ilvl w:val="0"/>
          <w:numId w:val="27"/>
        </w:numPr>
        <w:tabs>
          <w:tab w:val="clear" w:pos="450"/>
        </w:tabs>
        <w:spacing w:after="120"/>
        <w:ind w:left="720"/>
      </w:pPr>
      <w:r w:rsidRPr="00DF1D1C">
        <w:t>The enrollee</w:t>
      </w:r>
      <w:r w:rsidR="00FA1C0C" w:rsidRPr="00DF1D1C">
        <w:t>’</w:t>
      </w:r>
      <w:r w:rsidRPr="00DF1D1C">
        <w:t>s right to use any hospital or other setting for emergency care;</w:t>
      </w:r>
    </w:p>
    <w:p w14:paraId="6B61C3D0" w14:textId="017D904D" w:rsidR="009A0060" w:rsidRPr="00DF1D1C" w:rsidRDefault="009A0060" w:rsidP="00257641">
      <w:pPr>
        <w:numPr>
          <w:ilvl w:val="0"/>
          <w:numId w:val="27"/>
        </w:numPr>
        <w:tabs>
          <w:tab w:val="clear" w:pos="450"/>
        </w:tabs>
        <w:spacing w:after="120"/>
        <w:ind w:left="720"/>
      </w:pPr>
      <w:r w:rsidRPr="00DF1D1C">
        <w:t xml:space="preserve">Procedures for obtaining services covered under the Medicaid </w:t>
      </w:r>
      <w:r w:rsidR="00772DED">
        <w:t>S</w:t>
      </w:r>
      <w:r w:rsidRPr="00DF1D1C">
        <w:t xml:space="preserve">tate </w:t>
      </w:r>
      <w:r w:rsidR="00772DED">
        <w:t>P</w:t>
      </w:r>
      <w:r w:rsidRPr="00DF1D1C">
        <w:t>lan</w:t>
      </w:r>
      <w:r w:rsidR="00772DED">
        <w:t xml:space="preserve"> or the Title IV State Plan</w:t>
      </w:r>
      <w:r w:rsidRPr="00DF1D1C">
        <w:t xml:space="preserve"> a</w:t>
      </w:r>
      <w:r w:rsidR="0015296A">
        <w:t>nd not covered by the MCO (e.g.</w:t>
      </w:r>
      <w:r w:rsidR="004646FE">
        <w:t xml:space="preserve">, </w:t>
      </w:r>
      <w:r w:rsidR="00750B09">
        <w:t xml:space="preserve">prescription drugs, </w:t>
      </w:r>
      <w:r w:rsidR="00C93F86">
        <w:t>non-emergency medical transportation</w:t>
      </w:r>
      <w:r w:rsidRPr="00DF1D1C">
        <w:t>);</w:t>
      </w:r>
    </w:p>
    <w:p w14:paraId="20A1E193" w14:textId="77777777" w:rsidR="009A0060" w:rsidRPr="00DF1D1C" w:rsidRDefault="009A0060" w:rsidP="00257641">
      <w:pPr>
        <w:numPr>
          <w:ilvl w:val="0"/>
          <w:numId w:val="27"/>
        </w:numPr>
        <w:tabs>
          <w:tab w:val="clear" w:pos="450"/>
        </w:tabs>
        <w:spacing w:after="120"/>
        <w:ind w:left="720"/>
      </w:pPr>
      <w:r w:rsidRPr="00DF1D1C">
        <w:t>The extent to which and how to access post-stabilization services;</w:t>
      </w:r>
    </w:p>
    <w:p w14:paraId="7D578FB4" w14:textId="77777777" w:rsidR="009A0060" w:rsidRPr="00DF1D1C" w:rsidRDefault="009A0060" w:rsidP="00257641">
      <w:pPr>
        <w:numPr>
          <w:ilvl w:val="0"/>
          <w:numId w:val="27"/>
        </w:numPr>
        <w:tabs>
          <w:tab w:val="clear" w:pos="450"/>
        </w:tabs>
        <w:spacing w:after="120"/>
        <w:ind w:left="720"/>
      </w:pPr>
      <w:r w:rsidRPr="00DF1D1C">
        <w:t>Limited MCO liability for services from non</w:t>
      </w:r>
      <w:r w:rsidRPr="00DF1D1C">
        <w:noBreakHyphen/>
        <w:t>MCO providers, e.g., only emergency care or referrals;</w:t>
      </w:r>
    </w:p>
    <w:p w14:paraId="245952C4" w14:textId="77777777" w:rsidR="009A0060" w:rsidRPr="00DF1D1C" w:rsidRDefault="009A0060" w:rsidP="00257641">
      <w:pPr>
        <w:numPr>
          <w:ilvl w:val="0"/>
          <w:numId w:val="27"/>
        </w:numPr>
        <w:tabs>
          <w:tab w:val="clear" w:pos="450"/>
        </w:tabs>
        <w:spacing w:after="120"/>
        <w:ind w:left="720"/>
      </w:pPr>
      <w:r w:rsidRPr="00DF1D1C">
        <w:t>Information about choosing and changing PCPs;</w:t>
      </w:r>
    </w:p>
    <w:p w14:paraId="11C8FB7A" w14:textId="77777777" w:rsidR="009A0060" w:rsidRPr="00DF1D1C" w:rsidRDefault="009A0060" w:rsidP="00257641">
      <w:pPr>
        <w:numPr>
          <w:ilvl w:val="0"/>
          <w:numId w:val="27"/>
        </w:numPr>
        <w:tabs>
          <w:tab w:val="clear" w:pos="450"/>
        </w:tabs>
        <w:spacing w:after="120"/>
        <w:ind w:left="720"/>
      </w:pPr>
      <w:r w:rsidRPr="00DF1D1C">
        <w:t>Information about what to do when family composition changes;</w:t>
      </w:r>
    </w:p>
    <w:p w14:paraId="66643BBA" w14:textId="77777777" w:rsidR="009A0060" w:rsidRPr="00DF1D1C" w:rsidRDefault="009A0060" w:rsidP="00257641">
      <w:pPr>
        <w:numPr>
          <w:ilvl w:val="0"/>
          <w:numId w:val="27"/>
        </w:numPr>
        <w:tabs>
          <w:tab w:val="clear" w:pos="450"/>
        </w:tabs>
        <w:spacing w:after="120"/>
        <w:ind w:left="720"/>
      </w:pPr>
      <w:r w:rsidRPr="00DF1D1C">
        <w:t>Appointment procedures and access standards including travel time, scheduling standards and the MCO</w:t>
      </w:r>
      <w:r w:rsidR="00FA1C0C" w:rsidRPr="00DF1D1C">
        <w:t>’</w:t>
      </w:r>
      <w:r w:rsidRPr="00DF1D1C">
        <w:t>s standard waiting time;</w:t>
      </w:r>
    </w:p>
    <w:p w14:paraId="2E54488E" w14:textId="77777777" w:rsidR="009A0060" w:rsidRPr="00DF1D1C" w:rsidRDefault="009A0060" w:rsidP="00257641">
      <w:pPr>
        <w:numPr>
          <w:ilvl w:val="0"/>
          <w:numId w:val="27"/>
        </w:numPr>
        <w:tabs>
          <w:tab w:val="clear" w:pos="450"/>
        </w:tabs>
        <w:spacing w:after="120"/>
        <w:ind w:left="720"/>
      </w:pPr>
      <w:r w:rsidRPr="00DF1D1C">
        <w:t>Guidance to seeking care when out-of-area services are required, including authorization requirements and process;</w:t>
      </w:r>
    </w:p>
    <w:p w14:paraId="72703E55" w14:textId="77777777" w:rsidR="009A0060" w:rsidRPr="00DF1D1C" w:rsidRDefault="009A0060" w:rsidP="00257641">
      <w:pPr>
        <w:numPr>
          <w:ilvl w:val="0"/>
          <w:numId w:val="27"/>
        </w:numPr>
        <w:tabs>
          <w:tab w:val="clear" w:pos="450"/>
        </w:tabs>
        <w:spacing w:after="120"/>
        <w:ind w:left="720"/>
      </w:pPr>
      <w:r w:rsidRPr="00DF1D1C">
        <w:lastRenderedPageBreak/>
        <w:t>How to ob</w:t>
      </w:r>
      <w:r w:rsidR="009531C9">
        <w:t>tain emergency transportation, Medically N</w:t>
      </w:r>
      <w:r w:rsidRPr="00DF1D1C">
        <w:t>ecessary transportation and non-emergency transportation;</w:t>
      </w:r>
      <w:r w:rsidRPr="00DF1D1C">
        <w:rPr>
          <w:rStyle w:val="Style"/>
        </w:rPr>
        <w:footnoteReference w:id="13"/>
      </w:r>
    </w:p>
    <w:p w14:paraId="57143F69" w14:textId="77777777" w:rsidR="009A0060" w:rsidRPr="00DF1D1C" w:rsidRDefault="009A0060" w:rsidP="00257641">
      <w:pPr>
        <w:numPr>
          <w:ilvl w:val="0"/>
          <w:numId w:val="27"/>
        </w:numPr>
        <w:tabs>
          <w:tab w:val="clear" w:pos="450"/>
        </w:tabs>
        <w:spacing w:after="120"/>
        <w:ind w:left="720"/>
      </w:pPr>
      <w:r w:rsidRPr="00DF1D1C">
        <w:t>How to obtain maternity and sexually transmitted diseases services;</w:t>
      </w:r>
    </w:p>
    <w:p w14:paraId="3ED174CA" w14:textId="682DC0AE" w:rsidR="0082274A" w:rsidRPr="00DF1D1C" w:rsidRDefault="0082274A" w:rsidP="00257641">
      <w:pPr>
        <w:numPr>
          <w:ilvl w:val="0"/>
          <w:numId w:val="27"/>
        </w:numPr>
        <w:tabs>
          <w:tab w:val="clear" w:pos="450"/>
        </w:tabs>
        <w:spacing w:after="120"/>
        <w:ind w:left="720"/>
      </w:pPr>
      <w:r w:rsidRPr="00DF1D1C">
        <w:t>How to obtain behavioral health</w:t>
      </w:r>
      <w:r w:rsidR="00875BE8">
        <w:t xml:space="preserve"> </w:t>
      </w:r>
      <w:r w:rsidR="00783A0A">
        <w:t xml:space="preserve">and SUD </w:t>
      </w:r>
      <w:r w:rsidR="00875BE8">
        <w:t>services</w:t>
      </w:r>
      <w:r w:rsidRPr="00DF1D1C">
        <w:t>;</w:t>
      </w:r>
    </w:p>
    <w:p w14:paraId="047A3477" w14:textId="77777777" w:rsidR="0036206C" w:rsidRDefault="0036206C" w:rsidP="00257641">
      <w:pPr>
        <w:numPr>
          <w:ilvl w:val="0"/>
          <w:numId w:val="27"/>
        </w:numPr>
        <w:tabs>
          <w:tab w:val="clear" w:pos="450"/>
        </w:tabs>
        <w:spacing w:after="120"/>
        <w:ind w:left="720"/>
      </w:pPr>
      <w:r>
        <w:t>How to obtain non-emergency and emergency dental services;</w:t>
      </w:r>
    </w:p>
    <w:p w14:paraId="5F3B6CDB" w14:textId="77777777" w:rsidR="009A0060" w:rsidRPr="00DF1D1C" w:rsidRDefault="009A0060" w:rsidP="00257641">
      <w:pPr>
        <w:numPr>
          <w:ilvl w:val="0"/>
          <w:numId w:val="27"/>
        </w:numPr>
        <w:tabs>
          <w:tab w:val="clear" w:pos="450"/>
        </w:tabs>
        <w:spacing w:after="120"/>
        <w:ind w:left="720"/>
      </w:pPr>
      <w:r w:rsidRPr="00DF1D1C">
        <w:t>Information on enrollees</w:t>
      </w:r>
      <w:r w:rsidR="00FA1C0C" w:rsidRPr="00DF1D1C">
        <w:t>’</w:t>
      </w:r>
      <w:r w:rsidRPr="00DF1D1C">
        <w:t xml:space="preserve"> rights to access certified nurse midwife services and certified pediatric or family nurse practitioner services;</w:t>
      </w:r>
    </w:p>
    <w:p w14:paraId="05CBED2C" w14:textId="77777777" w:rsidR="009A0060" w:rsidRPr="00DF1D1C" w:rsidRDefault="009A0060" w:rsidP="00257641">
      <w:pPr>
        <w:numPr>
          <w:ilvl w:val="0"/>
          <w:numId w:val="27"/>
        </w:numPr>
        <w:tabs>
          <w:tab w:val="clear" w:pos="450"/>
        </w:tabs>
        <w:spacing w:after="120"/>
        <w:ind w:left="720"/>
      </w:pPr>
      <w:r w:rsidRPr="00DF1D1C">
        <w:t>Procedures for recommending changes in policies or services;</w:t>
      </w:r>
    </w:p>
    <w:p w14:paraId="7B565BC4" w14:textId="77777777" w:rsidR="009A0060" w:rsidRPr="00DF1D1C" w:rsidRDefault="009A0060" w:rsidP="00257641">
      <w:pPr>
        <w:numPr>
          <w:ilvl w:val="0"/>
          <w:numId w:val="27"/>
        </w:numPr>
        <w:tabs>
          <w:tab w:val="clear" w:pos="450"/>
        </w:tabs>
        <w:spacing w:after="120"/>
        <w:ind w:left="720"/>
      </w:pPr>
      <w:r w:rsidRPr="00DF1D1C">
        <w:t>What to do in the case of out-of-county and out-of-state moves;</w:t>
      </w:r>
      <w:r w:rsidRPr="00DF1D1C">
        <w:rPr>
          <w:rStyle w:val="Style"/>
        </w:rPr>
        <w:footnoteReference w:id="14"/>
      </w:r>
    </w:p>
    <w:p w14:paraId="3B0B638B" w14:textId="1F10A063" w:rsidR="009A0060" w:rsidRPr="00DF1D1C" w:rsidRDefault="009A0060" w:rsidP="00257641">
      <w:pPr>
        <w:numPr>
          <w:ilvl w:val="0"/>
          <w:numId w:val="27"/>
        </w:numPr>
        <w:tabs>
          <w:tab w:val="clear" w:pos="450"/>
        </w:tabs>
        <w:spacing w:after="120"/>
        <w:ind w:left="720"/>
      </w:pPr>
      <w:r w:rsidRPr="00DF1D1C">
        <w:t xml:space="preserve">What to do if the </w:t>
      </w:r>
      <w:r w:rsidR="00A81BCF">
        <w:t>enrollee</w:t>
      </w:r>
      <w:r w:rsidR="00A81BCF" w:rsidRPr="00DF1D1C">
        <w:t xml:space="preserve"> </w:t>
      </w:r>
      <w:r w:rsidRPr="00DF1D1C">
        <w:t>has a worker</w:t>
      </w:r>
      <w:r w:rsidR="00FA1C0C" w:rsidRPr="00DF1D1C">
        <w:t>’</w:t>
      </w:r>
      <w:r w:rsidRPr="00DF1D1C">
        <w:t>s compensation claim, pending personal injury or medical malpractice law suit, or has been involved in an auto accident;</w:t>
      </w:r>
    </w:p>
    <w:p w14:paraId="3EF6905B" w14:textId="5B813F35" w:rsidR="009A0060" w:rsidRPr="00DF1D1C" w:rsidRDefault="009A0060" w:rsidP="00257641">
      <w:pPr>
        <w:numPr>
          <w:ilvl w:val="0"/>
          <w:numId w:val="27"/>
        </w:numPr>
        <w:tabs>
          <w:tab w:val="clear" w:pos="450"/>
        </w:tabs>
        <w:spacing w:after="120"/>
        <w:ind w:left="720"/>
      </w:pPr>
      <w:r w:rsidRPr="00DF1D1C">
        <w:t xml:space="preserve">Information of contributions that enrollees can make toward their own health, enrollee responsibilities, appropriate and inappropriate behavior and any other information deemed essential by the MCO or </w:t>
      </w:r>
      <w:r w:rsidR="00951EE8">
        <w:t>the Department</w:t>
      </w:r>
      <w:r w:rsidRPr="00DF1D1C">
        <w:t>;</w:t>
      </w:r>
    </w:p>
    <w:p w14:paraId="140CCA21" w14:textId="77777777" w:rsidR="009A0060" w:rsidRPr="00DF1D1C" w:rsidRDefault="009A0060" w:rsidP="00257641">
      <w:pPr>
        <w:numPr>
          <w:ilvl w:val="0"/>
          <w:numId w:val="27"/>
        </w:numPr>
        <w:tabs>
          <w:tab w:val="clear" w:pos="450"/>
        </w:tabs>
        <w:spacing w:after="120"/>
        <w:ind w:left="720"/>
      </w:pPr>
      <w:r w:rsidRPr="00DF1D1C">
        <w:t>Information on enrollee rights and responsibilities, as outlined in this contract;</w:t>
      </w:r>
    </w:p>
    <w:p w14:paraId="49B30A03" w14:textId="4E4D2E6A" w:rsidR="009A0060" w:rsidRPr="00DF1D1C" w:rsidRDefault="009A0060" w:rsidP="00257641">
      <w:pPr>
        <w:numPr>
          <w:ilvl w:val="0"/>
          <w:numId w:val="27"/>
        </w:numPr>
        <w:tabs>
          <w:tab w:val="clear" w:pos="450"/>
        </w:tabs>
        <w:spacing w:after="120"/>
        <w:ind w:left="720"/>
      </w:pPr>
      <w:r w:rsidRPr="00DF1D1C">
        <w:t xml:space="preserve">Any significant changes, as defined by </w:t>
      </w:r>
      <w:r w:rsidR="00951EE8">
        <w:t>the Department</w:t>
      </w:r>
      <w:r w:rsidRPr="00DF1D1C">
        <w:t>, to the information above, at least</w:t>
      </w:r>
      <w:r w:rsidR="007071FF">
        <w:t xml:space="preserve"> thirty</w:t>
      </w:r>
      <w:r w:rsidRPr="00DF1D1C">
        <w:t xml:space="preserve"> </w:t>
      </w:r>
      <w:r w:rsidR="007071FF">
        <w:t>(</w:t>
      </w:r>
      <w:r w:rsidRPr="00DF1D1C">
        <w:t>30</w:t>
      </w:r>
      <w:r w:rsidR="007071FF">
        <w:t>)</w:t>
      </w:r>
      <w:r w:rsidRPr="00DF1D1C">
        <w:t xml:space="preserve"> </w:t>
      </w:r>
      <w:r w:rsidR="00F863FE">
        <w:t xml:space="preserve">calendar </w:t>
      </w:r>
      <w:r w:rsidRPr="00DF1D1C">
        <w:t xml:space="preserve">days before the effective date of the change and no later than the actual effective date; </w:t>
      </w:r>
    </w:p>
    <w:p w14:paraId="7493ED81" w14:textId="77777777" w:rsidR="00E96C4A" w:rsidRPr="00DF1D1C" w:rsidRDefault="009A0060" w:rsidP="00257641">
      <w:pPr>
        <w:numPr>
          <w:ilvl w:val="0"/>
          <w:numId w:val="27"/>
        </w:numPr>
        <w:tabs>
          <w:tab w:val="clear" w:pos="450"/>
        </w:tabs>
        <w:spacing w:after="120"/>
        <w:ind w:left="720"/>
      </w:pPr>
      <w:r w:rsidRPr="00DF1D1C">
        <w:t>The MCO</w:t>
      </w:r>
      <w:r w:rsidR="00FA1C0C" w:rsidRPr="00DF1D1C">
        <w:t>’</w:t>
      </w:r>
      <w:r w:rsidRPr="00DF1D1C">
        <w:t>s policies regarding the appropriate treatment of minors</w:t>
      </w:r>
      <w:r w:rsidR="001B2DAA" w:rsidRPr="00DF1D1C">
        <w:t xml:space="preserve">; </w:t>
      </w:r>
    </w:p>
    <w:p w14:paraId="6A0B5496" w14:textId="77777777" w:rsidR="00783A7A" w:rsidRDefault="00196ED9" w:rsidP="00257641">
      <w:pPr>
        <w:numPr>
          <w:ilvl w:val="0"/>
          <w:numId w:val="27"/>
        </w:numPr>
        <w:tabs>
          <w:tab w:val="clear" w:pos="450"/>
        </w:tabs>
        <w:spacing w:after="120"/>
        <w:ind w:left="720"/>
      </w:pPr>
      <w:r>
        <w:t xml:space="preserve">The MCO must </w:t>
      </w:r>
      <w:r w:rsidR="009A0060" w:rsidRPr="00DF1D1C">
        <w:t>advise enrollees at least annually of their right to request and obtain the above information</w:t>
      </w:r>
      <w:r w:rsidR="00BC2CD5">
        <w:t>;</w:t>
      </w:r>
    </w:p>
    <w:p w14:paraId="4FB8FFE5" w14:textId="5BE5AFF5" w:rsidR="00BC2CD5" w:rsidRDefault="0036206C" w:rsidP="00257641">
      <w:pPr>
        <w:numPr>
          <w:ilvl w:val="0"/>
          <w:numId w:val="27"/>
        </w:numPr>
        <w:tabs>
          <w:tab w:val="clear" w:pos="450"/>
        </w:tabs>
        <w:spacing w:after="120"/>
        <w:ind w:left="720"/>
      </w:pPr>
      <w:r>
        <w:t xml:space="preserve">Cost-sharing policies, including but not limited to exemptions for certain categories of </w:t>
      </w:r>
      <w:r w:rsidR="00A81BCF">
        <w:t xml:space="preserve">enrollees </w:t>
      </w:r>
      <w:r>
        <w:t>and services</w:t>
      </w:r>
      <w:r w:rsidR="005C40FB">
        <w:t xml:space="preserve">; </w:t>
      </w:r>
      <w:r w:rsidR="007071FF">
        <w:t>and</w:t>
      </w:r>
    </w:p>
    <w:p w14:paraId="073DC245" w14:textId="77777777" w:rsidR="00EB6960" w:rsidRDefault="005C40FB" w:rsidP="00257641">
      <w:pPr>
        <w:numPr>
          <w:ilvl w:val="0"/>
          <w:numId w:val="27"/>
        </w:numPr>
        <w:tabs>
          <w:tab w:val="clear" w:pos="450"/>
        </w:tabs>
        <w:ind w:left="720"/>
      </w:pPr>
      <w:r>
        <w:t>Policies regarding the u</w:t>
      </w:r>
      <w:r w:rsidRPr="005C40FB">
        <w:t xml:space="preserve">se of oral interpreters for minors and in </w:t>
      </w:r>
      <w:r w:rsidR="00934EA3">
        <w:t xml:space="preserve">case of </w:t>
      </w:r>
      <w:r w:rsidRPr="005C40FB">
        <w:t>emergency</w:t>
      </w:r>
      <w:r w:rsidR="007071FF">
        <w:t>.</w:t>
      </w:r>
    </w:p>
    <w:p w14:paraId="7EE9E88A" w14:textId="159C3A79" w:rsidR="00783A0A" w:rsidRDefault="00783A0A" w:rsidP="00257641">
      <w:r w:rsidRPr="00075B31">
        <w:t xml:space="preserve">The MCO must make modifications in the </w:t>
      </w:r>
      <w:r w:rsidR="00A81BCF">
        <w:t>enrollee</w:t>
      </w:r>
      <w:r w:rsidR="00A81BCF" w:rsidRPr="00075B31">
        <w:t xml:space="preserve"> </w:t>
      </w:r>
      <w:r w:rsidRPr="00075B31">
        <w:t>handbook language, if directed to do so, to comply with the requirements as described above.</w:t>
      </w:r>
    </w:p>
    <w:p w14:paraId="115CE5E7" w14:textId="257C0016" w:rsidR="00F32D75" w:rsidRDefault="0087784B" w:rsidP="00257641">
      <w:pPr>
        <w:pStyle w:val="Heading5"/>
      </w:pPr>
      <w:r>
        <w:t>4.4.3.2</w:t>
      </w:r>
      <w:r w:rsidR="00F777D5">
        <w:t xml:space="preserve"> </w:t>
      </w:r>
      <w:r w:rsidR="00F32D75" w:rsidRPr="00F934F9">
        <w:t xml:space="preserve">Availability of </w:t>
      </w:r>
      <w:r w:rsidR="00A81BCF">
        <w:t>Enrollee</w:t>
      </w:r>
      <w:r w:rsidR="00A81BCF" w:rsidRPr="00F934F9">
        <w:t xml:space="preserve"> </w:t>
      </w:r>
      <w:r w:rsidR="00F32D75" w:rsidRPr="00F934F9">
        <w:t>Handbook</w:t>
      </w:r>
    </w:p>
    <w:p w14:paraId="67528EE1" w14:textId="33EC8970" w:rsidR="009A0060" w:rsidRPr="00DF1D1C" w:rsidRDefault="009A0060" w:rsidP="00257641">
      <w:pPr>
        <w:pStyle w:val="normal6"/>
      </w:pPr>
      <w:r w:rsidRPr="00DF1D1C">
        <w:t>In addition, the MCO must make the following information available to enrollees on request:</w:t>
      </w:r>
    </w:p>
    <w:p w14:paraId="65404852" w14:textId="77777777" w:rsidR="009A0060" w:rsidRPr="00DF1D1C" w:rsidRDefault="009A0060" w:rsidP="00257641">
      <w:pPr>
        <w:numPr>
          <w:ilvl w:val="0"/>
          <w:numId w:val="28"/>
        </w:numPr>
        <w:tabs>
          <w:tab w:val="clear" w:pos="360"/>
        </w:tabs>
        <w:spacing w:after="120"/>
        <w:ind w:left="720"/>
      </w:pPr>
      <w:r w:rsidRPr="00DF1D1C">
        <w:t>Information on the structure and operation of the MCO;</w:t>
      </w:r>
    </w:p>
    <w:p w14:paraId="6E2351EB" w14:textId="77777777" w:rsidR="009A0060" w:rsidRPr="00DF1D1C" w:rsidRDefault="009A0060" w:rsidP="00257641">
      <w:pPr>
        <w:numPr>
          <w:ilvl w:val="0"/>
          <w:numId w:val="28"/>
        </w:numPr>
        <w:tabs>
          <w:tab w:val="clear" w:pos="360"/>
        </w:tabs>
        <w:spacing w:after="120"/>
        <w:ind w:left="720"/>
      </w:pPr>
      <w:r w:rsidRPr="00DF1D1C">
        <w:t>The procedures the MCO uses to control utilization of services and expenditures;</w:t>
      </w:r>
    </w:p>
    <w:p w14:paraId="5C0AA64C" w14:textId="1D7FDAA8" w:rsidR="009A0060" w:rsidRPr="00DF1D1C" w:rsidRDefault="009A0060" w:rsidP="00257641">
      <w:pPr>
        <w:numPr>
          <w:ilvl w:val="0"/>
          <w:numId w:val="28"/>
        </w:numPr>
        <w:tabs>
          <w:tab w:val="clear" w:pos="360"/>
        </w:tabs>
        <w:spacing w:after="120"/>
        <w:ind w:left="720"/>
      </w:pPr>
      <w:r w:rsidRPr="00DF1D1C">
        <w:lastRenderedPageBreak/>
        <w:t xml:space="preserve">The number of grievances and appeals and their disposition in the aggregate, in a manner and form specified by </w:t>
      </w:r>
      <w:r w:rsidR="00DE4BF9">
        <w:t>DHHR</w:t>
      </w:r>
      <w:r w:rsidR="00DE4BF9" w:rsidRPr="00DF1D1C">
        <w:t xml:space="preserve"> </w:t>
      </w:r>
      <w:r w:rsidRPr="00DF1D1C">
        <w:t>and/or Department of Insurance; and</w:t>
      </w:r>
    </w:p>
    <w:p w14:paraId="1F9A8A40" w14:textId="77777777" w:rsidR="009A0060" w:rsidRPr="00DF1D1C" w:rsidRDefault="009A0060" w:rsidP="00257641">
      <w:pPr>
        <w:numPr>
          <w:ilvl w:val="0"/>
          <w:numId w:val="28"/>
        </w:numPr>
        <w:tabs>
          <w:tab w:val="clear" w:pos="360"/>
        </w:tabs>
        <w:ind w:left="720"/>
      </w:pPr>
      <w:r w:rsidRPr="00DF1D1C">
        <w:t xml:space="preserve">A summary description of the method of compensation for physicians. </w:t>
      </w:r>
    </w:p>
    <w:p w14:paraId="06B68E86" w14:textId="77777777" w:rsidR="009A0060" w:rsidRPr="00DF1D1C" w:rsidRDefault="009A0060" w:rsidP="00257641">
      <w:r w:rsidRPr="00DF1D1C">
        <w:t>Some of the above information may be included as inserts or attachments to the handbook.</w:t>
      </w:r>
    </w:p>
    <w:p w14:paraId="248652EB" w14:textId="4CF417AD" w:rsidR="009A0060" w:rsidRDefault="0087784B" w:rsidP="00257641">
      <w:pPr>
        <w:pStyle w:val="Heading4"/>
      </w:pPr>
      <w:r>
        <w:t>4</w:t>
      </w:r>
      <w:r w:rsidR="00324F24">
        <w:t xml:space="preserve">.4.4 </w:t>
      </w:r>
      <w:r w:rsidR="009A0060" w:rsidRPr="00DF1D1C">
        <w:t xml:space="preserve">Provider Directory </w:t>
      </w:r>
    </w:p>
    <w:p w14:paraId="5027C99A" w14:textId="163B2DEB" w:rsidR="00243AF5" w:rsidRDefault="00243AF5" w:rsidP="00257641">
      <w:r w:rsidRPr="00243AF5">
        <w:t xml:space="preserve">The provider directory must include the </w:t>
      </w:r>
      <w:r w:rsidR="00783A0A">
        <w:t xml:space="preserve">provider </w:t>
      </w:r>
      <w:r w:rsidRPr="00243AF5">
        <w:t>names, locations</w:t>
      </w:r>
      <w:r w:rsidR="00783A0A" w:rsidRPr="00783A0A">
        <w:t xml:space="preserve"> </w:t>
      </w:r>
      <w:r w:rsidR="00783A0A">
        <w:t>with street address</w:t>
      </w:r>
      <w:r w:rsidRPr="00243AF5">
        <w:t xml:space="preserve">, </w:t>
      </w:r>
      <w:r w:rsidR="004B777D">
        <w:t xml:space="preserve">website URLs (as appropriate), </w:t>
      </w:r>
      <w:r w:rsidRPr="00243AF5">
        <w:t>and telephone numbers of current contracted providers in the enrollee’s service area</w:t>
      </w:r>
      <w:r w:rsidR="000001FA">
        <w:t>.</w:t>
      </w:r>
      <w:r w:rsidRPr="00243AF5">
        <w:t xml:space="preserve"> </w:t>
      </w:r>
      <w:r w:rsidR="000001FA">
        <w:t>The directory must also include the</w:t>
      </w:r>
      <w:r w:rsidRPr="00243AF5">
        <w:t xml:space="preserve"> non-English languages </w:t>
      </w:r>
      <w:r w:rsidR="00783A0A">
        <w:t>offered</w:t>
      </w:r>
      <w:r w:rsidR="00783A0A" w:rsidRPr="00243AF5">
        <w:t xml:space="preserve"> </w:t>
      </w:r>
      <w:r w:rsidR="00783A0A">
        <w:t>(including</w:t>
      </w:r>
      <w:r w:rsidR="001C21AB">
        <w:t>, but not limited to</w:t>
      </w:r>
      <w:r w:rsidR="00783A0A">
        <w:t xml:space="preserve"> American Sign Language) </w:t>
      </w:r>
      <w:r w:rsidRPr="00243AF5">
        <w:t>by the providers</w:t>
      </w:r>
      <w:r w:rsidR="00783A0A" w:rsidRPr="00783A0A">
        <w:t xml:space="preserve"> </w:t>
      </w:r>
      <w:r w:rsidR="00783A0A">
        <w:t>or their interpreters</w:t>
      </w:r>
      <w:r w:rsidR="000001FA">
        <w:t>; whether the provider has completed cultural competence training;</w:t>
      </w:r>
      <w:r w:rsidRPr="00243AF5">
        <w:t xml:space="preserve"> identif</w:t>
      </w:r>
      <w:r w:rsidR="000001FA">
        <w:t>ication of</w:t>
      </w:r>
      <w:r w:rsidRPr="00243AF5">
        <w:t xml:space="preserve"> providers that are not accepting new patients</w:t>
      </w:r>
      <w:r w:rsidR="000001FA">
        <w:t>;</w:t>
      </w:r>
      <w:r w:rsidRPr="00243AF5">
        <w:t xml:space="preserve"> </w:t>
      </w:r>
      <w:r w:rsidR="004B777D">
        <w:t>any</w:t>
      </w:r>
      <w:r w:rsidR="000001FA">
        <w:t xml:space="preserve"> provider</w:t>
      </w:r>
      <w:r w:rsidR="004B777D">
        <w:t xml:space="preserve"> group affiliations</w:t>
      </w:r>
      <w:r w:rsidR="000001FA">
        <w:t>; provider</w:t>
      </w:r>
      <w:r w:rsidR="004B777D">
        <w:t xml:space="preserve"> </w:t>
      </w:r>
      <w:r w:rsidR="000001FA">
        <w:t>specialties (as appropriate); whether the provider has office accommodations for people with physical disabilities (including offices, exam room(s), and equipment;</w:t>
      </w:r>
      <w:r w:rsidR="004B777D">
        <w:t xml:space="preserve"> </w:t>
      </w:r>
      <w:r w:rsidRPr="00243AF5">
        <w:t xml:space="preserve">and any restrictions on </w:t>
      </w:r>
      <w:r w:rsidR="0040345E">
        <w:t xml:space="preserve">the </w:t>
      </w:r>
      <w:r w:rsidRPr="00243AF5">
        <w:t>enrollee</w:t>
      </w:r>
      <w:r w:rsidR="001A33E1">
        <w:t>’</w:t>
      </w:r>
      <w:r w:rsidRPr="00243AF5">
        <w:t xml:space="preserve">s ability to select from network providers. This information should include, at a minimum, information on primary care physicians, specialists, </w:t>
      </w:r>
      <w:r w:rsidR="0036206C">
        <w:t>general pediatric dentists,</w:t>
      </w:r>
      <w:r w:rsidRPr="00243AF5">
        <w:t xml:space="preserve"> </w:t>
      </w:r>
      <w:r w:rsidR="00203BCB" w:rsidRPr="00D437EE">
        <w:rPr>
          <w:rFonts w:eastAsia="Calibri"/>
        </w:rPr>
        <w:t>behavioral health providers</w:t>
      </w:r>
      <w:r w:rsidR="004646FE" w:rsidRPr="00D437EE">
        <w:rPr>
          <w:rFonts w:eastAsia="Calibri"/>
        </w:rPr>
        <w:t>,</w:t>
      </w:r>
      <w:r w:rsidR="00203BCB" w:rsidRPr="00243AF5">
        <w:t xml:space="preserve"> </w:t>
      </w:r>
      <w:r w:rsidRPr="00243AF5">
        <w:t>and hospitals.</w:t>
      </w:r>
      <w:r w:rsidR="003150A4">
        <w:t xml:space="preserve"> </w:t>
      </w:r>
    </w:p>
    <w:p w14:paraId="216DF6AF" w14:textId="5C70D13F" w:rsidR="00243AF5" w:rsidRDefault="00643A23" w:rsidP="00257641">
      <w:r w:rsidRPr="00243AF5">
        <w:t xml:space="preserve">The MCO must give </w:t>
      </w:r>
      <w:r w:rsidR="00A70EFB">
        <w:t xml:space="preserve">affected </w:t>
      </w:r>
      <w:r w:rsidRPr="00243AF5">
        <w:t xml:space="preserve">enrollees reasonable notice of any changes regarding providers. </w:t>
      </w:r>
      <w:r w:rsidR="00243AF5" w:rsidRPr="00243AF5">
        <w:t>The MCO must furnish a written notice of any change in the names, locations, telephone numbers of</w:t>
      </w:r>
      <w:r w:rsidR="001A33E1">
        <w:t>,</w:t>
      </w:r>
      <w:r w:rsidR="00243AF5" w:rsidRPr="00243AF5">
        <w:t xml:space="preserve"> and non-English languages spoken by current contracted providers in the enrollee’s service area</w:t>
      </w:r>
      <w:r w:rsidR="00F33B38" w:rsidRPr="00243AF5">
        <w:t>, including</w:t>
      </w:r>
      <w:r w:rsidR="00243AF5" w:rsidRPr="00243AF5">
        <w:t xml:space="preserve"> identification of providers that are not accepting new patients, at least </w:t>
      </w:r>
      <w:r w:rsidR="00F41592">
        <w:t>thirty (</w:t>
      </w:r>
      <w:r w:rsidR="00243AF5" w:rsidRPr="00243AF5">
        <w:t>30</w:t>
      </w:r>
      <w:r w:rsidR="00F41592">
        <w:t>)</w:t>
      </w:r>
      <w:r w:rsidR="00243AF5" w:rsidRPr="00243AF5">
        <w:t xml:space="preserve"> </w:t>
      </w:r>
      <w:r w:rsidR="00F863FE">
        <w:t xml:space="preserve">calendar </w:t>
      </w:r>
      <w:r w:rsidR="00243AF5" w:rsidRPr="00243AF5">
        <w:t>days before the intended effective date of the change.</w:t>
      </w:r>
      <w:r w:rsidR="003150A4">
        <w:t xml:space="preserve"> </w:t>
      </w:r>
    </w:p>
    <w:p w14:paraId="129D53F8" w14:textId="421EC621" w:rsidR="0040345E" w:rsidRDefault="009A0060" w:rsidP="00257641">
      <w:r w:rsidRPr="00DF1D1C">
        <w:t xml:space="preserve">The MCO must update the </w:t>
      </w:r>
      <w:r w:rsidR="00B74F0D">
        <w:t xml:space="preserve">paper </w:t>
      </w:r>
      <w:r w:rsidRPr="00DF1D1C">
        <w:t xml:space="preserve">provider directory </w:t>
      </w:r>
      <w:r w:rsidR="00B74F0D">
        <w:t xml:space="preserve">at least monthly, and the electronic provider directory must be updated no later than </w:t>
      </w:r>
      <w:r w:rsidR="007071FF">
        <w:t>thirty (</w:t>
      </w:r>
      <w:r w:rsidR="00B74F0D">
        <w:t>30</w:t>
      </w:r>
      <w:r w:rsidR="007071FF">
        <w:t>)</w:t>
      </w:r>
      <w:r w:rsidR="00B74F0D">
        <w:t xml:space="preserve"> calendar days after the MCO receives updated provider information</w:t>
      </w:r>
      <w:r w:rsidR="0078080B" w:rsidRPr="00DF1D1C">
        <w:t xml:space="preserve">. </w:t>
      </w:r>
      <w:r w:rsidR="003E7937" w:rsidRPr="00DF1D1C">
        <w:t xml:space="preserve">The MCO must notify beneficiaries annually of their right to request </w:t>
      </w:r>
      <w:r w:rsidR="00ED2462" w:rsidRPr="00DF1D1C">
        <w:t xml:space="preserve">and obtain </w:t>
      </w:r>
      <w:r w:rsidR="003E7937" w:rsidRPr="00DF1D1C">
        <w:t xml:space="preserve">a provider directory. </w:t>
      </w:r>
      <w:r w:rsidR="00120678">
        <w:t>The MCO must</w:t>
      </w:r>
      <w:r w:rsidRPr="00DF1D1C">
        <w:t xml:space="preserve"> provide potential enrollees a copy of the provider directory, upon request.</w:t>
      </w:r>
      <w:r w:rsidR="002F1239" w:rsidRPr="002F1239">
        <w:t xml:space="preserve"> The MCO must publish and keep current its provider directory o</w:t>
      </w:r>
      <w:r w:rsidR="00120678">
        <w:t>n the MCO website. The MCO must</w:t>
      </w:r>
      <w:r w:rsidR="002F1239" w:rsidRPr="002F1239">
        <w:t xml:space="preserve"> provide enrollees</w:t>
      </w:r>
      <w:r w:rsidR="008205B4">
        <w:t xml:space="preserve"> a copy of its </w:t>
      </w:r>
      <w:r w:rsidR="002F1239" w:rsidRPr="002F1239">
        <w:t>provider directory, upon request within</w:t>
      </w:r>
      <w:r w:rsidR="00643A23">
        <w:t xml:space="preserve"> </w:t>
      </w:r>
      <w:r w:rsidR="007071FF">
        <w:t>five (</w:t>
      </w:r>
      <w:r w:rsidR="00AA668D">
        <w:t>5</w:t>
      </w:r>
      <w:r w:rsidR="007071FF">
        <w:t>)</w:t>
      </w:r>
      <w:r w:rsidR="002F1239" w:rsidRPr="002F1239">
        <w:t xml:space="preserve"> business days.</w:t>
      </w:r>
      <w:r w:rsidR="00F24820">
        <w:t xml:space="preserve"> </w:t>
      </w:r>
    </w:p>
    <w:p w14:paraId="38AB1401" w14:textId="31A3C54B" w:rsidR="003E6DD1" w:rsidRPr="00CD1178" w:rsidRDefault="0087784B" w:rsidP="00257641">
      <w:pPr>
        <w:pStyle w:val="Heading4"/>
      </w:pPr>
      <w:r w:rsidRPr="00CD1178">
        <w:t>4</w:t>
      </w:r>
      <w:r w:rsidR="00287362" w:rsidRPr="00CD1178">
        <w:t xml:space="preserve">.4.5 MCO </w:t>
      </w:r>
      <w:r w:rsidR="003E6DD1" w:rsidRPr="00CD1178">
        <w:t>Internet Website</w:t>
      </w:r>
    </w:p>
    <w:p w14:paraId="162B4C13" w14:textId="211C1473" w:rsidR="003E6DD1" w:rsidRDefault="003E6DD1" w:rsidP="00257641">
      <w:r w:rsidRPr="00D61267">
        <w:t xml:space="preserve">The MCO must develop and maintain a </w:t>
      </w:r>
      <w:r w:rsidR="0087558D">
        <w:t xml:space="preserve">public </w:t>
      </w:r>
      <w:r w:rsidRPr="00D61267">
        <w:t xml:space="preserve">website to provide general information about </w:t>
      </w:r>
      <w:r w:rsidR="00182333">
        <w:t xml:space="preserve">West Virginia’s </w:t>
      </w:r>
      <w:r w:rsidR="007E0BD9">
        <w:t>Specialized Managed Care Plan for Children and Y</w:t>
      </w:r>
      <w:r w:rsidR="007E0BD9" w:rsidRPr="007E0BD9">
        <w:t>outh</w:t>
      </w:r>
      <w:r w:rsidR="007E0BD9" w:rsidRPr="007E0BD9" w:rsidDel="009422F7">
        <w:t xml:space="preserve"> </w:t>
      </w:r>
      <w:r w:rsidR="001626A2" w:rsidRPr="00CD1178">
        <w:t xml:space="preserve">managed care </w:t>
      </w:r>
      <w:r w:rsidRPr="00CD1178">
        <w:t>program</w:t>
      </w:r>
      <w:r w:rsidRPr="002E2226">
        <w:t>, the provider network, customer services, and the complaints and appeals</w:t>
      </w:r>
      <w:r w:rsidR="00643A23" w:rsidRPr="00D61267">
        <w:t xml:space="preserve"> process</w:t>
      </w:r>
      <w:r w:rsidR="00182333" w:rsidRPr="00B01265">
        <w:t xml:space="preserve"> for </w:t>
      </w:r>
      <w:r w:rsidR="00A81BCF">
        <w:t>enrollee</w:t>
      </w:r>
      <w:r w:rsidR="00A81BCF" w:rsidRPr="00B01265">
        <w:t>s</w:t>
      </w:r>
      <w:r w:rsidR="00182333" w:rsidRPr="00B01265">
        <w:t>, foster families, adoptive families, CPS workers, and providers</w:t>
      </w:r>
      <w:r w:rsidRPr="00CD1178">
        <w:t xml:space="preserve">. The MCO must ensure that </w:t>
      </w:r>
      <w:r w:rsidR="00182333" w:rsidRPr="00B01265">
        <w:t xml:space="preserve">the </w:t>
      </w:r>
      <w:r w:rsidRPr="00CD1178">
        <w:t>enrollees</w:t>
      </w:r>
      <w:r w:rsidR="00182333" w:rsidRPr="00B01265">
        <w:t>, their families, and CPS workers</w:t>
      </w:r>
      <w:r w:rsidRPr="00CD1178">
        <w:t xml:space="preserve"> have </w:t>
      </w:r>
      <w:r w:rsidR="00EB17D9" w:rsidRPr="00CD1178">
        <w:t>access to</w:t>
      </w:r>
      <w:r w:rsidRPr="00CD1178">
        <w:t xml:space="preserve"> the most current and accurate information concerning the MCO’s network provider participation.</w:t>
      </w:r>
    </w:p>
    <w:p w14:paraId="341AAB68" w14:textId="4D494C0E" w:rsidR="00297E9B" w:rsidRDefault="0087558D" w:rsidP="00257641">
      <w:pPr>
        <w:pStyle w:val="normal6"/>
      </w:pPr>
      <w:r>
        <w:t xml:space="preserve">The MCO is required to develop a secure portal with user specific log-in credentials that </w:t>
      </w:r>
      <w:r w:rsidR="00297E9B">
        <w:t>allow role-</w:t>
      </w:r>
      <w:r>
        <w:t xml:space="preserve">based </w:t>
      </w:r>
      <w:r w:rsidR="00297E9B">
        <w:t xml:space="preserve">appropriate </w:t>
      </w:r>
      <w:r>
        <w:t>access to confidential</w:t>
      </w:r>
      <w:r w:rsidR="00297E9B">
        <w:t>, child-specific</w:t>
      </w:r>
      <w:r>
        <w:t xml:space="preserve"> information</w:t>
      </w:r>
      <w:r w:rsidR="00297E9B">
        <w:t xml:space="preserve"> by July 1, 2020. The secure portal </w:t>
      </w:r>
      <w:r w:rsidR="00867BB7">
        <w:t xml:space="preserve">must </w:t>
      </w:r>
      <w:r w:rsidR="00297E9B">
        <w:t>include, but is not limited to:</w:t>
      </w:r>
    </w:p>
    <w:p w14:paraId="47A58B4A" w14:textId="0FF78B7B" w:rsidR="00297E9B" w:rsidRPr="00B01265" w:rsidRDefault="00A81BCF" w:rsidP="00257641">
      <w:pPr>
        <w:pStyle w:val="bullet1"/>
      </w:pPr>
      <w:r>
        <w:t>Enrollee</w:t>
      </w:r>
      <w:r w:rsidR="00297E9B" w:rsidRPr="00B01265">
        <w:t xml:space="preserve">-specific information, </w:t>
      </w:r>
    </w:p>
    <w:p w14:paraId="69117742" w14:textId="41948801" w:rsidR="00297E9B" w:rsidRPr="00B01265" w:rsidRDefault="00297E9B" w:rsidP="00257641">
      <w:pPr>
        <w:pStyle w:val="bullet1"/>
      </w:pPr>
      <w:r w:rsidRPr="00B01265">
        <w:t xml:space="preserve">Service authorization statuses, </w:t>
      </w:r>
    </w:p>
    <w:p w14:paraId="0540E0A5" w14:textId="26AEB1B8" w:rsidR="00297E9B" w:rsidRPr="00B01265" w:rsidRDefault="00A81BCF" w:rsidP="00257641">
      <w:pPr>
        <w:pStyle w:val="bullet1"/>
      </w:pPr>
      <w:r>
        <w:lastRenderedPageBreak/>
        <w:t>Enrollee</w:t>
      </w:r>
      <w:r w:rsidRPr="00B01265">
        <w:t xml:space="preserve"> </w:t>
      </w:r>
      <w:r w:rsidR="00297E9B" w:rsidRPr="00B01265">
        <w:t>medical and SNS records (including assessments), and</w:t>
      </w:r>
    </w:p>
    <w:p w14:paraId="09F3A803" w14:textId="16E4B6FD" w:rsidR="00986A2E" w:rsidRDefault="00A81BCF" w:rsidP="00A1283E">
      <w:pPr>
        <w:pStyle w:val="bullet1"/>
        <w:spacing w:after="240"/>
      </w:pPr>
      <w:r>
        <w:t>Enrollee</w:t>
      </w:r>
      <w:r w:rsidRPr="00B01265">
        <w:t xml:space="preserve"> </w:t>
      </w:r>
      <w:r w:rsidR="00297E9B" w:rsidRPr="00B01265">
        <w:t>eligibility information</w:t>
      </w:r>
      <w:r w:rsidR="00297E9B" w:rsidRPr="00297E9B">
        <w:t>.</w:t>
      </w:r>
    </w:p>
    <w:p w14:paraId="161222FC" w14:textId="7A83BE93" w:rsidR="009A0060" w:rsidRPr="00DF1D1C" w:rsidRDefault="0087784B" w:rsidP="00257641">
      <w:pPr>
        <w:pStyle w:val="StyleHeading3After0pt"/>
      </w:pPr>
      <w:bookmarkStart w:id="133" w:name="_Toc73441799"/>
      <w:r>
        <w:t>4</w:t>
      </w:r>
      <w:r w:rsidR="009A0060" w:rsidRPr="00DF1D1C">
        <w:t>.5</w:t>
      </w:r>
      <w:r w:rsidR="009A0060" w:rsidRPr="00DF1D1C">
        <w:tab/>
        <w:t>Education</w:t>
      </w:r>
      <w:bookmarkEnd w:id="133"/>
    </w:p>
    <w:p w14:paraId="50D4EC39" w14:textId="5F4CC4E6" w:rsidR="009A0060" w:rsidRPr="00DF1D1C" w:rsidRDefault="0087784B" w:rsidP="00257641">
      <w:pPr>
        <w:pStyle w:val="Heading4"/>
      </w:pPr>
      <w:r>
        <w:t>4</w:t>
      </w:r>
      <w:r w:rsidR="00123B69">
        <w:t xml:space="preserve">.5.1 </w:t>
      </w:r>
      <w:r w:rsidR="009A0060" w:rsidRPr="00DF1D1C">
        <w:t xml:space="preserve">New </w:t>
      </w:r>
      <w:r w:rsidR="00A81BCF">
        <w:t>Enrollee</w:t>
      </w:r>
      <w:r w:rsidR="00A81BCF" w:rsidRPr="00DF1D1C">
        <w:t xml:space="preserve"> </w:t>
      </w:r>
      <w:r w:rsidR="009A0060" w:rsidRPr="00DF1D1C">
        <w:t>Orientation</w:t>
      </w:r>
    </w:p>
    <w:p w14:paraId="137715E9" w14:textId="77777777" w:rsidR="009A0060" w:rsidRPr="00DF1D1C" w:rsidRDefault="009A0060" w:rsidP="00257641">
      <w:pPr>
        <w:pStyle w:val="normal6"/>
      </w:pPr>
      <w:r w:rsidRPr="00DF1D1C">
        <w:t>The MCO must have written policies and procedures for orienting new Medicaid enrollees about the following:</w:t>
      </w:r>
    </w:p>
    <w:p w14:paraId="5A903EE5" w14:textId="77777777" w:rsidR="009A0060" w:rsidRPr="00DF1D1C" w:rsidRDefault="009A0060" w:rsidP="00257641">
      <w:pPr>
        <w:numPr>
          <w:ilvl w:val="0"/>
          <w:numId w:val="29"/>
        </w:numPr>
        <w:tabs>
          <w:tab w:val="clear" w:pos="360"/>
        </w:tabs>
        <w:spacing w:after="120"/>
        <w:ind w:left="720"/>
      </w:pPr>
      <w:r w:rsidRPr="00DF1D1C">
        <w:t>Covered benefits;</w:t>
      </w:r>
    </w:p>
    <w:p w14:paraId="6AC9BA52" w14:textId="77777777" w:rsidR="009A0060" w:rsidRPr="00DF1D1C" w:rsidRDefault="009A0060" w:rsidP="00257641">
      <w:pPr>
        <w:numPr>
          <w:ilvl w:val="0"/>
          <w:numId w:val="29"/>
        </w:numPr>
        <w:tabs>
          <w:tab w:val="clear" w:pos="360"/>
        </w:tabs>
        <w:spacing w:after="120"/>
        <w:ind w:left="720"/>
      </w:pPr>
      <w:r w:rsidRPr="00DF1D1C">
        <w:t>The role of the primary care provider and how to select a PCP;</w:t>
      </w:r>
    </w:p>
    <w:p w14:paraId="57FDC18A" w14:textId="77777777" w:rsidR="009A0060" w:rsidRPr="00DF1D1C" w:rsidRDefault="009A0060" w:rsidP="00257641">
      <w:pPr>
        <w:numPr>
          <w:ilvl w:val="0"/>
          <w:numId w:val="29"/>
        </w:numPr>
        <w:tabs>
          <w:tab w:val="clear" w:pos="360"/>
        </w:tabs>
        <w:spacing w:after="120"/>
        <w:ind w:left="720"/>
      </w:pPr>
      <w:r w:rsidRPr="00DF1D1C">
        <w:t>How to make appointments and utilize services;</w:t>
      </w:r>
    </w:p>
    <w:p w14:paraId="3CF6BEBF" w14:textId="77777777" w:rsidR="009A0060" w:rsidRPr="00DF1D1C" w:rsidRDefault="009A0060" w:rsidP="00257641">
      <w:pPr>
        <w:numPr>
          <w:ilvl w:val="0"/>
          <w:numId w:val="29"/>
        </w:numPr>
        <w:tabs>
          <w:tab w:val="clear" w:pos="360"/>
        </w:tabs>
        <w:spacing w:after="120"/>
        <w:ind w:left="720"/>
      </w:pPr>
      <w:r w:rsidRPr="00DF1D1C">
        <w:t>What to do in an emergency or urgent medical situation and how to utilize services in other circumstances;</w:t>
      </w:r>
    </w:p>
    <w:p w14:paraId="610089A4" w14:textId="59863C66" w:rsidR="009A0060" w:rsidRPr="00DF1D1C" w:rsidRDefault="009A0060" w:rsidP="00257641">
      <w:pPr>
        <w:numPr>
          <w:ilvl w:val="0"/>
          <w:numId w:val="29"/>
        </w:numPr>
        <w:tabs>
          <w:tab w:val="clear" w:pos="360"/>
        </w:tabs>
        <w:spacing w:after="120"/>
        <w:ind w:left="720"/>
      </w:pPr>
      <w:r w:rsidRPr="00DF1D1C">
        <w:t xml:space="preserve">How to access carved-out services in the </w:t>
      </w:r>
      <w:r w:rsidR="00783A0A">
        <w:t>FFS</w:t>
      </w:r>
      <w:r w:rsidRPr="00DF1D1C">
        <w:t xml:space="preserve"> system;</w:t>
      </w:r>
    </w:p>
    <w:p w14:paraId="6CAD33C3" w14:textId="77777777" w:rsidR="009A0060" w:rsidRPr="00DF1D1C" w:rsidRDefault="009A0060" w:rsidP="00257641">
      <w:pPr>
        <w:numPr>
          <w:ilvl w:val="0"/>
          <w:numId w:val="29"/>
        </w:numPr>
        <w:tabs>
          <w:tab w:val="clear" w:pos="360"/>
        </w:tabs>
        <w:spacing w:after="120"/>
        <w:ind w:left="720"/>
      </w:pPr>
      <w:r w:rsidRPr="00DF1D1C">
        <w:t>How to register a complaint or file a grievance;</w:t>
      </w:r>
    </w:p>
    <w:p w14:paraId="4BA7C237" w14:textId="5E870649" w:rsidR="009A0060" w:rsidRPr="00DF1D1C" w:rsidRDefault="00A81BCF" w:rsidP="00257641">
      <w:pPr>
        <w:numPr>
          <w:ilvl w:val="0"/>
          <w:numId w:val="29"/>
        </w:numPr>
        <w:tabs>
          <w:tab w:val="clear" w:pos="360"/>
        </w:tabs>
        <w:spacing w:after="120"/>
        <w:ind w:left="720"/>
      </w:pPr>
      <w:r>
        <w:t>Enrollee</w:t>
      </w:r>
      <w:r w:rsidRPr="00DF1D1C">
        <w:t xml:space="preserve">s’ </w:t>
      </w:r>
      <w:r w:rsidR="009A0060" w:rsidRPr="00DF1D1C">
        <w:t>rights and responsibilities; and</w:t>
      </w:r>
    </w:p>
    <w:p w14:paraId="7DD293EA" w14:textId="7D08F762" w:rsidR="009A0060" w:rsidRPr="00DF1D1C" w:rsidRDefault="009A0060" w:rsidP="00257641">
      <w:pPr>
        <w:numPr>
          <w:ilvl w:val="0"/>
          <w:numId w:val="29"/>
        </w:numPr>
        <w:tabs>
          <w:tab w:val="clear" w:pos="360"/>
        </w:tabs>
        <w:ind w:left="720"/>
      </w:pPr>
      <w:r w:rsidRPr="00DF1D1C">
        <w:t xml:space="preserve">Contents of the Medicaid </w:t>
      </w:r>
      <w:r w:rsidR="00A81BCF">
        <w:t>enrollee</w:t>
      </w:r>
      <w:r w:rsidR="00A81BCF" w:rsidRPr="00DF1D1C">
        <w:t xml:space="preserve"> </w:t>
      </w:r>
      <w:r w:rsidRPr="00DF1D1C">
        <w:t>handbook.</w:t>
      </w:r>
    </w:p>
    <w:p w14:paraId="12817358" w14:textId="1F87D583" w:rsidR="009A0060" w:rsidRPr="00DF1D1C" w:rsidRDefault="0087784B" w:rsidP="00257641">
      <w:pPr>
        <w:pStyle w:val="Heading4"/>
      </w:pPr>
      <w:r>
        <w:t>4</w:t>
      </w:r>
      <w:r w:rsidR="00123B69">
        <w:t xml:space="preserve">.5.2 </w:t>
      </w:r>
      <w:r w:rsidR="009A0060" w:rsidRPr="00DF1D1C">
        <w:t>Health Education and Preventive Care</w:t>
      </w:r>
    </w:p>
    <w:p w14:paraId="0B32A9D9" w14:textId="77777777" w:rsidR="009A0060" w:rsidRPr="00DF1D1C" w:rsidRDefault="009A0060" w:rsidP="00257641">
      <w:r w:rsidRPr="00DF1D1C">
        <w:t>The MCO must provide a continuous program of general health education for disease and injury prevention and identification without cost to the enrollees</w:t>
      </w:r>
      <w:r w:rsidR="0078080B" w:rsidRPr="00DF1D1C">
        <w:t xml:space="preserve">. </w:t>
      </w:r>
      <w:r w:rsidRPr="00DF1D1C">
        <w:t>Such a program may include publications (e.g., brochures, newsletters), media (e.g., films, videotapes), presentations (</w:t>
      </w:r>
      <w:r w:rsidR="002F72D8" w:rsidRPr="00DF1D1C">
        <w:t xml:space="preserve">e.g., </w:t>
      </w:r>
      <w:r w:rsidRPr="00DF1D1C">
        <w:t>seminars, lunch-and-learn sessions) and classroom instruction</w:t>
      </w:r>
      <w:r w:rsidR="0078080B" w:rsidRPr="00DF1D1C">
        <w:t xml:space="preserve">. </w:t>
      </w:r>
    </w:p>
    <w:p w14:paraId="31AAAA1F" w14:textId="416EEC41" w:rsidR="00424F5C" w:rsidRPr="00DF1D1C" w:rsidRDefault="009A0060" w:rsidP="00257641">
      <w:r w:rsidRPr="00DF1D1C">
        <w:t xml:space="preserve">The MCO must provide programs of wellness education. Such programs may include stress management, nutritional education, prenatal care, human development, care of newborn infants and programs focused on the importance of physical activity in maintaining health. </w:t>
      </w:r>
      <w:r w:rsidR="003D1891">
        <w:t xml:space="preserve">The </w:t>
      </w:r>
      <w:r w:rsidR="00424F5C" w:rsidRPr="00DF1D1C">
        <w:t xml:space="preserve">MCO must provide </w:t>
      </w:r>
      <w:r w:rsidR="003B01AC" w:rsidRPr="00DF1D1C">
        <w:t xml:space="preserve">tobacco cessation benefits </w:t>
      </w:r>
      <w:r w:rsidR="00424F5C" w:rsidRPr="00DF1D1C">
        <w:t xml:space="preserve">for </w:t>
      </w:r>
      <w:r w:rsidR="0036206C">
        <w:t xml:space="preserve">pregnant women, </w:t>
      </w:r>
      <w:r w:rsidR="00424F5C" w:rsidRPr="00DF1D1C">
        <w:t>adults</w:t>
      </w:r>
      <w:r w:rsidR="0036206C">
        <w:t>,</w:t>
      </w:r>
      <w:r w:rsidR="00424F5C" w:rsidRPr="00DF1D1C">
        <w:t xml:space="preserve"> and children</w:t>
      </w:r>
      <w:r w:rsidR="00BF1926">
        <w:t xml:space="preserve"> respectively</w:t>
      </w:r>
      <w:r w:rsidR="0078080B" w:rsidRPr="00DF1D1C">
        <w:t xml:space="preserve">. </w:t>
      </w:r>
      <w:r w:rsidR="0036206C">
        <w:t xml:space="preserve">The MCO is not required to provide weight management services; the MCO may provide these services as a value-added service except for bariatric surgery which is a covered benefit under the </w:t>
      </w:r>
      <w:r w:rsidR="00C9121F">
        <w:t xml:space="preserve">Medicaid </w:t>
      </w:r>
      <w:r w:rsidR="0036206C">
        <w:t xml:space="preserve">State Plan. </w:t>
      </w:r>
    </w:p>
    <w:p w14:paraId="7B4D3B41" w14:textId="0DC7EB60" w:rsidR="009A0060" w:rsidRPr="00DF1D1C" w:rsidRDefault="009A0060" w:rsidP="00257641">
      <w:r w:rsidRPr="00DF1D1C">
        <w:t xml:space="preserve">Additional </w:t>
      </w:r>
      <w:r w:rsidR="00424F5C" w:rsidRPr="00DF1D1C">
        <w:t xml:space="preserve">health education and preventive care </w:t>
      </w:r>
      <w:r w:rsidRPr="00DF1D1C">
        <w:t xml:space="preserve">programs may be provided </w:t>
      </w:r>
      <w:r w:rsidR="0078080B" w:rsidRPr="00DF1D1C">
        <w:t xml:space="preserve">that </w:t>
      </w:r>
      <w:r w:rsidRPr="00DF1D1C">
        <w:t>address the social and physical consequences of high-risk behaviors</w:t>
      </w:r>
      <w:r w:rsidR="0078080B" w:rsidRPr="00DF1D1C">
        <w:t xml:space="preserve">. </w:t>
      </w:r>
      <w:r w:rsidRPr="00DF1D1C">
        <w:t xml:space="preserve">Examples include programs on the prevention of HIV/AIDS, unintended pregnancy, violence, </w:t>
      </w:r>
      <w:r w:rsidR="00783A0A">
        <w:t>SUD</w:t>
      </w:r>
      <w:r w:rsidRPr="00DF1D1C">
        <w:t>, tobacco use, sun exposure and protective devices such as seatbelts, safety helmets, and safety glasses. These programs must be conducted by qualified personnel. The MCO must also offer periodic screening programs that in the opinion of the medical staff would effectively identify conditions indicative of a health problem. The MCO must periodically remind and encourage their Medicaid enrollees to use benefits including physical examinations that are available and designed t</w:t>
      </w:r>
      <w:r w:rsidR="00196ED9">
        <w:t>o prevent illness. The MCO must</w:t>
      </w:r>
      <w:r w:rsidRPr="00DF1D1C">
        <w:t xml:space="preserve"> keep a record of all activities it has conducted to satisfy this requirement.</w:t>
      </w:r>
    </w:p>
    <w:p w14:paraId="5CE71E34" w14:textId="576A5C25" w:rsidR="00117793" w:rsidRPr="00DF1D1C" w:rsidRDefault="0087784B" w:rsidP="00257641">
      <w:pPr>
        <w:pStyle w:val="Heading4"/>
      </w:pPr>
      <w:r>
        <w:lastRenderedPageBreak/>
        <w:t>4</w:t>
      </w:r>
      <w:r w:rsidR="00123B69">
        <w:t xml:space="preserve">.5.3 </w:t>
      </w:r>
      <w:r w:rsidR="00117793" w:rsidRPr="00DF1D1C">
        <w:t>Health Screenings</w:t>
      </w:r>
    </w:p>
    <w:p w14:paraId="297E98D1" w14:textId="77777777" w:rsidR="00117793" w:rsidRPr="00DF1D1C" w:rsidRDefault="00117793" w:rsidP="00257641">
      <w:r w:rsidRPr="00DF1D1C">
        <w:t>The MCO may offer health screenings at community events, health awareness events, and in wellness vans</w:t>
      </w:r>
      <w:r w:rsidR="00220258" w:rsidRPr="00DF1D1C">
        <w:t xml:space="preserve"> to its enrollees and other members of the community</w:t>
      </w:r>
      <w:r w:rsidR="00196ED9">
        <w:t>. The MCO must</w:t>
      </w:r>
      <w:r w:rsidRPr="00DF1D1C">
        <w:t xml:space="preserve"> </w:t>
      </w:r>
      <w:r w:rsidR="005E3522" w:rsidRPr="00DF1D1C">
        <w:t xml:space="preserve">instruct each enrollee that receives a screen to </w:t>
      </w:r>
      <w:r w:rsidRPr="00DF1D1C">
        <w:t>contact his or her PCP if medical follow-up is necessar</w:t>
      </w:r>
      <w:r w:rsidR="00FF5BEF" w:rsidRPr="00DF1D1C">
        <w:t xml:space="preserve">y and </w:t>
      </w:r>
      <w:r w:rsidR="00196ED9">
        <w:t xml:space="preserve">must </w:t>
      </w:r>
      <w:r w:rsidR="00EA4A29" w:rsidRPr="00DF1D1C">
        <w:t xml:space="preserve">ensure </w:t>
      </w:r>
      <w:r w:rsidR="00FF5BEF" w:rsidRPr="00DF1D1C">
        <w:t xml:space="preserve">that </w:t>
      </w:r>
      <w:r w:rsidR="00B01586" w:rsidRPr="00DF1D1C">
        <w:t>each</w:t>
      </w:r>
      <w:r w:rsidR="00FF5BEF" w:rsidRPr="00DF1D1C">
        <w:t xml:space="preserve"> enrollee receives</w:t>
      </w:r>
      <w:r w:rsidRPr="00DF1D1C">
        <w:t xml:space="preserve"> a printed summary of the assessment information to take to his or her PCP. </w:t>
      </w:r>
      <w:r w:rsidR="00220258" w:rsidRPr="00DF1D1C">
        <w:t xml:space="preserve">The MCO </w:t>
      </w:r>
      <w:r w:rsidR="00441757">
        <w:t xml:space="preserve">is encouraged to </w:t>
      </w:r>
      <w:r w:rsidR="00220258" w:rsidRPr="00DF1D1C">
        <w:t xml:space="preserve">transmit a summary of the assessment information directly to </w:t>
      </w:r>
      <w:r w:rsidR="00EA4A29" w:rsidRPr="00DF1D1C">
        <w:t>each</w:t>
      </w:r>
      <w:r w:rsidR="00220258" w:rsidRPr="00DF1D1C">
        <w:t xml:space="preserve"> enrollee</w:t>
      </w:r>
      <w:r w:rsidR="00FA1C0C" w:rsidRPr="00DF1D1C">
        <w:t>’</w:t>
      </w:r>
      <w:r w:rsidR="00220258" w:rsidRPr="00DF1D1C">
        <w:t xml:space="preserve">s PCP. </w:t>
      </w:r>
    </w:p>
    <w:p w14:paraId="78B9614A" w14:textId="265DCBD0" w:rsidR="009A0060" w:rsidRPr="00DF1D1C" w:rsidRDefault="0087784B" w:rsidP="00257641">
      <w:pPr>
        <w:pStyle w:val="Heading4"/>
      </w:pPr>
      <w:r>
        <w:t>4</w:t>
      </w:r>
      <w:r w:rsidR="00123B69">
        <w:t xml:space="preserve">.5.4 </w:t>
      </w:r>
      <w:r w:rsidR="009A0060" w:rsidRPr="00DF1D1C">
        <w:t>Advance Directives</w:t>
      </w:r>
    </w:p>
    <w:p w14:paraId="7AD64C24" w14:textId="77777777" w:rsidR="009A0060" w:rsidRPr="00DF1D1C" w:rsidRDefault="009A0060" w:rsidP="00257641">
      <w:pPr>
        <w:pStyle w:val="normal6"/>
      </w:pPr>
      <w:r w:rsidRPr="00DF1D1C">
        <w:t xml:space="preserve">The MCO must comply with </w:t>
      </w:r>
      <w:bookmarkStart w:id="134" w:name="OLE_LINK1"/>
      <w:r w:rsidRPr="00DF1D1C">
        <w:t xml:space="preserve">42 CFR 422.128 </w:t>
      </w:r>
      <w:bookmarkEnd w:id="134"/>
      <w:r w:rsidRPr="00DF1D1C">
        <w:t>relating to written policies and procedures respecting advance directives, including the following:</w:t>
      </w:r>
    </w:p>
    <w:p w14:paraId="0A33EF73" w14:textId="5C0754C6" w:rsidR="009A0060" w:rsidRPr="00DF1D1C" w:rsidRDefault="009A0060" w:rsidP="00257641">
      <w:pPr>
        <w:numPr>
          <w:ilvl w:val="0"/>
          <w:numId w:val="30"/>
        </w:numPr>
        <w:tabs>
          <w:tab w:val="clear" w:pos="360"/>
        </w:tabs>
        <w:spacing w:after="120"/>
        <w:ind w:left="720"/>
      </w:pPr>
      <w:r w:rsidRPr="00DF1D1C">
        <w:t>Providing written information to enrollees concerning their rights under State law to make decisions about their medical care, including accepting or refusing medical or surgical treatment, and to formulate advance directives and concerning the MCO</w:t>
      </w:r>
      <w:r w:rsidR="00FA1C0C" w:rsidRPr="00DF1D1C">
        <w:t>’</w:t>
      </w:r>
      <w:r w:rsidRPr="00DF1D1C">
        <w:t xml:space="preserve">s policies with respect to the implementation of such rights; this information should be included in the </w:t>
      </w:r>
      <w:r w:rsidR="00A81BCF">
        <w:t>enrollee</w:t>
      </w:r>
      <w:r w:rsidR="00A81BCF" w:rsidRPr="00DF1D1C">
        <w:t xml:space="preserve"> </w:t>
      </w:r>
      <w:r w:rsidRPr="00DF1D1C">
        <w:t>handbook;</w:t>
      </w:r>
    </w:p>
    <w:p w14:paraId="0575D7B0" w14:textId="45015D35" w:rsidR="009A0060" w:rsidRPr="00DF1D1C" w:rsidRDefault="009A0060" w:rsidP="00257641">
      <w:pPr>
        <w:numPr>
          <w:ilvl w:val="0"/>
          <w:numId w:val="30"/>
        </w:numPr>
        <w:tabs>
          <w:tab w:val="clear" w:pos="360"/>
        </w:tabs>
        <w:spacing w:after="120"/>
        <w:ind w:left="720"/>
      </w:pPr>
      <w:r w:rsidRPr="00DF1D1C">
        <w:t xml:space="preserve">Ensuring that written information reflects changes in State law as soon as possible, but no later than </w:t>
      </w:r>
      <w:r w:rsidR="00F41592">
        <w:t>ninety (</w:t>
      </w:r>
      <w:r w:rsidRPr="00DF1D1C">
        <w:t>90</w:t>
      </w:r>
      <w:r w:rsidR="00F41592">
        <w:t>)</w:t>
      </w:r>
      <w:r w:rsidRPr="00DF1D1C">
        <w:t xml:space="preserve"> </w:t>
      </w:r>
      <w:r w:rsidR="003D1891">
        <w:t xml:space="preserve">calendar </w:t>
      </w:r>
      <w:r w:rsidRPr="00DF1D1C">
        <w:t>days after the effective date of the change;</w:t>
      </w:r>
    </w:p>
    <w:p w14:paraId="14E0244D" w14:textId="35B05C99" w:rsidR="009A0060" w:rsidRPr="00DF1D1C" w:rsidRDefault="009A0060" w:rsidP="00257641">
      <w:pPr>
        <w:numPr>
          <w:ilvl w:val="0"/>
          <w:numId w:val="30"/>
        </w:numPr>
        <w:tabs>
          <w:tab w:val="clear" w:pos="360"/>
        </w:tabs>
        <w:spacing w:after="120"/>
        <w:ind w:left="720"/>
      </w:pPr>
      <w:r w:rsidRPr="00DF1D1C">
        <w:t xml:space="preserve">Documenting in the </w:t>
      </w:r>
      <w:r w:rsidR="00A81BCF">
        <w:t>enrollee</w:t>
      </w:r>
      <w:r w:rsidR="00A81BCF" w:rsidRPr="00DF1D1C">
        <w:t xml:space="preserve">’s </w:t>
      </w:r>
      <w:r w:rsidRPr="00DF1D1C">
        <w:t xml:space="preserve">medical record whether or not the </w:t>
      </w:r>
      <w:r w:rsidR="00A81BCF">
        <w:t>enrollee</w:t>
      </w:r>
      <w:r w:rsidR="00A81BCF" w:rsidRPr="00DF1D1C">
        <w:t xml:space="preserve"> </w:t>
      </w:r>
      <w:r w:rsidRPr="00DF1D1C">
        <w:t>has executed an advance directive;</w:t>
      </w:r>
    </w:p>
    <w:p w14:paraId="75DD5BA3" w14:textId="42EB6BDC" w:rsidR="009A0060" w:rsidRPr="00DF1D1C" w:rsidRDefault="009A0060" w:rsidP="00257641">
      <w:pPr>
        <w:numPr>
          <w:ilvl w:val="0"/>
          <w:numId w:val="30"/>
        </w:numPr>
        <w:tabs>
          <w:tab w:val="clear" w:pos="360"/>
        </w:tabs>
        <w:spacing w:after="120"/>
        <w:ind w:left="720"/>
      </w:pPr>
      <w:r w:rsidRPr="00DF1D1C">
        <w:t>Not conditioning the provision of care or otherwise discriminating against a</w:t>
      </w:r>
      <w:r w:rsidR="00A81BCF">
        <w:t>n</w:t>
      </w:r>
      <w:r w:rsidRPr="00DF1D1C">
        <w:t xml:space="preserve"> </w:t>
      </w:r>
      <w:r w:rsidR="00A81BCF">
        <w:t>enrollee</w:t>
      </w:r>
      <w:r w:rsidR="00A81BCF" w:rsidRPr="00DF1D1C">
        <w:t xml:space="preserve"> </w:t>
      </w:r>
      <w:r w:rsidRPr="00DF1D1C">
        <w:t xml:space="preserve">based on whether the </w:t>
      </w:r>
      <w:r w:rsidR="00A81BCF">
        <w:t>enrollee</w:t>
      </w:r>
      <w:r w:rsidR="00A81BCF" w:rsidRPr="00DF1D1C">
        <w:t xml:space="preserve"> </w:t>
      </w:r>
      <w:r w:rsidRPr="00DF1D1C">
        <w:t>has executed an advance directive;</w:t>
      </w:r>
    </w:p>
    <w:p w14:paraId="481168DC" w14:textId="77777777" w:rsidR="009A0060" w:rsidRPr="00DF1D1C" w:rsidRDefault="009A0060" w:rsidP="00257641">
      <w:pPr>
        <w:numPr>
          <w:ilvl w:val="0"/>
          <w:numId w:val="30"/>
        </w:numPr>
        <w:tabs>
          <w:tab w:val="clear" w:pos="360"/>
        </w:tabs>
        <w:spacing w:after="120"/>
        <w:ind w:left="720"/>
      </w:pPr>
      <w:r w:rsidRPr="00DF1D1C">
        <w:t xml:space="preserve">Ensuring compliance with requirements of state law respecting advance directives; </w:t>
      </w:r>
    </w:p>
    <w:p w14:paraId="5EF0A872" w14:textId="77777777" w:rsidR="009A0060" w:rsidRPr="00DF1D1C" w:rsidRDefault="009A0060" w:rsidP="00257641">
      <w:pPr>
        <w:numPr>
          <w:ilvl w:val="0"/>
          <w:numId w:val="30"/>
        </w:numPr>
        <w:tabs>
          <w:tab w:val="clear" w:pos="360"/>
        </w:tabs>
        <w:spacing w:after="120"/>
        <w:ind w:left="720"/>
      </w:pPr>
      <w:r w:rsidRPr="00DF1D1C">
        <w:t>Providing education for staff and the community on issues concerning advance directives; and</w:t>
      </w:r>
    </w:p>
    <w:p w14:paraId="517B062A" w14:textId="77777777" w:rsidR="009A0060" w:rsidRPr="00DF1D1C" w:rsidRDefault="009A0060" w:rsidP="00257641">
      <w:pPr>
        <w:numPr>
          <w:ilvl w:val="0"/>
          <w:numId w:val="30"/>
        </w:numPr>
        <w:tabs>
          <w:tab w:val="clear" w:pos="360"/>
        </w:tabs>
        <w:ind w:left="720"/>
      </w:pPr>
      <w:r w:rsidRPr="00DF1D1C">
        <w:t>Informing enrollees that complaints concerning noncompliance with the advance directive requirements may be filed with the Department survey and certification office.</w:t>
      </w:r>
    </w:p>
    <w:p w14:paraId="77A8508C" w14:textId="71441B8D" w:rsidR="009A0060" w:rsidRPr="00DF1D1C" w:rsidRDefault="009A0060" w:rsidP="00257641">
      <w:r w:rsidRPr="00DF1D1C">
        <w:t>For further information regarding advance directives, refer to 42 U.S.C. Section 1396a</w:t>
      </w:r>
      <w:r w:rsidR="007911CC">
        <w:t xml:space="preserve"> </w:t>
      </w:r>
      <w:r w:rsidRPr="00DF1D1C">
        <w:t>(w).</w:t>
      </w:r>
    </w:p>
    <w:p w14:paraId="0F26FC27" w14:textId="47ACEB40" w:rsidR="009A0060" w:rsidRPr="00DF1D1C" w:rsidRDefault="0087784B" w:rsidP="00257641">
      <w:pPr>
        <w:pStyle w:val="Heading3"/>
      </w:pPr>
      <w:bookmarkStart w:id="135" w:name="_Toc73441800"/>
      <w:bookmarkStart w:id="136" w:name="_Toc8129027"/>
      <w:r>
        <w:t>4</w:t>
      </w:r>
      <w:r w:rsidR="009A0060" w:rsidRPr="00DF1D1C">
        <w:t>.6</w:t>
      </w:r>
      <w:r w:rsidR="009A0060" w:rsidRPr="00DF1D1C">
        <w:tab/>
        <w:t>Enrollee Rights</w:t>
      </w:r>
      <w:bookmarkEnd w:id="135"/>
      <w:bookmarkEnd w:id="136"/>
    </w:p>
    <w:p w14:paraId="65A43038" w14:textId="21E2E7EC" w:rsidR="009A0060" w:rsidRPr="00DF1D1C" w:rsidRDefault="0087784B" w:rsidP="00257641">
      <w:pPr>
        <w:pStyle w:val="Heading4"/>
        <w:widowControl w:val="0"/>
      </w:pPr>
      <w:r>
        <w:t>4</w:t>
      </w:r>
      <w:r w:rsidR="008942AD">
        <w:t xml:space="preserve">.6.1 </w:t>
      </w:r>
      <w:r w:rsidR="009A0060" w:rsidRPr="00DF1D1C">
        <w:t>Written Policies on Enrollee Rights</w:t>
      </w:r>
    </w:p>
    <w:p w14:paraId="66DABC31" w14:textId="77777777" w:rsidR="009A0060" w:rsidRPr="00DF1D1C" w:rsidRDefault="009A0060" w:rsidP="00257641">
      <w:r w:rsidRPr="00DF1D1C">
        <w:t>The MCO must have written policies with respect to the enrollee rights specified below</w:t>
      </w:r>
      <w:r w:rsidR="0078080B" w:rsidRPr="00DF1D1C">
        <w:t>.</w:t>
      </w:r>
      <w:r w:rsidR="004E3648" w:rsidRPr="004E3648">
        <w:t xml:space="preserve"> </w:t>
      </w:r>
      <w:r w:rsidR="004E3648">
        <w:t>The MCO must comply with any applicable Federal and State laws that pertain to enrollee rights.</w:t>
      </w:r>
      <w:r w:rsidR="0078080B" w:rsidRPr="00DF1D1C">
        <w:t xml:space="preserve"> </w:t>
      </w:r>
      <w:r w:rsidRPr="00DF1D1C">
        <w:t>The MCO must articulate enrollees</w:t>
      </w:r>
      <w:r w:rsidR="00FA1C0C" w:rsidRPr="00DF1D1C">
        <w:t>’</w:t>
      </w:r>
      <w:r w:rsidRPr="00DF1D1C">
        <w:t xml:space="preserve"> rights, promote the exercise of those rights, </w:t>
      </w:r>
      <w:r w:rsidR="009C4FC2">
        <w:t xml:space="preserve">and </w:t>
      </w:r>
      <w:r w:rsidRPr="00DF1D1C">
        <w:t xml:space="preserve">ensure that its staff and affiliated providers </w:t>
      </w:r>
      <w:r w:rsidR="004E3648">
        <w:t xml:space="preserve">protect and </w:t>
      </w:r>
      <w:r w:rsidRPr="00DF1D1C">
        <w:t>take the rights into account when furnishing services to enrollees</w:t>
      </w:r>
      <w:r w:rsidR="0078080B" w:rsidRPr="00DF1D1C">
        <w:t xml:space="preserve">. </w:t>
      </w:r>
      <w:r w:rsidRPr="00DF1D1C">
        <w:t>The MCO must ensure that these rights are communicated to enrollees annually following initial enrollment; and to the MCO</w:t>
      </w:r>
      <w:r w:rsidR="00FA1C0C" w:rsidRPr="00DF1D1C">
        <w:t>’</w:t>
      </w:r>
      <w:r w:rsidRPr="00DF1D1C">
        <w:t>s staff and affiliated providers, at the time of initial employment or affiliation and annually thereafter. The MCO must also monitor and promote compliance with the policies by the MCO</w:t>
      </w:r>
      <w:r w:rsidR="00FA1C0C" w:rsidRPr="00DF1D1C">
        <w:t>’</w:t>
      </w:r>
      <w:r w:rsidRPr="00DF1D1C">
        <w:t xml:space="preserve">s staff and affiliated providers through analysis of complaints or grievances, requests to change providers, enrollee satisfaction surveys, and other sources of enrollee input. </w:t>
      </w:r>
    </w:p>
    <w:p w14:paraId="70729A8F" w14:textId="18E81B15" w:rsidR="009A0060" w:rsidRPr="00DF1D1C" w:rsidRDefault="0087784B" w:rsidP="00257641">
      <w:pPr>
        <w:pStyle w:val="Heading4"/>
      </w:pPr>
      <w:r>
        <w:lastRenderedPageBreak/>
        <w:t>4</w:t>
      </w:r>
      <w:r w:rsidR="008942AD">
        <w:t xml:space="preserve">.6.2 </w:t>
      </w:r>
      <w:r w:rsidR="009A0060" w:rsidRPr="00DF1D1C">
        <w:t>Specification of Rights</w:t>
      </w:r>
    </w:p>
    <w:p w14:paraId="77A05C54" w14:textId="77777777" w:rsidR="009A0060" w:rsidRPr="00DF1D1C" w:rsidRDefault="009A0060" w:rsidP="00257641">
      <w:pPr>
        <w:pStyle w:val="normal6"/>
      </w:pPr>
      <w:r w:rsidRPr="00DF1D1C">
        <w:t xml:space="preserve">Each enrollee has a right: </w:t>
      </w:r>
    </w:p>
    <w:p w14:paraId="5E02F06F" w14:textId="77777777" w:rsidR="009A0060" w:rsidRPr="009638DE" w:rsidRDefault="009A0060" w:rsidP="00257641">
      <w:pPr>
        <w:pStyle w:val="bullet1"/>
      </w:pPr>
      <w:r w:rsidRPr="009638DE">
        <w:t>To receive information in accordance with the standards set forth in this contract;</w:t>
      </w:r>
    </w:p>
    <w:p w14:paraId="31CEBE26" w14:textId="77777777" w:rsidR="009A0060" w:rsidRPr="009638DE" w:rsidRDefault="009A0060" w:rsidP="00257641">
      <w:pPr>
        <w:pStyle w:val="bullet1"/>
      </w:pPr>
      <w:r w:rsidRPr="009638DE">
        <w:t xml:space="preserve">To be treated with respect and due consideration of his or her dignity and privacy; </w:t>
      </w:r>
    </w:p>
    <w:p w14:paraId="636179E4" w14:textId="77777777" w:rsidR="009A0060" w:rsidRPr="009638DE" w:rsidRDefault="009A0060" w:rsidP="00257641">
      <w:pPr>
        <w:pStyle w:val="bullet1"/>
      </w:pPr>
      <w:r w:rsidRPr="009638DE">
        <w:t>To accessible services;</w:t>
      </w:r>
    </w:p>
    <w:p w14:paraId="2D8E019C" w14:textId="77777777" w:rsidR="009A0060" w:rsidRPr="009638DE" w:rsidRDefault="009A0060" w:rsidP="00257641">
      <w:pPr>
        <w:pStyle w:val="bullet1"/>
      </w:pPr>
      <w:r w:rsidRPr="009638DE">
        <w:t xml:space="preserve">To choose providers from among those affiliated with the MCO; </w:t>
      </w:r>
    </w:p>
    <w:p w14:paraId="3BE09916" w14:textId="77777777" w:rsidR="009A0060" w:rsidRPr="009638DE" w:rsidRDefault="009A0060" w:rsidP="00257641">
      <w:pPr>
        <w:pStyle w:val="bullet1"/>
      </w:pPr>
      <w:r w:rsidRPr="009638DE">
        <w:t xml:space="preserve">To participate in decision-making regarding his or her health care, including the right to refuse treatment; </w:t>
      </w:r>
    </w:p>
    <w:p w14:paraId="325DAB8C" w14:textId="77777777" w:rsidR="009A0060" w:rsidRPr="009638DE" w:rsidRDefault="009A0060" w:rsidP="00257641">
      <w:pPr>
        <w:pStyle w:val="bullet1"/>
      </w:pPr>
      <w:r w:rsidRPr="009638DE">
        <w:t>To receive information on available treatment options or alternative courses of care, presented in a manner appropriate to the enrollee</w:t>
      </w:r>
      <w:r w:rsidR="00FA1C0C" w:rsidRPr="009638DE">
        <w:t>’</w:t>
      </w:r>
      <w:r w:rsidRPr="009638DE">
        <w:t>s condition and ability to understand;</w:t>
      </w:r>
    </w:p>
    <w:p w14:paraId="4E8AE96F" w14:textId="6CBEFC6F" w:rsidR="009A0060" w:rsidRPr="009638DE" w:rsidRDefault="009A0060" w:rsidP="00257641">
      <w:pPr>
        <w:pStyle w:val="bullet1"/>
      </w:pPr>
      <w:r w:rsidRPr="009638DE">
        <w:t xml:space="preserve">To request and receive his or her medical records, and to request that they be amended or corrected, for which the MCO will take action in a timely manner of no later than </w:t>
      </w:r>
      <w:r w:rsidR="003D1891">
        <w:t>thirty (</w:t>
      </w:r>
      <w:r w:rsidRPr="009638DE">
        <w:t>30</w:t>
      </w:r>
      <w:r w:rsidR="003D1891">
        <w:t>) calendar</w:t>
      </w:r>
      <w:r w:rsidRPr="009638DE">
        <w:t xml:space="preserve"> days from receipt of a request for records, and no later than </w:t>
      </w:r>
      <w:r w:rsidR="003D1891">
        <w:t>sixty (</w:t>
      </w:r>
      <w:r w:rsidRPr="009638DE">
        <w:t>60</w:t>
      </w:r>
      <w:r w:rsidR="003D1891">
        <w:t>) calendar</w:t>
      </w:r>
      <w:r w:rsidRPr="009638DE">
        <w:t xml:space="preserve"> days from the receipt of a request for amendments, in accordance with the privacy rule as set forth in 45 CFR parts 164.524 and 164.526, upon their effective dates, to the extent they apply; </w:t>
      </w:r>
    </w:p>
    <w:p w14:paraId="422A1D6B" w14:textId="77777777" w:rsidR="009A0060" w:rsidRPr="009638DE" w:rsidRDefault="009A0060" w:rsidP="00257641">
      <w:pPr>
        <w:pStyle w:val="bullet1"/>
      </w:pPr>
      <w:r w:rsidRPr="009638DE">
        <w:t>To obtain a prompt resolution of issues raised by the enrollee, including complaints</w:t>
      </w:r>
      <w:r w:rsidR="00FA226E" w:rsidRPr="009638DE">
        <w:t>,</w:t>
      </w:r>
      <w:r w:rsidRPr="009638DE">
        <w:t xml:space="preserve"> grievances</w:t>
      </w:r>
      <w:r w:rsidR="00FA226E" w:rsidRPr="009638DE">
        <w:t>, or appeals</w:t>
      </w:r>
      <w:r w:rsidRPr="009638DE">
        <w:t xml:space="preserve"> and issues relating to authorization, coverage, or payment of services; </w:t>
      </w:r>
    </w:p>
    <w:p w14:paraId="64B76065" w14:textId="77777777" w:rsidR="009A0060" w:rsidRPr="009638DE" w:rsidRDefault="009A0060" w:rsidP="00257641">
      <w:pPr>
        <w:pStyle w:val="bullet1"/>
      </w:pPr>
      <w:r w:rsidRPr="009638DE">
        <w:t>To offer suggestions for changes in policies and procedures;</w:t>
      </w:r>
    </w:p>
    <w:p w14:paraId="69F9EA51" w14:textId="77777777" w:rsidR="009A0060" w:rsidRPr="009638DE" w:rsidRDefault="009A0060" w:rsidP="00257641">
      <w:pPr>
        <w:pStyle w:val="bullet1"/>
      </w:pPr>
      <w:r w:rsidRPr="009638DE">
        <w:t>To be free from any form of restraint or seclusion used as a means of coercion, discipline, convenience, or retaliation, as specified in other Federal regulations on the use of restraints and seclusion; and</w:t>
      </w:r>
    </w:p>
    <w:p w14:paraId="339F0749" w14:textId="77777777" w:rsidR="009A0060" w:rsidRPr="00BC03C5" w:rsidRDefault="009A0060" w:rsidP="00257641">
      <w:pPr>
        <w:pStyle w:val="bullet1last"/>
      </w:pPr>
      <w:r w:rsidRPr="009638DE">
        <w:t>To be furnished health care services as set forth in this contract</w:t>
      </w:r>
      <w:r w:rsidRPr="00BC03C5">
        <w:t>.</w:t>
      </w:r>
    </w:p>
    <w:p w14:paraId="2336E96F" w14:textId="2347F4B2" w:rsidR="00C9121F" w:rsidRDefault="0087784B" w:rsidP="00257641">
      <w:pPr>
        <w:pStyle w:val="Heading5"/>
      </w:pPr>
      <w:r>
        <w:t xml:space="preserve">4.6.2.1 </w:t>
      </w:r>
      <w:r w:rsidR="00C9121F" w:rsidRPr="00F934F9">
        <w:t>MCO’s Policies and Procedures to Protect Enrollee Rights</w:t>
      </w:r>
    </w:p>
    <w:p w14:paraId="76E73789" w14:textId="0CA60990" w:rsidR="009A0060" w:rsidRPr="00BB6856" w:rsidRDefault="009A0060" w:rsidP="00257641">
      <w:pPr>
        <w:pStyle w:val="normal6"/>
      </w:pPr>
      <w:r w:rsidRPr="00BB6856">
        <w:t>MCOs must have policies and procedures to protect and promote these rights, as follows:</w:t>
      </w:r>
    </w:p>
    <w:p w14:paraId="05A6DDA1" w14:textId="7E680CDD" w:rsidR="009A0060" w:rsidRPr="003150A4" w:rsidRDefault="009A0060" w:rsidP="00257641">
      <w:pPr>
        <w:pStyle w:val="bullet1"/>
        <w:numPr>
          <w:ilvl w:val="0"/>
          <w:numId w:val="217"/>
        </w:numPr>
        <w:rPr>
          <w:rStyle w:val="StyleBodyTextIndentTimesNewRoman12ptChar"/>
          <w:rFonts w:ascii="Times New Roman" w:hAnsi="Times New Roman"/>
          <w:spacing w:val="0"/>
          <w:sz w:val="24"/>
          <w:szCs w:val="24"/>
        </w:rPr>
      </w:pPr>
      <w:r w:rsidRPr="003150A4">
        <w:rPr>
          <w:b/>
        </w:rPr>
        <w:t>Enrollee privacy</w:t>
      </w:r>
      <w:r w:rsidR="003150A4" w:rsidRPr="003150A4">
        <w:rPr>
          <w:b/>
        </w:rPr>
        <w:br/>
      </w:r>
      <w:r w:rsidRPr="003150A4">
        <w:rPr>
          <w:rStyle w:val="StyleBodyTextIndentTimesNewRoman12ptChar"/>
          <w:rFonts w:ascii="Times New Roman" w:hAnsi="Times New Roman"/>
          <w:spacing w:val="0"/>
          <w:sz w:val="24"/>
          <w:szCs w:val="24"/>
        </w:rPr>
        <w:t xml:space="preserve">The MCO must implement procedures to ensure the confidentiality of medical records and any other health and enrollment information that identifies a particular enrollee in accordance with Article II, Section </w:t>
      </w:r>
      <w:r w:rsidR="006F2814">
        <w:rPr>
          <w:rStyle w:val="StyleBodyTextIndentTimesNewRoman12ptChar"/>
          <w:rFonts w:ascii="Times New Roman" w:hAnsi="Times New Roman"/>
          <w:spacing w:val="0"/>
          <w:sz w:val="24"/>
          <w:szCs w:val="24"/>
        </w:rPr>
        <w:t>6.8</w:t>
      </w:r>
      <w:r w:rsidR="0078080B" w:rsidRPr="003150A4">
        <w:rPr>
          <w:rStyle w:val="StyleBodyTextIndentTimesNewRoman12ptChar"/>
          <w:rFonts w:ascii="Times New Roman" w:hAnsi="Times New Roman"/>
          <w:spacing w:val="0"/>
          <w:sz w:val="24"/>
          <w:szCs w:val="24"/>
        </w:rPr>
        <w:t xml:space="preserve">. </w:t>
      </w:r>
    </w:p>
    <w:p w14:paraId="71FA2DF2" w14:textId="1AF2FB63" w:rsidR="009A0060" w:rsidRPr="003150A4" w:rsidRDefault="009A0060" w:rsidP="00A1283E">
      <w:pPr>
        <w:pStyle w:val="bullet1"/>
        <w:numPr>
          <w:ilvl w:val="0"/>
          <w:numId w:val="217"/>
        </w:numPr>
        <w:rPr>
          <w:szCs w:val="24"/>
        </w:rPr>
      </w:pPr>
      <w:r w:rsidRPr="003150A4">
        <w:rPr>
          <w:b/>
        </w:rPr>
        <w:t>Accessible services</w:t>
      </w:r>
      <w:r w:rsidR="003150A4">
        <w:rPr>
          <w:b/>
        </w:rPr>
        <w:br/>
      </w:r>
      <w:r w:rsidRPr="003150A4">
        <w:rPr>
          <w:szCs w:val="24"/>
        </w:rPr>
        <w:t xml:space="preserve">The MCO must ensure that all services, both clinical and non-clinical, are accessible to all </w:t>
      </w:r>
      <w:r w:rsidRPr="003150A4">
        <w:rPr>
          <w:rStyle w:val="StyleBodyTextIndentTimesNewRoman12ptChar"/>
          <w:rFonts w:ascii="Times New Roman" w:hAnsi="Times New Roman"/>
          <w:spacing w:val="0"/>
          <w:sz w:val="24"/>
          <w:szCs w:val="24"/>
        </w:rPr>
        <w:t>enrollees</w:t>
      </w:r>
      <w:r w:rsidRPr="003150A4">
        <w:rPr>
          <w:szCs w:val="24"/>
        </w:rPr>
        <w:t>, including those with limited English proficiency or reading skills, with diverse cultural and ethnic backgrounds, the homeless</w:t>
      </w:r>
      <w:r w:rsidR="0078080B" w:rsidRPr="003150A4">
        <w:rPr>
          <w:szCs w:val="24"/>
        </w:rPr>
        <w:t>,</w:t>
      </w:r>
      <w:r w:rsidRPr="003150A4">
        <w:rPr>
          <w:szCs w:val="24"/>
        </w:rPr>
        <w:t xml:space="preserve"> and individuals with physical and mental disabilities</w:t>
      </w:r>
      <w:r w:rsidR="0078080B" w:rsidRPr="003150A4">
        <w:rPr>
          <w:szCs w:val="24"/>
        </w:rPr>
        <w:t xml:space="preserve">. </w:t>
      </w:r>
      <w:r w:rsidRPr="003150A4">
        <w:rPr>
          <w:szCs w:val="24"/>
        </w:rPr>
        <w:t>The MCO must also ensure that enrollees have the right to access emergency health care services, consistent with the enrollee</w:t>
      </w:r>
      <w:r w:rsidR="00FA1C0C" w:rsidRPr="003150A4">
        <w:rPr>
          <w:szCs w:val="24"/>
        </w:rPr>
        <w:t>’</w:t>
      </w:r>
      <w:r w:rsidRPr="003150A4">
        <w:rPr>
          <w:szCs w:val="24"/>
        </w:rPr>
        <w:t>s determination of the need for such services as a prudent layperson, and post-stabilization services.</w:t>
      </w:r>
    </w:p>
    <w:p w14:paraId="0C5140B5" w14:textId="78C26701" w:rsidR="009A0060" w:rsidRPr="003150A4" w:rsidRDefault="009A0060" w:rsidP="00257641">
      <w:pPr>
        <w:pStyle w:val="bullet1"/>
        <w:numPr>
          <w:ilvl w:val="0"/>
          <w:numId w:val="217"/>
        </w:numPr>
        <w:rPr>
          <w:rStyle w:val="StyleBodyTextIndentTimesNewRoman12ptChar"/>
          <w:rFonts w:ascii="Times New Roman" w:hAnsi="Times New Roman"/>
          <w:spacing w:val="0"/>
          <w:sz w:val="24"/>
          <w:szCs w:val="24"/>
        </w:rPr>
      </w:pPr>
      <w:r w:rsidRPr="003150A4">
        <w:rPr>
          <w:b/>
        </w:rPr>
        <w:lastRenderedPageBreak/>
        <w:t xml:space="preserve">Provider choice </w:t>
      </w:r>
      <w:r w:rsidR="003150A4">
        <w:rPr>
          <w:b/>
        </w:rPr>
        <w:br/>
      </w:r>
      <w:r w:rsidRPr="003150A4">
        <w:rPr>
          <w:rStyle w:val="StyleBodyTextIndentTimesNewRoman12ptChar"/>
          <w:rFonts w:ascii="Times New Roman" w:hAnsi="Times New Roman"/>
          <w:spacing w:val="0"/>
          <w:sz w:val="24"/>
          <w:szCs w:val="24"/>
        </w:rPr>
        <w:t xml:space="preserve">The MCO must allow each enrollee to select his or her primary care provider from among those accepting new Medicaid enrollees in accordance with Article III, Section </w:t>
      </w:r>
      <w:r w:rsidR="00903149">
        <w:rPr>
          <w:rStyle w:val="StyleBodyTextIndentTimesNewRoman12ptChar"/>
          <w:rFonts w:ascii="Times New Roman" w:hAnsi="Times New Roman"/>
          <w:spacing w:val="0"/>
          <w:sz w:val="24"/>
          <w:szCs w:val="24"/>
        </w:rPr>
        <w:t>4</w:t>
      </w:r>
      <w:r w:rsidRPr="003150A4">
        <w:rPr>
          <w:rStyle w:val="StyleBodyTextIndentTimesNewRoman12ptChar"/>
          <w:rFonts w:ascii="Times New Roman" w:hAnsi="Times New Roman"/>
          <w:spacing w:val="0"/>
          <w:sz w:val="24"/>
          <w:szCs w:val="24"/>
        </w:rPr>
        <w:t>.2</w:t>
      </w:r>
      <w:r w:rsidR="0078080B" w:rsidRPr="003150A4">
        <w:rPr>
          <w:rStyle w:val="StyleBodyTextIndentTimesNewRoman12ptChar"/>
          <w:rFonts w:ascii="Times New Roman" w:hAnsi="Times New Roman"/>
          <w:spacing w:val="0"/>
          <w:sz w:val="24"/>
          <w:szCs w:val="24"/>
        </w:rPr>
        <w:t xml:space="preserve">. </w:t>
      </w:r>
    </w:p>
    <w:p w14:paraId="242C0452" w14:textId="77777777" w:rsidR="009A0060" w:rsidRPr="00CD1178" w:rsidRDefault="009A0060" w:rsidP="00257641">
      <w:pPr>
        <w:pStyle w:val="BodyTextIndent"/>
        <w:tabs>
          <w:tab w:val="clear" w:pos="360"/>
        </w:tabs>
        <w:spacing w:after="120"/>
        <w:ind w:left="720"/>
        <w:rPr>
          <w:rStyle w:val="StyleBodyTextIndentTimesNewRoman12ptChar"/>
          <w:rFonts w:ascii="Times New Roman" w:hAnsi="Times New Roman"/>
          <w:spacing w:val="0"/>
          <w:sz w:val="24"/>
          <w:szCs w:val="24"/>
        </w:rPr>
      </w:pPr>
      <w:r w:rsidRPr="00AB033C">
        <w:rPr>
          <w:rStyle w:val="StyleBodyTextIndentTimesNewRoman12ptChar"/>
          <w:rFonts w:ascii="Times New Roman" w:hAnsi="Times New Roman"/>
          <w:spacing w:val="0"/>
          <w:sz w:val="24"/>
          <w:szCs w:val="24"/>
        </w:rPr>
        <w:t xml:space="preserve">Each enrollee referred to a specific provider for any service other than primary care must have an opportunity to refuse care from the designated provider and to select a different affiliated provider. </w:t>
      </w:r>
    </w:p>
    <w:p w14:paraId="0DEAE4F6" w14:textId="26B27743" w:rsidR="009A0060" w:rsidRPr="003150A4" w:rsidRDefault="009A0060" w:rsidP="00257641">
      <w:pPr>
        <w:pStyle w:val="bullet1"/>
        <w:keepNext/>
        <w:numPr>
          <w:ilvl w:val="0"/>
          <w:numId w:val="217"/>
        </w:numPr>
        <w:rPr>
          <w:rStyle w:val="StyleBodyTextIndentTimesNewRoman12ptChar"/>
          <w:rFonts w:ascii="Times New Roman" w:hAnsi="Times New Roman"/>
          <w:spacing w:val="0"/>
          <w:sz w:val="24"/>
          <w:szCs w:val="24"/>
        </w:rPr>
      </w:pPr>
      <w:r w:rsidRPr="003150A4">
        <w:rPr>
          <w:b/>
        </w:rPr>
        <w:t>Provider-enrollee communications</w:t>
      </w:r>
      <w:r w:rsidR="003150A4">
        <w:rPr>
          <w:b/>
        </w:rPr>
        <w:br/>
      </w:r>
      <w:r w:rsidRPr="003150A4">
        <w:rPr>
          <w:rStyle w:val="StyleBodyTextIndentTimesNewRoman12ptChar"/>
          <w:rFonts w:ascii="Times New Roman" w:hAnsi="Times New Roman"/>
          <w:spacing w:val="0"/>
          <w:sz w:val="24"/>
          <w:szCs w:val="24"/>
        </w:rPr>
        <w:t>The MCO may not prohibit or restrict a health care professional acting within the lawful scope of practice, from advising or advocating on behalf of an enrollee who is his or her patient for the following:</w:t>
      </w:r>
    </w:p>
    <w:p w14:paraId="075E5B68" w14:textId="77777777" w:rsidR="009A0060" w:rsidRPr="00D61267" w:rsidRDefault="009A0060" w:rsidP="00257641">
      <w:pPr>
        <w:pStyle w:val="StyleBodyTextIndentTimesNewRoman12ptLeftAfter6pt"/>
        <w:widowControl/>
        <w:numPr>
          <w:ilvl w:val="0"/>
          <w:numId w:val="221"/>
        </w:numPr>
        <w:tabs>
          <w:tab w:val="clear" w:pos="720"/>
          <w:tab w:val="clear" w:pos="1170"/>
        </w:tabs>
        <w:ind w:left="1440"/>
        <w:rPr>
          <w:spacing w:val="0"/>
          <w:szCs w:val="24"/>
        </w:rPr>
      </w:pPr>
      <w:r w:rsidRPr="00CD1178">
        <w:rPr>
          <w:spacing w:val="0"/>
          <w:szCs w:val="24"/>
        </w:rPr>
        <w:t>The enrollee</w:t>
      </w:r>
      <w:r w:rsidR="00FA1C0C" w:rsidRPr="00CD1178">
        <w:rPr>
          <w:spacing w:val="0"/>
          <w:szCs w:val="24"/>
        </w:rPr>
        <w:t>’</w:t>
      </w:r>
      <w:r w:rsidRPr="00CD1178">
        <w:rPr>
          <w:spacing w:val="0"/>
          <w:szCs w:val="24"/>
        </w:rPr>
        <w:t xml:space="preserve">s health status, medical care or treatment options, including any </w:t>
      </w:r>
      <w:r w:rsidRPr="00D61267">
        <w:rPr>
          <w:spacing w:val="0"/>
          <w:szCs w:val="24"/>
        </w:rPr>
        <w:t>alternative treatment that may be self-administered;</w:t>
      </w:r>
    </w:p>
    <w:p w14:paraId="49E5546F" w14:textId="77777777" w:rsidR="009A0060" w:rsidRPr="00AB033C" w:rsidRDefault="009A0060" w:rsidP="00257641">
      <w:pPr>
        <w:pStyle w:val="StyleBodyTextIndentTimesNewRoman12ptLeftAfter6pt"/>
        <w:widowControl/>
        <w:numPr>
          <w:ilvl w:val="0"/>
          <w:numId w:val="221"/>
        </w:numPr>
        <w:tabs>
          <w:tab w:val="clear" w:pos="720"/>
          <w:tab w:val="clear" w:pos="1170"/>
        </w:tabs>
        <w:ind w:left="1440"/>
        <w:rPr>
          <w:spacing w:val="0"/>
          <w:szCs w:val="24"/>
        </w:rPr>
      </w:pPr>
      <w:r w:rsidRPr="00AB033C">
        <w:rPr>
          <w:spacing w:val="0"/>
          <w:szCs w:val="24"/>
        </w:rPr>
        <w:t>Any information the enrollee needs for deciding among all relevant treatment options; or</w:t>
      </w:r>
    </w:p>
    <w:p w14:paraId="7DE5143E" w14:textId="77777777" w:rsidR="009A0060" w:rsidRPr="00117461" w:rsidRDefault="009A0060" w:rsidP="00257641">
      <w:pPr>
        <w:pStyle w:val="StyleBodyTextIndentTimesNewRoman12pt"/>
        <w:widowControl/>
        <w:numPr>
          <w:ilvl w:val="0"/>
          <w:numId w:val="221"/>
        </w:numPr>
        <w:tabs>
          <w:tab w:val="clear" w:pos="720"/>
          <w:tab w:val="clear" w:pos="1170"/>
        </w:tabs>
        <w:spacing w:after="120"/>
        <w:ind w:left="1440"/>
        <w:jc w:val="left"/>
        <w:rPr>
          <w:spacing w:val="0"/>
          <w:szCs w:val="24"/>
          <w:u w:val="single"/>
        </w:rPr>
      </w:pPr>
      <w:r w:rsidRPr="00117461">
        <w:rPr>
          <w:spacing w:val="0"/>
          <w:szCs w:val="24"/>
        </w:rPr>
        <w:t>The risks, benefits and consequences of treatment or nontreatment.</w:t>
      </w:r>
    </w:p>
    <w:p w14:paraId="58467A45" w14:textId="2847BF71" w:rsidR="009A0060" w:rsidRPr="00CB5DDD" w:rsidRDefault="009A0060" w:rsidP="00257641">
      <w:pPr>
        <w:pStyle w:val="bullet1"/>
        <w:numPr>
          <w:ilvl w:val="0"/>
          <w:numId w:val="217"/>
        </w:numPr>
        <w:rPr>
          <w:b/>
        </w:rPr>
      </w:pPr>
      <w:r w:rsidRPr="00CB5DDD">
        <w:rPr>
          <w:b/>
        </w:rPr>
        <w:t>Participation in decision-making</w:t>
      </w:r>
    </w:p>
    <w:p w14:paraId="22CD8AB3" w14:textId="77777777" w:rsidR="009A0060" w:rsidRPr="000A32BE" w:rsidRDefault="009A0060" w:rsidP="00257641">
      <w:pPr>
        <w:pStyle w:val="BodyTextIndent"/>
        <w:widowControl w:val="0"/>
        <w:tabs>
          <w:tab w:val="clear" w:pos="360"/>
        </w:tabs>
        <w:spacing w:after="120"/>
        <w:ind w:left="720"/>
        <w:rPr>
          <w:szCs w:val="24"/>
        </w:rPr>
      </w:pPr>
      <w:r w:rsidRPr="00CD1178">
        <w:rPr>
          <w:szCs w:val="24"/>
        </w:rPr>
        <w:t>The MCO must permit the enrollee</w:t>
      </w:r>
      <w:r w:rsidR="00FA1C0C" w:rsidRPr="00CD1178">
        <w:rPr>
          <w:szCs w:val="24"/>
        </w:rPr>
        <w:t>’</w:t>
      </w:r>
      <w:r w:rsidRPr="00CD1178">
        <w:rPr>
          <w:szCs w:val="24"/>
        </w:rPr>
        <w:t xml:space="preserve">s parent or representative to facilitate care or treatment decisions when the </w:t>
      </w:r>
      <w:r w:rsidRPr="00CD1178">
        <w:rPr>
          <w:rStyle w:val="StyleBodyTextIndentTimesNewRoman12ptChar"/>
          <w:rFonts w:ascii="Times New Roman" w:hAnsi="Times New Roman"/>
          <w:spacing w:val="0"/>
          <w:sz w:val="24"/>
          <w:szCs w:val="24"/>
        </w:rPr>
        <w:t>enrollee</w:t>
      </w:r>
      <w:r w:rsidRPr="00CD26C6">
        <w:rPr>
          <w:szCs w:val="24"/>
        </w:rPr>
        <w:t xml:space="preserve"> </w:t>
      </w:r>
      <w:r w:rsidRPr="00CD1178">
        <w:rPr>
          <w:szCs w:val="24"/>
        </w:rPr>
        <w:t>is unable to do so</w:t>
      </w:r>
      <w:r w:rsidR="0078080B" w:rsidRPr="00CD1178">
        <w:rPr>
          <w:szCs w:val="24"/>
        </w:rPr>
        <w:t xml:space="preserve">. </w:t>
      </w:r>
      <w:r w:rsidRPr="00CD1178">
        <w:rPr>
          <w:szCs w:val="24"/>
        </w:rPr>
        <w:t>MCOs must provide for enrollee or representative involvement in decisions to withhold resuscitative services, or to forgo or withdraw life-sustaining treatment, and comply with requirements of Federal and State law with respect to advance directiv</w:t>
      </w:r>
      <w:r w:rsidRPr="00D61267">
        <w:rPr>
          <w:szCs w:val="24"/>
        </w:rPr>
        <w:t>es</w:t>
      </w:r>
      <w:r w:rsidR="0078080B" w:rsidRPr="000A32BE">
        <w:rPr>
          <w:szCs w:val="24"/>
        </w:rPr>
        <w:t xml:space="preserve">. </w:t>
      </w:r>
      <w:r w:rsidRPr="000A32BE">
        <w:rPr>
          <w:szCs w:val="24"/>
        </w:rPr>
        <w:t>This includes:</w:t>
      </w:r>
    </w:p>
    <w:p w14:paraId="424EC281" w14:textId="5C95AB11" w:rsidR="009A0060" w:rsidRPr="00117461" w:rsidRDefault="009A0060" w:rsidP="00257641">
      <w:pPr>
        <w:pStyle w:val="StyleBodyTextIndentTimesNewRoman12ptLeftAfter6pt"/>
        <w:numPr>
          <w:ilvl w:val="0"/>
          <w:numId w:val="223"/>
        </w:numPr>
        <w:tabs>
          <w:tab w:val="clear" w:pos="720"/>
          <w:tab w:val="clear" w:pos="1080"/>
        </w:tabs>
        <w:ind w:left="1440"/>
        <w:rPr>
          <w:spacing w:val="0"/>
          <w:szCs w:val="24"/>
        </w:rPr>
      </w:pPr>
      <w:r w:rsidRPr="00AB033C">
        <w:rPr>
          <w:spacing w:val="0"/>
          <w:szCs w:val="24"/>
        </w:rPr>
        <w:t>Providing written information to clients concerning their rights under State law to accept or refuse medical or surgical treatment and to formulate advance directives and concerning the MCO</w:t>
      </w:r>
      <w:r w:rsidR="00FA1C0C" w:rsidRPr="00AB033C">
        <w:rPr>
          <w:spacing w:val="0"/>
          <w:szCs w:val="24"/>
        </w:rPr>
        <w:t>’</w:t>
      </w:r>
      <w:r w:rsidRPr="00AB033C">
        <w:rPr>
          <w:spacing w:val="0"/>
          <w:szCs w:val="24"/>
        </w:rPr>
        <w:t>s policies with respect to the implementation of such ri</w:t>
      </w:r>
      <w:r w:rsidRPr="00117461">
        <w:rPr>
          <w:spacing w:val="0"/>
          <w:szCs w:val="24"/>
        </w:rPr>
        <w:t xml:space="preserve">ghts (this information should be included in the </w:t>
      </w:r>
      <w:r w:rsidR="00A81BCF">
        <w:rPr>
          <w:spacing w:val="0"/>
          <w:szCs w:val="24"/>
        </w:rPr>
        <w:t>enrollee</w:t>
      </w:r>
      <w:r w:rsidR="00A81BCF" w:rsidRPr="00117461">
        <w:rPr>
          <w:spacing w:val="0"/>
          <w:szCs w:val="24"/>
        </w:rPr>
        <w:t xml:space="preserve"> </w:t>
      </w:r>
      <w:r w:rsidRPr="00117461">
        <w:rPr>
          <w:spacing w:val="0"/>
          <w:szCs w:val="24"/>
        </w:rPr>
        <w:t>handbook);</w:t>
      </w:r>
    </w:p>
    <w:p w14:paraId="6288A1A8" w14:textId="77777777" w:rsidR="009A0060" w:rsidRPr="004F097D" w:rsidRDefault="009A0060" w:rsidP="00257641">
      <w:pPr>
        <w:pStyle w:val="StyleBodyTextIndentTimesNewRoman12ptLeftAfter6pt"/>
        <w:numPr>
          <w:ilvl w:val="0"/>
          <w:numId w:val="223"/>
        </w:numPr>
        <w:tabs>
          <w:tab w:val="clear" w:pos="720"/>
          <w:tab w:val="clear" w:pos="1080"/>
        </w:tabs>
        <w:ind w:left="1440"/>
        <w:rPr>
          <w:spacing w:val="0"/>
          <w:szCs w:val="24"/>
        </w:rPr>
      </w:pPr>
      <w:r w:rsidRPr="00117461">
        <w:rPr>
          <w:spacing w:val="0"/>
          <w:szCs w:val="24"/>
        </w:rPr>
        <w:t>Documenting in the enrollee</w:t>
      </w:r>
      <w:r w:rsidR="00FA1C0C" w:rsidRPr="001276A8">
        <w:rPr>
          <w:spacing w:val="0"/>
          <w:szCs w:val="24"/>
        </w:rPr>
        <w:t>’</w:t>
      </w:r>
      <w:r w:rsidRPr="004F097D">
        <w:rPr>
          <w:spacing w:val="0"/>
          <w:szCs w:val="24"/>
        </w:rPr>
        <w:t>s medical record whether or not the enrollee has executed an advanced directive;</w:t>
      </w:r>
    </w:p>
    <w:p w14:paraId="2EAE9F38" w14:textId="77777777" w:rsidR="009A0060" w:rsidRPr="00233688" w:rsidRDefault="009A0060" w:rsidP="00257641">
      <w:pPr>
        <w:pStyle w:val="StyleBodyTextIndentTimesNewRoman12ptLeftAfter6pt"/>
        <w:numPr>
          <w:ilvl w:val="0"/>
          <w:numId w:val="223"/>
        </w:numPr>
        <w:tabs>
          <w:tab w:val="clear" w:pos="720"/>
          <w:tab w:val="clear" w:pos="1080"/>
        </w:tabs>
        <w:ind w:left="1440"/>
        <w:rPr>
          <w:spacing w:val="0"/>
          <w:szCs w:val="24"/>
        </w:rPr>
      </w:pPr>
      <w:r w:rsidRPr="00233688">
        <w:rPr>
          <w:spacing w:val="0"/>
          <w:szCs w:val="24"/>
        </w:rPr>
        <w:t>Not conditioning the provision of care or otherwise discriminating against a enrollee based on whether the enrollee has executed an advance directive;</w:t>
      </w:r>
    </w:p>
    <w:p w14:paraId="7C1F047A" w14:textId="77777777" w:rsidR="009A0060" w:rsidRPr="00356156" w:rsidRDefault="009A0060" w:rsidP="00257641">
      <w:pPr>
        <w:pStyle w:val="StyleBodyTextIndentTimesNewRoman12ptLeftAfter6pt"/>
        <w:widowControl/>
        <w:numPr>
          <w:ilvl w:val="0"/>
          <w:numId w:val="223"/>
        </w:numPr>
        <w:tabs>
          <w:tab w:val="clear" w:pos="720"/>
          <w:tab w:val="clear" w:pos="1080"/>
        </w:tabs>
        <w:ind w:left="1440"/>
        <w:rPr>
          <w:spacing w:val="0"/>
          <w:szCs w:val="24"/>
        </w:rPr>
      </w:pPr>
      <w:r w:rsidRPr="00356156">
        <w:rPr>
          <w:spacing w:val="0"/>
          <w:szCs w:val="24"/>
        </w:rPr>
        <w:t>Ensuring compliance with requirements of state law respecting advance directives; and</w:t>
      </w:r>
    </w:p>
    <w:p w14:paraId="4CFBB40E" w14:textId="77777777" w:rsidR="00D93335" w:rsidRPr="00CB5DDD" w:rsidRDefault="009A0060" w:rsidP="00A1283E">
      <w:pPr>
        <w:pStyle w:val="StyleBodyTextIndentTimesNewRoman12ptLeftAfter6pt"/>
        <w:widowControl/>
        <w:numPr>
          <w:ilvl w:val="0"/>
          <w:numId w:val="223"/>
        </w:numPr>
        <w:tabs>
          <w:tab w:val="clear" w:pos="720"/>
          <w:tab w:val="clear" w:pos="1080"/>
        </w:tabs>
        <w:spacing w:after="240"/>
        <w:ind w:left="1440"/>
        <w:rPr>
          <w:spacing w:val="0"/>
        </w:rPr>
      </w:pPr>
      <w:r w:rsidRPr="00CB5DDD">
        <w:rPr>
          <w:spacing w:val="0"/>
        </w:rPr>
        <w:t>Providing education for staff and the community on issues concerning advance directives.</w:t>
      </w:r>
    </w:p>
    <w:p w14:paraId="6F37611D" w14:textId="77777777" w:rsidR="009A0060" w:rsidRPr="00CB5DDD" w:rsidRDefault="009A0060" w:rsidP="00257641">
      <w:r w:rsidRPr="00CB5DDD">
        <w:t>The MCO may not prohibit or restrict a health care professional acting within the lawful scope of practice, from advising or advocating on behalf of an enrollee who is his or her patient for the enrollee</w:t>
      </w:r>
      <w:r w:rsidR="00FA1C0C" w:rsidRPr="00CB5DDD">
        <w:t>’</w:t>
      </w:r>
      <w:r w:rsidRPr="00CB5DDD">
        <w:t>s right to participate in decisions regarding his or her health care, including the right to refuse treatment, and to express preferences about future decisions.</w:t>
      </w:r>
    </w:p>
    <w:p w14:paraId="3A95822F" w14:textId="1E2520FC" w:rsidR="009A0060" w:rsidRPr="00CB5DDD" w:rsidRDefault="0087784B" w:rsidP="00257641">
      <w:pPr>
        <w:pStyle w:val="Heading3"/>
      </w:pPr>
      <w:bookmarkStart w:id="137" w:name="_Toc73441801"/>
      <w:bookmarkStart w:id="138" w:name="_Toc8129028"/>
      <w:r>
        <w:lastRenderedPageBreak/>
        <w:t>4</w:t>
      </w:r>
      <w:r w:rsidR="009A0060" w:rsidRPr="00CB5DDD">
        <w:t>.7</w:t>
      </w:r>
      <w:r w:rsidR="009A0060" w:rsidRPr="00CB5DDD">
        <w:tab/>
        <w:t>Enabling Services</w:t>
      </w:r>
      <w:bookmarkEnd w:id="137"/>
      <w:bookmarkEnd w:id="138"/>
    </w:p>
    <w:p w14:paraId="14B0073D" w14:textId="7E71DD49" w:rsidR="009A0060" w:rsidRPr="00CB5DDD" w:rsidRDefault="009A0060" w:rsidP="00257641">
      <w:r w:rsidRPr="00CB5DDD">
        <w:t>The MCO must ensure that all services, both clinical and non-clinical, are accessible to all enrollees, including those with limited English proficiency or reading skills, with diverse cultural and ethnic backgrounds, the homeless, and individuals with physical and mental disabilities</w:t>
      </w:r>
      <w:r w:rsidR="0078080B" w:rsidRPr="00CB5DDD">
        <w:t xml:space="preserve">. </w:t>
      </w:r>
      <w:r w:rsidRPr="00CB5DDD">
        <w:t>The MCO must also monitor and promote compliance with these policies through analysis of complaints or grievances</w:t>
      </w:r>
      <w:r w:rsidR="00FA226E" w:rsidRPr="00CB5DDD">
        <w:t xml:space="preserve"> and appeals</w:t>
      </w:r>
      <w:r w:rsidRPr="00CB5DDD">
        <w:t xml:space="preserve">, requests to change providers, </w:t>
      </w:r>
      <w:r w:rsidR="00A81BCF">
        <w:t>enrollee</w:t>
      </w:r>
      <w:r w:rsidR="00A81BCF" w:rsidRPr="00CB5DDD">
        <w:t xml:space="preserve"> </w:t>
      </w:r>
      <w:r w:rsidRPr="00CB5DDD">
        <w:t xml:space="preserve">satisfaction surveys, and other sources of </w:t>
      </w:r>
      <w:r w:rsidR="00A81BCF">
        <w:t>enrollee</w:t>
      </w:r>
      <w:r w:rsidR="00A81BCF" w:rsidRPr="00CB5DDD">
        <w:t xml:space="preserve"> </w:t>
      </w:r>
      <w:r w:rsidRPr="00CB5DDD">
        <w:t>input.</w:t>
      </w:r>
    </w:p>
    <w:p w14:paraId="4012718C" w14:textId="739AA756" w:rsidR="009A0060" w:rsidRPr="00CB5DDD" w:rsidRDefault="0087784B" w:rsidP="00257641">
      <w:pPr>
        <w:pStyle w:val="Heading4"/>
      </w:pPr>
      <w:r>
        <w:t>4</w:t>
      </w:r>
      <w:r w:rsidR="008942AD" w:rsidRPr="00CB5DDD">
        <w:t xml:space="preserve">.7.1 </w:t>
      </w:r>
      <w:r w:rsidR="009A0060" w:rsidRPr="00CB5DDD">
        <w:t>Communication Barriers</w:t>
      </w:r>
    </w:p>
    <w:p w14:paraId="1E9ADF27" w14:textId="77777777" w:rsidR="009A0060" w:rsidRPr="00CB5DDD" w:rsidRDefault="009A0060" w:rsidP="00257641">
      <w:r w:rsidRPr="00CB5DDD">
        <w:t xml:space="preserve">The MCO </w:t>
      </w:r>
      <w:r w:rsidR="00890D6B" w:rsidRPr="00CB5DDD">
        <w:t>is</w:t>
      </w:r>
      <w:r w:rsidRPr="00CB5DDD">
        <w:t xml:space="preserve"> required to provide oral interpretive services for languages on an as-neede</w:t>
      </w:r>
      <w:r w:rsidR="00890D6B" w:rsidRPr="00CB5DDD">
        <w:t>d basis. These requirements</w:t>
      </w:r>
      <w:r w:rsidRPr="00CB5DDD">
        <w:t xml:space="preserve"> extend to both in-person and telephone communications to ensure that enrollees are able to communicate with the MCO and providers and receive coverage benefits</w:t>
      </w:r>
      <w:r w:rsidR="0078080B" w:rsidRPr="00CB5DDD">
        <w:t xml:space="preserve">. </w:t>
      </w:r>
      <w:r w:rsidRPr="00CB5DDD">
        <w:t>Ora</w:t>
      </w:r>
      <w:r w:rsidR="00890D6B" w:rsidRPr="00CB5DDD">
        <w:t xml:space="preserve">l interpretative services must </w:t>
      </w:r>
      <w:r w:rsidRPr="00CB5DDD">
        <w:t>be provided free of charge to enrolle</w:t>
      </w:r>
      <w:r w:rsidR="00890D6B" w:rsidRPr="00CB5DDD">
        <w:t xml:space="preserve">es and potential enrollees and must </w:t>
      </w:r>
      <w:r w:rsidRPr="00CB5DDD">
        <w:t>be available for all non-English languages. The MCO must also provide audiotapes for the illiterate upon request.</w:t>
      </w:r>
    </w:p>
    <w:p w14:paraId="366FA619" w14:textId="6144F04F" w:rsidR="009A0060" w:rsidRPr="00CB5DDD" w:rsidRDefault="003D1891" w:rsidP="00257641">
      <w:r>
        <w:t>DHHR</w:t>
      </w:r>
      <w:r w:rsidRPr="00CB5DDD">
        <w:t xml:space="preserve"> </w:t>
      </w:r>
      <w:r w:rsidR="009A0060" w:rsidRPr="00CB5DDD">
        <w:t xml:space="preserve">will periodically review the degree to which there are any prevalent language or languages spoken by Medicaid beneficiaries in West Virginia (cultural groups that represent at least </w:t>
      </w:r>
      <w:r w:rsidR="007611A3">
        <w:t xml:space="preserve">five </w:t>
      </w:r>
      <w:r w:rsidR="009A0060" w:rsidRPr="00CB5DDD">
        <w:t xml:space="preserve">percent </w:t>
      </w:r>
      <w:r w:rsidR="00783A0A">
        <w:t>(</w:t>
      </w:r>
      <w:r w:rsidR="00783A0A" w:rsidRPr="00CB5DDD">
        <w:t>5</w:t>
      </w:r>
      <w:r w:rsidR="00783A0A">
        <w:t>%)</w:t>
      </w:r>
      <w:r w:rsidR="00783A0A" w:rsidRPr="00CB5DDD">
        <w:t xml:space="preserve"> </w:t>
      </w:r>
      <w:r w:rsidR="009A0060" w:rsidRPr="00CB5DDD">
        <w:t xml:space="preserve">of the Medicaid population). Within </w:t>
      </w:r>
      <w:r w:rsidR="007611A3">
        <w:t>ninety (</w:t>
      </w:r>
      <w:r w:rsidR="009A0060" w:rsidRPr="00CB5DDD">
        <w:t>90</w:t>
      </w:r>
      <w:r w:rsidR="007611A3">
        <w:t>)</w:t>
      </w:r>
      <w:r w:rsidR="009A0060" w:rsidRPr="00CB5DDD">
        <w:t xml:space="preserve"> </w:t>
      </w:r>
      <w:r w:rsidR="00F863FE">
        <w:t xml:space="preserve">calendar </w:t>
      </w:r>
      <w:r w:rsidR="009A0060" w:rsidRPr="00CB5DDD">
        <w:t xml:space="preserve">days of notification from </w:t>
      </w:r>
      <w:r>
        <w:t>DHHR</w:t>
      </w:r>
      <w:r w:rsidR="009A0060" w:rsidRPr="00CB5DDD">
        <w:t xml:space="preserve">, the MCO </w:t>
      </w:r>
      <w:r w:rsidR="00890D6B" w:rsidRPr="00CB5DDD">
        <w:t xml:space="preserve">will </w:t>
      </w:r>
      <w:r w:rsidR="009A0060" w:rsidRPr="00CB5DDD">
        <w:t>make written materials available in prevalent non-English languages in its service areas</w:t>
      </w:r>
      <w:r w:rsidR="0078080B" w:rsidRPr="00CB5DDD">
        <w:t xml:space="preserve">. </w:t>
      </w:r>
      <w:r w:rsidR="009A0060" w:rsidRPr="00CB5DDD">
        <w:t>At the current time, there is no data to indicate that West Virginia has any Medicaid populations that meet this definition</w:t>
      </w:r>
      <w:r w:rsidR="0078080B" w:rsidRPr="00CB5DDD">
        <w:t xml:space="preserve">. </w:t>
      </w:r>
    </w:p>
    <w:p w14:paraId="7443D922" w14:textId="77777777" w:rsidR="009A0060" w:rsidRPr="00CB5DDD" w:rsidRDefault="00890D6B" w:rsidP="00257641">
      <w:r w:rsidRPr="00CB5DDD">
        <w:t>The MCO must</w:t>
      </w:r>
      <w:r w:rsidR="009A0060" w:rsidRPr="00CB5DDD">
        <w:t xml:space="preserve"> notify enrollees and potential enrollees of the availability of oral interpretation services for any language and written materials in prevalent non-English languages</w:t>
      </w:r>
      <w:r w:rsidR="0078080B" w:rsidRPr="00CB5DDD">
        <w:t xml:space="preserve">. </w:t>
      </w:r>
      <w:r w:rsidR="009A0060" w:rsidRPr="00CB5DDD">
        <w:t xml:space="preserve">The MCO </w:t>
      </w:r>
      <w:r w:rsidRPr="00CB5DDD">
        <w:t>must</w:t>
      </w:r>
      <w:r w:rsidR="009A0060" w:rsidRPr="00CB5DDD">
        <w:t xml:space="preserve"> also notify enrollees and potential enrollees of how to access such services.</w:t>
      </w:r>
    </w:p>
    <w:p w14:paraId="69EDD533" w14:textId="3EE1A10D" w:rsidR="009A0060" w:rsidRPr="00DF1D1C" w:rsidRDefault="0087784B" w:rsidP="00257641">
      <w:pPr>
        <w:pStyle w:val="Heading4"/>
        <w:tabs>
          <w:tab w:val="left" w:pos="5775"/>
        </w:tabs>
      </w:pPr>
      <w:r>
        <w:t>4</w:t>
      </w:r>
      <w:r w:rsidR="008942AD" w:rsidRPr="00CB5DDD">
        <w:t xml:space="preserve">.7.2 </w:t>
      </w:r>
      <w:r w:rsidR="009A0060" w:rsidRPr="00CB5DDD">
        <w:t>Sensory Impairments</w:t>
      </w:r>
    </w:p>
    <w:p w14:paraId="6418FC70" w14:textId="71433812" w:rsidR="009A0060" w:rsidRPr="00DF1D1C" w:rsidRDefault="009A0060" w:rsidP="00257641">
      <w:r w:rsidRPr="00DF1D1C">
        <w:t>The MCO must develop appropriate methods for communicating with its visually- and hearing-impaired enrollees and accommodating the physically disabled</w:t>
      </w:r>
      <w:r w:rsidR="0078080B" w:rsidRPr="00DF1D1C">
        <w:t xml:space="preserve">. </w:t>
      </w:r>
      <w:r w:rsidRPr="00DF1D1C">
        <w:t>The MCO must have telecommunication device for the deaf (TDD) services available</w:t>
      </w:r>
      <w:r w:rsidR="0078080B" w:rsidRPr="00DF1D1C">
        <w:t xml:space="preserve">. </w:t>
      </w:r>
      <w:r w:rsidRPr="00DF1D1C">
        <w:t xml:space="preserve">MCO enrollees must be offered standard materials, such as </w:t>
      </w:r>
      <w:r w:rsidR="00A81BCF">
        <w:t xml:space="preserve">enrollee </w:t>
      </w:r>
      <w:r w:rsidRPr="00DF1D1C">
        <w:t>handbooks, in alternative formats (i.e., large print, Braille, cassette and diskette for participants with sensory impairments).</w:t>
      </w:r>
    </w:p>
    <w:p w14:paraId="2D9938A5" w14:textId="165DF25E" w:rsidR="009A0060" w:rsidRPr="00DF1D1C" w:rsidRDefault="0087784B" w:rsidP="00257641">
      <w:pPr>
        <w:pStyle w:val="Heading4"/>
      </w:pPr>
      <w:r>
        <w:t>4</w:t>
      </w:r>
      <w:r w:rsidR="008942AD">
        <w:t xml:space="preserve">.7.3 </w:t>
      </w:r>
      <w:r w:rsidR="009A0060" w:rsidRPr="00DF1D1C">
        <w:t>Cultural Competency</w:t>
      </w:r>
    </w:p>
    <w:p w14:paraId="6A1ED141" w14:textId="77777777" w:rsidR="009A0060" w:rsidRPr="00DF1D1C" w:rsidRDefault="00890D6B" w:rsidP="00257641">
      <w:r>
        <w:t xml:space="preserve">The MCO must </w:t>
      </w:r>
      <w:r w:rsidR="009A0060" w:rsidRPr="00DF1D1C">
        <w:t>encourage and foster cultural competency among its providers</w:t>
      </w:r>
      <w:r w:rsidR="0078080B" w:rsidRPr="00DF1D1C">
        <w:t xml:space="preserve">. </w:t>
      </w:r>
      <w:r w:rsidR="009A0060" w:rsidRPr="00DF1D1C">
        <w:t>Culturally appropriate care is care given by a provider who can relate to the enrollee and provide care with sensitivity, understanding, and respect for enrollee</w:t>
      </w:r>
      <w:r w:rsidR="00FA1C0C" w:rsidRPr="00DF1D1C">
        <w:t>’</w:t>
      </w:r>
      <w:r w:rsidR="009A0060" w:rsidRPr="00DF1D1C">
        <w:t>s culture and background.</w:t>
      </w:r>
    </w:p>
    <w:p w14:paraId="3B4E971C" w14:textId="2D27AB4F" w:rsidR="009A0060" w:rsidRPr="00DF1D1C" w:rsidRDefault="0087784B" w:rsidP="00257641">
      <w:pPr>
        <w:pStyle w:val="Heading4"/>
      </w:pPr>
      <w:r>
        <w:t>4</w:t>
      </w:r>
      <w:r w:rsidR="008942AD">
        <w:t xml:space="preserve">.7.4 </w:t>
      </w:r>
      <w:r w:rsidR="009A0060" w:rsidRPr="00DF1D1C">
        <w:t>Disabled Access</w:t>
      </w:r>
    </w:p>
    <w:p w14:paraId="5107E79C" w14:textId="77777777" w:rsidR="007657A3" w:rsidRDefault="009A0060" w:rsidP="00257641">
      <w:r w:rsidRPr="00DF1D1C">
        <w:t>The MCO must comply with the Americans with Disabilities Act (ADA); the ADA</w:t>
      </w:r>
      <w:r w:rsidR="00FA1C0C" w:rsidRPr="00DF1D1C">
        <w:t>’</w:t>
      </w:r>
      <w:r w:rsidRPr="00DF1D1C">
        <w:t xml:space="preserve">s requirements apply to both the MCO and its providers. </w:t>
      </w:r>
    </w:p>
    <w:p w14:paraId="374D2EBA" w14:textId="77777777" w:rsidR="007657A3" w:rsidRDefault="007657A3" w:rsidP="00257641">
      <w:r>
        <w:t xml:space="preserve">All </w:t>
      </w:r>
      <w:r w:rsidRPr="007657A3">
        <w:t>facilities are readily accessible to</w:t>
      </w:r>
      <w:r w:rsidR="008942AD">
        <w:t>,</w:t>
      </w:r>
      <w:r w:rsidRPr="007657A3">
        <w:t xml:space="preserve"> and usable by</w:t>
      </w:r>
      <w:r w:rsidR="008942AD">
        <w:t>,</w:t>
      </w:r>
      <w:r w:rsidRPr="007657A3">
        <w:t xml:space="preserve"> individuals with disabilities, and auxiliary aids and services are provided to ensure effective communication, in compliance with Title III of the </w:t>
      </w:r>
      <w:r>
        <w:t>ADA</w:t>
      </w:r>
      <w:r w:rsidRPr="007657A3">
        <w:t>.</w:t>
      </w:r>
    </w:p>
    <w:p w14:paraId="2706745B" w14:textId="23589FE1" w:rsidR="009A0060" w:rsidRPr="00DF1D1C" w:rsidRDefault="0087784B" w:rsidP="00257641">
      <w:pPr>
        <w:pStyle w:val="Heading3"/>
      </w:pPr>
      <w:bookmarkStart w:id="139" w:name="_Toc73441802"/>
      <w:bookmarkStart w:id="140" w:name="_Toc8129029"/>
      <w:r>
        <w:lastRenderedPageBreak/>
        <w:t>4</w:t>
      </w:r>
      <w:r w:rsidR="009A0060" w:rsidRPr="00DF1D1C">
        <w:t>.8</w:t>
      </w:r>
      <w:r w:rsidR="009A0060" w:rsidRPr="00DF1D1C">
        <w:tab/>
        <w:t>Grievances and Appeals</w:t>
      </w:r>
      <w:bookmarkEnd w:id="139"/>
      <w:bookmarkEnd w:id="140"/>
    </w:p>
    <w:p w14:paraId="3DAA9848" w14:textId="6E2536EA" w:rsidR="009A0060" w:rsidRPr="00DF1D1C" w:rsidRDefault="009A0060" w:rsidP="00257641">
      <w:r w:rsidRPr="00DF1D1C">
        <w:t>The MCO</w:t>
      </w:r>
      <w:r w:rsidR="00FA1C0C" w:rsidRPr="00DF1D1C">
        <w:t>’</w:t>
      </w:r>
      <w:r w:rsidRPr="00DF1D1C">
        <w:t xml:space="preserve">s grievance </w:t>
      </w:r>
      <w:r w:rsidR="00C1431A">
        <w:t xml:space="preserve">and appeals </w:t>
      </w:r>
      <w:r w:rsidRPr="00DF1D1C">
        <w:t xml:space="preserve">procedures must be understandable and accessible to </w:t>
      </w:r>
      <w:r w:rsidR="003D1891">
        <w:t xml:space="preserve">adult enrollees, </w:t>
      </w:r>
      <w:r w:rsidR="00FF423D">
        <w:t>a</w:t>
      </w:r>
      <w:r w:rsidR="004E6887">
        <w:t>doptive parents</w:t>
      </w:r>
      <w:r w:rsidR="003D1891">
        <w:t>,</w:t>
      </w:r>
      <w:r w:rsidR="004E6887">
        <w:t xml:space="preserve"> and </w:t>
      </w:r>
      <w:r w:rsidR="003D1891">
        <w:t>CPS</w:t>
      </w:r>
      <w:r w:rsidR="004E6887">
        <w:t xml:space="preserve"> workers on behalf of the </w:t>
      </w:r>
      <w:r w:rsidRPr="00DF1D1C">
        <w:t xml:space="preserve">Medicaid enrollees and must comply with federal requirements and West Virginia Statutes </w:t>
      </w:r>
      <w:r w:rsidRPr="00081F6F">
        <w:t>33-25A-12,</w:t>
      </w:r>
      <w:r w:rsidRPr="00DF1D1C">
        <w:t xml:space="preserve"> and must be approved in writing by the Department (42 CFR 434.32)</w:t>
      </w:r>
      <w:r w:rsidR="0078080B" w:rsidRPr="00DF1D1C">
        <w:t>.</w:t>
      </w:r>
      <w:r w:rsidR="00F24820">
        <w:t xml:space="preserve"> </w:t>
      </w:r>
      <w:r w:rsidR="0001145D">
        <w:t xml:space="preserve">Each MCO may have only one </w:t>
      </w:r>
      <w:r w:rsidR="003D1891">
        <w:t xml:space="preserve">(1) </w:t>
      </w:r>
      <w:r w:rsidR="0001145D">
        <w:t xml:space="preserve">level of appeal for enrollees. </w:t>
      </w:r>
    </w:p>
    <w:p w14:paraId="54A0D819" w14:textId="24B8A09A" w:rsidR="009A0060" w:rsidRPr="00DF1D1C" w:rsidRDefault="0087784B" w:rsidP="00257641">
      <w:pPr>
        <w:pStyle w:val="Heading4"/>
      </w:pPr>
      <w:r>
        <w:t>4</w:t>
      </w:r>
      <w:r w:rsidR="008C78A4">
        <w:t xml:space="preserve">.8.1 </w:t>
      </w:r>
      <w:r w:rsidR="009A0060" w:rsidRPr="00DF1D1C">
        <w:t xml:space="preserve">Resolution of Enrollee Issues </w:t>
      </w:r>
    </w:p>
    <w:p w14:paraId="398F1E09" w14:textId="3ACB02CD" w:rsidR="009A0060" w:rsidRPr="00DF1D1C" w:rsidRDefault="009A0060" w:rsidP="00257641">
      <w:pPr>
        <w:pStyle w:val="normal6"/>
      </w:pPr>
      <w:r w:rsidRPr="00DF1D1C">
        <w:t xml:space="preserve">Medicaid enrollees </w:t>
      </w:r>
      <w:r w:rsidR="00FF423D">
        <w:t xml:space="preserve">or their representative </w:t>
      </w:r>
      <w:r w:rsidRPr="00DF1D1C">
        <w:t xml:space="preserve">may </w:t>
      </w:r>
      <w:r w:rsidR="0058741D" w:rsidRPr="00DF1D1C">
        <w:t xml:space="preserve">file a grievance </w:t>
      </w:r>
      <w:r w:rsidRPr="00DF1D1C">
        <w:t xml:space="preserve">regarding any aspect of service delivery provided or paid for </w:t>
      </w:r>
      <w:r w:rsidR="00EB45F8">
        <w:t>by the MCO</w:t>
      </w:r>
      <w:r w:rsidR="00F92B55">
        <w:t xml:space="preserve"> at any time</w:t>
      </w:r>
      <w:r w:rsidR="00EB45F8">
        <w:t xml:space="preserve">. </w:t>
      </w:r>
      <w:r w:rsidR="005079FD">
        <w:t>The enrollee may file an appeal to seek a review of an adverse</w:t>
      </w:r>
      <w:r w:rsidR="005079FD" w:rsidRPr="005079FD">
        <w:t xml:space="preserve"> </w:t>
      </w:r>
      <w:r w:rsidR="00CC2F6C">
        <w:t>benefit determination</w:t>
      </w:r>
      <w:r w:rsidR="005079FD" w:rsidRPr="005079FD">
        <w:t xml:space="preserve"> taken by the </w:t>
      </w:r>
      <w:r w:rsidR="005079FD">
        <w:t>MCO</w:t>
      </w:r>
      <w:r w:rsidR="005079FD" w:rsidRPr="005079FD">
        <w:t xml:space="preserve"> </w:t>
      </w:r>
      <w:r w:rsidR="005079FD">
        <w:t>as defined in</w:t>
      </w:r>
      <w:r w:rsidR="005079FD" w:rsidRPr="005079FD">
        <w:t xml:space="preserve"> 42 CFR 438.400(b).</w:t>
      </w:r>
      <w:r w:rsidR="005079FD">
        <w:t xml:space="preserve"> </w:t>
      </w:r>
      <w:r w:rsidR="00EB45F8">
        <w:t>The MCO must</w:t>
      </w:r>
      <w:r w:rsidRPr="00DF1D1C">
        <w:t xml:space="preserve"> submit to the Department a quarterly report summarizing each grievance and appeal handled during the quarter and a quarterly report summarizing all grievances</w:t>
      </w:r>
      <w:r w:rsidR="0078080B" w:rsidRPr="00DF1D1C">
        <w:t xml:space="preserve">. </w:t>
      </w:r>
    </w:p>
    <w:p w14:paraId="428008C6" w14:textId="77777777" w:rsidR="009A0060" w:rsidRPr="00DF1D1C" w:rsidRDefault="009A0060" w:rsidP="00257641">
      <w:pPr>
        <w:spacing w:after="120"/>
        <w:ind w:left="720" w:hanging="360"/>
        <w:rPr>
          <w:szCs w:val="22"/>
        </w:rPr>
      </w:pPr>
      <w:r w:rsidRPr="00DF1D1C">
        <w:rPr>
          <w:szCs w:val="22"/>
        </w:rPr>
        <w:t>1.</w:t>
      </w:r>
      <w:r w:rsidRPr="00DF1D1C">
        <w:rPr>
          <w:szCs w:val="22"/>
        </w:rPr>
        <w:tab/>
        <w:t xml:space="preserve">MCO Requirements </w:t>
      </w:r>
    </w:p>
    <w:p w14:paraId="44DD7509" w14:textId="77777777" w:rsidR="009A0060" w:rsidRPr="00DF1D1C" w:rsidRDefault="009A0060" w:rsidP="00257641">
      <w:pPr>
        <w:spacing w:after="120"/>
        <w:ind w:left="720"/>
        <w:rPr>
          <w:szCs w:val="22"/>
        </w:rPr>
      </w:pPr>
      <w:r w:rsidRPr="00DF1D1C">
        <w:rPr>
          <w:szCs w:val="22"/>
        </w:rPr>
        <w:t>The MCO must establish internal grievance and appeal procedures (informal and formal steps) that permit an eligible enrollee, or a provider on behalf of an enrollee, to challenge the denials of coverage of medical assistance or denials of payment for medical assistance:</w:t>
      </w:r>
    </w:p>
    <w:p w14:paraId="7EDFC3B1" w14:textId="6A207AB7" w:rsidR="009A0060" w:rsidRPr="00DF1D1C" w:rsidRDefault="00890D6B" w:rsidP="00257641">
      <w:pPr>
        <w:pStyle w:val="StyleTimesNewRoman12ptAfter6pt"/>
        <w:numPr>
          <w:ilvl w:val="1"/>
          <w:numId w:val="13"/>
        </w:numPr>
        <w:tabs>
          <w:tab w:val="clear" w:pos="540"/>
        </w:tabs>
        <w:ind w:left="1440"/>
        <w:rPr>
          <w:szCs w:val="22"/>
        </w:rPr>
      </w:pPr>
      <w:r>
        <w:rPr>
          <w:szCs w:val="22"/>
        </w:rPr>
        <w:t xml:space="preserve">The MCO must </w:t>
      </w:r>
      <w:r w:rsidR="009A0060" w:rsidRPr="00DF1D1C">
        <w:rPr>
          <w:szCs w:val="22"/>
        </w:rPr>
        <w:t>establish and maintain a grievance and appeal procedure, which has been approved by the State, to provide adequate and reasonable procedures for the expeditious resolution of grievances initiated by enrollees or their providers concerning any matter relating to any provision of the MCO</w:t>
      </w:r>
      <w:r w:rsidR="00FA1C0C" w:rsidRPr="00DF1D1C">
        <w:rPr>
          <w:szCs w:val="22"/>
        </w:rPr>
        <w:t>’</w:t>
      </w:r>
      <w:r w:rsidR="009A0060" w:rsidRPr="00DF1D1C">
        <w:rPr>
          <w:szCs w:val="22"/>
        </w:rPr>
        <w:t xml:space="preserve">s health maintenance contracts, including, but not limited to, claims regarding the scope of coverage for health care services; denials, reductions, </w:t>
      </w:r>
      <w:r w:rsidR="00B71452">
        <w:rPr>
          <w:szCs w:val="22"/>
        </w:rPr>
        <w:t xml:space="preserve">or </w:t>
      </w:r>
      <w:r w:rsidR="009A0060" w:rsidRPr="00DF1D1C">
        <w:rPr>
          <w:szCs w:val="22"/>
        </w:rPr>
        <w:t>cancellations</w:t>
      </w:r>
      <w:r w:rsidR="003150A4">
        <w:rPr>
          <w:szCs w:val="22"/>
        </w:rPr>
        <w:t xml:space="preserve"> </w:t>
      </w:r>
      <w:r w:rsidR="009A0060" w:rsidRPr="00DF1D1C">
        <w:rPr>
          <w:szCs w:val="22"/>
        </w:rPr>
        <w:t>of enrollee coverage; failure to provide services in a timely manner, observance of an enrollee</w:t>
      </w:r>
      <w:r w:rsidR="00FA1C0C" w:rsidRPr="00DF1D1C">
        <w:rPr>
          <w:szCs w:val="22"/>
        </w:rPr>
        <w:t>’</w:t>
      </w:r>
      <w:r w:rsidR="009A0060" w:rsidRPr="00DF1D1C">
        <w:rPr>
          <w:szCs w:val="22"/>
        </w:rPr>
        <w:t>s rights as a patient; and the quality of the health care services rendered.</w:t>
      </w:r>
    </w:p>
    <w:p w14:paraId="69634CF1" w14:textId="19373A7B" w:rsidR="009A0060" w:rsidRPr="00DF1D1C" w:rsidRDefault="009A0060" w:rsidP="00257641">
      <w:pPr>
        <w:pStyle w:val="StyleTimesNewRoman12ptAfter6pt"/>
        <w:numPr>
          <w:ilvl w:val="1"/>
          <w:numId w:val="13"/>
        </w:numPr>
        <w:tabs>
          <w:tab w:val="clear" w:pos="540"/>
        </w:tabs>
        <w:ind w:left="1440"/>
        <w:rPr>
          <w:szCs w:val="22"/>
        </w:rPr>
      </w:pPr>
      <w:r w:rsidRPr="00DF1D1C">
        <w:rPr>
          <w:szCs w:val="22"/>
        </w:rPr>
        <w:t>A detailed description of the MCO</w:t>
      </w:r>
      <w:r w:rsidR="00FA1C0C" w:rsidRPr="00DF1D1C">
        <w:rPr>
          <w:szCs w:val="22"/>
        </w:rPr>
        <w:t>’</w:t>
      </w:r>
      <w:r w:rsidRPr="00DF1D1C">
        <w:rPr>
          <w:szCs w:val="22"/>
        </w:rPr>
        <w:t>s enrollee griev</w:t>
      </w:r>
      <w:r w:rsidR="00890D6B">
        <w:rPr>
          <w:szCs w:val="22"/>
        </w:rPr>
        <w:t xml:space="preserve">ance and appeal procedure must </w:t>
      </w:r>
      <w:r w:rsidRPr="00DF1D1C">
        <w:rPr>
          <w:szCs w:val="22"/>
        </w:rPr>
        <w:t xml:space="preserve">be included in the </w:t>
      </w:r>
      <w:r w:rsidR="00A81BCF">
        <w:rPr>
          <w:szCs w:val="22"/>
        </w:rPr>
        <w:t>enrollee</w:t>
      </w:r>
      <w:r w:rsidR="00A81BCF" w:rsidRPr="00DF1D1C">
        <w:rPr>
          <w:szCs w:val="22"/>
        </w:rPr>
        <w:t xml:space="preserve"> </w:t>
      </w:r>
      <w:r w:rsidRPr="00DF1D1C">
        <w:rPr>
          <w:szCs w:val="22"/>
        </w:rPr>
        <w:t xml:space="preserve">handbook provided to enrollees. This procedure </w:t>
      </w:r>
      <w:r w:rsidR="00890D6B">
        <w:rPr>
          <w:szCs w:val="22"/>
        </w:rPr>
        <w:t>must</w:t>
      </w:r>
      <w:r w:rsidRPr="00DF1D1C">
        <w:rPr>
          <w:szCs w:val="22"/>
        </w:rPr>
        <w:t xml:space="preserve"> be administered at no cost to the enrollee. </w:t>
      </w:r>
    </w:p>
    <w:p w14:paraId="218BAC45" w14:textId="77777777" w:rsidR="009A0060" w:rsidRPr="00DF1D1C" w:rsidRDefault="009A0060" w:rsidP="00257641">
      <w:pPr>
        <w:pStyle w:val="StyleTimesNewRoman12ptAfter6pt"/>
        <w:numPr>
          <w:ilvl w:val="1"/>
          <w:numId w:val="13"/>
        </w:numPr>
        <w:tabs>
          <w:tab w:val="clear" w:pos="540"/>
        </w:tabs>
        <w:ind w:left="1440"/>
        <w:rPr>
          <w:szCs w:val="22"/>
        </w:rPr>
      </w:pPr>
      <w:r w:rsidRPr="00DF1D1C">
        <w:rPr>
          <w:szCs w:val="22"/>
        </w:rPr>
        <w:t>As part of MCO</w:t>
      </w:r>
      <w:r w:rsidR="00FA1C0C" w:rsidRPr="00DF1D1C">
        <w:rPr>
          <w:szCs w:val="22"/>
        </w:rPr>
        <w:t>’</w:t>
      </w:r>
      <w:r w:rsidRPr="00DF1D1C">
        <w:rPr>
          <w:szCs w:val="22"/>
        </w:rPr>
        <w:t xml:space="preserve">s enrollee grievance and appeal procedure, the MCO </w:t>
      </w:r>
      <w:r w:rsidR="00890D6B">
        <w:rPr>
          <w:szCs w:val="22"/>
        </w:rPr>
        <w:t>must</w:t>
      </w:r>
      <w:r w:rsidRPr="00DF1D1C">
        <w:rPr>
          <w:szCs w:val="22"/>
        </w:rPr>
        <w:t xml:space="preserve">: </w:t>
      </w:r>
    </w:p>
    <w:p w14:paraId="065C8A11" w14:textId="77777777" w:rsidR="009A0060" w:rsidRPr="00DF1D1C" w:rsidRDefault="009A0060" w:rsidP="00257641">
      <w:pPr>
        <w:numPr>
          <w:ilvl w:val="0"/>
          <w:numId w:val="42"/>
        </w:numPr>
        <w:tabs>
          <w:tab w:val="clear" w:pos="1008"/>
        </w:tabs>
        <w:spacing w:after="80"/>
        <w:ind w:left="2174" w:hanging="547"/>
        <w:rPr>
          <w:szCs w:val="22"/>
        </w:rPr>
      </w:pPr>
      <w:r w:rsidRPr="00DF1D1C">
        <w:rPr>
          <w:szCs w:val="22"/>
        </w:rPr>
        <w:t>Make available both informal and formal steps to resolve the grievance;</w:t>
      </w:r>
    </w:p>
    <w:p w14:paraId="27296E17" w14:textId="77777777" w:rsidR="009A0060" w:rsidRPr="00DF1D1C" w:rsidRDefault="009A0060" w:rsidP="00257641">
      <w:pPr>
        <w:numPr>
          <w:ilvl w:val="0"/>
          <w:numId w:val="42"/>
        </w:numPr>
        <w:tabs>
          <w:tab w:val="clear" w:pos="1008"/>
        </w:tabs>
        <w:spacing w:after="80"/>
        <w:ind w:left="2174" w:hanging="547"/>
      </w:pPr>
      <w:r w:rsidRPr="00DF1D1C">
        <w:t>Designate at least one grievance coordinator;</w:t>
      </w:r>
    </w:p>
    <w:p w14:paraId="7B713FDE" w14:textId="77777777" w:rsidR="009A0060" w:rsidRDefault="009A0060" w:rsidP="00257641">
      <w:pPr>
        <w:numPr>
          <w:ilvl w:val="0"/>
          <w:numId w:val="42"/>
        </w:numPr>
        <w:tabs>
          <w:tab w:val="clear" w:pos="1008"/>
        </w:tabs>
        <w:spacing w:after="80"/>
        <w:ind w:left="2174" w:hanging="547"/>
      </w:pPr>
      <w:r w:rsidRPr="00DF1D1C">
        <w:t>Permit that both grievances and appeals can be filed orally or in writing;</w:t>
      </w:r>
    </w:p>
    <w:p w14:paraId="42AC2DD8" w14:textId="77777777" w:rsidR="009A0060" w:rsidRPr="00DF1D1C" w:rsidRDefault="009A0060" w:rsidP="00257641">
      <w:pPr>
        <w:numPr>
          <w:ilvl w:val="0"/>
          <w:numId w:val="42"/>
        </w:numPr>
        <w:tabs>
          <w:tab w:val="clear" w:pos="1008"/>
        </w:tabs>
        <w:spacing w:after="80"/>
        <w:ind w:left="2174" w:hanging="547"/>
      </w:pPr>
      <w:r w:rsidRPr="00DF1D1C">
        <w:t>Provide reasonable assistance in completing the procedure, including but not limited to completing forms</w:t>
      </w:r>
      <w:r w:rsidR="00787E53">
        <w:t xml:space="preserve">, auxiliary aids and services, </w:t>
      </w:r>
      <w:r w:rsidRPr="00DF1D1C">
        <w:t>and toll</w:t>
      </w:r>
      <w:r w:rsidRPr="00DF1D1C">
        <w:noBreakHyphen/>
        <w:t xml:space="preserve">free phone numbers </w:t>
      </w:r>
      <w:r w:rsidR="00787E53">
        <w:t xml:space="preserve">with adequate TYY/TDD and interpreter capability </w:t>
      </w:r>
      <w:r w:rsidRPr="00DF1D1C">
        <w:t>as specified by the MCO;</w:t>
      </w:r>
    </w:p>
    <w:p w14:paraId="62679D98" w14:textId="77777777" w:rsidR="009A0060" w:rsidRPr="00DF1D1C" w:rsidRDefault="009A0060" w:rsidP="00257641">
      <w:pPr>
        <w:numPr>
          <w:ilvl w:val="0"/>
          <w:numId w:val="42"/>
        </w:numPr>
        <w:tabs>
          <w:tab w:val="clear" w:pos="1008"/>
        </w:tabs>
        <w:spacing w:after="80"/>
        <w:ind w:left="2174" w:hanging="547"/>
      </w:pPr>
      <w:r w:rsidRPr="00DF1D1C">
        <w:t>Acknowledge receipt of grievances and appeals;</w:t>
      </w:r>
    </w:p>
    <w:p w14:paraId="3C15C02A" w14:textId="77777777" w:rsidR="002F72D8" w:rsidRPr="00DF1D1C" w:rsidRDefault="009A0060" w:rsidP="00257641">
      <w:pPr>
        <w:numPr>
          <w:ilvl w:val="0"/>
          <w:numId w:val="42"/>
        </w:numPr>
        <w:tabs>
          <w:tab w:val="clear" w:pos="1008"/>
        </w:tabs>
        <w:spacing w:after="80"/>
        <w:ind w:left="2174" w:hanging="547"/>
      </w:pPr>
      <w:r w:rsidRPr="00DF1D1C">
        <w:t xml:space="preserve">Involve some person with problem solving authority at each level of the grievance procedure; </w:t>
      </w:r>
    </w:p>
    <w:p w14:paraId="2979CCF9" w14:textId="76472FF4" w:rsidR="009A0060" w:rsidRDefault="009A0060" w:rsidP="00257641">
      <w:pPr>
        <w:numPr>
          <w:ilvl w:val="0"/>
          <w:numId w:val="42"/>
        </w:numPr>
        <w:tabs>
          <w:tab w:val="clear" w:pos="1008"/>
        </w:tabs>
        <w:spacing w:after="80"/>
        <w:ind w:left="2174" w:hanging="547"/>
      </w:pPr>
      <w:r w:rsidRPr="00DF1D1C">
        <w:lastRenderedPageBreak/>
        <w:t>Ensure that individuals</w:t>
      </w:r>
      <w:r w:rsidR="003F01F5">
        <w:t>, or their subordinates,</w:t>
      </w:r>
      <w:r w:rsidRPr="00DF1D1C">
        <w:t xml:space="preserve"> reviewing and making decisions on grievances and appeals were not previously involved in decisions related to the grievance or appeal under review; </w:t>
      </w:r>
    </w:p>
    <w:p w14:paraId="40B92B66" w14:textId="77777777" w:rsidR="009B2B46" w:rsidRDefault="00D022A5" w:rsidP="00257641">
      <w:pPr>
        <w:numPr>
          <w:ilvl w:val="0"/>
          <w:numId w:val="42"/>
        </w:numPr>
        <w:tabs>
          <w:tab w:val="clear" w:pos="1008"/>
        </w:tabs>
        <w:spacing w:after="80"/>
        <w:ind w:left="2174" w:hanging="547"/>
      </w:pPr>
      <w:r>
        <w:t>Ensure that individuals reviewing and making decisions on grievances and appeals take into account all comments, documents, records, and other information submitted by the enrollee or their representative without regard to whether the information was submitted or considered in the initial adverse benefit determinatio</w:t>
      </w:r>
      <w:r w:rsidR="009B2B46">
        <w:t xml:space="preserve">n; </w:t>
      </w:r>
    </w:p>
    <w:p w14:paraId="1AC2B1B6" w14:textId="77777777" w:rsidR="009B2B46" w:rsidRPr="00DF1D1C" w:rsidRDefault="009B2B46" w:rsidP="00257641">
      <w:pPr>
        <w:numPr>
          <w:ilvl w:val="0"/>
          <w:numId w:val="42"/>
        </w:numPr>
        <w:tabs>
          <w:tab w:val="clear" w:pos="1008"/>
        </w:tabs>
        <w:spacing w:after="80"/>
        <w:ind w:left="2174" w:hanging="547"/>
      </w:pPr>
      <w:r>
        <w:t>E</w:t>
      </w:r>
      <w:r w:rsidR="009A0060" w:rsidRPr="00DF1D1C">
        <w:t>nsure that individuals reviewing medically related grievances or denials of expedited resolution of an appeal have appropriate clinical expertise, as determined by the State in treating the enrollee</w:t>
      </w:r>
      <w:r w:rsidR="00FA1C0C" w:rsidRPr="00DF1D1C">
        <w:t>’</w:t>
      </w:r>
      <w:r w:rsidR="009A0060" w:rsidRPr="00DF1D1C">
        <w:t>s condition or disease;</w:t>
      </w:r>
    </w:p>
    <w:p w14:paraId="3A285BCC" w14:textId="54AEAD55" w:rsidR="009B2B46" w:rsidRPr="00DF1D1C" w:rsidRDefault="009A0060" w:rsidP="00257641">
      <w:pPr>
        <w:numPr>
          <w:ilvl w:val="0"/>
          <w:numId w:val="42"/>
        </w:numPr>
        <w:tabs>
          <w:tab w:val="clear" w:pos="1008"/>
        </w:tabs>
        <w:spacing w:after="80"/>
        <w:ind w:left="2174" w:hanging="547"/>
      </w:pPr>
      <w:r w:rsidRPr="00DF1D1C">
        <w:t xml:space="preserve">Process and provide notice to affected parties regarding the enrollee grievance in a reasonable length of time not to exceed </w:t>
      </w:r>
      <w:r w:rsidR="002F681C">
        <w:t>thirty</w:t>
      </w:r>
      <w:r w:rsidR="00CA642F">
        <w:t xml:space="preserve"> (</w:t>
      </w:r>
      <w:r w:rsidR="002F681C">
        <w:t>30</w:t>
      </w:r>
      <w:r w:rsidR="00CA642F">
        <w:t>)</w:t>
      </w:r>
      <w:r w:rsidR="00F863FE">
        <w:t xml:space="preserve"> calendar</w:t>
      </w:r>
      <w:r w:rsidRPr="00DF1D1C">
        <w:t xml:space="preserve"> days from the day the MCO receives the grievance, unless the enrollee requests an extension or the MCO shows that a delay is necessary and in the interest of the enrollee; </w:t>
      </w:r>
    </w:p>
    <w:p w14:paraId="3956824B" w14:textId="4BD85398" w:rsidR="009B2B46" w:rsidRPr="00DF1D1C" w:rsidRDefault="009A0060" w:rsidP="00257641">
      <w:pPr>
        <w:numPr>
          <w:ilvl w:val="0"/>
          <w:numId w:val="42"/>
        </w:numPr>
        <w:tabs>
          <w:tab w:val="clear" w:pos="1008"/>
        </w:tabs>
        <w:spacing w:after="80"/>
        <w:ind w:left="2174" w:hanging="547"/>
      </w:pPr>
      <w:r w:rsidRPr="00DF1D1C">
        <w:t xml:space="preserve">Ensure that standard resolution and notice </w:t>
      </w:r>
      <w:r w:rsidR="003F5069">
        <w:t xml:space="preserve">for a grievance </w:t>
      </w:r>
      <w:r w:rsidRPr="00DF1D1C">
        <w:t xml:space="preserve">occurs with the timeframes established by </w:t>
      </w:r>
      <w:r w:rsidR="003D1891">
        <w:t>DHHR</w:t>
      </w:r>
      <w:r w:rsidR="003D1891" w:rsidRPr="00DF1D1C">
        <w:t xml:space="preserve"> </w:t>
      </w:r>
      <w:r w:rsidRPr="00DF1D1C">
        <w:t xml:space="preserve">and that such timeframes may be extended up to </w:t>
      </w:r>
      <w:r w:rsidR="009A4997">
        <w:t>fourteen (</w:t>
      </w:r>
      <w:r w:rsidRPr="00DF1D1C">
        <w:t>14</w:t>
      </w:r>
      <w:r w:rsidR="009A4997">
        <w:t>)</w:t>
      </w:r>
      <w:r w:rsidRPr="00DF1D1C">
        <w:t xml:space="preserve"> </w:t>
      </w:r>
      <w:r w:rsidR="00F863FE">
        <w:t xml:space="preserve">calendar </w:t>
      </w:r>
      <w:r w:rsidRPr="00DF1D1C">
        <w:t>days upon the request of the enrollee or if the MCO shows that additional information is necessary and that the delay is in the interest of the enrollee; and</w:t>
      </w:r>
    </w:p>
    <w:p w14:paraId="46D14146" w14:textId="77777777" w:rsidR="009A0060" w:rsidRPr="00AB033C" w:rsidRDefault="009A0060" w:rsidP="00257641">
      <w:pPr>
        <w:numPr>
          <w:ilvl w:val="0"/>
          <w:numId w:val="42"/>
        </w:numPr>
        <w:tabs>
          <w:tab w:val="clear" w:pos="1008"/>
        </w:tabs>
        <w:spacing w:after="120"/>
        <w:ind w:left="2160" w:hanging="540"/>
        <w:rPr>
          <w:szCs w:val="24"/>
        </w:rPr>
      </w:pPr>
      <w:r w:rsidRPr="00CD1178">
        <w:rPr>
          <w:szCs w:val="24"/>
        </w:rPr>
        <w:t xml:space="preserve">Ensure that if the timeframe for resolving a grievance is extended for any reason other than an enrollee request, the MCO </w:t>
      </w:r>
      <w:r w:rsidR="00890D6B" w:rsidRPr="00D61267">
        <w:rPr>
          <w:szCs w:val="24"/>
        </w:rPr>
        <w:t>must</w:t>
      </w:r>
      <w:r w:rsidRPr="000A32BE">
        <w:rPr>
          <w:szCs w:val="24"/>
        </w:rPr>
        <w:t xml:space="preserve"> give the enrollee written notice of the reason for the delay</w:t>
      </w:r>
      <w:r w:rsidR="00155000" w:rsidRPr="00AB033C">
        <w:rPr>
          <w:szCs w:val="24"/>
        </w:rPr>
        <w:t xml:space="preserve"> and inform the enrollee of the right to file a grievance if he or she disagrees with the decision</w:t>
      </w:r>
      <w:r w:rsidRPr="00AB033C">
        <w:rPr>
          <w:szCs w:val="24"/>
        </w:rPr>
        <w:t>.</w:t>
      </w:r>
    </w:p>
    <w:p w14:paraId="64C205F3" w14:textId="6ED606D4" w:rsidR="009A0060" w:rsidRPr="00CD1178" w:rsidRDefault="009A0060" w:rsidP="00257641">
      <w:pPr>
        <w:spacing w:after="120"/>
        <w:ind w:left="720" w:hanging="360"/>
        <w:rPr>
          <w:rStyle w:val="StyleTimesNewRoman12pt"/>
          <w:rFonts w:ascii="Times New Roman" w:hAnsi="Times New Roman"/>
          <w:sz w:val="24"/>
          <w:szCs w:val="24"/>
        </w:rPr>
      </w:pPr>
      <w:r w:rsidRPr="00AB033C">
        <w:rPr>
          <w:rStyle w:val="StyleTimesNewRoman12pt"/>
          <w:rFonts w:ascii="Times New Roman" w:hAnsi="Times New Roman"/>
          <w:sz w:val="24"/>
          <w:szCs w:val="24"/>
        </w:rPr>
        <w:t>2.</w:t>
      </w:r>
      <w:r w:rsidRPr="00AB033C">
        <w:rPr>
          <w:rStyle w:val="StyleTimesNewRoman12pt"/>
          <w:rFonts w:ascii="Times New Roman" w:hAnsi="Times New Roman"/>
          <w:sz w:val="24"/>
          <w:szCs w:val="24"/>
        </w:rPr>
        <w:tab/>
        <w:t xml:space="preserve">In addition to the </w:t>
      </w:r>
      <w:r w:rsidRPr="00117461">
        <w:rPr>
          <w:rStyle w:val="StyleTimesNewRoman12pt"/>
          <w:rFonts w:ascii="Times New Roman" w:hAnsi="Times New Roman"/>
          <w:sz w:val="24"/>
          <w:szCs w:val="24"/>
        </w:rPr>
        <w:t>provisions stated above</w:t>
      </w:r>
      <w:r w:rsidRPr="00CD1178">
        <w:rPr>
          <w:szCs w:val="24"/>
        </w:rPr>
        <w:t xml:space="preserve"> in Subsection </w:t>
      </w:r>
      <w:r w:rsidR="003D1891" w:rsidRPr="00CD1178">
        <w:rPr>
          <w:szCs w:val="24"/>
        </w:rPr>
        <w:t>1</w:t>
      </w:r>
      <w:r w:rsidRPr="00CD1178">
        <w:rPr>
          <w:szCs w:val="24"/>
        </w:rPr>
        <w:t>c</w:t>
      </w:r>
      <w:r w:rsidRPr="00CD26C6">
        <w:rPr>
          <w:rStyle w:val="StyleTimesNewRoman12pt"/>
          <w:rFonts w:ascii="Times New Roman" w:hAnsi="Times New Roman"/>
          <w:sz w:val="24"/>
          <w:szCs w:val="24"/>
        </w:rPr>
        <w:t>, the MCO</w:t>
      </w:r>
      <w:r w:rsidR="00FA1C0C" w:rsidRPr="00D61267">
        <w:rPr>
          <w:rStyle w:val="StyleTimesNewRoman12pt"/>
          <w:rFonts w:ascii="Times New Roman" w:hAnsi="Times New Roman"/>
          <w:sz w:val="24"/>
          <w:szCs w:val="24"/>
        </w:rPr>
        <w:t>’</w:t>
      </w:r>
      <w:r w:rsidRPr="00D61267">
        <w:rPr>
          <w:rStyle w:val="StyleTimesNewRoman12pt"/>
          <w:rFonts w:ascii="Times New Roman" w:hAnsi="Times New Roman"/>
          <w:sz w:val="24"/>
          <w:szCs w:val="24"/>
        </w:rPr>
        <w:t xml:space="preserve">s procedures with respect to appeals and grievances </w:t>
      </w:r>
      <w:r w:rsidR="00890D6B" w:rsidRPr="00AB033C">
        <w:rPr>
          <w:rStyle w:val="StyleTimesNewRoman12pt"/>
          <w:rFonts w:ascii="Times New Roman" w:hAnsi="Times New Roman"/>
          <w:sz w:val="24"/>
          <w:szCs w:val="24"/>
        </w:rPr>
        <w:t>must</w:t>
      </w:r>
      <w:r w:rsidRPr="00AB033C">
        <w:rPr>
          <w:rStyle w:val="StyleTimesNewRoman12pt"/>
          <w:rFonts w:ascii="Times New Roman" w:hAnsi="Times New Roman"/>
          <w:sz w:val="24"/>
          <w:szCs w:val="24"/>
        </w:rPr>
        <w:t xml:space="preserve"> provide that:</w:t>
      </w:r>
      <w:r w:rsidR="00F24820" w:rsidRPr="00117461">
        <w:rPr>
          <w:rStyle w:val="StyleTimesNewRoman12pt"/>
          <w:rFonts w:ascii="Times New Roman" w:hAnsi="Times New Roman"/>
          <w:sz w:val="24"/>
          <w:szCs w:val="24"/>
        </w:rPr>
        <w:t xml:space="preserve"> </w:t>
      </w:r>
    </w:p>
    <w:p w14:paraId="026B2E39" w14:textId="77777777" w:rsidR="009A0060" w:rsidRPr="000A32BE" w:rsidRDefault="009A0060" w:rsidP="00257641">
      <w:pPr>
        <w:pStyle w:val="StyleTimesNewRoman12ptAfter6pt"/>
        <w:numPr>
          <w:ilvl w:val="0"/>
          <w:numId w:val="43"/>
        </w:numPr>
        <w:tabs>
          <w:tab w:val="clear" w:pos="1440"/>
        </w:tabs>
        <w:rPr>
          <w:szCs w:val="24"/>
        </w:rPr>
      </w:pPr>
      <w:r w:rsidRPr="00D61267">
        <w:rPr>
          <w:szCs w:val="24"/>
        </w:rPr>
        <w:t xml:space="preserve">An address </w:t>
      </w:r>
      <w:r w:rsidR="00890D6B" w:rsidRPr="000A32BE">
        <w:rPr>
          <w:szCs w:val="24"/>
        </w:rPr>
        <w:t>must</w:t>
      </w:r>
      <w:r w:rsidRPr="000A32BE">
        <w:rPr>
          <w:szCs w:val="24"/>
        </w:rPr>
        <w:t xml:space="preserve"> be included for written appeals and formal grievances; </w:t>
      </w:r>
    </w:p>
    <w:p w14:paraId="64D8E63F" w14:textId="77777777" w:rsidR="009A0060" w:rsidRPr="004F097D" w:rsidRDefault="009A0060" w:rsidP="00257641">
      <w:pPr>
        <w:pStyle w:val="StyleTimesNewRoman12ptAfter6pt"/>
        <w:numPr>
          <w:ilvl w:val="0"/>
          <w:numId w:val="43"/>
        </w:numPr>
        <w:tabs>
          <w:tab w:val="clear" w:pos="1440"/>
        </w:tabs>
        <w:rPr>
          <w:szCs w:val="24"/>
        </w:rPr>
      </w:pPr>
      <w:r w:rsidRPr="00AB033C">
        <w:rPr>
          <w:szCs w:val="24"/>
        </w:rPr>
        <w:t>A provider may file an appeal on the enrollee</w:t>
      </w:r>
      <w:r w:rsidR="00FA1C0C" w:rsidRPr="00AB033C">
        <w:rPr>
          <w:szCs w:val="24"/>
        </w:rPr>
        <w:t>’</w:t>
      </w:r>
      <w:r w:rsidRPr="00117461">
        <w:rPr>
          <w:szCs w:val="24"/>
        </w:rPr>
        <w:t>s behalf with the enrollee</w:t>
      </w:r>
      <w:r w:rsidR="00FA1C0C" w:rsidRPr="001276A8">
        <w:rPr>
          <w:szCs w:val="24"/>
        </w:rPr>
        <w:t>’</w:t>
      </w:r>
      <w:r w:rsidRPr="004F097D">
        <w:rPr>
          <w:szCs w:val="24"/>
        </w:rPr>
        <w:t>s written consent;</w:t>
      </w:r>
    </w:p>
    <w:p w14:paraId="7005D8CD" w14:textId="77777777" w:rsidR="009A0060" w:rsidRPr="004D1244" w:rsidRDefault="009A0060" w:rsidP="00257641">
      <w:pPr>
        <w:pStyle w:val="StyleTimesNewRoman12ptAfter6pt"/>
        <w:numPr>
          <w:ilvl w:val="0"/>
          <w:numId w:val="43"/>
        </w:numPr>
        <w:tabs>
          <w:tab w:val="clear" w:pos="1440"/>
        </w:tabs>
        <w:rPr>
          <w:szCs w:val="24"/>
        </w:rPr>
      </w:pPr>
      <w:r w:rsidRPr="00233688">
        <w:rPr>
          <w:szCs w:val="24"/>
        </w:rPr>
        <w:t xml:space="preserve">No punitive action </w:t>
      </w:r>
      <w:r w:rsidR="00890D6B" w:rsidRPr="00233688">
        <w:rPr>
          <w:szCs w:val="24"/>
        </w:rPr>
        <w:t>may</w:t>
      </w:r>
      <w:r w:rsidRPr="00356156">
        <w:rPr>
          <w:szCs w:val="24"/>
        </w:rPr>
        <w:t xml:space="preserve"> be taken against a provider who files an appeal on behalf of an enrollee or supports the enrollee</w:t>
      </w:r>
      <w:r w:rsidR="00FA1C0C" w:rsidRPr="004D1244">
        <w:rPr>
          <w:szCs w:val="24"/>
        </w:rPr>
        <w:t>’</w:t>
      </w:r>
      <w:r w:rsidRPr="004D1244">
        <w:rPr>
          <w:szCs w:val="24"/>
        </w:rPr>
        <w:t>s appeal;</w:t>
      </w:r>
    </w:p>
    <w:p w14:paraId="2B5B201E" w14:textId="77777777" w:rsidR="009A0060" w:rsidRPr="00FF0A07" w:rsidRDefault="009A0060" w:rsidP="00257641">
      <w:pPr>
        <w:pStyle w:val="StyleTimesNewRoman12ptAfter6pt"/>
        <w:numPr>
          <w:ilvl w:val="0"/>
          <w:numId w:val="43"/>
        </w:numPr>
        <w:tabs>
          <w:tab w:val="clear" w:pos="1440"/>
        </w:tabs>
        <w:rPr>
          <w:szCs w:val="24"/>
        </w:rPr>
      </w:pPr>
      <w:r w:rsidRPr="004D1244">
        <w:rPr>
          <w:szCs w:val="24"/>
        </w:rPr>
        <w:t xml:space="preserve">If an expedited appeal or review of a grievance is not requested, written and signed appeals </w:t>
      </w:r>
      <w:r w:rsidRPr="00FF0A07">
        <w:rPr>
          <w:szCs w:val="24"/>
        </w:rPr>
        <w:t xml:space="preserve">and formal grievances must be filed following an oral appeal or formal grievance; </w:t>
      </w:r>
    </w:p>
    <w:p w14:paraId="61EBEB40" w14:textId="77777777" w:rsidR="009A0060" w:rsidRPr="00F75251" w:rsidRDefault="009A0060" w:rsidP="00257641">
      <w:pPr>
        <w:pStyle w:val="StyleTimesNewRoman12ptAfter6pt"/>
        <w:numPr>
          <w:ilvl w:val="0"/>
          <w:numId w:val="43"/>
        </w:numPr>
        <w:tabs>
          <w:tab w:val="clear" w:pos="1440"/>
        </w:tabs>
        <w:rPr>
          <w:szCs w:val="24"/>
        </w:rPr>
      </w:pPr>
      <w:r w:rsidRPr="008015ED">
        <w:rPr>
          <w:szCs w:val="24"/>
        </w:rPr>
        <w:t>Enrollees must be provided with an opportunity to present in writing or orally, evidence and allegations of fact or law; the opportunity to examine his case file</w:t>
      </w:r>
      <w:r w:rsidR="00DE1226" w:rsidRPr="0099539F">
        <w:rPr>
          <w:szCs w:val="24"/>
        </w:rPr>
        <w:t xml:space="preserve"> free of cha</w:t>
      </w:r>
      <w:r w:rsidR="00DE1226" w:rsidRPr="00DA379A">
        <w:rPr>
          <w:szCs w:val="24"/>
        </w:rPr>
        <w:t>rge</w:t>
      </w:r>
      <w:r w:rsidRPr="00DA379A">
        <w:rPr>
          <w:szCs w:val="24"/>
        </w:rPr>
        <w:t xml:space="preserve">, including medical records, before and during the appeal or grievance as well as other documents considered during the appeal. Parties to the appeal </w:t>
      </w:r>
      <w:r w:rsidR="00C54CE5" w:rsidRPr="00DA379A">
        <w:rPr>
          <w:szCs w:val="24"/>
        </w:rPr>
        <w:t>must</w:t>
      </w:r>
      <w:r w:rsidRPr="00F75251">
        <w:rPr>
          <w:szCs w:val="24"/>
        </w:rPr>
        <w:t xml:space="preserve"> include the enrollee, his representative, or legal representative of a deceased enrollee</w:t>
      </w:r>
      <w:r w:rsidR="00FA1C0C" w:rsidRPr="00F75251">
        <w:rPr>
          <w:szCs w:val="24"/>
        </w:rPr>
        <w:t>’</w:t>
      </w:r>
      <w:r w:rsidRPr="00F75251">
        <w:rPr>
          <w:szCs w:val="24"/>
        </w:rPr>
        <w:t>s estate</w:t>
      </w:r>
      <w:r w:rsidR="00FF08C5" w:rsidRPr="00F75251">
        <w:rPr>
          <w:szCs w:val="24"/>
        </w:rPr>
        <w:t>, and the MCO must inform the enrollee of the limited time available sufficiently in advance of the resolution timeframe for appeals</w:t>
      </w:r>
      <w:r w:rsidRPr="00F75251">
        <w:rPr>
          <w:szCs w:val="24"/>
        </w:rPr>
        <w:t>;</w:t>
      </w:r>
    </w:p>
    <w:p w14:paraId="32ACD39D" w14:textId="76CB4983" w:rsidR="003F5069" w:rsidRPr="00C4627A" w:rsidRDefault="009A0060" w:rsidP="00257641">
      <w:pPr>
        <w:pStyle w:val="StyleTimesNewRoman12ptAfter6pt"/>
        <w:numPr>
          <w:ilvl w:val="0"/>
          <w:numId w:val="43"/>
        </w:numPr>
        <w:tabs>
          <w:tab w:val="clear" w:pos="1440"/>
        </w:tabs>
        <w:rPr>
          <w:szCs w:val="24"/>
        </w:rPr>
      </w:pPr>
      <w:r w:rsidRPr="00F75251">
        <w:rPr>
          <w:szCs w:val="24"/>
        </w:rPr>
        <w:lastRenderedPageBreak/>
        <w:t>The time limit for the enrollee</w:t>
      </w:r>
      <w:r w:rsidR="00906AC9" w:rsidRPr="0058676D">
        <w:rPr>
          <w:szCs w:val="24"/>
        </w:rPr>
        <w:t xml:space="preserve"> or his representative</w:t>
      </w:r>
      <w:r w:rsidRPr="0058676D">
        <w:rPr>
          <w:szCs w:val="24"/>
        </w:rPr>
        <w:t xml:space="preserve"> to file an appeal is </w:t>
      </w:r>
      <w:r w:rsidR="00F82388" w:rsidRPr="0058676D">
        <w:rPr>
          <w:szCs w:val="24"/>
        </w:rPr>
        <w:t>sixty (</w:t>
      </w:r>
      <w:r w:rsidR="00B41A30" w:rsidRPr="0058676D">
        <w:rPr>
          <w:szCs w:val="24"/>
        </w:rPr>
        <w:t>60</w:t>
      </w:r>
      <w:r w:rsidR="00F82388" w:rsidRPr="002645B5">
        <w:rPr>
          <w:szCs w:val="24"/>
        </w:rPr>
        <w:t>)</w:t>
      </w:r>
      <w:r w:rsidR="00B41A30" w:rsidRPr="002645B5">
        <w:rPr>
          <w:szCs w:val="24"/>
        </w:rPr>
        <w:t xml:space="preserve"> calendar</w:t>
      </w:r>
      <w:r w:rsidR="00F24820" w:rsidRPr="00A22632">
        <w:rPr>
          <w:szCs w:val="24"/>
        </w:rPr>
        <w:t xml:space="preserve"> </w:t>
      </w:r>
      <w:r w:rsidRPr="006B61A9">
        <w:rPr>
          <w:szCs w:val="24"/>
        </w:rPr>
        <w:t xml:space="preserve">days from the date on the notice of </w:t>
      </w:r>
      <w:r w:rsidR="00CC2F6C">
        <w:t>adverse benefit determination</w:t>
      </w:r>
      <w:r w:rsidRPr="006B61A9">
        <w:rPr>
          <w:szCs w:val="24"/>
        </w:rPr>
        <w:t>;</w:t>
      </w:r>
    </w:p>
    <w:p w14:paraId="2B3EEDF3" w14:textId="1CDDA8FB" w:rsidR="003F5069" w:rsidRPr="004C2825" w:rsidRDefault="003F5069" w:rsidP="00257641">
      <w:pPr>
        <w:pStyle w:val="StyleTimesNewRoman12ptAfter6pt"/>
        <w:numPr>
          <w:ilvl w:val="0"/>
          <w:numId w:val="43"/>
        </w:numPr>
        <w:tabs>
          <w:tab w:val="clear" w:pos="1440"/>
        </w:tabs>
        <w:rPr>
          <w:szCs w:val="24"/>
        </w:rPr>
      </w:pPr>
      <w:r w:rsidRPr="00C4627A">
        <w:rPr>
          <w:szCs w:val="24"/>
        </w:rPr>
        <w:t>Provide that oral inquiries seeking to appeal an adverse</w:t>
      </w:r>
      <w:r w:rsidR="00CC2F6C">
        <w:t xml:space="preserve"> benefit determination</w:t>
      </w:r>
      <w:r w:rsidR="00CC2F6C" w:rsidRPr="00C4627A" w:rsidDel="00CC2F6C">
        <w:rPr>
          <w:szCs w:val="24"/>
        </w:rPr>
        <w:t xml:space="preserve"> </w:t>
      </w:r>
      <w:r w:rsidRPr="00C4627A">
        <w:rPr>
          <w:szCs w:val="24"/>
        </w:rPr>
        <w:t xml:space="preserve">are treated as appeals (to establish the </w:t>
      </w:r>
      <w:r w:rsidR="00DB184A" w:rsidRPr="00225429">
        <w:rPr>
          <w:szCs w:val="24"/>
        </w:rPr>
        <w:t>earliest</w:t>
      </w:r>
      <w:r w:rsidRPr="00540893">
        <w:rPr>
          <w:szCs w:val="24"/>
        </w:rPr>
        <w:t xml:space="preserve"> possible filing date), and must be confirmed in writing u</w:t>
      </w:r>
      <w:r w:rsidRPr="004C2825">
        <w:rPr>
          <w:szCs w:val="24"/>
        </w:rPr>
        <w:t>nless the enrollee or provider requests expedited resolution;</w:t>
      </w:r>
    </w:p>
    <w:p w14:paraId="283B5ACC" w14:textId="3935319F" w:rsidR="009A0060" w:rsidRPr="00427BBA" w:rsidRDefault="009A0060" w:rsidP="00257641">
      <w:pPr>
        <w:pStyle w:val="StyleTimesNewRoman12ptAfter6pt"/>
        <w:numPr>
          <w:ilvl w:val="0"/>
          <w:numId w:val="43"/>
        </w:numPr>
        <w:tabs>
          <w:tab w:val="clear" w:pos="1440"/>
        </w:tabs>
        <w:rPr>
          <w:szCs w:val="24"/>
        </w:rPr>
      </w:pPr>
      <w:r w:rsidRPr="00D2147D">
        <w:rPr>
          <w:szCs w:val="24"/>
        </w:rPr>
        <w:t xml:space="preserve">The MCO </w:t>
      </w:r>
      <w:r w:rsidR="00C54CE5" w:rsidRPr="00B9242A">
        <w:rPr>
          <w:szCs w:val="24"/>
        </w:rPr>
        <w:t>must</w:t>
      </w:r>
      <w:r w:rsidRPr="00427BBA">
        <w:rPr>
          <w:szCs w:val="24"/>
        </w:rPr>
        <w:t xml:space="preserve"> offer to meet with the enrollee </w:t>
      </w:r>
      <w:r w:rsidR="00906AC9" w:rsidRPr="00427BBA">
        <w:rPr>
          <w:szCs w:val="24"/>
        </w:rPr>
        <w:t xml:space="preserve">or his representative </w:t>
      </w:r>
      <w:r w:rsidRPr="00427BBA">
        <w:rPr>
          <w:szCs w:val="24"/>
        </w:rPr>
        <w:t>during the grievance process;</w:t>
      </w:r>
    </w:p>
    <w:p w14:paraId="0816FD95" w14:textId="6B17567F" w:rsidR="009A0060" w:rsidRPr="000A32BE" w:rsidRDefault="00AA668D" w:rsidP="00257641">
      <w:pPr>
        <w:pStyle w:val="StyleTimesNewRoman12ptAfter6pt"/>
        <w:numPr>
          <w:ilvl w:val="0"/>
          <w:numId w:val="43"/>
        </w:numPr>
        <w:tabs>
          <w:tab w:val="clear" w:pos="1440"/>
        </w:tabs>
        <w:rPr>
          <w:szCs w:val="24"/>
        </w:rPr>
      </w:pPr>
      <w:r w:rsidRPr="00427BBA">
        <w:rPr>
          <w:szCs w:val="24"/>
        </w:rPr>
        <w:t>The</w:t>
      </w:r>
      <w:r w:rsidR="00C54CE5" w:rsidRPr="00427BBA">
        <w:rPr>
          <w:szCs w:val="24"/>
        </w:rPr>
        <w:t xml:space="preserve"> MCO</w:t>
      </w:r>
      <w:r w:rsidR="009A0060" w:rsidRPr="00427BBA">
        <w:rPr>
          <w:szCs w:val="24"/>
        </w:rPr>
        <w:t xml:space="preserve"> </w:t>
      </w:r>
      <w:r w:rsidR="001B7D9A" w:rsidRPr="00427BBA">
        <w:rPr>
          <w:szCs w:val="24"/>
        </w:rPr>
        <w:t xml:space="preserve">must </w:t>
      </w:r>
      <w:r w:rsidR="009A0060" w:rsidRPr="00703C58">
        <w:rPr>
          <w:szCs w:val="24"/>
        </w:rPr>
        <w:t>maintain an accurate record of each appeal and grievance</w:t>
      </w:r>
      <w:r w:rsidR="00A41597" w:rsidRPr="00703C58">
        <w:rPr>
          <w:szCs w:val="24"/>
        </w:rPr>
        <w:t>, containing a general description of the reason for the appeal or grievance; the date received; the date of each review or review meeting; the resolution at each level of the appeal or grievance, if applicable; the date of resolution at each level, if applicable; and the record must be maintained in a manner accessible to the State and available to CMS</w:t>
      </w:r>
      <w:r w:rsidR="00CD1178">
        <w:rPr>
          <w:szCs w:val="24"/>
        </w:rPr>
        <w:t xml:space="preserve"> or ACF</w:t>
      </w:r>
      <w:r w:rsidR="00A41597" w:rsidRPr="00CD1178">
        <w:rPr>
          <w:szCs w:val="24"/>
        </w:rPr>
        <w:t xml:space="preserve"> upon request</w:t>
      </w:r>
      <w:r w:rsidR="00247367" w:rsidRPr="00CD1178">
        <w:rPr>
          <w:szCs w:val="24"/>
        </w:rPr>
        <w:t xml:space="preserve">. </w:t>
      </w:r>
      <w:r w:rsidR="009A0060" w:rsidRPr="00CD1178">
        <w:rPr>
          <w:szCs w:val="24"/>
        </w:rPr>
        <w:t xml:space="preserve">Copies of the grievances and the responses thereto </w:t>
      </w:r>
      <w:r w:rsidR="00C54CE5" w:rsidRPr="00CD1178">
        <w:rPr>
          <w:szCs w:val="24"/>
        </w:rPr>
        <w:t>must</w:t>
      </w:r>
      <w:r w:rsidR="009A0060" w:rsidRPr="00CD1178">
        <w:rPr>
          <w:szCs w:val="24"/>
        </w:rPr>
        <w:t xml:space="preserve"> be available to the public for inspection for </w:t>
      </w:r>
      <w:r w:rsidR="00764D22" w:rsidRPr="00D61267">
        <w:rPr>
          <w:szCs w:val="24"/>
        </w:rPr>
        <w:t>five</w:t>
      </w:r>
      <w:r w:rsidR="00F24820" w:rsidRPr="000A32BE">
        <w:rPr>
          <w:szCs w:val="24"/>
        </w:rPr>
        <w:t xml:space="preserve"> </w:t>
      </w:r>
      <w:r w:rsidR="00E62F69" w:rsidRPr="000A32BE">
        <w:rPr>
          <w:szCs w:val="24"/>
        </w:rPr>
        <w:t xml:space="preserve">(5) </w:t>
      </w:r>
      <w:r w:rsidR="009A0060" w:rsidRPr="000A32BE">
        <w:rPr>
          <w:szCs w:val="24"/>
        </w:rPr>
        <w:t xml:space="preserve">years; </w:t>
      </w:r>
    </w:p>
    <w:p w14:paraId="750AFCD1" w14:textId="77777777" w:rsidR="009A0060" w:rsidRPr="00233688" w:rsidRDefault="009A0060" w:rsidP="00257641">
      <w:pPr>
        <w:pStyle w:val="StyleTimesNewRoman12ptAfter6pt"/>
        <w:numPr>
          <w:ilvl w:val="0"/>
          <w:numId w:val="43"/>
        </w:numPr>
        <w:tabs>
          <w:tab w:val="clear" w:pos="1440"/>
        </w:tabs>
        <w:rPr>
          <w:szCs w:val="24"/>
        </w:rPr>
      </w:pPr>
      <w:r w:rsidRPr="00AB033C">
        <w:rPr>
          <w:szCs w:val="24"/>
        </w:rPr>
        <w:t xml:space="preserve">The MCO </w:t>
      </w:r>
      <w:r w:rsidR="00C54CE5" w:rsidRPr="00AB033C">
        <w:rPr>
          <w:szCs w:val="24"/>
        </w:rPr>
        <w:t xml:space="preserve">must </w:t>
      </w:r>
      <w:r w:rsidRPr="00117461">
        <w:rPr>
          <w:szCs w:val="24"/>
        </w:rPr>
        <w:t xml:space="preserve">process and provide notice to affected parties regarding the appeal in a reasonable length of time not to exceed </w:t>
      </w:r>
      <w:r w:rsidR="00B40E8E" w:rsidRPr="001276A8">
        <w:rPr>
          <w:szCs w:val="24"/>
        </w:rPr>
        <w:t>thirty (</w:t>
      </w:r>
      <w:r w:rsidR="009215B6" w:rsidRPr="004F097D">
        <w:rPr>
          <w:szCs w:val="24"/>
        </w:rPr>
        <w:t>30</w:t>
      </w:r>
      <w:r w:rsidR="00B40E8E" w:rsidRPr="00005E7A">
        <w:rPr>
          <w:szCs w:val="24"/>
        </w:rPr>
        <w:t>)</w:t>
      </w:r>
      <w:r w:rsidR="009215B6" w:rsidRPr="00005E7A">
        <w:rPr>
          <w:szCs w:val="24"/>
        </w:rPr>
        <w:t xml:space="preserve"> calendar </w:t>
      </w:r>
      <w:r w:rsidRPr="00005E7A">
        <w:rPr>
          <w:szCs w:val="24"/>
        </w:rPr>
        <w:t>days from the day the MCO receives the appeal, unless the enrollee requests an extension or the MCO shows that a delay is necessary and in the interest of the enrollee</w:t>
      </w:r>
      <w:r w:rsidR="00FF4BBD" w:rsidRPr="00233688">
        <w:rPr>
          <w:szCs w:val="24"/>
        </w:rPr>
        <w:t>;</w:t>
      </w:r>
    </w:p>
    <w:p w14:paraId="4191C6E7" w14:textId="77777777" w:rsidR="00BE17BA" w:rsidRPr="00DA379A" w:rsidRDefault="00BE17BA" w:rsidP="00257641">
      <w:pPr>
        <w:pStyle w:val="StyleTimesNewRoman12ptAfter6pt"/>
        <w:numPr>
          <w:ilvl w:val="0"/>
          <w:numId w:val="43"/>
        </w:numPr>
        <w:tabs>
          <w:tab w:val="clear" w:pos="1440"/>
        </w:tabs>
        <w:rPr>
          <w:szCs w:val="24"/>
        </w:rPr>
      </w:pPr>
      <w:r w:rsidRPr="00356156">
        <w:rPr>
          <w:szCs w:val="24"/>
        </w:rPr>
        <w:t>The MCO must process and provide notice t</w:t>
      </w:r>
      <w:r w:rsidRPr="004D1244">
        <w:rPr>
          <w:szCs w:val="24"/>
        </w:rPr>
        <w:t xml:space="preserve">o the affected parties regarding a grievance in a reasonable length of time not to exceed </w:t>
      </w:r>
      <w:r w:rsidR="00E87E2D" w:rsidRPr="004D1244">
        <w:rPr>
          <w:szCs w:val="24"/>
        </w:rPr>
        <w:t xml:space="preserve">thirty </w:t>
      </w:r>
      <w:r w:rsidR="00CA642F" w:rsidRPr="004D1244">
        <w:rPr>
          <w:szCs w:val="24"/>
        </w:rPr>
        <w:t>(</w:t>
      </w:r>
      <w:r w:rsidR="00E87E2D" w:rsidRPr="00FF0A07">
        <w:rPr>
          <w:szCs w:val="24"/>
        </w:rPr>
        <w:t>30</w:t>
      </w:r>
      <w:r w:rsidR="00CA642F" w:rsidRPr="008015ED">
        <w:rPr>
          <w:szCs w:val="24"/>
        </w:rPr>
        <w:t>)</w:t>
      </w:r>
      <w:r w:rsidRPr="0099539F">
        <w:rPr>
          <w:szCs w:val="24"/>
        </w:rPr>
        <w:t xml:space="preserve"> calendar days from the day the MCO receives the grievance, unless the enrollee requests an extension or the MCO shows that a delay is necessary and in the</w:t>
      </w:r>
      <w:r w:rsidRPr="00DA379A">
        <w:rPr>
          <w:szCs w:val="24"/>
        </w:rPr>
        <w:t xml:space="preserve"> interest of the enrollee;</w:t>
      </w:r>
    </w:p>
    <w:p w14:paraId="108851D4" w14:textId="23D0DB3E" w:rsidR="009A0060" w:rsidRPr="0058676D" w:rsidRDefault="009A0060" w:rsidP="00257641">
      <w:pPr>
        <w:pStyle w:val="StyleTimesNewRoman12ptAfter6pt"/>
        <w:numPr>
          <w:ilvl w:val="0"/>
          <w:numId w:val="43"/>
        </w:numPr>
        <w:tabs>
          <w:tab w:val="clear" w:pos="1440"/>
        </w:tabs>
        <w:rPr>
          <w:szCs w:val="24"/>
        </w:rPr>
      </w:pPr>
      <w:r w:rsidRPr="00DA379A">
        <w:rPr>
          <w:szCs w:val="24"/>
        </w:rPr>
        <w:t xml:space="preserve">Standard resolution and notice of appeals must occur with the timeframes established by </w:t>
      </w:r>
      <w:r w:rsidR="003D1891" w:rsidRPr="00DA379A">
        <w:rPr>
          <w:szCs w:val="24"/>
        </w:rPr>
        <w:t xml:space="preserve">DHHR </w:t>
      </w:r>
      <w:r w:rsidRPr="00F75251">
        <w:rPr>
          <w:szCs w:val="24"/>
        </w:rPr>
        <w:t xml:space="preserve">and may be extended up to </w:t>
      </w:r>
      <w:r w:rsidR="009A4997" w:rsidRPr="00F75251">
        <w:rPr>
          <w:szCs w:val="24"/>
        </w:rPr>
        <w:t>fourteen (</w:t>
      </w:r>
      <w:r w:rsidRPr="00F75251">
        <w:rPr>
          <w:szCs w:val="24"/>
        </w:rPr>
        <w:t>14</w:t>
      </w:r>
      <w:r w:rsidR="009A4997" w:rsidRPr="00F75251">
        <w:rPr>
          <w:szCs w:val="24"/>
        </w:rPr>
        <w:t>)</w:t>
      </w:r>
      <w:r w:rsidRPr="00F75251">
        <w:rPr>
          <w:szCs w:val="24"/>
        </w:rPr>
        <w:t xml:space="preserve"> </w:t>
      </w:r>
      <w:r w:rsidR="002A0E66" w:rsidRPr="00F75251">
        <w:rPr>
          <w:szCs w:val="24"/>
        </w:rPr>
        <w:t xml:space="preserve">calendar </w:t>
      </w:r>
      <w:r w:rsidRPr="00F75251">
        <w:rPr>
          <w:szCs w:val="24"/>
        </w:rPr>
        <w:t>days upon the request of the enrollee or if the MCO shows that additional information is necessary and that the delay is in the interest of the enrollee</w:t>
      </w:r>
      <w:r w:rsidR="00FF4BBD" w:rsidRPr="0058676D">
        <w:rPr>
          <w:szCs w:val="24"/>
        </w:rPr>
        <w:t>;</w:t>
      </w:r>
    </w:p>
    <w:p w14:paraId="58B7F78C" w14:textId="45B0965A" w:rsidR="009A0060" w:rsidRPr="00703C58" w:rsidRDefault="009A0060" w:rsidP="00257641">
      <w:pPr>
        <w:pStyle w:val="StyleTimesNewRoman12ptAfter6pt"/>
        <w:numPr>
          <w:ilvl w:val="0"/>
          <w:numId w:val="43"/>
        </w:numPr>
        <w:tabs>
          <w:tab w:val="clear" w:pos="1440"/>
        </w:tabs>
        <w:rPr>
          <w:szCs w:val="24"/>
        </w:rPr>
      </w:pPr>
      <w:r w:rsidRPr="002645B5">
        <w:rPr>
          <w:szCs w:val="24"/>
        </w:rPr>
        <w:t xml:space="preserve">If the timeframe for resolving an appeal is extended for any reason other than an enrollee request, the MCO </w:t>
      </w:r>
      <w:r w:rsidR="00C54CE5" w:rsidRPr="002645B5">
        <w:rPr>
          <w:szCs w:val="24"/>
        </w:rPr>
        <w:t>must</w:t>
      </w:r>
      <w:r w:rsidRPr="00A22632">
        <w:rPr>
          <w:szCs w:val="24"/>
        </w:rPr>
        <w:t xml:space="preserve"> give the enrollee</w:t>
      </w:r>
      <w:r w:rsidRPr="006B61A9">
        <w:rPr>
          <w:szCs w:val="24"/>
        </w:rPr>
        <w:t xml:space="preserve"> written notice of the reason for the delay</w:t>
      </w:r>
      <w:r w:rsidR="00032E23" w:rsidRPr="00C4627A">
        <w:rPr>
          <w:szCs w:val="24"/>
        </w:rPr>
        <w:t xml:space="preserve"> within </w:t>
      </w:r>
      <w:r w:rsidR="00933A56" w:rsidRPr="00C4627A">
        <w:rPr>
          <w:szCs w:val="24"/>
        </w:rPr>
        <w:t>two</w:t>
      </w:r>
      <w:r w:rsidR="00F863FE" w:rsidRPr="00225429">
        <w:rPr>
          <w:szCs w:val="24"/>
        </w:rPr>
        <w:t xml:space="preserve"> (2)</w:t>
      </w:r>
      <w:r w:rsidR="00933A56" w:rsidRPr="00540893">
        <w:rPr>
          <w:szCs w:val="24"/>
        </w:rPr>
        <w:t xml:space="preserve"> </w:t>
      </w:r>
      <w:r w:rsidR="00032E23" w:rsidRPr="004C2825">
        <w:rPr>
          <w:szCs w:val="24"/>
        </w:rPr>
        <w:t>calendar days</w:t>
      </w:r>
      <w:r w:rsidR="003254D7" w:rsidRPr="004C2825">
        <w:rPr>
          <w:szCs w:val="24"/>
        </w:rPr>
        <w:t xml:space="preserve"> and make reasonable efforts to give the enrollee prompt oral notice of the delay. </w:t>
      </w:r>
      <w:r w:rsidR="00032E23" w:rsidRPr="00D2147D">
        <w:rPr>
          <w:szCs w:val="24"/>
        </w:rPr>
        <w:t>The MCO must</w:t>
      </w:r>
      <w:r w:rsidR="00EB0978" w:rsidRPr="00B9242A">
        <w:rPr>
          <w:szCs w:val="24"/>
        </w:rPr>
        <w:t xml:space="preserve"> </w:t>
      </w:r>
      <w:r w:rsidR="003254D7" w:rsidRPr="00427BBA">
        <w:rPr>
          <w:szCs w:val="24"/>
        </w:rPr>
        <w:t xml:space="preserve">resolve the appeal as expeditiously as the enrollee’s health condition requires and no later than the date the extension expires. The MCO must </w:t>
      </w:r>
      <w:r w:rsidR="00032E23" w:rsidRPr="00427BBA">
        <w:rPr>
          <w:szCs w:val="24"/>
        </w:rPr>
        <w:t xml:space="preserve">inform the enrollee </w:t>
      </w:r>
      <w:r w:rsidR="00906AC9" w:rsidRPr="00427BBA">
        <w:rPr>
          <w:szCs w:val="24"/>
        </w:rPr>
        <w:t xml:space="preserve">or his representative </w:t>
      </w:r>
      <w:r w:rsidR="00032E23" w:rsidRPr="00427BBA">
        <w:rPr>
          <w:szCs w:val="24"/>
        </w:rPr>
        <w:t>of the right to file a grievance if he or she disagrees with that decision;</w:t>
      </w:r>
      <w:r w:rsidR="00917448" w:rsidRPr="00427BBA">
        <w:rPr>
          <w:szCs w:val="24"/>
        </w:rPr>
        <w:t xml:space="preserve"> and</w:t>
      </w:r>
    </w:p>
    <w:p w14:paraId="24A0A548" w14:textId="77777777" w:rsidR="009A0060" w:rsidRPr="00703C58" w:rsidRDefault="009A0060" w:rsidP="00257641">
      <w:pPr>
        <w:pStyle w:val="StyleTimesNewRoman12ptAfter6pt"/>
        <w:numPr>
          <w:ilvl w:val="0"/>
          <w:numId w:val="43"/>
        </w:numPr>
        <w:tabs>
          <w:tab w:val="clear" w:pos="1440"/>
        </w:tabs>
        <w:rPr>
          <w:szCs w:val="24"/>
        </w:rPr>
      </w:pPr>
      <w:r w:rsidRPr="00703C58">
        <w:rPr>
          <w:szCs w:val="24"/>
        </w:rPr>
        <w:t xml:space="preserve">MCOs must provide written notice of the disposition of appeals which </w:t>
      </w:r>
      <w:r w:rsidR="00C54CE5" w:rsidRPr="00703C58">
        <w:rPr>
          <w:szCs w:val="24"/>
        </w:rPr>
        <w:t>will</w:t>
      </w:r>
      <w:r w:rsidRPr="00703C58">
        <w:rPr>
          <w:szCs w:val="24"/>
        </w:rPr>
        <w:t xml:space="preserve"> include: the result, the date of the resolution, the right and procedure to request a state fair hearing, the right to receive continuation benefits while the hearing is pending, how</w:t>
      </w:r>
      <w:r w:rsidRPr="00703C58">
        <w:t xml:space="preserve"> </w:t>
      </w:r>
      <w:r w:rsidRPr="00703C58">
        <w:rPr>
          <w:szCs w:val="24"/>
        </w:rPr>
        <w:t>to make the request for continuation benefits, and potential enrollee liability for the cost of continuation benefits if the state fair hearing upholds the MCOs decision.</w:t>
      </w:r>
    </w:p>
    <w:p w14:paraId="41F17274" w14:textId="7A12918A" w:rsidR="009A0060" w:rsidRPr="00F75251" w:rsidRDefault="009A0060" w:rsidP="00257641">
      <w:pPr>
        <w:pStyle w:val="StyleTimesNewRoman12ptAfter6pt"/>
        <w:ind w:left="720" w:hanging="360"/>
        <w:rPr>
          <w:szCs w:val="24"/>
        </w:rPr>
      </w:pPr>
      <w:r w:rsidRPr="006F5B38">
        <w:rPr>
          <w:szCs w:val="24"/>
        </w:rPr>
        <w:t>3.</w:t>
      </w:r>
      <w:r w:rsidRPr="006F5B38">
        <w:rPr>
          <w:szCs w:val="24"/>
        </w:rPr>
        <w:tab/>
        <w:t xml:space="preserve">The MCO must establish and maintain a process for the review and resolution of requests for an expedited appeals process regarding any denial, termination, or reduction of </w:t>
      </w:r>
      <w:r w:rsidR="00C7642C" w:rsidRPr="006F5B38">
        <w:rPr>
          <w:szCs w:val="24"/>
        </w:rPr>
        <w:t>Medicaid</w:t>
      </w:r>
      <w:r w:rsidR="00550F5D">
        <w:rPr>
          <w:szCs w:val="24"/>
        </w:rPr>
        <w:t xml:space="preserve"> or SNS</w:t>
      </w:r>
      <w:r w:rsidR="00C7642C" w:rsidRPr="006F5B38">
        <w:rPr>
          <w:szCs w:val="24"/>
        </w:rPr>
        <w:t xml:space="preserve">covered </w:t>
      </w:r>
      <w:r w:rsidRPr="006F5B38">
        <w:rPr>
          <w:szCs w:val="24"/>
        </w:rPr>
        <w:t>services</w:t>
      </w:r>
      <w:r w:rsidRPr="00CD1178">
        <w:rPr>
          <w:szCs w:val="24"/>
        </w:rPr>
        <w:t>, which could seriously jeopardize the enrollee</w:t>
      </w:r>
      <w:r w:rsidR="00FA1C0C" w:rsidRPr="00CD1178">
        <w:rPr>
          <w:szCs w:val="24"/>
        </w:rPr>
        <w:t>’</w:t>
      </w:r>
      <w:r w:rsidRPr="00CD1178">
        <w:rPr>
          <w:szCs w:val="24"/>
        </w:rPr>
        <w:t xml:space="preserve">s health </w:t>
      </w:r>
      <w:r w:rsidRPr="00CD1178">
        <w:rPr>
          <w:szCs w:val="24"/>
        </w:rPr>
        <w:lastRenderedPageBreak/>
        <w:t>and well-being</w:t>
      </w:r>
      <w:r w:rsidR="0078080B" w:rsidRPr="00CD1178">
        <w:rPr>
          <w:szCs w:val="24"/>
        </w:rPr>
        <w:t xml:space="preserve">. </w:t>
      </w:r>
      <w:r w:rsidRPr="00CD1178">
        <w:rPr>
          <w:szCs w:val="24"/>
        </w:rPr>
        <w:t>This includes a</w:t>
      </w:r>
      <w:r w:rsidR="00827403" w:rsidRPr="00CD1178">
        <w:rPr>
          <w:szCs w:val="24"/>
        </w:rPr>
        <w:t>n</w:t>
      </w:r>
      <w:r w:rsidRPr="00CD1178">
        <w:rPr>
          <w:szCs w:val="24"/>
        </w:rPr>
        <w:t xml:space="preserve"> </w:t>
      </w:r>
      <w:r w:rsidR="00EE090D" w:rsidRPr="00CD1178">
        <w:rPr>
          <w:szCs w:val="24"/>
        </w:rPr>
        <w:t xml:space="preserve">appeal </w:t>
      </w:r>
      <w:r w:rsidRPr="00CD1178">
        <w:rPr>
          <w:szCs w:val="24"/>
        </w:rPr>
        <w:t>regarding any service related to a</w:t>
      </w:r>
      <w:r w:rsidR="00A81BCF">
        <w:rPr>
          <w:szCs w:val="24"/>
        </w:rPr>
        <w:t>n</w:t>
      </w:r>
      <w:r w:rsidRPr="00CD1178">
        <w:rPr>
          <w:szCs w:val="24"/>
        </w:rPr>
        <w:t xml:space="preserve"> </w:t>
      </w:r>
      <w:r w:rsidR="00A81BCF">
        <w:rPr>
          <w:szCs w:val="24"/>
        </w:rPr>
        <w:t>enrollee</w:t>
      </w:r>
      <w:r w:rsidR="00A81BCF" w:rsidRPr="00CD1178">
        <w:rPr>
          <w:szCs w:val="24"/>
        </w:rPr>
        <w:t>’</w:t>
      </w:r>
      <w:r w:rsidR="00A81BCF" w:rsidRPr="00CD26C6">
        <w:rPr>
          <w:szCs w:val="24"/>
        </w:rPr>
        <w:t xml:space="preserve">s </w:t>
      </w:r>
      <w:r w:rsidRPr="00CD26C6">
        <w:rPr>
          <w:szCs w:val="24"/>
        </w:rPr>
        <w:t>formal treatment plan as developed by the MCO and PCP</w:t>
      </w:r>
      <w:r w:rsidR="0078080B" w:rsidRPr="00D61267">
        <w:rPr>
          <w:szCs w:val="24"/>
        </w:rPr>
        <w:t xml:space="preserve">. </w:t>
      </w:r>
      <w:r w:rsidRPr="000A32BE">
        <w:rPr>
          <w:szCs w:val="24"/>
        </w:rPr>
        <w:t xml:space="preserve">The MCO must report these </w:t>
      </w:r>
      <w:r w:rsidR="00EE090D" w:rsidRPr="000A32BE">
        <w:rPr>
          <w:szCs w:val="24"/>
        </w:rPr>
        <w:t xml:space="preserve">appeals </w:t>
      </w:r>
      <w:r w:rsidRPr="00AB033C">
        <w:rPr>
          <w:szCs w:val="24"/>
        </w:rPr>
        <w:t xml:space="preserve">to </w:t>
      </w:r>
      <w:r w:rsidR="002A0E66" w:rsidRPr="00AB033C">
        <w:rPr>
          <w:szCs w:val="24"/>
        </w:rPr>
        <w:t xml:space="preserve">DHHR </w:t>
      </w:r>
      <w:r w:rsidRPr="00117461">
        <w:rPr>
          <w:szCs w:val="24"/>
        </w:rPr>
        <w:t>immediately, and</w:t>
      </w:r>
      <w:r w:rsidR="00A00A72" w:rsidRPr="00117461">
        <w:rPr>
          <w:szCs w:val="24"/>
        </w:rPr>
        <w:t xml:space="preserve"> </w:t>
      </w:r>
      <w:r w:rsidR="002A0E66" w:rsidRPr="001276A8">
        <w:rPr>
          <w:szCs w:val="24"/>
        </w:rPr>
        <w:t xml:space="preserve">DHHR </w:t>
      </w:r>
      <w:r w:rsidRPr="004F097D">
        <w:rPr>
          <w:szCs w:val="24"/>
        </w:rPr>
        <w:t>will then determi</w:t>
      </w:r>
      <w:r w:rsidRPr="00005E7A">
        <w:rPr>
          <w:szCs w:val="24"/>
        </w:rPr>
        <w:t xml:space="preserve">ne the timeline for resolving the </w:t>
      </w:r>
      <w:r w:rsidR="00EE090D" w:rsidRPr="00233688">
        <w:rPr>
          <w:szCs w:val="24"/>
        </w:rPr>
        <w:t>appeals</w:t>
      </w:r>
      <w:r w:rsidR="0078080B" w:rsidRPr="00233688">
        <w:rPr>
          <w:szCs w:val="24"/>
        </w:rPr>
        <w:t xml:space="preserve">. </w:t>
      </w:r>
      <w:r w:rsidRPr="00356156">
        <w:rPr>
          <w:szCs w:val="24"/>
        </w:rPr>
        <w:t xml:space="preserve">The expedited process for appeals </w:t>
      </w:r>
      <w:r w:rsidR="00C54CE5" w:rsidRPr="004D1244">
        <w:rPr>
          <w:szCs w:val="24"/>
        </w:rPr>
        <w:t>must</w:t>
      </w:r>
      <w:r w:rsidRPr="004D1244">
        <w:rPr>
          <w:szCs w:val="24"/>
        </w:rPr>
        <w:t xml:space="preserve"> meet the requirements of Subsections</w:t>
      </w:r>
      <w:r w:rsidR="003246C4" w:rsidRPr="004D1244">
        <w:rPr>
          <w:szCs w:val="24"/>
        </w:rPr>
        <w:t xml:space="preserve"> one</w:t>
      </w:r>
      <w:r w:rsidRPr="00FF0A07">
        <w:rPr>
          <w:szCs w:val="24"/>
        </w:rPr>
        <w:t xml:space="preserve"> </w:t>
      </w:r>
      <w:r w:rsidR="003246C4" w:rsidRPr="008015ED">
        <w:rPr>
          <w:szCs w:val="24"/>
        </w:rPr>
        <w:t>(</w:t>
      </w:r>
      <w:r w:rsidR="001506ED" w:rsidRPr="0099539F">
        <w:rPr>
          <w:szCs w:val="24"/>
        </w:rPr>
        <w:t>1</w:t>
      </w:r>
      <w:r w:rsidR="003246C4" w:rsidRPr="00DA379A">
        <w:rPr>
          <w:szCs w:val="24"/>
        </w:rPr>
        <w:t>)</w:t>
      </w:r>
      <w:r w:rsidR="001506ED" w:rsidRPr="00DA379A">
        <w:rPr>
          <w:szCs w:val="24"/>
        </w:rPr>
        <w:t xml:space="preserve"> </w:t>
      </w:r>
      <w:r w:rsidRPr="00DA379A">
        <w:rPr>
          <w:szCs w:val="24"/>
        </w:rPr>
        <w:t xml:space="preserve">and </w:t>
      </w:r>
      <w:r w:rsidR="003246C4" w:rsidRPr="00F75251">
        <w:rPr>
          <w:szCs w:val="24"/>
        </w:rPr>
        <w:t>two (</w:t>
      </w:r>
      <w:r w:rsidR="001506ED" w:rsidRPr="00F75251">
        <w:rPr>
          <w:szCs w:val="24"/>
        </w:rPr>
        <w:t>2</w:t>
      </w:r>
      <w:r w:rsidR="003246C4" w:rsidRPr="00F75251">
        <w:rPr>
          <w:szCs w:val="24"/>
        </w:rPr>
        <w:t>)</w:t>
      </w:r>
      <w:r w:rsidR="001506ED" w:rsidRPr="00F75251">
        <w:rPr>
          <w:szCs w:val="24"/>
        </w:rPr>
        <w:t xml:space="preserve"> </w:t>
      </w:r>
      <w:r w:rsidRPr="00F75251">
        <w:rPr>
          <w:szCs w:val="24"/>
        </w:rPr>
        <w:t xml:space="preserve">above and also </w:t>
      </w:r>
      <w:r w:rsidR="00C54CE5" w:rsidRPr="00F75251">
        <w:rPr>
          <w:szCs w:val="24"/>
        </w:rPr>
        <w:t>must</w:t>
      </w:r>
      <w:r w:rsidRPr="00F75251">
        <w:rPr>
          <w:szCs w:val="24"/>
        </w:rPr>
        <w:t xml:space="preserve"> provide that:</w:t>
      </w:r>
    </w:p>
    <w:p w14:paraId="66C0A7ED" w14:textId="27FA63D3" w:rsidR="009A0060" w:rsidRPr="00A22632" w:rsidRDefault="009A0060" w:rsidP="00257641">
      <w:pPr>
        <w:pStyle w:val="StyleTimesNewRoman12ptAfter6pt"/>
        <w:numPr>
          <w:ilvl w:val="0"/>
          <w:numId w:val="15"/>
        </w:numPr>
        <w:tabs>
          <w:tab w:val="clear" w:pos="1440"/>
        </w:tabs>
        <w:rPr>
          <w:szCs w:val="24"/>
        </w:rPr>
      </w:pPr>
      <w:r w:rsidRPr="0058676D">
        <w:rPr>
          <w:szCs w:val="24"/>
        </w:rPr>
        <w:t>Expedited review of appeals is available upon request of the enrollee</w:t>
      </w:r>
      <w:r w:rsidR="009C2257" w:rsidRPr="0058676D">
        <w:rPr>
          <w:szCs w:val="24"/>
        </w:rPr>
        <w:t>, his representative,</w:t>
      </w:r>
      <w:r w:rsidRPr="0058676D">
        <w:rPr>
          <w:szCs w:val="24"/>
        </w:rPr>
        <w:t xml:space="preserve"> or provider if the MCO determines that the timeframe for a standard resolution could seriously jeopardize the enrollee</w:t>
      </w:r>
      <w:r w:rsidR="00FA1C0C" w:rsidRPr="002645B5">
        <w:rPr>
          <w:szCs w:val="24"/>
        </w:rPr>
        <w:t>’</w:t>
      </w:r>
      <w:r w:rsidRPr="002645B5">
        <w:rPr>
          <w:szCs w:val="24"/>
        </w:rPr>
        <w:t>s life or health or ability to attain, maintain or regain maximum func</w:t>
      </w:r>
      <w:r w:rsidRPr="00A22632">
        <w:rPr>
          <w:szCs w:val="24"/>
        </w:rPr>
        <w:t>tion;</w:t>
      </w:r>
    </w:p>
    <w:p w14:paraId="07F71C7F" w14:textId="2D4FE4B3" w:rsidR="009A0060" w:rsidRPr="00427BBA" w:rsidRDefault="009A0060" w:rsidP="00257641">
      <w:pPr>
        <w:pStyle w:val="StyleTimesNewRoman12ptAfter6pt"/>
        <w:numPr>
          <w:ilvl w:val="0"/>
          <w:numId w:val="15"/>
        </w:numPr>
        <w:tabs>
          <w:tab w:val="clear" w:pos="1440"/>
        </w:tabs>
        <w:rPr>
          <w:szCs w:val="24"/>
        </w:rPr>
      </w:pPr>
      <w:r w:rsidRPr="006B61A9">
        <w:rPr>
          <w:szCs w:val="24"/>
        </w:rPr>
        <w:t xml:space="preserve">If a request for an expedited appeal in denied, the MCO must transfer the appeal to the standard resolution timeframe and make reasonable effort, as defined by </w:t>
      </w:r>
      <w:r w:rsidR="002A0E66" w:rsidRPr="00C4627A">
        <w:rPr>
          <w:szCs w:val="24"/>
        </w:rPr>
        <w:t>DHHR</w:t>
      </w:r>
      <w:r w:rsidRPr="00C4627A">
        <w:rPr>
          <w:szCs w:val="24"/>
        </w:rPr>
        <w:t>, to provide prompt oral notice to the enrollee</w:t>
      </w:r>
      <w:r w:rsidR="00BD3A50" w:rsidRPr="00225429">
        <w:rPr>
          <w:szCs w:val="24"/>
        </w:rPr>
        <w:t xml:space="preserve"> or his representative</w:t>
      </w:r>
      <w:r w:rsidRPr="00540893">
        <w:rPr>
          <w:szCs w:val="24"/>
        </w:rPr>
        <w:t>, followed up wit</w:t>
      </w:r>
      <w:r w:rsidRPr="004C2825">
        <w:rPr>
          <w:szCs w:val="24"/>
        </w:rPr>
        <w:t xml:space="preserve">h written notice within two </w:t>
      </w:r>
      <w:r w:rsidR="00F863FE" w:rsidRPr="00D2147D">
        <w:rPr>
          <w:szCs w:val="24"/>
        </w:rPr>
        <w:t xml:space="preserve">(2) </w:t>
      </w:r>
      <w:r w:rsidRPr="00B9242A">
        <w:rPr>
          <w:szCs w:val="24"/>
        </w:rPr>
        <w:t>calendar days</w:t>
      </w:r>
      <w:r w:rsidR="00606AB0" w:rsidRPr="00427BBA">
        <w:rPr>
          <w:szCs w:val="24"/>
        </w:rPr>
        <w:t>, and resolve the appeal as expeditiously as the enrollee’s health condition requires and no later than the date the extension expires</w:t>
      </w:r>
      <w:r w:rsidRPr="00427BBA">
        <w:rPr>
          <w:szCs w:val="24"/>
        </w:rPr>
        <w:t>;</w:t>
      </w:r>
    </w:p>
    <w:p w14:paraId="2E0CEF1B" w14:textId="75973021" w:rsidR="009A0060" w:rsidRPr="00703C58" w:rsidRDefault="009A0060" w:rsidP="00257641">
      <w:pPr>
        <w:pStyle w:val="StyleTimesNewRoman12ptAfter6pt"/>
        <w:numPr>
          <w:ilvl w:val="0"/>
          <w:numId w:val="15"/>
        </w:numPr>
        <w:tabs>
          <w:tab w:val="clear" w:pos="1440"/>
        </w:tabs>
        <w:rPr>
          <w:szCs w:val="24"/>
        </w:rPr>
      </w:pPr>
      <w:r w:rsidRPr="00427BBA">
        <w:rPr>
          <w:szCs w:val="24"/>
        </w:rPr>
        <w:t xml:space="preserve">The MCO </w:t>
      </w:r>
      <w:r w:rsidR="00C54CE5" w:rsidRPr="00427BBA">
        <w:rPr>
          <w:szCs w:val="24"/>
        </w:rPr>
        <w:t xml:space="preserve">must </w:t>
      </w:r>
      <w:r w:rsidRPr="00427BBA">
        <w:rPr>
          <w:szCs w:val="24"/>
        </w:rPr>
        <w:t>inform the enrollee</w:t>
      </w:r>
      <w:r w:rsidR="00BD3A50" w:rsidRPr="00427BBA">
        <w:rPr>
          <w:szCs w:val="24"/>
        </w:rPr>
        <w:t xml:space="preserve"> or his representative</w:t>
      </w:r>
      <w:r w:rsidRPr="00703C58">
        <w:rPr>
          <w:szCs w:val="24"/>
        </w:rPr>
        <w:t xml:space="preserve"> of the limited time available to present in writing or orally, evidence and allegations of fact or law;</w:t>
      </w:r>
    </w:p>
    <w:p w14:paraId="413DB6C6" w14:textId="77777777" w:rsidR="009A0060" w:rsidRPr="00297E9B" w:rsidRDefault="009A0060" w:rsidP="00257641">
      <w:pPr>
        <w:pStyle w:val="StyleTimesNewRoman12ptAfter6pt"/>
        <w:numPr>
          <w:ilvl w:val="0"/>
          <w:numId w:val="15"/>
        </w:numPr>
        <w:tabs>
          <w:tab w:val="clear" w:pos="1440"/>
        </w:tabs>
        <w:rPr>
          <w:szCs w:val="24"/>
        </w:rPr>
      </w:pPr>
      <w:r w:rsidRPr="00703C58">
        <w:rPr>
          <w:szCs w:val="24"/>
        </w:rPr>
        <w:t xml:space="preserve">Resolution and notice for an expedited appeal must occur within the shorter of </w:t>
      </w:r>
      <w:r w:rsidR="00BF512F" w:rsidRPr="00703C58">
        <w:rPr>
          <w:szCs w:val="24"/>
        </w:rPr>
        <w:t>seventy-two (</w:t>
      </w:r>
      <w:r w:rsidR="00C7642C" w:rsidRPr="00703C58">
        <w:rPr>
          <w:szCs w:val="24"/>
        </w:rPr>
        <w:t>72</w:t>
      </w:r>
      <w:r w:rsidR="00BF512F" w:rsidRPr="00703C58">
        <w:rPr>
          <w:szCs w:val="24"/>
        </w:rPr>
        <w:t>)</w:t>
      </w:r>
      <w:r w:rsidR="00C7642C" w:rsidRPr="00703C58">
        <w:rPr>
          <w:szCs w:val="24"/>
        </w:rPr>
        <w:t xml:space="preserve"> hours </w:t>
      </w:r>
      <w:r w:rsidRPr="00703C58">
        <w:rPr>
          <w:szCs w:val="24"/>
        </w:rPr>
        <w:t>after the MCO receives the appeal, or the timeframe specified in the W</w:t>
      </w:r>
      <w:r w:rsidRPr="006F5B38">
        <w:rPr>
          <w:szCs w:val="24"/>
        </w:rPr>
        <w:t xml:space="preserve">est </w:t>
      </w:r>
      <w:r w:rsidR="00764D22" w:rsidRPr="006F5B38">
        <w:rPr>
          <w:szCs w:val="24"/>
        </w:rPr>
        <w:t>Virginia Statute 33-25A-10</w:t>
      </w:r>
      <w:r w:rsidR="0078080B" w:rsidRPr="006F5B38">
        <w:rPr>
          <w:szCs w:val="24"/>
        </w:rPr>
        <w:t xml:space="preserve">. </w:t>
      </w:r>
      <w:r w:rsidRPr="00080B72">
        <w:rPr>
          <w:szCs w:val="24"/>
        </w:rPr>
        <w:t>The</w:t>
      </w:r>
      <w:r w:rsidR="00BF512F" w:rsidRPr="00080B72">
        <w:rPr>
          <w:szCs w:val="24"/>
        </w:rPr>
        <w:t xml:space="preserve"> seventy-two (</w:t>
      </w:r>
      <w:r w:rsidR="00C7642C" w:rsidRPr="00080B72">
        <w:rPr>
          <w:szCs w:val="24"/>
        </w:rPr>
        <w:t>72</w:t>
      </w:r>
      <w:r w:rsidR="00BF512F" w:rsidRPr="00080B72">
        <w:rPr>
          <w:szCs w:val="24"/>
        </w:rPr>
        <w:t>)</w:t>
      </w:r>
      <w:r w:rsidR="00C7642C" w:rsidRPr="00FA44AF">
        <w:rPr>
          <w:szCs w:val="24"/>
        </w:rPr>
        <w:t xml:space="preserve"> hour</w:t>
      </w:r>
      <w:r w:rsidR="00A47C3A" w:rsidRPr="00FA44AF">
        <w:rPr>
          <w:szCs w:val="24"/>
        </w:rPr>
        <w:t xml:space="preserve"> </w:t>
      </w:r>
      <w:r w:rsidRPr="00517225">
        <w:rPr>
          <w:szCs w:val="24"/>
        </w:rPr>
        <w:t xml:space="preserve">timeframe may be extended by up to </w:t>
      </w:r>
      <w:r w:rsidR="009A4997" w:rsidRPr="00517225">
        <w:rPr>
          <w:szCs w:val="24"/>
        </w:rPr>
        <w:t>fourteen (</w:t>
      </w:r>
      <w:r w:rsidRPr="00517225">
        <w:rPr>
          <w:szCs w:val="24"/>
        </w:rPr>
        <w:t>14</w:t>
      </w:r>
      <w:r w:rsidR="009A4997" w:rsidRPr="00B747F6">
        <w:rPr>
          <w:szCs w:val="24"/>
        </w:rPr>
        <w:t>)</w:t>
      </w:r>
      <w:r w:rsidRPr="00B747F6">
        <w:rPr>
          <w:szCs w:val="24"/>
        </w:rPr>
        <w:t xml:space="preserve"> </w:t>
      </w:r>
      <w:r w:rsidR="00733125" w:rsidRPr="00772DED">
        <w:rPr>
          <w:szCs w:val="24"/>
        </w:rPr>
        <w:t xml:space="preserve">calendar </w:t>
      </w:r>
      <w:r w:rsidRPr="00772DED">
        <w:rPr>
          <w:szCs w:val="24"/>
        </w:rPr>
        <w:t>days upon the enrollee</w:t>
      </w:r>
      <w:r w:rsidR="00FA1C0C" w:rsidRPr="00772DED">
        <w:rPr>
          <w:szCs w:val="24"/>
        </w:rPr>
        <w:t>’</w:t>
      </w:r>
      <w:r w:rsidRPr="00772DED">
        <w:rPr>
          <w:szCs w:val="24"/>
        </w:rPr>
        <w:t xml:space="preserve">s request or if the MCO shows that additional information is required and that the delay is in the interest of the </w:t>
      </w:r>
      <w:r w:rsidRPr="00297E9B">
        <w:rPr>
          <w:szCs w:val="24"/>
        </w:rPr>
        <w:t>enrollee;</w:t>
      </w:r>
    </w:p>
    <w:p w14:paraId="7799AD35" w14:textId="77777777" w:rsidR="009A0060" w:rsidRPr="00410355" w:rsidRDefault="009A0060" w:rsidP="00257641">
      <w:pPr>
        <w:pStyle w:val="StyleTimesNewRoman12ptAfter6pt"/>
        <w:numPr>
          <w:ilvl w:val="0"/>
          <w:numId w:val="15"/>
        </w:numPr>
        <w:tabs>
          <w:tab w:val="clear" w:pos="1440"/>
        </w:tabs>
        <w:rPr>
          <w:szCs w:val="24"/>
        </w:rPr>
      </w:pPr>
      <w:r w:rsidRPr="00550F5D">
        <w:rPr>
          <w:szCs w:val="24"/>
        </w:rPr>
        <w:t xml:space="preserve">The MCO </w:t>
      </w:r>
      <w:r w:rsidR="00C54CE5" w:rsidRPr="00550F5D">
        <w:rPr>
          <w:szCs w:val="24"/>
        </w:rPr>
        <w:t xml:space="preserve">must </w:t>
      </w:r>
      <w:r w:rsidRPr="00550F5D">
        <w:rPr>
          <w:szCs w:val="24"/>
        </w:rPr>
        <w:t>make reasonable effort to provide oral notice of disposition of an expedited appeal;</w:t>
      </w:r>
      <w:r w:rsidR="00FF4BBD" w:rsidRPr="00410355">
        <w:rPr>
          <w:szCs w:val="24"/>
        </w:rPr>
        <w:t xml:space="preserve"> and</w:t>
      </w:r>
    </w:p>
    <w:p w14:paraId="5D96BDF1" w14:textId="77777777" w:rsidR="009A0060" w:rsidRPr="00410355" w:rsidRDefault="009A0060" w:rsidP="00257641">
      <w:pPr>
        <w:pStyle w:val="StyleTimesNewRoman12ptAfter6pt"/>
        <w:numPr>
          <w:ilvl w:val="0"/>
          <w:numId w:val="15"/>
        </w:numPr>
        <w:tabs>
          <w:tab w:val="clear" w:pos="1440"/>
        </w:tabs>
        <w:rPr>
          <w:szCs w:val="24"/>
        </w:rPr>
      </w:pPr>
      <w:r w:rsidRPr="00410355">
        <w:rPr>
          <w:szCs w:val="24"/>
        </w:rPr>
        <w:t xml:space="preserve">If the timeframe for resolving an expedited appeal is extended for any reason other than an enrollee request, the MCO </w:t>
      </w:r>
      <w:r w:rsidR="00C54CE5" w:rsidRPr="00410355">
        <w:rPr>
          <w:szCs w:val="24"/>
        </w:rPr>
        <w:t>must</w:t>
      </w:r>
      <w:r w:rsidRPr="00410355">
        <w:rPr>
          <w:szCs w:val="24"/>
        </w:rPr>
        <w:t xml:space="preserve"> give the enrollee written notice of the reason for the delay.</w:t>
      </w:r>
    </w:p>
    <w:p w14:paraId="7B01B1C5" w14:textId="77777777" w:rsidR="009A0060" w:rsidRPr="00410355" w:rsidRDefault="009A0060" w:rsidP="00257641">
      <w:pPr>
        <w:pStyle w:val="StyleTimesNewRoman12ptAfter6pt"/>
        <w:ind w:left="720" w:hanging="360"/>
        <w:rPr>
          <w:szCs w:val="24"/>
        </w:rPr>
      </w:pPr>
      <w:r w:rsidRPr="00410355">
        <w:rPr>
          <w:szCs w:val="24"/>
        </w:rPr>
        <w:t>4.</w:t>
      </w:r>
      <w:r w:rsidRPr="00410355">
        <w:rPr>
          <w:szCs w:val="24"/>
        </w:rPr>
        <w:tab/>
        <w:t>Review of Appeal Decisions</w:t>
      </w:r>
    </w:p>
    <w:p w14:paraId="0B0DD000" w14:textId="7D461E3C" w:rsidR="009A0060" w:rsidRPr="00410355" w:rsidRDefault="009A0060" w:rsidP="00257641">
      <w:pPr>
        <w:spacing w:after="120"/>
        <w:ind w:left="720"/>
        <w:rPr>
          <w:szCs w:val="24"/>
        </w:rPr>
      </w:pPr>
      <w:r w:rsidRPr="00410355">
        <w:rPr>
          <w:szCs w:val="24"/>
        </w:rPr>
        <w:t>None of the foregoing procedures precludes the right of enrollees to request a fair hearing before the Department of Health and Human Resources as part of an enrollee</w:t>
      </w:r>
      <w:r w:rsidR="00FA1C0C" w:rsidRPr="00410355">
        <w:rPr>
          <w:szCs w:val="24"/>
        </w:rPr>
        <w:t>’</w:t>
      </w:r>
      <w:r w:rsidRPr="00410355">
        <w:rPr>
          <w:szCs w:val="24"/>
        </w:rPr>
        <w:t xml:space="preserve">s right to fair hearing related to applications for eligibility and decisions to suspend, terminate, or reduce services as specified in 42 CFR 431.220 and 42 CFR 438.400. The MCO </w:t>
      </w:r>
      <w:r w:rsidR="00C54CE5" w:rsidRPr="00410355">
        <w:rPr>
          <w:szCs w:val="24"/>
        </w:rPr>
        <w:t xml:space="preserve">must </w:t>
      </w:r>
      <w:r w:rsidRPr="00410355">
        <w:rPr>
          <w:szCs w:val="24"/>
        </w:rPr>
        <w:t xml:space="preserve">implement any decision made by the Department pursuant to such a review. Enrollees must exhaust all MCO grievance and appeals procedures </w:t>
      </w:r>
      <w:r w:rsidR="00CE3F3B" w:rsidRPr="00410355">
        <w:rPr>
          <w:szCs w:val="24"/>
        </w:rPr>
        <w:t xml:space="preserve">and receive notice that the MCO is upholding the adverse benefit determination </w:t>
      </w:r>
      <w:r w:rsidRPr="00410355">
        <w:rPr>
          <w:szCs w:val="24"/>
        </w:rPr>
        <w:t>prior to requesting a state fair hearing</w:t>
      </w:r>
      <w:r w:rsidR="0078080B" w:rsidRPr="00410355">
        <w:rPr>
          <w:szCs w:val="24"/>
        </w:rPr>
        <w:t>.</w:t>
      </w:r>
      <w:r w:rsidR="00CE3F3B" w:rsidRPr="00410355">
        <w:rPr>
          <w:szCs w:val="24"/>
        </w:rPr>
        <w:t xml:space="preserve"> The enrollee </w:t>
      </w:r>
      <w:r w:rsidR="008E4C5A" w:rsidRPr="00410355">
        <w:rPr>
          <w:szCs w:val="24"/>
        </w:rPr>
        <w:t xml:space="preserve">or his representative </w:t>
      </w:r>
      <w:r w:rsidR="00CE3F3B" w:rsidRPr="00410355">
        <w:rPr>
          <w:szCs w:val="24"/>
        </w:rPr>
        <w:t xml:space="preserve">must request a state fair hearing no later than </w:t>
      </w:r>
      <w:r w:rsidR="00F863FE" w:rsidRPr="00410355">
        <w:rPr>
          <w:szCs w:val="24"/>
        </w:rPr>
        <w:t>one hundred twenty (</w:t>
      </w:r>
      <w:r w:rsidR="00CE3F3B" w:rsidRPr="00410355">
        <w:rPr>
          <w:szCs w:val="24"/>
        </w:rPr>
        <w:t>120</w:t>
      </w:r>
      <w:r w:rsidR="00F863FE" w:rsidRPr="00410355">
        <w:rPr>
          <w:szCs w:val="24"/>
        </w:rPr>
        <w:t>)</w:t>
      </w:r>
      <w:r w:rsidR="00CE3F3B" w:rsidRPr="00410355">
        <w:rPr>
          <w:szCs w:val="24"/>
        </w:rPr>
        <w:t xml:space="preserve"> calendar days from the date of the MCO’s notice of resolution. </w:t>
      </w:r>
    </w:p>
    <w:p w14:paraId="2BF1462D" w14:textId="35664395" w:rsidR="009A0060" w:rsidRPr="006876E5" w:rsidRDefault="009A0060" w:rsidP="00257641">
      <w:pPr>
        <w:spacing w:after="120"/>
        <w:ind w:left="720" w:hanging="360"/>
        <w:rPr>
          <w:szCs w:val="24"/>
        </w:rPr>
      </w:pPr>
      <w:r w:rsidRPr="00410355">
        <w:t>5.</w:t>
      </w:r>
      <w:r w:rsidRPr="00410355">
        <w:tab/>
      </w:r>
      <w:r w:rsidRPr="00B24B3E">
        <w:rPr>
          <w:szCs w:val="24"/>
        </w:rPr>
        <w:t xml:space="preserve">Notice of </w:t>
      </w:r>
      <w:r w:rsidR="00B24B3E" w:rsidRPr="00B24B3E">
        <w:rPr>
          <w:szCs w:val="24"/>
        </w:rPr>
        <w:t>Adverse Benefit Determination</w:t>
      </w:r>
    </w:p>
    <w:p w14:paraId="621DEC56" w14:textId="2F3B8D10" w:rsidR="009A0060" w:rsidRPr="007C7EA5" w:rsidRDefault="009A0060" w:rsidP="00257641">
      <w:pPr>
        <w:tabs>
          <w:tab w:val="num" w:pos="1440"/>
        </w:tabs>
        <w:spacing w:after="120"/>
        <w:ind w:left="720"/>
        <w:rPr>
          <w:rStyle w:val="StyleTimesNewRoman12pt"/>
          <w:rFonts w:ascii="Times New Roman" w:hAnsi="Times New Roman"/>
          <w:sz w:val="24"/>
          <w:szCs w:val="24"/>
        </w:rPr>
      </w:pPr>
      <w:r w:rsidRPr="001775FA">
        <w:rPr>
          <w:rStyle w:val="StyleTimesNewRoman12pt"/>
          <w:rFonts w:ascii="Times New Roman" w:hAnsi="Times New Roman"/>
          <w:sz w:val="24"/>
          <w:szCs w:val="24"/>
        </w:rPr>
        <w:t xml:space="preserve">The notice of </w:t>
      </w:r>
      <w:r w:rsidR="00B24B3E" w:rsidRPr="001775FA">
        <w:rPr>
          <w:rStyle w:val="StyleTimesNewRoman12pt"/>
          <w:rFonts w:ascii="Times New Roman" w:hAnsi="Times New Roman"/>
          <w:sz w:val="24"/>
          <w:szCs w:val="24"/>
        </w:rPr>
        <w:t>adverse benefit determination</w:t>
      </w:r>
      <w:r w:rsidRPr="007C7EA5">
        <w:rPr>
          <w:rStyle w:val="StyleTimesNewRoman12pt"/>
          <w:rFonts w:ascii="Times New Roman" w:hAnsi="Times New Roman"/>
          <w:sz w:val="24"/>
          <w:szCs w:val="24"/>
        </w:rPr>
        <w:t xml:space="preserve"> must be in writing and must meet the readability requirements of </w:t>
      </w:r>
      <w:r w:rsidRPr="007C7EA5">
        <w:rPr>
          <w:szCs w:val="24"/>
        </w:rPr>
        <w:t xml:space="preserve">Article III, </w:t>
      </w:r>
      <w:r w:rsidRPr="007C7EA5">
        <w:rPr>
          <w:rStyle w:val="StyleTimesNewRoman12pt"/>
          <w:rFonts w:ascii="Times New Roman" w:hAnsi="Times New Roman"/>
          <w:sz w:val="24"/>
          <w:szCs w:val="24"/>
        </w:rPr>
        <w:t xml:space="preserve">Section </w:t>
      </w:r>
      <w:r w:rsidR="00FE7E79" w:rsidRPr="007C7EA5">
        <w:rPr>
          <w:szCs w:val="24"/>
        </w:rPr>
        <w:t>4</w:t>
      </w:r>
      <w:r w:rsidRPr="007C7EA5">
        <w:rPr>
          <w:szCs w:val="24"/>
        </w:rPr>
        <w:t>.4</w:t>
      </w:r>
      <w:r w:rsidRPr="007C7EA5">
        <w:rPr>
          <w:rStyle w:val="StyleTimesNewRoman12pt"/>
          <w:rFonts w:ascii="Times New Roman" w:hAnsi="Times New Roman"/>
          <w:sz w:val="24"/>
          <w:szCs w:val="24"/>
        </w:rPr>
        <w:t xml:space="preserve"> of this contract</w:t>
      </w:r>
      <w:r w:rsidR="0078080B" w:rsidRPr="007C7EA5">
        <w:rPr>
          <w:rStyle w:val="StyleTimesNewRoman12pt"/>
          <w:rFonts w:ascii="Times New Roman" w:hAnsi="Times New Roman"/>
          <w:sz w:val="24"/>
          <w:szCs w:val="24"/>
        </w:rPr>
        <w:t xml:space="preserve">. </w:t>
      </w:r>
      <w:r w:rsidR="002A0E66" w:rsidRPr="007C7EA5">
        <w:rPr>
          <w:rStyle w:val="StyleTimesNewRoman12pt"/>
          <w:rFonts w:ascii="Times New Roman" w:hAnsi="Times New Roman"/>
          <w:sz w:val="24"/>
          <w:szCs w:val="24"/>
        </w:rPr>
        <w:t xml:space="preserve">DHHR </w:t>
      </w:r>
      <w:r w:rsidR="00BF65B4" w:rsidRPr="007C7EA5">
        <w:rPr>
          <w:rStyle w:val="StyleTimesNewRoman12pt"/>
          <w:rFonts w:ascii="Times New Roman" w:hAnsi="Times New Roman"/>
          <w:sz w:val="24"/>
          <w:szCs w:val="24"/>
        </w:rPr>
        <w:t>will provide a model enrollee notice that the MCO is required to use.</w:t>
      </w:r>
      <w:r w:rsidR="00F24820" w:rsidRPr="007C7EA5">
        <w:rPr>
          <w:rStyle w:val="StyleTimesNewRoman12pt"/>
          <w:rFonts w:ascii="Times New Roman" w:hAnsi="Times New Roman"/>
          <w:sz w:val="24"/>
          <w:szCs w:val="24"/>
        </w:rPr>
        <w:t xml:space="preserve"> </w:t>
      </w:r>
    </w:p>
    <w:p w14:paraId="31007DBA" w14:textId="77777777" w:rsidR="009A0060" w:rsidRPr="007C7EA5" w:rsidRDefault="009A0060" w:rsidP="00257641">
      <w:pPr>
        <w:pStyle w:val="StyleTimesNewRoman12ptAfter6pt"/>
        <w:ind w:left="1440" w:hanging="360"/>
        <w:rPr>
          <w:szCs w:val="24"/>
        </w:rPr>
      </w:pPr>
      <w:r w:rsidRPr="007C7EA5">
        <w:rPr>
          <w:szCs w:val="24"/>
        </w:rPr>
        <w:lastRenderedPageBreak/>
        <w:t>a.</w:t>
      </w:r>
      <w:r w:rsidRPr="007C7EA5">
        <w:rPr>
          <w:szCs w:val="24"/>
        </w:rPr>
        <w:tab/>
        <w:t>The notice must include the following information:</w:t>
      </w:r>
    </w:p>
    <w:p w14:paraId="7AE42447" w14:textId="1A9F61CD" w:rsidR="009A0060" w:rsidRPr="007C7EA5" w:rsidRDefault="009A0060" w:rsidP="00257641">
      <w:pPr>
        <w:numPr>
          <w:ilvl w:val="0"/>
          <w:numId w:val="44"/>
        </w:numPr>
        <w:tabs>
          <w:tab w:val="clear" w:pos="1008"/>
        </w:tabs>
        <w:spacing w:after="80"/>
        <w:ind w:left="2174" w:hanging="547"/>
        <w:rPr>
          <w:szCs w:val="24"/>
        </w:rPr>
      </w:pPr>
      <w:r w:rsidRPr="007C7EA5">
        <w:rPr>
          <w:szCs w:val="24"/>
        </w:rPr>
        <w:t xml:space="preserve">The </w:t>
      </w:r>
      <w:r w:rsidR="00B24B3E" w:rsidRPr="007C7EA5">
        <w:rPr>
          <w:rStyle w:val="StyleTimesNewRoman12pt"/>
          <w:rFonts w:ascii="Times New Roman" w:hAnsi="Times New Roman"/>
          <w:sz w:val="24"/>
          <w:szCs w:val="24"/>
        </w:rPr>
        <w:t>adverse benefit determination</w:t>
      </w:r>
      <w:r w:rsidRPr="007C7EA5">
        <w:rPr>
          <w:szCs w:val="24"/>
        </w:rPr>
        <w:t xml:space="preserve"> taken or intended to be taken by the MCO;</w:t>
      </w:r>
    </w:p>
    <w:p w14:paraId="1D50C496" w14:textId="77777777" w:rsidR="009A0060" w:rsidRPr="00233688" w:rsidRDefault="009A0060" w:rsidP="00257641">
      <w:pPr>
        <w:numPr>
          <w:ilvl w:val="0"/>
          <w:numId w:val="44"/>
        </w:numPr>
        <w:tabs>
          <w:tab w:val="clear" w:pos="1008"/>
        </w:tabs>
        <w:spacing w:after="80"/>
        <w:ind w:left="2174" w:hanging="547"/>
        <w:rPr>
          <w:szCs w:val="24"/>
        </w:rPr>
      </w:pPr>
      <w:r w:rsidRPr="00AB033C">
        <w:rPr>
          <w:szCs w:val="24"/>
        </w:rPr>
        <w:t>The reasons for the action</w:t>
      </w:r>
      <w:r w:rsidR="008F0375" w:rsidRPr="00117461">
        <w:rPr>
          <w:szCs w:val="24"/>
        </w:rPr>
        <w:t xml:space="preserve">, </w:t>
      </w:r>
      <w:r w:rsidR="00EB1DC5" w:rsidRPr="00117461">
        <w:rPr>
          <w:szCs w:val="24"/>
        </w:rPr>
        <w:t>including the right of the enrollee to be provided upon request and free of charge, reasonable access to and copies of all docu</w:t>
      </w:r>
      <w:r w:rsidR="00EB1DC5" w:rsidRPr="001276A8">
        <w:rPr>
          <w:szCs w:val="24"/>
        </w:rPr>
        <w:t>ments, records, and other information</w:t>
      </w:r>
      <w:r w:rsidR="008F0375" w:rsidRPr="004F097D">
        <w:rPr>
          <w:szCs w:val="24"/>
        </w:rPr>
        <w:t xml:space="preserve"> relevant to the enrollee’s adverse benefit determination. This information includes medically necessity criteria, and any processes, strategies, or evidentiary standards used in setting coverage limits</w:t>
      </w:r>
      <w:r w:rsidRPr="00233688">
        <w:rPr>
          <w:szCs w:val="24"/>
        </w:rPr>
        <w:t>;</w:t>
      </w:r>
    </w:p>
    <w:p w14:paraId="3E926DA8" w14:textId="6F77B7C8" w:rsidR="009A0060" w:rsidRPr="004D1244" w:rsidRDefault="009A0060" w:rsidP="00257641">
      <w:pPr>
        <w:numPr>
          <w:ilvl w:val="0"/>
          <w:numId w:val="44"/>
        </w:numPr>
        <w:tabs>
          <w:tab w:val="clear" w:pos="1008"/>
        </w:tabs>
        <w:spacing w:after="80"/>
        <w:ind w:left="2174" w:hanging="547"/>
        <w:rPr>
          <w:szCs w:val="24"/>
        </w:rPr>
      </w:pPr>
      <w:r w:rsidRPr="00233688">
        <w:rPr>
          <w:szCs w:val="24"/>
        </w:rPr>
        <w:t>The right of th</w:t>
      </w:r>
      <w:r w:rsidRPr="00356156">
        <w:rPr>
          <w:szCs w:val="24"/>
        </w:rPr>
        <w:t>e enrollee</w:t>
      </w:r>
      <w:r w:rsidR="008E4C5A" w:rsidRPr="004D1244">
        <w:rPr>
          <w:szCs w:val="24"/>
        </w:rPr>
        <w:t>, his representative,</w:t>
      </w:r>
      <w:r w:rsidRPr="004D1244">
        <w:rPr>
          <w:szCs w:val="24"/>
        </w:rPr>
        <w:t xml:space="preserve"> or his provider to appeal the </w:t>
      </w:r>
      <w:r w:rsidR="00B24B3E">
        <w:t>adverse benefit determination</w:t>
      </w:r>
      <w:r w:rsidRPr="004D1244">
        <w:rPr>
          <w:szCs w:val="24"/>
        </w:rPr>
        <w:t xml:space="preserve"> to the MCO;</w:t>
      </w:r>
    </w:p>
    <w:p w14:paraId="1285A498" w14:textId="77777777" w:rsidR="009A0060" w:rsidRPr="0099539F" w:rsidRDefault="009A0060" w:rsidP="00257641">
      <w:pPr>
        <w:numPr>
          <w:ilvl w:val="0"/>
          <w:numId w:val="44"/>
        </w:numPr>
        <w:tabs>
          <w:tab w:val="clear" w:pos="1008"/>
        </w:tabs>
        <w:spacing w:after="80"/>
        <w:ind w:left="2174" w:hanging="547"/>
        <w:rPr>
          <w:szCs w:val="24"/>
        </w:rPr>
      </w:pPr>
      <w:r w:rsidRPr="004D1244">
        <w:rPr>
          <w:szCs w:val="24"/>
        </w:rPr>
        <w:t>The enrollee</w:t>
      </w:r>
      <w:r w:rsidR="00FA1C0C" w:rsidRPr="00FF0A07">
        <w:rPr>
          <w:szCs w:val="24"/>
        </w:rPr>
        <w:t>’</w:t>
      </w:r>
      <w:r w:rsidRPr="005149B6">
        <w:rPr>
          <w:szCs w:val="24"/>
        </w:rPr>
        <w:t>s right to request a state fair hearing</w:t>
      </w:r>
      <w:r w:rsidR="00261CE6" w:rsidRPr="008015ED">
        <w:rPr>
          <w:szCs w:val="24"/>
        </w:rPr>
        <w:t>, including information on exhausting the MCO’s one level of appeal</w:t>
      </w:r>
      <w:r w:rsidRPr="0099539F">
        <w:rPr>
          <w:szCs w:val="24"/>
        </w:rPr>
        <w:t>;</w:t>
      </w:r>
    </w:p>
    <w:p w14:paraId="2C08178A" w14:textId="77777777" w:rsidR="009A0060" w:rsidRPr="00DA379A" w:rsidRDefault="009A0060" w:rsidP="00257641">
      <w:pPr>
        <w:numPr>
          <w:ilvl w:val="0"/>
          <w:numId w:val="44"/>
        </w:numPr>
        <w:tabs>
          <w:tab w:val="clear" w:pos="1008"/>
        </w:tabs>
        <w:spacing w:after="80"/>
        <w:ind w:left="2174" w:hanging="547"/>
        <w:rPr>
          <w:szCs w:val="24"/>
        </w:rPr>
      </w:pPr>
      <w:r w:rsidRPr="00DA379A">
        <w:rPr>
          <w:szCs w:val="24"/>
        </w:rPr>
        <w:t>The procedures for filing an appeal and state fair hearing;</w:t>
      </w:r>
    </w:p>
    <w:p w14:paraId="4D7BC513" w14:textId="77777777" w:rsidR="009A0060" w:rsidRPr="00DA379A" w:rsidRDefault="009A0060" w:rsidP="00257641">
      <w:pPr>
        <w:numPr>
          <w:ilvl w:val="0"/>
          <w:numId w:val="44"/>
        </w:numPr>
        <w:tabs>
          <w:tab w:val="clear" w:pos="1008"/>
        </w:tabs>
        <w:spacing w:after="80"/>
        <w:ind w:left="2174" w:hanging="547"/>
        <w:rPr>
          <w:szCs w:val="24"/>
        </w:rPr>
      </w:pPr>
      <w:r w:rsidRPr="00DA379A">
        <w:rPr>
          <w:szCs w:val="24"/>
        </w:rPr>
        <w:t>Circumstances and procedures for requesting an expedited resolution; and</w:t>
      </w:r>
    </w:p>
    <w:p w14:paraId="20444FBB" w14:textId="77777777" w:rsidR="009A0060" w:rsidRPr="00F75251" w:rsidRDefault="009A0060" w:rsidP="00257641">
      <w:pPr>
        <w:numPr>
          <w:ilvl w:val="0"/>
          <w:numId w:val="44"/>
        </w:numPr>
        <w:spacing w:after="120"/>
        <w:ind w:left="2160" w:hanging="540"/>
        <w:rPr>
          <w:szCs w:val="24"/>
        </w:rPr>
      </w:pPr>
      <w:r w:rsidRPr="00F75251">
        <w:rPr>
          <w:szCs w:val="24"/>
        </w:rPr>
        <w:t>The enrollee</w:t>
      </w:r>
      <w:r w:rsidR="00FA1C0C" w:rsidRPr="00F75251">
        <w:rPr>
          <w:szCs w:val="24"/>
        </w:rPr>
        <w:t>’</w:t>
      </w:r>
      <w:r w:rsidRPr="00F75251">
        <w:rPr>
          <w:szCs w:val="24"/>
        </w:rPr>
        <w:t>s right to and policies and procedures regarding the continuation of benefits while the resolution of the enrollee</w:t>
      </w:r>
      <w:r w:rsidR="00FA1C0C" w:rsidRPr="00F75251">
        <w:rPr>
          <w:szCs w:val="24"/>
        </w:rPr>
        <w:t>’</w:t>
      </w:r>
      <w:r w:rsidRPr="00F75251">
        <w:rPr>
          <w:szCs w:val="24"/>
        </w:rPr>
        <w:t xml:space="preserve">s appeal is pending. </w:t>
      </w:r>
    </w:p>
    <w:p w14:paraId="77B38D00" w14:textId="5ED26A57" w:rsidR="009A0060" w:rsidRPr="00F75251" w:rsidRDefault="009A0060" w:rsidP="00257641">
      <w:pPr>
        <w:pStyle w:val="StyleTimesNewRoman12ptAfter6pt"/>
        <w:ind w:left="1440" w:hanging="360"/>
        <w:rPr>
          <w:szCs w:val="24"/>
        </w:rPr>
      </w:pPr>
      <w:r w:rsidRPr="00F75251">
        <w:rPr>
          <w:szCs w:val="24"/>
        </w:rPr>
        <w:t>b.</w:t>
      </w:r>
      <w:r w:rsidRPr="00F75251">
        <w:rPr>
          <w:szCs w:val="24"/>
        </w:rPr>
        <w:tab/>
        <w:t xml:space="preserve">The notice of </w:t>
      </w:r>
      <w:r w:rsidR="00B24B3E">
        <w:t>adverse benefit determination</w:t>
      </w:r>
      <w:r w:rsidRPr="00F75251">
        <w:rPr>
          <w:szCs w:val="24"/>
        </w:rPr>
        <w:t xml:space="preserve"> must be mailed:</w:t>
      </w:r>
    </w:p>
    <w:p w14:paraId="3E35318F" w14:textId="49468105" w:rsidR="009A0060" w:rsidRPr="00225429" w:rsidRDefault="009A0060" w:rsidP="00257641">
      <w:pPr>
        <w:numPr>
          <w:ilvl w:val="0"/>
          <w:numId w:val="50"/>
        </w:numPr>
        <w:tabs>
          <w:tab w:val="clear" w:pos="1008"/>
        </w:tabs>
        <w:spacing w:after="120"/>
        <w:ind w:left="2160" w:hanging="558"/>
        <w:rPr>
          <w:szCs w:val="24"/>
        </w:rPr>
      </w:pPr>
      <w:r w:rsidRPr="0058676D">
        <w:rPr>
          <w:szCs w:val="24"/>
        </w:rPr>
        <w:t>For termination, suspension or reduction of previously authorized Medicaid-covered services, at least</w:t>
      </w:r>
      <w:r w:rsidR="00917448" w:rsidRPr="0058676D">
        <w:rPr>
          <w:szCs w:val="24"/>
        </w:rPr>
        <w:t xml:space="preserve"> ten</w:t>
      </w:r>
      <w:r w:rsidRPr="0058676D">
        <w:rPr>
          <w:szCs w:val="24"/>
        </w:rPr>
        <w:t xml:space="preserve"> </w:t>
      </w:r>
      <w:r w:rsidR="00917448" w:rsidRPr="002645B5">
        <w:rPr>
          <w:szCs w:val="24"/>
        </w:rPr>
        <w:t>(</w:t>
      </w:r>
      <w:r w:rsidRPr="002645B5">
        <w:rPr>
          <w:szCs w:val="24"/>
        </w:rPr>
        <w:t>10</w:t>
      </w:r>
      <w:r w:rsidR="00917448" w:rsidRPr="00A22632">
        <w:rPr>
          <w:szCs w:val="24"/>
        </w:rPr>
        <w:t>)</w:t>
      </w:r>
      <w:r w:rsidRPr="006B61A9">
        <w:rPr>
          <w:szCs w:val="24"/>
        </w:rPr>
        <w:t xml:space="preserve"> </w:t>
      </w:r>
      <w:r w:rsidR="00F863FE" w:rsidRPr="00C4627A">
        <w:rPr>
          <w:szCs w:val="24"/>
        </w:rPr>
        <w:t xml:space="preserve">calendar </w:t>
      </w:r>
      <w:r w:rsidRPr="00225429">
        <w:rPr>
          <w:szCs w:val="24"/>
        </w:rPr>
        <w:t xml:space="preserve">days before the date of the </w:t>
      </w:r>
      <w:r w:rsidR="00B24B3E">
        <w:t>adverse benefit determination</w:t>
      </w:r>
      <w:r w:rsidRPr="00225429">
        <w:rPr>
          <w:szCs w:val="24"/>
        </w:rPr>
        <w:t>;</w:t>
      </w:r>
    </w:p>
    <w:p w14:paraId="19BB1ED5" w14:textId="46459525" w:rsidR="009A0060" w:rsidRPr="0027635C" w:rsidRDefault="009A0060" w:rsidP="00257641">
      <w:pPr>
        <w:numPr>
          <w:ilvl w:val="0"/>
          <w:numId w:val="50"/>
        </w:numPr>
        <w:tabs>
          <w:tab w:val="clear" w:pos="1008"/>
        </w:tabs>
        <w:spacing w:after="120"/>
        <w:ind w:left="2160" w:hanging="558"/>
        <w:rPr>
          <w:szCs w:val="24"/>
        </w:rPr>
      </w:pPr>
      <w:r w:rsidRPr="004C2825">
        <w:rPr>
          <w:szCs w:val="24"/>
        </w:rPr>
        <w:t xml:space="preserve">No later than the date of </w:t>
      </w:r>
      <w:r w:rsidR="00B24B3E">
        <w:t>adverse benefit determination</w:t>
      </w:r>
      <w:r w:rsidRPr="0027635C">
        <w:rPr>
          <w:szCs w:val="24"/>
        </w:rPr>
        <w:t xml:space="preserve"> if:</w:t>
      </w:r>
    </w:p>
    <w:p w14:paraId="3A9A89BA" w14:textId="49ACC416" w:rsidR="009A0060" w:rsidRPr="00427BBA" w:rsidRDefault="00217C51" w:rsidP="00257641">
      <w:pPr>
        <w:pStyle w:val="StyleTimesNewRoman12ptAfter6pt"/>
        <w:numPr>
          <w:ilvl w:val="1"/>
          <w:numId w:val="32"/>
        </w:numPr>
        <w:tabs>
          <w:tab w:val="clear" w:pos="1800"/>
        </w:tabs>
        <w:spacing w:after="60"/>
        <w:ind w:left="2520"/>
        <w:rPr>
          <w:szCs w:val="24"/>
        </w:rPr>
      </w:pPr>
      <w:r w:rsidRPr="00D2147D">
        <w:rPr>
          <w:szCs w:val="24"/>
        </w:rPr>
        <w:t>T</w:t>
      </w:r>
      <w:r w:rsidR="009A0060" w:rsidRPr="00FA7848">
        <w:rPr>
          <w:szCs w:val="24"/>
        </w:rPr>
        <w:t>he MCO has evidence of the enrollee</w:t>
      </w:r>
      <w:r w:rsidR="00FA1C0C" w:rsidRPr="00B9242A">
        <w:rPr>
          <w:szCs w:val="24"/>
        </w:rPr>
        <w:t>’</w:t>
      </w:r>
      <w:r w:rsidR="009A0060" w:rsidRPr="00427BBA">
        <w:rPr>
          <w:szCs w:val="24"/>
        </w:rPr>
        <w:t>s death or that the enrollee no longer wishes services, has provided information that requires termination or reduction of services and understands the result of providing such information; has been admitted to an institution and is therefore no longer</w:t>
      </w:r>
      <w:r w:rsidR="009A0060" w:rsidRPr="00427BBA">
        <w:t xml:space="preserve"> </w:t>
      </w:r>
      <w:r w:rsidR="009A0060" w:rsidRPr="00427BBA">
        <w:rPr>
          <w:szCs w:val="24"/>
        </w:rPr>
        <w:t xml:space="preserve">eligible under the plan; has been accepted for Medicaid services in another State, territory or </w:t>
      </w:r>
      <w:r w:rsidR="00E62F69" w:rsidRPr="00427BBA">
        <w:rPr>
          <w:szCs w:val="24"/>
        </w:rPr>
        <w:t>C</w:t>
      </w:r>
      <w:r w:rsidR="009A0060" w:rsidRPr="00427BBA">
        <w:rPr>
          <w:szCs w:val="24"/>
        </w:rPr>
        <w:t>ommonwealth;</w:t>
      </w:r>
    </w:p>
    <w:p w14:paraId="55A26ED3" w14:textId="57B2AF11" w:rsidR="009A0060" w:rsidRPr="00703C58" w:rsidRDefault="00217C51" w:rsidP="00257641">
      <w:pPr>
        <w:pStyle w:val="StyleTimesNewRoman12ptAfter6pt"/>
        <w:numPr>
          <w:ilvl w:val="1"/>
          <w:numId w:val="32"/>
        </w:numPr>
        <w:tabs>
          <w:tab w:val="clear" w:pos="1800"/>
        </w:tabs>
        <w:spacing w:after="60"/>
        <w:ind w:left="2520"/>
        <w:rPr>
          <w:szCs w:val="24"/>
        </w:rPr>
      </w:pPr>
      <w:r w:rsidRPr="00703C58">
        <w:rPr>
          <w:szCs w:val="24"/>
        </w:rPr>
        <w:t>T</w:t>
      </w:r>
      <w:r w:rsidR="009A0060" w:rsidRPr="00703C58">
        <w:rPr>
          <w:szCs w:val="24"/>
        </w:rPr>
        <w:t>he enrollee</w:t>
      </w:r>
      <w:r w:rsidR="00FA1C0C" w:rsidRPr="00703C58">
        <w:rPr>
          <w:szCs w:val="24"/>
        </w:rPr>
        <w:t>’</w:t>
      </w:r>
      <w:r w:rsidR="009A0060" w:rsidRPr="00703C58">
        <w:rPr>
          <w:szCs w:val="24"/>
        </w:rPr>
        <w:t>s whereabouts are unknown and the post office returns the enrollee</w:t>
      </w:r>
      <w:r w:rsidR="00FA1C0C" w:rsidRPr="00703C58">
        <w:rPr>
          <w:szCs w:val="24"/>
        </w:rPr>
        <w:t>’</w:t>
      </w:r>
      <w:r w:rsidR="009A0060" w:rsidRPr="00703C58">
        <w:rPr>
          <w:szCs w:val="24"/>
        </w:rPr>
        <w:t>s mail indicating no forwarding address;</w:t>
      </w:r>
    </w:p>
    <w:p w14:paraId="53826EB7" w14:textId="77777777" w:rsidR="009A0060" w:rsidRPr="00080B72" w:rsidRDefault="00217C51" w:rsidP="00257641">
      <w:pPr>
        <w:pStyle w:val="StyleTimesNewRoman12ptAfter6pt"/>
        <w:numPr>
          <w:ilvl w:val="1"/>
          <w:numId w:val="32"/>
        </w:numPr>
        <w:tabs>
          <w:tab w:val="clear" w:pos="1800"/>
        </w:tabs>
        <w:spacing w:after="60"/>
        <w:ind w:left="2520"/>
        <w:rPr>
          <w:szCs w:val="24"/>
        </w:rPr>
      </w:pPr>
      <w:r w:rsidRPr="00703C58">
        <w:rPr>
          <w:szCs w:val="24"/>
        </w:rPr>
        <w:t>T</w:t>
      </w:r>
      <w:r w:rsidR="009A0060" w:rsidRPr="006F5B38">
        <w:rPr>
          <w:szCs w:val="24"/>
        </w:rPr>
        <w:t>he enrollee</w:t>
      </w:r>
      <w:r w:rsidR="00FA1C0C" w:rsidRPr="006F5B38">
        <w:rPr>
          <w:szCs w:val="24"/>
        </w:rPr>
        <w:t>’</w:t>
      </w:r>
      <w:r w:rsidR="009A0060" w:rsidRPr="006F5B38">
        <w:rPr>
          <w:szCs w:val="24"/>
        </w:rPr>
        <w:t>s physician has changed the level of care</w:t>
      </w:r>
      <w:r w:rsidR="009A0060" w:rsidRPr="00080B72">
        <w:rPr>
          <w:szCs w:val="24"/>
        </w:rPr>
        <w:t xml:space="preserve"> prescribed;</w:t>
      </w:r>
    </w:p>
    <w:p w14:paraId="4DDE490F" w14:textId="03EB51F8" w:rsidR="009A0060" w:rsidRPr="00080B72" w:rsidRDefault="005E69A6" w:rsidP="00257641">
      <w:pPr>
        <w:pStyle w:val="StyleTimesNewRoman12ptAfter6pt"/>
        <w:numPr>
          <w:ilvl w:val="1"/>
          <w:numId w:val="32"/>
        </w:numPr>
        <w:tabs>
          <w:tab w:val="clear" w:pos="1800"/>
        </w:tabs>
        <w:spacing w:after="60"/>
        <w:ind w:left="2520"/>
        <w:rPr>
          <w:szCs w:val="24"/>
        </w:rPr>
      </w:pPr>
      <w:r w:rsidRPr="00080B72">
        <w:rPr>
          <w:szCs w:val="24"/>
        </w:rPr>
        <w:t>T</w:t>
      </w:r>
      <w:r w:rsidR="009A0060" w:rsidRPr="00080B72">
        <w:rPr>
          <w:szCs w:val="24"/>
        </w:rPr>
        <w:t xml:space="preserve">he notice involved an adverse determination made with regard to the preadmission screening requirements for NF admissions on or after January 1, 1989; </w:t>
      </w:r>
    </w:p>
    <w:p w14:paraId="63A59179" w14:textId="6413968F" w:rsidR="009A0060" w:rsidRPr="00550F5D" w:rsidRDefault="00217C51" w:rsidP="00257641">
      <w:pPr>
        <w:pStyle w:val="StyleTimesNewRoman12ptAfter6pt"/>
        <w:numPr>
          <w:ilvl w:val="1"/>
          <w:numId w:val="32"/>
        </w:numPr>
        <w:tabs>
          <w:tab w:val="clear" w:pos="1800"/>
        </w:tabs>
        <w:spacing w:after="60"/>
        <w:ind w:left="2520"/>
        <w:rPr>
          <w:szCs w:val="24"/>
        </w:rPr>
      </w:pPr>
      <w:r w:rsidRPr="00FA44AF">
        <w:rPr>
          <w:szCs w:val="24"/>
        </w:rPr>
        <w:t>T</w:t>
      </w:r>
      <w:r w:rsidR="009A0060" w:rsidRPr="00FA44AF">
        <w:rPr>
          <w:szCs w:val="24"/>
        </w:rPr>
        <w:t>he safety or he</w:t>
      </w:r>
      <w:r w:rsidR="009A0060" w:rsidRPr="00517225">
        <w:rPr>
          <w:szCs w:val="24"/>
        </w:rPr>
        <w:t>alth of individuals in the facility would be endangered, the resident</w:t>
      </w:r>
      <w:r w:rsidR="00FA1C0C" w:rsidRPr="00517225">
        <w:rPr>
          <w:szCs w:val="24"/>
        </w:rPr>
        <w:t>’</w:t>
      </w:r>
      <w:r w:rsidR="009A0060" w:rsidRPr="00517225">
        <w:rPr>
          <w:szCs w:val="24"/>
        </w:rPr>
        <w:t>s health improves sufficiently to allow a more immediate transfer or discharge, an immediate transfer or discharge is required by the resident</w:t>
      </w:r>
      <w:r w:rsidR="00FA1C0C" w:rsidRPr="00B747F6">
        <w:rPr>
          <w:szCs w:val="24"/>
        </w:rPr>
        <w:t>’</w:t>
      </w:r>
      <w:r w:rsidR="009A0060" w:rsidRPr="00B747F6">
        <w:rPr>
          <w:szCs w:val="24"/>
        </w:rPr>
        <w:t>s urgent medical needs, or a resident has n</w:t>
      </w:r>
      <w:r w:rsidR="009A0060" w:rsidRPr="00772DED">
        <w:rPr>
          <w:szCs w:val="24"/>
        </w:rPr>
        <w:t xml:space="preserve">ot resided in the nursing facility for </w:t>
      </w:r>
      <w:r w:rsidR="008437C4" w:rsidRPr="00297E9B">
        <w:rPr>
          <w:szCs w:val="24"/>
        </w:rPr>
        <w:t>thirty (</w:t>
      </w:r>
      <w:r w:rsidR="009A0060" w:rsidRPr="00297E9B">
        <w:rPr>
          <w:szCs w:val="24"/>
        </w:rPr>
        <w:t>30</w:t>
      </w:r>
      <w:r w:rsidR="008437C4" w:rsidRPr="00550F5D">
        <w:rPr>
          <w:szCs w:val="24"/>
        </w:rPr>
        <w:t>)</w:t>
      </w:r>
      <w:r w:rsidR="00D21EE4" w:rsidRPr="00550F5D">
        <w:rPr>
          <w:szCs w:val="24"/>
        </w:rPr>
        <w:t xml:space="preserve"> calendar</w:t>
      </w:r>
      <w:r w:rsidR="009A0060" w:rsidRPr="00550F5D">
        <w:rPr>
          <w:szCs w:val="24"/>
        </w:rPr>
        <w:t xml:space="preserve"> days (applies only to adverse</w:t>
      </w:r>
      <w:r w:rsidR="00EF2ABA">
        <w:t xml:space="preserve"> benefit determinations</w:t>
      </w:r>
      <w:r w:rsidR="009A0060" w:rsidRPr="00550F5D">
        <w:rPr>
          <w:szCs w:val="24"/>
        </w:rPr>
        <w:t xml:space="preserve"> for NF transfers); or</w:t>
      </w:r>
    </w:p>
    <w:p w14:paraId="61CAC4AB" w14:textId="5E83C530" w:rsidR="009A0060" w:rsidRPr="00410355" w:rsidRDefault="00217C51" w:rsidP="00257641">
      <w:pPr>
        <w:pStyle w:val="StyleTimesNewRoman12ptAfter6pt"/>
        <w:numPr>
          <w:ilvl w:val="1"/>
          <w:numId w:val="32"/>
        </w:numPr>
        <w:tabs>
          <w:tab w:val="clear" w:pos="1800"/>
        </w:tabs>
        <w:spacing w:after="60"/>
        <w:ind w:left="2520"/>
        <w:rPr>
          <w:szCs w:val="24"/>
        </w:rPr>
      </w:pPr>
      <w:r w:rsidRPr="00410355">
        <w:rPr>
          <w:szCs w:val="24"/>
        </w:rPr>
        <w:lastRenderedPageBreak/>
        <w:t>T</w:t>
      </w:r>
      <w:r w:rsidR="009A0060" w:rsidRPr="00410355">
        <w:rPr>
          <w:szCs w:val="24"/>
        </w:rPr>
        <w:t xml:space="preserve">he date of </w:t>
      </w:r>
      <w:r w:rsidR="00EF2ABA">
        <w:t>adverse benefit determination</w:t>
      </w:r>
      <w:r w:rsidR="009A0060" w:rsidRPr="00410355">
        <w:rPr>
          <w:szCs w:val="24"/>
        </w:rPr>
        <w:t xml:space="preserve"> will occur in less than </w:t>
      </w:r>
      <w:r w:rsidR="001235D4" w:rsidRPr="00410355">
        <w:rPr>
          <w:szCs w:val="24"/>
        </w:rPr>
        <w:t>ten (</w:t>
      </w:r>
      <w:r w:rsidR="009A0060" w:rsidRPr="00410355">
        <w:rPr>
          <w:szCs w:val="24"/>
        </w:rPr>
        <w:t>10</w:t>
      </w:r>
      <w:r w:rsidR="001235D4" w:rsidRPr="00410355">
        <w:rPr>
          <w:szCs w:val="24"/>
        </w:rPr>
        <w:t>)</w:t>
      </w:r>
      <w:r w:rsidR="009A0060" w:rsidRPr="00410355">
        <w:rPr>
          <w:szCs w:val="24"/>
        </w:rPr>
        <w:t xml:space="preserve"> </w:t>
      </w:r>
      <w:r w:rsidR="00D21EE4" w:rsidRPr="00410355">
        <w:rPr>
          <w:szCs w:val="24"/>
        </w:rPr>
        <w:t xml:space="preserve">calendar </w:t>
      </w:r>
      <w:r w:rsidR="009A0060" w:rsidRPr="00410355">
        <w:rPr>
          <w:szCs w:val="24"/>
        </w:rPr>
        <w:t>days in accordance with 42 CFR 438.12.</w:t>
      </w:r>
    </w:p>
    <w:p w14:paraId="3AE7BBAC" w14:textId="0030A918" w:rsidR="009A0060" w:rsidRPr="00410355" w:rsidRDefault="009A0060" w:rsidP="00257641">
      <w:pPr>
        <w:numPr>
          <w:ilvl w:val="0"/>
          <w:numId w:val="50"/>
        </w:numPr>
        <w:tabs>
          <w:tab w:val="clear" w:pos="1008"/>
        </w:tabs>
        <w:spacing w:after="120"/>
        <w:ind w:left="2160" w:hanging="540"/>
        <w:rPr>
          <w:szCs w:val="24"/>
        </w:rPr>
      </w:pPr>
      <w:r w:rsidRPr="00410355">
        <w:rPr>
          <w:szCs w:val="24"/>
        </w:rPr>
        <w:t xml:space="preserve">For </w:t>
      </w:r>
      <w:r w:rsidR="00EF2ABA">
        <w:t>adverse benefit determinations</w:t>
      </w:r>
      <w:r w:rsidRPr="00410355">
        <w:rPr>
          <w:szCs w:val="24"/>
        </w:rPr>
        <w:t xml:space="preserve"> due to probable fraud by the enrollee, no later than</w:t>
      </w:r>
      <w:r w:rsidR="008437C4" w:rsidRPr="00410355">
        <w:rPr>
          <w:szCs w:val="24"/>
        </w:rPr>
        <w:t xml:space="preserve"> five</w:t>
      </w:r>
      <w:r w:rsidRPr="00410355">
        <w:rPr>
          <w:szCs w:val="24"/>
        </w:rPr>
        <w:t xml:space="preserve"> </w:t>
      </w:r>
      <w:r w:rsidR="008437C4" w:rsidRPr="00410355">
        <w:rPr>
          <w:szCs w:val="24"/>
        </w:rPr>
        <w:t>(</w:t>
      </w:r>
      <w:r w:rsidRPr="00410355">
        <w:rPr>
          <w:szCs w:val="24"/>
        </w:rPr>
        <w:t>5</w:t>
      </w:r>
      <w:r w:rsidR="008437C4" w:rsidRPr="00410355">
        <w:rPr>
          <w:szCs w:val="24"/>
        </w:rPr>
        <w:t>)</w:t>
      </w:r>
      <w:r w:rsidRPr="00410355">
        <w:rPr>
          <w:szCs w:val="24"/>
        </w:rPr>
        <w:t xml:space="preserve"> </w:t>
      </w:r>
      <w:r w:rsidR="00D21EE4" w:rsidRPr="00410355">
        <w:rPr>
          <w:szCs w:val="24"/>
        </w:rPr>
        <w:t xml:space="preserve">calendar </w:t>
      </w:r>
      <w:r w:rsidRPr="00410355">
        <w:rPr>
          <w:szCs w:val="24"/>
        </w:rPr>
        <w:t xml:space="preserve">days in advance of the action; </w:t>
      </w:r>
    </w:p>
    <w:p w14:paraId="6717905F" w14:textId="65D3AB59" w:rsidR="009A0060" w:rsidRPr="00410355" w:rsidRDefault="009A0060" w:rsidP="00257641">
      <w:pPr>
        <w:numPr>
          <w:ilvl w:val="0"/>
          <w:numId w:val="50"/>
        </w:numPr>
        <w:tabs>
          <w:tab w:val="clear" w:pos="1008"/>
          <w:tab w:val="left" w:pos="1530"/>
        </w:tabs>
        <w:spacing w:after="120"/>
        <w:ind w:left="2160" w:hanging="540"/>
        <w:rPr>
          <w:szCs w:val="24"/>
        </w:rPr>
      </w:pPr>
      <w:r w:rsidRPr="00410355">
        <w:rPr>
          <w:szCs w:val="24"/>
        </w:rPr>
        <w:t xml:space="preserve">For denial of payment, at the time of any </w:t>
      </w:r>
      <w:r w:rsidR="00011A87">
        <w:t>adverse benefit determination</w:t>
      </w:r>
      <w:r w:rsidRPr="00410355">
        <w:rPr>
          <w:szCs w:val="24"/>
        </w:rPr>
        <w:t xml:space="preserve"> affecting the claim; </w:t>
      </w:r>
    </w:p>
    <w:p w14:paraId="0E0A7304" w14:textId="77777777" w:rsidR="009A0060" w:rsidRPr="00410355" w:rsidRDefault="009A0060" w:rsidP="00257641">
      <w:pPr>
        <w:numPr>
          <w:ilvl w:val="0"/>
          <w:numId w:val="50"/>
        </w:numPr>
        <w:tabs>
          <w:tab w:val="clear" w:pos="1008"/>
          <w:tab w:val="left" w:pos="1530"/>
        </w:tabs>
        <w:spacing w:after="120"/>
        <w:ind w:left="2160" w:hanging="540"/>
        <w:rPr>
          <w:szCs w:val="24"/>
        </w:rPr>
      </w:pPr>
      <w:r w:rsidRPr="00410355">
        <w:rPr>
          <w:szCs w:val="24"/>
        </w:rPr>
        <w:t xml:space="preserve">Within </w:t>
      </w:r>
      <w:r w:rsidR="008437C4" w:rsidRPr="00410355">
        <w:rPr>
          <w:szCs w:val="24"/>
        </w:rPr>
        <w:t>fourteen (</w:t>
      </w:r>
      <w:r w:rsidRPr="00410355">
        <w:rPr>
          <w:szCs w:val="24"/>
        </w:rPr>
        <w:t>14</w:t>
      </w:r>
      <w:r w:rsidR="008437C4" w:rsidRPr="00410355">
        <w:rPr>
          <w:szCs w:val="24"/>
        </w:rPr>
        <w:t>)</w:t>
      </w:r>
      <w:r w:rsidRPr="00410355">
        <w:rPr>
          <w:szCs w:val="24"/>
        </w:rPr>
        <w:t xml:space="preserve"> calendar days of the request for services when services under a standard service authorization decision are being denied or limited; </w:t>
      </w:r>
    </w:p>
    <w:p w14:paraId="41EB2683" w14:textId="77777777" w:rsidR="009A0060" w:rsidRPr="00410355" w:rsidRDefault="009A0060" w:rsidP="00257641">
      <w:pPr>
        <w:numPr>
          <w:ilvl w:val="0"/>
          <w:numId w:val="50"/>
        </w:numPr>
        <w:tabs>
          <w:tab w:val="clear" w:pos="1008"/>
          <w:tab w:val="left" w:pos="1530"/>
        </w:tabs>
        <w:spacing w:after="120"/>
        <w:ind w:left="2160" w:hanging="540"/>
        <w:rPr>
          <w:szCs w:val="24"/>
        </w:rPr>
      </w:pPr>
      <w:r w:rsidRPr="00410355">
        <w:rPr>
          <w:szCs w:val="24"/>
        </w:rPr>
        <w:t xml:space="preserve">If the MCO extends the period for making standard authorization decisions in accordance with this contract, and must inform the enrollee of his right to file a grievance regarding the decision; </w:t>
      </w:r>
    </w:p>
    <w:p w14:paraId="7531430F" w14:textId="77777777" w:rsidR="00FF4BBD" w:rsidRPr="00410355" w:rsidRDefault="009A0060" w:rsidP="00257641">
      <w:pPr>
        <w:numPr>
          <w:ilvl w:val="0"/>
          <w:numId w:val="50"/>
        </w:numPr>
        <w:tabs>
          <w:tab w:val="clear" w:pos="1008"/>
          <w:tab w:val="left" w:pos="1530"/>
        </w:tabs>
        <w:spacing w:after="120"/>
        <w:ind w:left="2160" w:hanging="540"/>
        <w:rPr>
          <w:szCs w:val="24"/>
        </w:rPr>
      </w:pPr>
      <w:r w:rsidRPr="00410355">
        <w:rPr>
          <w:szCs w:val="24"/>
        </w:rPr>
        <w:t xml:space="preserve">On the date the timeframes specified in this </w:t>
      </w:r>
      <w:r w:rsidR="009B19C2" w:rsidRPr="00410355">
        <w:rPr>
          <w:szCs w:val="24"/>
        </w:rPr>
        <w:t xml:space="preserve">Contract </w:t>
      </w:r>
      <w:r w:rsidRPr="00410355">
        <w:rPr>
          <w:szCs w:val="24"/>
        </w:rPr>
        <w:t xml:space="preserve">expires, if those timeframes are not met; </w:t>
      </w:r>
      <w:r w:rsidR="00FF4BBD" w:rsidRPr="00410355">
        <w:rPr>
          <w:szCs w:val="24"/>
        </w:rPr>
        <w:t>and</w:t>
      </w:r>
    </w:p>
    <w:p w14:paraId="7DE67D9F" w14:textId="77777777" w:rsidR="009A0060" w:rsidRPr="00410355" w:rsidRDefault="009A0060" w:rsidP="00257641">
      <w:pPr>
        <w:numPr>
          <w:ilvl w:val="0"/>
          <w:numId w:val="50"/>
        </w:numPr>
        <w:tabs>
          <w:tab w:val="clear" w:pos="1008"/>
          <w:tab w:val="left" w:pos="1530"/>
        </w:tabs>
        <w:spacing w:after="120"/>
        <w:ind w:left="2160" w:hanging="540"/>
        <w:rPr>
          <w:szCs w:val="24"/>
        </w:rPr>
      </w:pPr>
      <w:r w:rsidRPr="00410355">
        <w:rPr>
          <w:szCs w:val="24"/>
        </w:rPr>
        <w:t xml:space="preserve">Within </w:t>
      </w:r>
      <w:r w:rsidR="00EC1840" w:rsidRPr="00410355">
        <w:rPr>
          <w:szCs w:val="24"/>
        </w:rPr>
        <w:t>seventy-two (</w:t>
      </w:r>
      <w:r w:rsidR="0013122D" w:rsidRPr="00410355">
        <w:rPr>
          <w:szCs w:val="24"/>
        </w:rPr>
        <w:t>72</w:t>
      </w:r>
      <w:r w:rsidR="00EC1840" w:rsidRPr="00410355">
        <w:rPr>
          <w:szCs w:val="24"/>
        </w:rPr>
        <w:t>)</w:t>
      </w:r>
      <w:r w:rsidR="0013122D" w:rsidRPr="00410355">
        <w:rPr>
          <w:szCs w:val="24"/>
        </w:rPr>
        <w:t xml:space="preserve"> hours </w:t>
      </w:r>
      <w:r w:rsidRPr="00410355">
        <w:rPr>
          <w:szCs w:val="24"/>
        </w:rPr>
        <w:t>after the receipt of a request for an expedited authorization</w:t>
      </w:r>
      <w:r w:rsidR="00FF4BBD" w:rsidRPr="00410355">
        <w:rPr>
          <w:szCs w:val="24"/>
        </w:rPr>
        <w:t>.</w:t>
      </w:r>
    </w:p>
    <w:p w14:paraId="0E6E419D" w14:textId="77777777" w:rsidR="009A0060" w:rsidRPr="00410355" w:rsidRDefault="009A0060" w:rsidP="00257641">
      <w:pPr>
        <w:spacing w:after="120"/>
        <w:ind w:left="1080" w:hanging="360"/>
        <w:rPr>
          <w:rStyle w:val="StyleTimesNewRoman12pt"/>
          <w:rFonts w:ascii="Times New Roman" w:hAnsi="Times New Roman"/>
          <w:sz w:val="24"/>
          <w:szCs w:val="24"/>
        </w:rPr>
      </w:pPr>
      <w:r w:rsidRPr="00410355">
        <w:rPr>
          <w:szCs w:val="24"/>
        </w:rPr>
        <w:t>c.</w:t>
      </w:r>
      <w:r w:rsidRPr="00410355">
        <w:rPr>
          <w:szCs w:val="24"/>
        </w:rPr>
        <w:tab/>
        <w:t>Information for Providers</w:t>
      </w:r>
    </w:p>
    <w:p w14:paraId="36D7D976" w14:textId="0018131E" w:rsidR="009A0060" w:rsidRPr="00CD1178" w:rsidRDefault="009A0060" w:rsidP="00257641">
      <w:pPr>
        <w:spacing w:after="120"/>
        <w:ind w:left="1080"/>
        <w:rPr>
          <w:rStyle w:val="StyleTimesNewRoman12pt"/>
          <w:rFonts w:ascii="Times New Roman" w:hAnsi="Times New Roman"/>
          <w:sz w:val="24"/>
          <w:szCs w:val="24"/>
        </w:rPr>
      </w:pPr>
      <w:r w:rsidRPr="00410355">
        <w:rPr>
          <w:rStyle w:val="StyleTimesNewRoman12pt"/>
          <w:rFonts w:ascii="Times New Roman" w:hAnsi="Times New Roman"/>
          <w:sz w:val="24"/>
          <w:szCs w:val="24"/>
        </w:rPr>
        <w:t xml:space="preserve">The MCO </w:t>
      </w:r>
      <w:r w:rsidR="00C54CE5" w:rsidRPr="00CD1178">
        <w:rPr>
          <w:szCs w:val="24"/>
        </w:rPr>
        <w:t>must</w:t>
      </w:r>
      <w:r w:rsidRPr="00CD1178">
        <w:rPr>
          <w:rStyle w:val="StyleTimesNewRoman12pt"/>
          <w:rFonts w:ascii="Times New Roman" w:hAnsi="Times New Roman"/>
          <w:sz w:val="24"/>
          <w:szCs w:val="24"/>
        </w:rPr>
        <w:t xml:space="preserve"> provide all providers and </w:t>
      </w:r>
      <w:r w:rsidR="00642406" w:rsidRPr="00CD1178">
        <w:rPr>
          <w:rStyle w:val="StyleTimesNewRoman12pt"/>
          <w:rFonts w:ascii="Times New Roman" w:hAnsi="Times New Roman"/>
          <w:sz w:val="24"/>
          <w:szCs w:val="24"/>
        </w:rPr>
        <w:t>S</w:t>
      </w:r>
      <w:r w:rsidRPr="00CD1178">
        <w:rPr>
          <w:rStyle w:val="StyleTimesNewRoman12pt"/>
          <w:rFonts w:ascii="Times New Roman" w:hAnsi="Times New Roman"/>
          <w:sz w:val="24"/>
          <w:szCs w:val="24"/>
        </w:rPr>
        <w:t xml:space="preserve">ubcontractors upon entering into a </w:t>
      </w:r>
      <w:r w:rsidR="009B19C2" w:rsidRPr="00D61267">
        <w:rPr>
          <w:rStyle w:val="StyleTimesNewRoman12pt"/>
          <w:rFonts w:ascii="Times New Roman" w:hAnsi="Times New Roman"/>
          <w:sz w:val="24"/>
          <w:szCs w:val="24"/>
        </w:rPr>
        <w:t xml:space="preserve">Contract </w:t>
      </w:r>
      <w:r w:rsidRPr="000A32BE">
        <w:rPr>
          <w:rStyle w:val="StyleTimesNewRoman12pt"/>
          <w:rFonts w:ascii="Times New Roman" w:hAnsi="Times New Roman"/>
          <w:sz w:val="24"/>
          <w:szCs w:val="24"/>
        </w:rPr>
        <w:t>with the Plan, the same information pertaining</w:t>
      </w:r>
      <w:r w:rsidR="005C3A15" w:rsidRPr="000A32BE">
        <w:rPr>
          <w:rStyle w:val="StyleTimesNewRoman12pt"/>
          <w:rFonts w:ascii="Times New Roman" w:hAnsi="Times New Roman"/>
          <w:sz w:val="24"/>
          <w:szCs w:val="24"/>
        </w:rPr>
        <w:t xml:space="preserve"> to</w:t>
      </w:r>
      <w:r w:rsidRPr="000A32BE">
        <w:rPr>
          <w:rStyle w:val="StyleTimesNewRoman12pt"/>
          <w:rFonts w:ascii="Times New Roman" w:hAnsi="Times New Roman"/>
          <w:sz w:val="24"/>
          <w:szCs w:val="24"/>
        </w:rPr>
        <w:t xml:space="preserve"> the Plan</w:t>
      </w:r>
      <w:r w:rsidR="00FA1C0C" w:rsidRPr="000A32BE">
        <w:rPr>
          <w:rStyle w:val="StyleTimesNewRoman12pt"/>
          <w:rFonts w:ascii="Times New Roman" w:hAnsi="Times New Roman"/>
          <w:sz w:val="24"/>
          <w:szCs w:val="24"/>
        </w:rPr>
        <w:t>’</w:t>
      </w:r>
      <w:r w:rsidRPr="000A32BE">
        <w:rPr>
          <w:rStyle w:val="StyleTimesNewRoman12pt"/>
          <w:rFonts w:ascii="Times New Roman" w:hAnsi="Times New Roman"/>
          <w:sz w:val="24"/>
          <w:szCs w:val="24"/>
        </w:rPr>
        <w:t xml:space="preserve">s grievance, appeal and fair hearing procedures as was provided to enrollees as described in this section of this </w:t>
      </w:r>
      <w:r w:rsidRPr="00AB033C">
        <w:rPr>
          <w:szCs w:val="24"/>
        </w:rPr>
        <w:t>contract.</w:t>
      </w:r>
    </w:p>
    <w:p w14:paraId="11BE4AE7" w14:textId="77777777" w:rsidR="009A0060" w:rsidRPr="000A32BE" w:rsidRDefault="009A0060" w:rsidP="00257641">
      <w:pPr>
        <w:spacing w:after="120"/>
        <w:ind w:left="720" w:hanging="360"/>
        <w:rPr>
          <w:rStyle w:val="StyleTimesNewRoman12pt"/>
          <w:rFonts w:ascii="Times New Roman" w:hAnsi="Times New Roman"/>
          <w:sz w:val="24"/>
          <w:szCs w:val="24"/>
        </w:rPr>
      </w:pPr>
      <w:r w:rsidRPr="00D61267">
        <w:rPr>
          <w:szCs w:val="24"/>
        </w:rPr>
        <w:t>6.</w:t>
      </w:r>
      <w:r w:rsidRPr="00D61267">
        <w:rPr>
          <w:szCs w:val="24"/>
        </w:rPr>
        <w:tab/>
        <w:t>State Fair Hearing</w:t>
      </w:r>
    </w:p>
    <w:p w14:paraId="4C4C3AE3" w14:textId="24877C86" w:rsidR="009A0060" w:rsidRPr="00A22632" w:rsidRDefault="009A0060" w:rsidP="00257641">
      <w:pPr>
        <w:tabs>
          <w:tab w:val="left" w:pos="-1872"/>
          <w:tab w:val="left" w:pos="-1152"/>
          <w:tab w:val="left" w:pos="-432"/>
          <w:tab w:val="left" w:pos="288"/>
          <w:tab w:val="left" w:pos="1296"/>
          <w:tab w:val="left" w:pos="1728"/>
          <w:tab w:val="left" w:pos="2448"/>
          <w:tab w:val="left" w:pos="2736"/>
          <w:tab w:val="left" w:pos="3168"/>
          <w:tab w:val="left" w:pos="3888"/>
          <w:tab w:val="left" w:pos="4608"/>
          <w:tab w:val="left" w:pos="5328"/>
          <w:tab w:val="left" w:pos="5904"/>
          <w:tab w:val="left" w:pos="6768"/>
          <w:tab w:val="left" w:pos="7488"/>
          <w:tab w:val="left" w:pos="8208"/>
          <w:tab w:val="left" w:pos="8928"/>
          <w:tab w:val="left" w:pos="9648"/>
          <w:tab w:val="left" w:pos="10368"/>
        </w:tabs>
        <w:spacing w:after="120"/>
        <w:ind w:left="720"/>
        <w:rPr>
          <w:szCs w:val="24"/>
        </w:rPr>
      </w:pPr>
      <w:r w:rsidRPr="00AB033C">
        <w:rPr>
          <w:szCs w:val="24"/>
        </w:rPr>
        <w:t xml:space="preserve">The state fair hearing process </w:t>
      </w:r>
      <w:r w:rsidR="00C54CE5" w:rsidRPr="00AB033C">
        <w:rPr>
          <w:szCs w:val="24"/>
        </w:rPr>
        <w:t xml:space="preserve">will </w:t>
      </w:r>
      <w:r w:rsidRPr="00117461">
        <w:rPr>
          <w:szCs w:val="24"/>
        </w:rPr>
        <w:t xml:space="preserve">be the responsibility of the </w:t>
      </w:r>
      <w:r w:rsidR="00011A87">
        <w:rPr>
          <w:szCs w:val="24"/>
        </w:rPr>
        <w:t>Department as delegated to the West Virginia Board of Review</w:t>
      </w:r>
      <w:r w:rsidR="00011A87" w:rsidRPr="00117461">
        <w:rPr>
          <w:rStyle w:val="FootnoteReference"/>
          <w:szCs w:val="24"/>
        </w:rPr>
        <w:t xml:space="preserve"> </w:t>
      </w:r>
      <w:r w:rsidR="000558D4" w:rsidRPr="00117461">
        <w:rPr>
          <w:rStyle w:val="FootnoteReference"/>
          <w:szCs w:val="24"/>
        </w:rPr>
        <w:footnoteReference w:id="15"/>
      </w:r>
      <w:r w:rsidR="0078080B" w:rsidRPr="001276A8">
        <w:rPr>
          <w:szCs w:val="24"/>
        </w:rPr>
        <w:t>.</w:t>
      </w:r>
      <w:r w:rsidR="0078080B" w:rsidRPr="004F097D">
        <w:rPr>
          <w:szCs w:val="24"/>
        </w:rPr>
        <w:t xml:space="preserve"> </w:t>
      </w:r>
      <w:r w:rsidRPr="00005E7A">
        <w:rPr>
          <w:szCs w:val="24"/>
        </w:rPr>
        <w:t>The MCO is responsible for cooperating with the State in the fair hearings process and is considered a party to state fair hearings</w:t>
      </w:r>
      <w:r w:rsidR="0078080B" w:rsidRPr="00233688">
        <w:rPr>
          <w:szCs w:val="24"/>
        </w:rPr>
        <w:t>.</w:t>
      </w:r>
      <w:r w:rsidR="00C7642C" w:rsidRPr="00233688">
        <w:rPr>
          <w:szCs w:val="24"/>
        </w:rPr>
        <w:t xml:space="preserve"> Other parties to the State fair hearing include the </w:t>
      </w:r>
      <w:r w:rsidR="00011A87">
        <w:rPr>
          <w:szCs w:val="24"/>
        </w:rPr>
        <w:t>Department</w:t>
      </w:r>
      <w:r w:rsidR="00C7642C" w:rsidRPr="00233688">
        <w:rPr>
          <w:szCs w:val="24"/>
        </w:rPr>
        <w:t>, the enrollee and his or her representative or the representativ</w:t>
      </w:r>
      <w:r w:rsidR="00C7642C" w:rsidRPr="00356156">
        <w:rPr>
          <w:szCs w:val="24"/>
        </w:rPr>
        <w:t>e of a deceased enrollee’s estate.</w:t>
      </w:r>
      <w:r w:rsidR="0078080B" w:rsidRPr="004D1244">
        <w:rPr>
          <w:szCs w:val="24"/>
        </w:rPr>
        <w:t xml:space="preserve"> </w:t>
      </w:r>
      <w:r w:rsidRPr="004D1244">
        <w:rPr>
          <w:szCs w:val="24"/>
        </w:rPr>
        <w:t>The MCO</w:t>
      </w:r>
      <w:r w:rsidR="00FA1C0C" w:rsidRPr="004D1244">
        <w:rPr>
          <w:szCs w:val="24"/>
        </w:rPr>
        <w:t>’</w:t>
      </w:r>
      <w:r w:rsidRPr="004D1244">
        <w:rPr>
          <w:szCs w:val="24"/>
        </w:rPr>
        <w:t>s responsibilities include, but are not limited to the following requirements:</w:t>
      </w:r>
      <w:r w:rsidRPr="00FF0A07">
        <w:rPr>
          <w:szCs w:val="24"/>
        </w:rPr>
        <w:t xml:space="preserve"> providing any required documentation, participating in required meetings, and abiding by the </w:t>
      </w:r>
      <w:r w:rsidR="00011A87">
        <w:rPr>
          <w:szCs w:val="24"/>
        </w:rPr>
        <w:t>Department</w:t>
      </w:r>
      <w:r w:rsidR="00011A87" w:rsidRPr="008015ED">
        <w:rPr>
          <w:szCs w:val="24"/>
        </w:rPr>
        <w:t>’</w:t>
      </w:r>
      <w:r w:rsidR="00011A87" w:rsidRPr="0099539F">
        <w:rPr>
          <w:szCs w:val="24"/>
        </w:rPr>
        <w:t xml:space="preserve">s </w:t>
      </w:r>
      <w:r w:rsidRPr="0099539F">
        <w:rPr>
          <w:szCs w:val="24"/>
        </w:rPr>
        <w:t>final decisions</w:t>
      </w:r>
      <w:r w:rsidR="00011A87">
        <w:rPr>
          <w:szCs w:val="24"/>
        </w:rPr>
        <w:t>, including decision to settle a case with the enrollee</w:t>
      </w:r>
      <w:r w:rsidR="0078080B" w:rsidRPr="00DA379A">
        <w:rPr>
          <w:szCs w:val="24"/>
        </w:rPr>
        <w:t xml:space="preserve">. </w:t>
      </w:r>
      <w:r w:rsidRPr="00DA379A">
        <w:rPr>
          <w:szCs w:val="24"/>
        </w:rPr>
        <w:t xml:space="preserve">The MCO </w:t>
      </w:r>
      <w:r w:rsidR="00C54CE5" w:rsidRPr="00DA379A">
        <w:t xml:space="preserve">must </w:t>
      </w:r>
      <w:r w:rsidRPr="00F75251">
        <w:rPr>
          <w:szCs w:val="24"/>
        </w:rPr>
        <w:t>also provide enrollees with information about the right to request a state fair hearing as set forth in this contract.</w:t>
      </w:r>
      <w:r w:rsidR="000558D4" w:rsidRPr="00F75251">
        <w:rPr>
          <w:szCs w:val="24"/>
        </w:rPr>
        <w:t xml:space="preserve"> Pursuant to </w:t>
      </w:r>
      <w:r w:rsidR="001C21AB">
        <w:rPr>
          <w:szCs w:val="24"/>
        </w:rPr>
        <w:t>the West Virginia</w:t>
      </w:r>
      <w:r w:rsidR="001C21AB" w:rsidRPr="00F75251">
        <w:rPr>
          <w:szCs w:val="24"/>
        </w:rPr>
        <w:t xml:space="preserve"> </w:t>
      </w:r>
      <w:r w:rsidR="000558D4" w:rsidRPr="00F75251">
        <w:rPr>
          <w:szCs w:val="24"/>
        </w:rPr>
        <w:t xml:space="preserve">Common Chapter §710.24, the </w:t>
      </w:r>
      <w:r w:rsidR="004502A2" w:rsidRPr="00F75251">
        <w:rPr>
          <w:szCs w:val="24"/>
        </w:rPr>
        <w:t>S</w:t>
      </w:r>
      <w:r w:rsidR="000558D4" w:rsidRPr="00F75251">
        <w:rPr>
          <w:szCs w:val="24"/>
        </w:rPr>
        <w:t xml:space="preserve">tate shall make a final decision within </w:t>
      </w:r>
      <w:r w:rsidR="002E104C" w:rsidRPr="00F75251">
        <w:rPr>
          <w:szCs w:val="24"/>
        </w:rPr>
        <w:t>ninety (</w:t>
      </w:r>
      <w:r w:rsidR="000558D4" w:rsidRPr="00F75251">
        <w:rPr>
          <w:szCs w:val="24"/>
        </w:rPr>
        <w:t>90</w:t>
      </w:r>
      <w:r w:rsidR="002E104C" w:rsidRPr="0058676D">
        <w:rPr>
          <w:szCs w:val="24"/>
        </w:rPr>
        <w:t>)</w:t>
      </w:r>
      <w:r w:rsidR="000558D4" w:rsidRPr="0058676D">
        <w:rPr>
          <w:szCs w:val="24"/>
        </w:rPr>
        <w:t xml:space="preserve"> </w:t>
      </w:r>
      <w:r w:rsidR="002A0E66" w:rsidRPr="002645B5">
        <w:rPr>
          <w:szCs w:val="24"/>
        </w:rPr>
        <w:t xml:space="preserve">calendar </w:t>
      </w:r>
      <w:r w:rsidR="000558D4" w:rsidRPr="002645B5">
        <w:rPr>
          <w:szCs w:val="24"/>
        </w:rPr>
        <w:t>days of the request for a hearing.</w:t>
      </w:r>
    </w:p>
    <w:p w14:paraId="237BEE6F" w14:textId="77777777" w:rsidR="009A0060" w:rsidRPr="00C4627A" w:rsidRDefault="009A0060" w:rsidP="00A1283E">
      <w:pPr>
        <w:spacing w:after="120"/>
        <w:ind w:left="720" w:hanging="360"/>
        <w:rPr>
          <w:rStyle w:val="StyleTimesNewRoman12pt"/>
          <w:rFonts w:ascii="Times New Roman" w:hAnsi="Times New Roman"/>
        </w:rPr>
      </w:pPr>
      <w:r w:rsidRPr="006B61A9">
        <w:rPr>
          <w:szCs w:val="24"/>
        </w:rPr>
        <w:t>7.</w:t>
      </w:r>
      <w:r w:rsidRPr="006B61A9">
        <w:rPr>
          <w:szCs w:val="24"/>
        </w:rPr>
        <w:tab/>
        <w:t>Continuation of Benefits</w:t>
      </w:r>
    </w:p>
    <w:p w14:paraId="6476D53D" w14:textId="77777777" w:rsidR="009A0060" w:rsidRPr="00540893" w:rsidRDefault="009A0060" w:rsidP="00A1283E">
      <w:pPr>
        <w:tabs>
          <w:tab w:val="left" w:pos="-1872"/>
          <w:tab w:val="left" w:pos="-1152"/>
          <w:tab w:val="left" w:pos="-432"/>
          <w:tab w:val="left" w:pos="1296"/>
          <w:tab w:val="left" w:pos="1728"/>
          <w:tab w:val="left" w:pos="2448"/>
          <w:tab w:val="left" w:pos="2736"/>
          <w:tab w:val="left" w:pos="3168"/>
          <w:tab w:val="left" w:pos="3888"/>
          <w:tab w:val="left" w:pos="4608"/>
          <w:tab w:val="left" w:pos="5328"/>
          <w:tab w:val="left" w:pos="5904"/>
          <w:tab w:val="left" w:pos="6768"/>
          <w:tab w:val="left" w:pos="7488"/>
          <w:tab w:val="left" w:pos="8208"/>
          <w:tab w:val="left" w:pos="8928"/>
          <w:tab w:val="left" w:pos="9648"/>
          <w:tab w:val="left" w:pos="10368"/>
        </w:tabs>
        <w:spacing w:after="120"/>
        <w:ind w:left="720"/>
        <w:rPr>
          <w:szCs w:val="24"/>
        </w:rPr>
      </w:pPr>
      <w:r w:rsidRPr="00225429">
        <w:rPr>
          <w:szCs w:val="24"/>
        </w:rPr>
        <w:t>The MCO must continue enrollee</w:t>
      </w:r>
      <w:r w:rsidR="00FA1C0C" w:rsidRPr="00540893">
        <w:rPr>
          <w:szCs w:val="24"/>
        </w:rPr>
        <w:t>’</w:t>
      </w:r>
      <w:r w:rsidRPr="00540893">
        <w:rPr>
          <w:szCs w:val="24"/>
        </w:rPr>
        <w:t>s benefits while an appeal or state fair hearing are pending when:</w:t>
      </w:r>
    </w:p>
    <w:p w14:paraId="3DDF78DA" w14:textId="1B26ADFD" w:rsidR="009A0060" w:rsidRPr="00427BBA" w:rsidRDefault="009A0060" w:rsidP="00A1283E">
      <w:pPr>
        <w:pStyle w:val="bullet1"/>
      </w:pPr>
      <w:r w:rsidRPr="004C2825">
        <w:lastRenderedPageBreak/>
        <w:t>The enrollee or the provider files the appeal timely (timely filing mea</w:t>
      </w:r>
      <w:r w:rsidRPr="0027635C">
        <w:t xml:space="preserve">ns on or before the later of within </w:t>
      </w:r>
      <w:r w:rsidR="00011A87">
        <w:t>thirteen</w:t>
      </w:r>
      <w:r w:rsidR="00011A87" w:rsidRPr="0027635C">
        <w:t xml:space="preserve"> </w:t>
      </w:r>
      <w:r w:rsidR="00D21EE4" w:rsidRPr="00D2147D">
        <w:t>(1</w:t>
      </w:r>
      <w:r w:rsidR="00011A87">
        <w:t>3</w:t>
      </w:r>
      <w:r w:rsidR="00D21EE4" w:rsidRPr="00D2147D">
        <w:t xml:space="preserve">) calendar </w:t>
      </w:r>
      <w:r w:rsidRPr="00FA7848">
        <w:t xml:space="preserve">days of the MCO mailing of the notice of </w:t>
      </w:r>
      <w:r w:rsidR="00011A87">
        <w:t>adverse benefit determination</w:t>
      </w:r>
      <w:r w:rsidRPr="00FA7848">
        <w:t xml:space="preserve"> or the intended effective date of the MCO</w:t>
      </w:r>
      <w:r w:rsidR="00FA1C0C" w:rsidRPr="00427BBA">
        <w:t>’</w:t>
      </w:r>
      <w:r w:rsidRPr="00427BBA">
        <w:t xml:space="preserve">s proposed </w:t>
      </w:r>
      <w:r w:rsidR="00011A87">
        <w:t>adverse benefit determination</w:t>
      </w:r>
      <w:r w:rsidRPr="00427BBA">
        <w:t>);</w:t>
      </w:r>
    </w:p>
    <w:p w14:paraId="412C080E" w14:textId="77777777" w:rsidR="009A0060" w:rsidRPr="00DF1D1C" w:rsidRDefault="009A0060" w:rsidP="00257641">
      <w:pPr>
        <w:pStyle w:val="bullet1"/>
      </w:pPr>
      <w:r w:rsidRPr="00DF1D1C">
        <w:t>The enrollee or provider is appealing a decision to terminate, suspend, or reduce a previously authorized course of treatment;</w:t>
      </w:r>
    </w:p>
    <w:p w14:paraId="513DD827" w14:textId="77777777" w:rsidR="009A0060" w:rsidRPr="00DF1D1C" w:rsidRDefault="009A0060" w:rsidP="00257641">
      <w:pPr>
        <w:pStyle w:val="bullet1"/>
      </w:pPr>
      <w:r w:rsidRPr="00DF1D1C">
        <w:t>The services were ordered by an authorized provider;</w:t>
      </w:r>
    </w:p>
    <w:p w14:paraId="4C9A2C8E" w14:textId="77777777" w:rsidR="009A0060" w:rsidRPr="00DF1D1C" w:rsidRDefault="009A0060" w:rsidP="00257641">
      <w:pPr>
        <w:pStyle w:val="bullet1"/>
      </w:pPr>
      <w:r w:rsidRPr="00DF1D1C">
        <w:t>The original period covered by the original authorization has not expired; and</w:t>
      </w:r>
    </w:p>
    <w:p w14:paraId="51AC1C00" w14:textId="77777777" w:rsidR="009A0060" w:rsidRPr="00DF1D1C" w:rsidRDefault="009A0060" w:rsidP="00257641">
      <w:pPr>
        <w:pStyle w:val="bullet1"/>
      </w:pPr>
      <w:r w:rsidRPr="00DF1D1C">
        <w:t>The enrollee requests extension of benefits.</w:t>
      </w:r>
    </w:p>
    <w:p w14:paraId="52BB12BA" w14:textId="77777777" w:rsidR="009A0060" w:rsidRPr="00DF1D1C" w:rsidRDefault="009A0060" w:rsidP="00257641">
      <w:pPr>
        <w:pStyle w:val="StyleAfter12pt"/>
        <w:spacing w:after="120"/>
        <w:ind w:left="720"/>
      </w:pPr>
      <w:r w:rsidRPr="00DF1D1C">
        <w:t xml:space="preserve">Benefits </w:t>
      </w:r>
      <w:r w:rsidR="00C54CE5">
        <w:t>must</w:t>
      </w:r>
      <w:r w:rsidR="00C54CE5" w:rsidRPr="00DF1D1C">
        <w:t xml:space="preserve"> </w:t>
      </w:r>
      <w:r w:rsidRPr="00DF1D1C">
        <w:t>be continued or reinstated until:</w:t>
      </w:r>
    </w:p>
    <w:p w14:paraId="6DCA4488" w14:textId="77777777" w:rsidR="00EC1840" w:rsidRPr="00DF1D1C" w:rsidRDefault="009A0060" w:rsidP="00257641">
      <w:pPr>
        <w:pStyle w:val="bullet1"/>
      </w:pPr>
      <w:r w:rsidRPr="00DF1D1C">
        <w:t>The enrollee withdraws the appeal</w:t>
      </w:r>
      <w:r w:rsidR="00581891">
        <w:t xml:space="preserve"> or request for a state fair hearing</w:t>
      </w:r>
      <w:r w:rsidRPr="00DF1D1C">
        <w:t>;</w:t>
      </w:r>
    </w:p>
    <w:p w14:paraId="03B402E1" w14:textId="31BF0421" w:rsidR="00EC1840" w:rsidRPr="00DF1D1C" w:rsidRDefault="00305804" w:rsidP="00257641">
      <w:pPr>
        <w:pStyle w:val="bullet1"/>
      </w:pPr>
      <w:r>
        <w:t xml:space="preserve">Other than the exceptions above, within thirteen (13) </w:t>
      </w:r>
      <w:r w:rsidR="00FE7105">
        <w:t xml:space="preserve">calendar </w:t>
      </w:r>
      <w:r w:rsidR="009A0060" w:rsidRPr="00DF1D1C">
        <w:t xml:space="preserve">days after the MCO mails the notice of resolution of the appeal </w:t>
      </w:r>
      <w:r>
        <w:t xml:space="preserve">of an adverse benefit determination </w:t>
      </w:r>
      <w:r w:rsidR="009A0060" w:rsidRPr="00DF1D1C">
        <w:t xml:space="preserve">against the enrollee, unless the enrollee within the </w:t>
      </w:r>
      <w:r>
        <w:t xml:space="preserve">thirteen </w:t>
      </w:r>
      <w:r w:rsidR="001235D4">
        <w:t>(</w:t>
      </w:r>
      <w:r w:rsidR="0078080B" w:rsidRPr="00DF1D1C">
        <w:t>1</w:t>
      </w:r>
      <w:r>
        <w:t>3</w:t>
      </w:r>
      <w:r w:rsidR="001235D4">
        <w:t xml:space="preserve">) </w:t>
      </w:r>
      <w:r w:rsidR="00FE7105">
        <w:t xml:space="preserve">calendar </w:t>
      </w:r>
      <w:r w:rsidR="009A0060" w:rsidRPr="00DF1D1C">
        <w:t>day timeframe, has requested a state fair hearing with continuation of benefits until a state fair hearing decision is reached;</w:t>
      </w:r>
    </w:p>
    <w:p w14:paraId="2BDF33C0" w14:textId="77777777" w:rsidR="00EC1840" w:rsidRDefault="009A0060" w:rsidP="00257641">
      <w:pPr>
        <w:pStyle w:val="bullet1"/>
      </w:pPr>
      <w:r w:rsidRPr="007A2A79">
        <w:t>T</w:t>
      </w:r>
      <w:r w:rsidRPr="00DF1D1C">
        <w:t>he time period or service limits of a previously authorized service have been met</w:t>
      </w:r>
      <w:r w:rsidR="003D2B2B">
        <w:t>; or</w:t>
      </w:r>
    </w:p>
    <w:p w14:paraId="2CD12791" w14:textId="77777777" w:rsidR="003D2B2B" w:rsidRPr="00DF1D1C" w:rsidRDefault="003D2B2B" w:rsidP="00257641">
      <w:pPr>
        <w:pStyle w:val="bullet1"/>
        <w:spacing w:after="240"/>
      </w:pPr>
      <w:r>
        <w:t>A state fair hearing office issues a hearing decision adverse to the enrollee.</w:t>
      </w:r>
    </w:p>
    <w:p w14:paraId="6EE79ED8" w14:textId="75B43FA1" w:rsidR="009A0060" w:rsidRDefault="009A0060" w:rsidP="00257641">
      <w:r w:rsidRPr="00DF1D1C">
        <w:t xml:space="preserve">If the resolution of the appeal or state fair hearing reverses the decision of the MCO to deny, limit, or delay services that were not furnished, the MCO </w:t>
      </w:r>
      <w:r w:rsidR="00C54CE5">
        <w:t>must</w:t>
      </w:r>
      <w:r w:rsidRPr="00DF1D1C">
        <w:t xml:space="preserve"> authorize or provide the disputed services promptly or as expeditiously as the enrollee</w:t>
      </w:r>
      <w:r w:rsidR="00FA1C0C" w:rsidRPr="00DF1D1C">
        <w:t>’</w:t>
      </w:r>
      <w:r w:rsidRPr="00DF1D1C">
        <w:t>s health condition requires</w:t>
      </w:r>
      <w:r w:rsidR="007871FE">
        <w:t xml:space="preserve"> but no later than </w:t>
      </w:r>
      <w:r w:rsidR="00217C51">
        <w:t>seventy-two (</w:t>
      </w:r>
      <w:r w:rsidR="007871FE">
        <w:t>72</w:t>
      </w:r>
      <w:r w:rsidR="00217C51">
        <w:t>)</w:t>
      </w:r>
      <w:r w:rsidR="007871FE">
        <w:t xml:space="preserve"> hours from the date it receives notice reversing the determination</w:t>
      </w:r>
      <w:r w:rsidR="0078080B" w:rsidRPr="00DF1D1C">
        <w:t xml:space="preserve">. </w:t>
      </w:r>
      <w:r w:rsidRPr="00DF1D1C">
        <w:t xml:space="preserve">If the resolution of the appeal or state fair hearing reverses the decision of the MCO to deny authorization of services, and the enrollee received the disputed services while the appeal was pending, the MCO must pay for those services in accordance with </w:t>
      </w:r>
      <w:r w:rsidR="002A0E66">
        <w:t>DHHR</w:t>
      </w:r>
      <w:r w:rsidR="002A0E66" w:rsidRPr="00DF1D1C">
        <w:t xml:space="preserve"> </w:t>
      </w:r>
      <w:r w:rsidRPr="00DF1D1C">
        <w:t>policy and regulations.</w:t>
      </w:r>
      <w:r w:rsidR="00B05B1C">
        <w:t xml:space="preserve"> However, if the final resolution of the appeal or state fair hearing is adverse to the enrollee, the MCO may recover the cost of services furnished to the enrollee while the appeal and state fair hearing were pending.</w:t>
      </w:r>
    </w:p>
    <w:p w14:paraId="46C5B503" w14:textId="080E2681" w:rsidR="00B46136" w:rsidRDefault="00B46136" w:rsidP="00257641">
      <w:r w:rsidRPr="00B46136">
        <w:t>The MCO must resolve at least</w:t>
      </w:r>
      <w:r w:rsidR="0040151C">
        <w:t xml:space="preserve"> </w:t>
      </w:r>
      <w:r w:rsidR="004271CC">
        <w:t>ninety-eight percent</w:t>
      </w:r>
      <w:r w:rsidRPr="00B46136">
        <w:t xml:space="preserve"> </w:t>
      </w:r>
      <w:r w:rsidR="001C21AB">
        <w:t>(</w:t>
      </w:r>
      <w:r w:rsidR="001C21AB" w:rsidRPr="00B46136">
        <w:t>98</w:t>
      </w:r>
      <w:r w:rsidR="001C21AB">
        <w:t xml:space="preserve">%) </w:t>
      </w:r>
      <w:r w:rsidRPr="00B46136">
        <w:t xml:space="preserve">of </w:t>
      </w:r>
      <w:r w:rsidR="00A81BCF">
        <w:t>enrollee</w:t>
      </w:r>
      <w:r w:rsidR="00A81BCF" w:rsidRPr="00B46136">
        <w:t xml:space="preserve"> </w:t>
      </w:r>
      <w:r w:rsidRPr="00B46136">
        <w:t>appeals within</w:t>
      </w:r>
      <w:r w:rsidR="004271CC">
        <w:t xml:space="preserve"> </w:t>
      </w:r>
      <w:r w:rsidR="00436626">
        <w:t xml:space="preserve">thirty (30) </w:t>
      </w:r>
      <w:r w:rsidRPr="00B46136">
        <w:t>calendar days from the date the appeal is filed with the MCO</w:t>
      </w:r>
      <w:r w:rsidR="00437901">
        <w:t xml:space="preserve">, unless </w:t>
      </w:r>
      <w:r w:rsidR="001B7D9A">
        <w:t xml:space="preserve">the </w:t>
      </w:r>
      <w:r w:rsidR="00437901" w:rsidRPr="00DF1D1C">
        <w:t>enrollee requests an extension or the MCO shows that a delay is necessary and in the interest of the enrollee</w:t>
      </w:r>
      <w:r w:rsidR="00437901">
        <w:t>.</w:t>
      </w:r>
    </w:p>
    <w:p w14:paraId="29BE0756" w14:textId="71C27398" w:rsidR="0036206C" w:rsidRPr="00DF1D1C" w:rsidRDefault="0087784B" w:rsidP="00257641">
      <w:pPr>
        <w:pStyle w:val="Heading3"/>
      </w:pPr>
      <w:bookmarkStart w:id="141" w:name="_Toc8129030"/>
      <w:r>
        <w:t>4</w:t>
      </w:r>
      <w:r w:rsidR="0036206C">
        <w:t>.9</w:t>
      </w:r>
      <w:r w:rsidR="0036206C" w:rsidRPr="00DF1D1C">
        <w:tab/>
      </w:r>
      <w:r w:rsidR="0036206C">
        <w:t>Cost-Sharing Obligations</w:t>
      </w:r>
      <w:bookmarkEnd w:id="141"/>
    </w:p>
    <w:p w14:paraId="7A2C4083" w14:textId="7866DC0D" w:rsidR="0036206C" w:rsidRPr="002719AA" w:rsidRDefault="0036206C" w:rsidP="00257641">
      <w:pPr>
        <w:rPr>
          <w:rFonts w:eastAsia="Calibri"/>
        </w:rPr>
      </w:pPr>
      <w:r w:rsidRPr="002719AA">
        <w:rPr>
          <w:rFonts w:eastAsia="Calibri"/>
        </w:rPr>
        <w:t xml:space="preserve">The MCO, through the MCO’s providers, must impose copayments for covered services in the amounts that are determined by the Department in accordance with the requirements specified in the </w:t>
      </w:r>
      <w:r w:rsidR="00135B12">
        <w:rPr>
          <w:rFonts w:eastAsia="Calibri"/>
        </w:rPr>
        <w:t xml:space="preserve">Medicaid </w:t>
      </w:r>
      <w:r w:rsidRPr="002719AA">
        <w:rPr>
          <w:rFonts w:eastAsia="Calibri"/>
        </w:rPr>
        <w:t>State Plan and the requirements set forth in 42 CFR §§447.50 -</w:t>
      </w:r>
      <w:r w:rsidR="00760ABD">
        <w:rPr>
          <w:rFonts w:eastAsia="Calibri"/>
        </w:rPr>
        <w:t xml:space="preserve"> </w:t>
      </w:r>
      <w:r w:rsidRPr="002719AA">
        <w:rPr>
          <w:rFonts w:eastAsia="Calibri"/>
        </w:rPr>
        <w:t>447.</w:t>
      </w:r>
      <w:r w:rsidR="00760ABD">
        <w:rPr>
          <w:rFonts w:eastAsia="Calibri"/>
        </w:rPr>
        <w:t>82</w:t>
      </w:r>
      <w:r w:rsidRPr="002719AA">
        <w:rPr>
          <w:rFonts w:eastAsia="Calibri"/>
        </w:rPr>
        <w:t xml:space="preserve">. </w:t>
      </w:r>
    </w:p>
    <w:p w14:paraId="0EB3CC5E" w14:textId="21E7E567" w:rsidR="0036206C" w:rsidRPr="002719AA" w:rsidRDefault="0036206C" w:rsidP="00257641">
      <w:pPr>
        <w:rPr>
          <w:rFonts w:eastAsia="Calibri"/>
        </w:rPr>
      </w:pPr>
      <w:r w:rsidRPr="002719AA">
        <w:rPr>
          <w:rFonts w:eastAsia="Calibri"/>
        </w:rPr>
        <w:lastRenderedPageBreak/>
        <w:t xml:space="preserve">The MCO must reduce payments to the network providers by the amount of the </w:t>
      </w:r>
      <w:r w:rsidR="00A81BCF">
        <w:rPr>
          <w:rFonts w:eastAsia="Calibri"/>
        </w:rPr>
        <w:t>enrollee</w:t>
      </w:r>
      <w:r w:rsidR="00A81BCF" w:rsidRPr="002719AA">
        <w:rPr>
          <w:rFonts w:eastAsia="Calibri"/>
        </w:rPr>
        <w:t xml:space="preserve">’s </w:t>
      </w:r>
      <w:r w:rsidRPr="002719AA">
        <w:rPr>
          <w:rFonts w:eastAsia="Calibri"/>
        </w:rPr>
        <w:t>copay, regardless of whether the provider successfully collects the copay.</w:t>
      </w:r>
      <w:r w:rsidR="00F24820">
        <w:rPr>
          <w:rFonts w:eastAsia="Calibri"/>
          <w:vertAlign w:val="superscript"/>
        </w:rPr>
        <w:t xml:space="preserve"> </w:t>
      </w:r>
      <w:r w:rsidRPr="002719AA">
        <w:rPr>
          <w:rFonts w:eastAsia="Calibri"/>
        </w:rPr>
        <w:t xml:space="preserve">The MCO, or the MCO’s providers, may not routinely waive required copays. </w:t>
      </w:r>
    </w:p>
    <w:p w14:paraId="22B3DF7B" w14:textId="688065E4" w:rsidR="0036206C" w:rsidRPr="002719AA" w:rsidRDefault="0036206C" w:rsidP="00257641">
      <w:pPr>
        <w:rPr>
          <w:rFonts w:eastAsia="Calibri"/>
        </w:rPr>
      </w:pPr>
      <w:r w:rsidRPr="002719AA">
        <w:rPr>
          <w:rFonts w:eastAsia="Calibri"/>
        </w:rPr>
        <w:t xml:space="preserve">The MCO must have a process to track a </w:t>
      </w:r>
      <w:r w:rsidR="00EB47D1">
        <w:rPr>
          <w:rFonts w:eastAsia="Calibri"/>
        </w:rPr>
        <w:t xml:space="preserve">quarterly </w:t>
      </w:r>
      <w:r w:rsidRPr="002719AA">
        <w:rPr>
          <w:rFonts w:eastAsia="Calibri"/>
        </w:rPr>
        <w:t>household maximum for the cost-sharing obligations</w:t>
      </w:r>
      <w:r w:rsidR="00EB47D1">
        <w:rPr>
          <w:rFonts w:eastAsia="Calibri"/>
        </w:rPr>
        <w:t xml:space="preserve"> based on the </w:t>
      </w:r>
      <w:r w:rsidR="00A81BCF">
        <w:rPr>
          <w:rFonts w:eastAsia="Calibri"/>
        </w:rPr>
        <w:t xml:space="preserve">enrollees’ </w:t>
      </w:r>
      <w:r w:rsidR="00EB47D1" w:rsidRPr="00EB47D1">
        <w:rPr>
          <w:rFonts w:eastAsia="Calibri"/>
        </w:rPr>
        <w:t>Federal Poverty Level</w:t>
      </w:r>
      <w:r w:rsidR="002D685F">
        <w:rPr>
          <w:rFonts w:eastAsia="Calibri"/>
        </w:rPr>
        <w:t xml:space="preserve"> (FPL)</w:t>
      </w:r>
      <w:r w:rsidRPr="002719AA">
        <w:rPr>
          <w:rFonts w:eastAsia="Calibri"/>
        </w:rPr>
        <w:t xml:space="preserve">. </w:t>
      </w:r>
    </w:p>
    <w:p w14:paraId="69914766" w14:textId="2C1B85CA" w:rsidR="0036206C" w:rsidRPr="002719AA" w:rsidRDefault="0087784B" w:rsidP="00257641">
      <w:pPr>
        <w:pStyle w:val="Heading4"/>
        <w:rPr>
          <w:rFonts w:eastAsia="Calibri"/>
        </w:rPr>
      </w:pPr>
      <w:r>
        <w:t>4</w:t>
      </w:r>
      <w:r w:rsidR="008C78A4">
        <w:t xml:space="preserve">.9.1 </w:t>
      </w:r>
      <w:r w:rsidR="00764D22">
        <w:t xml:space="preserve">Services and </w:t>
      </w:r>
      <w:r w:rsidR="00A81BCF">
        <w:t>Enrollee</w:t>
      </w:r>
      <w:r w:rsidR="00A81BCF" w:rsidRPr="008C78A4">
        <w:t xml:space="preserve">s </w:t>
      </w:r>
      <w:r w:rsidR="00EB7F08">
        <w:t>E</w:t>
      </w:r>
      <w:r w:rsidR="0036206C" w:rsidRPr="008C78A4">
        <w:t xml:space="preserve">xempt from </w:t>
      </w:r>
      <w:r w:rsidR="00EB7F08">
        <w:t>C</w:t>
      </w:r>
      <w:r w:rsidR="0036206C" w:rsidRPr="008C78A4">
        <w:t>ost-</w:t>
      </w:r>
      <w:r w:rsidR="00EB7F08">
        <w:t>S</w:t>
      </w:r>
      <w:r w:rsidR="0036206C" w:rsidRPr="008C78A4">
        <w:t xml:space="preserve">haring </w:t>
      </w:r>
      <w:r w:rsidR="00EB7F08">
        <w:t>O</w:t>
      </w:r>
      <w:r w:rsidR="0036206C" w:rsidRPr="008C78A4">
        <w:t>bligations</w:t>
      </w:r>
    </w:p>
    <w:p w14:paraId="056D0C78" w14:textId="0BE16682" w:rsidR="0036206C" w:rsidRPr="002719AA" w:rsidRDefault="0036206C" w:rsidP="00257641">
      <w:pPr>
        <w:pStyle w:val="normal6"/>
      </w:pPr>
      <w:r w:rsidRPr="002719AA">
        <w:t xml:space="preserve">The MCO and the </w:t>
      </w:r>
      <w:r w:rsidRPr="003150A4">
        <w:t xml:space="preserve">MCO’s providers may not charge copays to the following MCO </w:t>
      </w:r>
      <w:r w:rsidR="00A81BCF">
        <w:t>enrollee</w:t>
      </w:r>
      <w:r w:rsidR="00A81BCF" w:rsidRPr="003150A4">
        <w:t xml:space="preserve">s </w:t>
      </w:r>
      <w:r w:rsidR="004E52CB" w:rsidRPr="003150A4">
        <w:t>or</w:t>
      </w:r>
      <w:r w:rsidR="00DE42B7" w:rsidRPr="003150A4">
        <w:t xml:space="preserve"> </w:t>
      </w:r>
      <w:r w:rsidR="004E2708" w:rsidRPr="003150A4">
        <w:t xml:space="preserve">on the following </w:t>
      </w:r>
      <w:r w:rsidR="00DE42B7" w:rsidRPr="003150A4">
        <w:t>ser</w:t>
      </w:r>
      <w:r w:rsidR="00DE42B7">
        <w:t>vices</w:t>
      </w:r>
      <w:r w:rsidRPr="002719AA">
        <w:t>:</w:t>
      </w:r>
    </w:p>
    <w:p w14:paraId="43840719" w14:textId="77777777" w:rsidR="00DE42B7" w:rsidRDefault="00DE42B7" w:rsidP="00257641">
      <w:pPr>
        <w:pStyle w:val="bullet1"/>
        <w:rPr>
          <w:rFonts w:eastAsia="Calibri"/>
        </w:rPr>
      </w:pPr>
      <w:r>
        <w:rPr>
          <w:rFonts w:eastAsia="Calibri"/>
        </w:rPr>
        <w:t>Family planning services;</w:t>
      </w:r>
    </w:p>
    <w:p w14:paraId="3B112A11" w14:textId="77777777" w:rsidR="00DE42B7" w:rsidRDefault="00DE42B7" w:rsidP="00257641">
      <w:pPr>
        <w:pStyle w:val="bullet1"/>
        <w:rPr>
          <w:rFonts w:eastAsia="Calibri"/>
        </w:rPr>
      </w:pPr>
      <w:r>
        <w:rPr>
          <w:rFonts w:eastAsia="Calibri"/>
        </w:rPr>
        <w:t>Emergency services;</w:t>
      </w:r>
    </w:p>
    <w:p w14:paraId="1C879BCE" w14:textId="77777777" w:rsidR="00055FE5" w:rsidRDefault="00055FE5" w:rsidP="00257641">
      <w:pPr>
        <w:pStyle w:val="bullet1"/>
        <w:rPr>
          <w:rFonts w:eastAsia="Calibri"/>
        </w:rPr>
      </w:pPr>
      <w:r>
        <w:rPr>
          <w:rFonts w:eastAsia="Calibri"/>
        </w:rPr>
        <w:t xml:space="preserve">Behavioral </w:t>
      </w:r>
      <w:r w:rsidR="00BE476B">
        <w:rPr>
          <w:rFonts w:eastAsia="Calibri"/>
        </w:rPr>
        <w:t>H</w:t>
      </w:r>
      <w:r>
        <w:rPr>
          <w:rFonts w:eastAsia="Calibri"/>
        </w:rPr>
        <w:t xml:space="preserve">ealth services; </w:t>
      </w:r>
    </w:p>
    <w:p w14:paraId="1970E835" w14:textId="612630B6" w:rsidR="0036206C" w:rsidRPr="002719AA" w:rsidRDefault="00A81BCF" w:rsidP="00257641">
      <w:pPr>
        <w:pStyle w:val="bullet1"/>
        <w:rPr>
          <w:rFonts w:eastAsia="Calibri"/>
        </w:rPr>
      </w:pPr>
      <w:r>
        <w:rPr>
          <w:rFonts w:eastAsia="Calibri"/>
        </w:rPr>
        <w:t>Enrollee</w:t>
      </w:r>
      <w:r w:rsidRPr="002719AA">
        <w:rPr>
          <w:rFonts w:eastAsia="Calibri"/>
        </w:rPr>
        <w:t xml:space="preserve">s </w:t>
      </w:r>
      <w:r w:rsidR="0036206C" w:rsidRPr="002719AA">
        <w:rPr>
          <w:rFonts w:eastAsia="Calibri"/>
        </w:rPr>
        <w:t xml:space="preserve">under age </w:t>
      </w:r>
      <w:r w:rsidR="004271CC">
        <w:rPr>
          <w:rFonts w:eastAsia="Calibri"/>
        </w:rPr>
        <w:t>twenty-one (</w:t>
      </w:r>
      <w:r w:rsidR="0036206C" w:rsidRPr="002719AA">
        <w:rPr>
          <w:rFonts w:eastAsia="Calibri"/>
        </w:rPr>
        <w:t>21</w:t>
      </w:r>
      <w:r w:rsidR="004271CC">
        <w:rPr>
          <w:rFonts w:eastAsia="Calibri"/>
        </w:rPr>
        <w:t>)</w:t>
      </w:r>
      <w:r w:rsidR="0036206C" w:rsidRPr="002719AA">
        <w:rPr>
          <w:rFonts w:eastAsia="Calibri"/>
        </w:rPr>
        <w:t>;</w:t>
      </w:r>
    </w:p>
    <w:p w14:paraId="1B88FFD7" w14:textId="77777777" w:rsidR="0036206C" w:rsidRPr="002719AA" w:rsidRDefault="0036206C" w:rsidP="00257641">
      <w:pPr>
        <w:pStyle w:val="bullet1"/>
        <w:rPr>
          <w:rFonts w:eastAsia="Calibri"/>
        </w:rPr>
      </w:pPr>
      <w:r w:rsidRPr="002719AA">
        <w:rPr>
          <w:rFonts w:eastAsia="Calibri"/>
        </w:rPr>
        <w:t xml:space="preserve">Pregnant women (including the </w:t>
      </w:r>
      <w:r w:rsidR="00626EA7">
        <w:rPr>
          <w:rFonts w:eastAsia="Calibri"/>
        </w:rPr>
        <w:t>sixty (</w:t>
      </w:r>
      <w:r w:rsidRPr="002719AA">
        <w:rPr>
          <w:rFonts w:eastAsia="Calibri"/>
        </w:rPr>
        <w:t>60</w:t>
      </w:r>
      <w:r w:rsidR="00626EA7">
        <w:rPr>
          <w:rFonts w:eastAsia="Calibri"/>
        </w:rPr>
        <w:t xml:space="preserve">) </w:t>
      </w:r>
      <w:r w:rsidRPr="002719AA">
        <w:rPr>
          <w:rFonts w:eastAsia="Calibri"/>
        </w:rPr>
        <w:t>day postpartum period following the end of pregnancy);</w:t>
      </w:r>
    </w:p>
    <w:p w14:paraId="71CB92A0" w14:textId="77777777" w:rsidR="0036206C" w:rsidRPr="002719AA" w:rsidRDefault="0036206C" w:rsidP="00257641">
      <w:pPr>
        <w:pStyle w:val="bullet1"/>
        <w:rPr>
          <w:rFonts w:ascii="Garamond" w:eastAsia="Calibri" w:hAnsi="Garamond"/>
        </w:rPr>
      </w:pPr>
      <w:r w:rsidRPr="002719AA">
        <w:rPr>
          <w:rFonts w:eastAsia="Calibri"/>
        </w:rPr>
        <w:t>American Indians and Alaska Natives;</w:t>
      </w:r>
    </w:p>
    <w:p w14:paraId="29C4F4D2" w14:textId="1127ABC2" w:rsidR="00B27BBD" w:rsidRDefault="00A81BCF" w:rsidP="00257641">
      <w:pPr>
        <w:pStyle w:val="bullet1"/>
        <w:rPr>
          <w:rFonts w:eastAsia="Calibri"/>
        </w:rPr>
      </w:pPr>
      <w:r>
        <w:rPr>
          <w:rFonts w:eastAsia="Calibri"/>
        </w:rPr>
        <w:t>Enrollee</w:t>
      </w:r>
      <w:r w:rsidRPr="002719AA">
        <w:rPr>
          <w:rFonts w:eastAsia="Calibri"/>
        </w:rPr>
        <w:t xml:space="preserve">s </w:t>
      </w:r>
      <w:r w:rsidR="0036206C" w:rsidRPr="002719AA">
        <w:rPr>
          <w:rFonts w:eastAsia="Calibri"/>
        </w:rPr>
        <w:t>receiving hospice care;</w:t>
      </w:r>
    </w:p>
    <w:p w14:paraId="03F0D6F6" w14:textId="39F4EBB2" w:rsidR="0036206C" w:rsidRPr="002719AA" w:rsidRDefault="00A81BCF" w:rsidP="00257641">
      <w:pPr>
        <w:pStyle w:val="bullet1"/>
        <w:rPr>
          <w:rFonts w:eastAsia="Calibri"/>
        </w:rPr>
      </w:pPr>
      <w:r>
        <w:rPr>
          <w:rFonts w:eastAsia="Calibri"/>
        </w:rPr>
        <w:t xml:space="preserve">Enrollees </w:t>
      </w:r>
      <w:r w:rsidR="00B27BBD">
        <w:rPr>
          <w:rFonts w:eastAsia="Calibri"/>
        </w:rPr>
        <w:t>in nursing h</w:t>
      </w:r>
      <w:r w:rsidR="00B27BBD" w:rsidRPr="00B27BBD">
        <w:rPr>
          <w:rFonts w:eastAsia="Calibri"/>
        </w:rPr>
        <w:t>omes</w:t>
      </w:r>
      <w:r w:rsidR="00B27BBD">
        <w:rPr>
          <w:rFonts w:eastAsia="Calibri"/>
        </w:rPr>
        <w:t>;</w:t>
      </w:r>
    </w:p>
    <w:p w14:paraId="49735776" w14:textId="0402EAAD" w:rsidR="0036206C" w:rsidRPr="002719AA" w:rsidRDefault="0036206C" w:rsidP="00257641">
      <w:pPr>
        <w:pStyle w:val="bullet1"/>
        <w:rPr>
          <w:rFonts w:ascii="Garamond" w:eastAsia="Calibri" w:hAnsi="Garamond"/>
        </w:rPr>
      </w:pPr>
      <w:r w:rsidRPr="002719AA">
        <w:rPr>
          <w:rFonts w:eastAsia="Calibri"/>
        </w:rPr>
        <w:t xml:space="preserve">Any additional </w:t>
      </w:r>
      <w:r w:rsidR="00A81BCF">
        <w:rPr>
          <w:rFonts w:eastAsia="Calibri"/>
        </w:rPr>
        <w:t>enrollee</w:t>
      </w:r>
      <w:r w:rsidR="00A81BCF" w:rsidRPr="002719AA">
        <w:rPr>
          <w:rFonts w:eastAsia="Calibri"/>
        </w:rPr>
        <w:t xml:space="preserve">s </w:t>
      </w:r>
      <w:r w:rsidRPr="002719AA">
        <w:rPr>
          <w:rFonts w:eastAsia="Calibri"/>
        </w:rPr>
        <w:t>or services excluded under the State Plan authority; and</w:t>
      </w:r>
    </w:p>
    <w:p w14:paraId="68EF1744" w14:textId="7EF1AE9C" w:rsidR="0036206C" w:rsidRPr="002719AA" w:rsidRDefault="00A81BCF" w:rsidP="00257641">
      <w:pPr>
        <w:pStyle w:val="bullet1last"/>
        <w:rPr>
          <w:rFonts w:ascii="Garamond" w:eastAsia="Calibri" w:hAnsi="Garamond"/>
        </w:rPr>
      </w:pPr>
      <w:r>
        <w:rPr>
          <w:rFonts w:eastAsia="Calibri"/>
        </w:rPr>
        <w:t>Enrollee</w:t>
      </w:r>
      <w:r w:rsidRPr="002719AA">
        <w:rPr>
          <w:rFonts w:eastAsia="Calibri"/>
        </w:rPr>
        <w:t xml:space="preserve">s </w:t>
      </w:r>
      <w:r w:rsidR="0036206C" w:rsidRPr="002719AA">
        <w:rPr>
          <w:rFonts w:eastAsia="Calibri"/>
        </w:rPr>
        <w:t xml:space="preserve">who have met their </w:t>
      </w:r>
      <w:r w:rsidR="00F33B38" w:rsidRPr="002719AA">
        <w:rPr>
          <w:rFonts w:eastAsia="Calibri"/>
        </w:rPr>
        <w:t>household maximum</w:t>
      </w:r>
      <w:r w:rsidR="0036206C" w:rsidRPr="002719AA">
        <w:rPr>
          <w:rFonts w:eastAsia="Calibri"/>
        </w:rPr>
        <w:t xml:space="preserve"> limit for the cost-sharing obligations</w:t>
      </w:r>
      <w:r w:rsidR="004B353C">
        <w:rPr>
          <w:rFonts w:eastAsia="Calibri"/>
        </w:rPr>
        <w:t xml:space="preserve"> per calendar </w:t>
      </w:r>
      <w:r w:rsidR="00282E16">
        <w:rPr>
          <w:rFonts w:eastAsia="Calibri"/>
        </w:rPr>
        <w:t>quarter</w:t>
      </w:r>
      <w:r w:rsidR="0036206C" w:rsidRPr="002719AA">
        <w:rPr>
          <w:rFonts w:eastAsia="Calibri"/>
        </w:rPr>
        <w:t>.</w:t>
      </w:r>
    </w:p>
    <w:p w14:paraId="375C7DE5" w14:textId="466D1D43" w:rsidR="0036206C" w:rsidRPr="008C78A4" w:rsidRDefault="0087784B" w:rsidP="00257641">
      <w:pPr>
        <w:pStyle w:val="Heading4"/>
      </w:pPr>
      <w:r>
        <w:t>4</w:t>
      </w:r>
      <w:r w:rsidR="008C78A4">
        <w:t xml:space="preserve">.9.2 </w:t>
      </w:r>
      <w:r w:rsidR="0036206C" w:rsidRPr="008C78A4">
        <w:t xml:space="preserve">Services and </w:t>
      </w:r>
      <w:r w:rsidR="00A81BCF">
        <w:t>Enrollee</w:t>
      </w:r>
      <w:r w:rsidR="00A81BCF" w:rsidRPr="008C78A4">
        <w:t xml:space="preserve">s </w:t>
      </w:r>
      <w:r w:rsidR="00EB7F08">
        <w:t>S</w:t>
      </w:r>
      <w:r w:rsidR="0036206C" w:rsidRPr="008C78A4">
        <w:t xml:space="preserve">ubject to </w:t>
      </w:r>
      <w:r w:rsidR="00EB7F08">
        <w:t>C</w:t>
      </w:r>
      <w:r w:rsidR="0036206C" w:rsidRPr="008C78A4">
        <w:t>ost-</w:t>
      </w:r>
      <w:r w:rsidR="00EB7F08">
        <w:t>S</w:t>
      </w:r>
      <w:r w:rsidR="0036206C" w:rsidRPr="008C78A4">
        <w:t xml:space="preserve">haring </w:t>
      </w:r>
      <w:r w:rsidR="00EB7F08">
        <w:t>O</w:t>
      </w:r>
      <w:r w:rsidR="0036206C" w:rsidRPr="008C78A4">
        <w:t>bligations</w:t>
      </w:r>
    </w:p>
    <w:p w14:paraId="72568D22" w14:textId="63086037" w:rsidR="0036206C" w:rsidRPr="002719AA" w:rsidRDefault="0036206C" w:rsidP="00257641">
      <w:pPr>
        <w:pStyle w:val="normal6"/>
      </w:pPr>
      <w:r w:rsidRPr="002719AA">
        <w:t xml:space="preserve">The MCO and the MCO’s providers must charge copays for the following MCO services </w:t>
      </w:r>
      <w:r w:rsidR="00D757AD">
        <w:t>or</w:t>
      </w:r>
      <w:r w:rsidR="00D757AD" w:rsidRPr="002719AA">
        <w:t xml:space="preserve"> </w:t>
      </w:r>
      <w:r w:rsidR="00A81BCF">
        <w:t>enrollee</w:t>
      </w:r>
      <w:r w:rsidR="00A81BCF" w:rsidRPr="002719AA">
        <w:t>s</w:t>
      </w:r>
      <w:r w:rsidRPr="002719AA">
        <w:t>:</w:t>
      </w:r>
    </w:p>
    <w:p w14:paraId="7D715479" w14:textId="77777777" w:rsidR="0036206C" w:rsidRDefault="0036206C" w:rsidP="00257641">
      <w:pPr>
        <w:pStyle w:val="bullet1"/>
        <w:rPr>
          <w:rFonts w:eastAsia="Calibri"/>
        </w:rPr>
      </w:pPr>
      <w:r w:rsidRPr="002719AA">
        <w:rPr>
          <w:rFonts w:eastAsia="Calibri"/>
        </w:rPr>
        <w:t>Inpatient and outpatient services;</w:t>
      </w:r>
    </w:p>
    <w:p w14:paraId="7FC2A15C" w14:textId="77777777" w:rsidR="00615396" w:rsidRPr="002719AA" w:rsidRDefault="00615396" w:rsidP="00257641">
      <w:pPr>
        <w:pStyle w:val="bullet1"/>
        <w:rPr>
          <w:rFonts w:eastAsia="Calibri"/>
        </w:rPr>
      </w:pPr>
      <w:r>
        <w:rPr>
          <w:rFonts w:eastAsia="Calibri"/>
        </w:rPr>
        <w:t>Physician</w:t>
      </w:r>
      <w:r w:rsidRPr="00615396">
        <w:rPr>
          <w:rFonts w:eastAsia="Calibri"/>
        </w:rPr>
        <w:t xml:space="preserve"> </w:t>
      </w:r>
      <w:r>
        <w:rPr>
          <w:rFonts w:eastAsia="Calibri"/>
        </w:rPr>
        <w:t xml:space="preserve">office visits, including </w:t>
      </w:r>
      <w:r w:rsidR="0091304F">
        <w:rPr>
          <w:rFonts w:eastAsia="Calibri"/>
        </w:rPr>
        <w:t>but not limited to</w:t>
      </w:r>
      <w:r w:rsidR="004646FE">
        <w:rPr>
          <w:rFonts w:eastAsia="Calibri"/>
        </w:rPr>
        <w:t>,</w:t>
      </w:r>
      <w:r w:rsidR="0091304F">
        <w:rPr>
          <w:rFonts w:eastAsia="Calibri"/>
        </w:rPr>
        <w:t xml:space="preserve"> </w:t>
      </w:r>
      <w:r>
        <w:rPr>
          <w:rFonts w:eastAsia="Calibri"/>
        </w:rPr>
        <w:t xml:space="preserve">office visits to </w:t>
      </w:r>
      <w:r w:rsidR="009F782E">
        <w:rPr>
          <w:rFonts w:eastAsia="Calibri"/>
        </w:rPr>
        <w:t>a nurse practitioner</w:t>
      </w:r>
      <w:r>
        <w:rPr>
          <w:rFonts w:eastAsia="Calibri"/>
        </w:rPr>
        <w:t xml:space="preserve">; </w:t>
      </w:r>
    </w:p>
    <w:p w14:paraId="61CABF2F" w14:textId="4D0AF1B5" w:rsidR="0036206C" w:rsidRPr="002719AA" w:rsidRDefault="0036206C" w:rsidP="00257641">
      <w:pPr>
        <w:pStyle w:val="bullet1"/>
        <w:rPr>
          <w:rFonts w:eastAsia="Calibri"/>
        </w:rPr>
      </w:pPr>
      <w:r w:rsidRPr="00A17103">
        <w:rPr>
          <w:rFonts w:eastAsia="Calibri"/>
        </w:rPr>
        <w:t>Non-emergency use of an emergency department;</w:t>
      </w:r>
      <w:r w:rsidR="00A17103" w:rsidRPr="00A17103">
        <w:rPr>
          <w:rFonts w:eastAsia="Calibri"/>
        </w:rPr>
        <w:t xml:space="preserve"> </w:t>
      </w:r>
      <w:r w:rsidRPr="002719AA">
        <w:rPr>
          <w:rFonts w:eastAsia="Calibri"/>
        </w:rPr>
        <w:t>and</w:t>
      </w:r>
    </w:p>
    <w:p w14:paraId="3A1557A6" w14:textId="44FB1A6C" w:rsidR="00A45D82" w:rsidRDefault="0036206C" w:rsidP="00257641">
      <w:pPr>
        <w:pStyle w:val="bullet1last"/>
        <w:rPr>
          <w:rFonts w:eastAsia="Calibri"/>
        </w:rPr>
      </w:pPr>
      <w:r w:rsidRPr="002719AA">
        <w:rPr>
          <w:rFonts w:eastAsia="Calibri"/>
        </w:rPr>
        <w:t xml:space="preserve">Any other </w:t>
      </w:r>
      <w:r w:rsidR="00A81BCF">
        <w:rPr>
          <w:rFonts w:eastAsia="Calibri"/>
        </w:rPr>
        <w:t>enrollee</w:t>
      </w:r>
      <w:r w:rsidR="00A81BCF" w:rsidRPr="002719AA">
        <w:rPr>
          <w:rFonts w:eastAsia="Calibri"/>
        </w:rPr>
        <w:t xml:space="preserve">s </w:t>
      </w:r>
      <w:r w:rsidRPr="002719AA">
        <w:rPr>
          <w:rFonts w:eastAsia="Calibri"/>
        </w:rPr>
        <w:t>identified by the MCOs that are not specifically exempt.</w:t>
      </w:r>
    </w:p>
    <w:p w14:paraId="548943E6" w14:textId="7031686A" w:rsidR="00AA18AC" w:rsidRPr="00941EC8" w:rsidRDefault="00AA18AC" w:rsidP="00257641">
      <w:pPr>
        <w:rPr>
          <w:rFonts w:eastAsia="Calibri"/>
        </w:rPr>
      </w:pPr>
      <w:r>
        <w:rPr>
          <w:rFonts w:eastAsia="Calibri"/>
        </w:rPr>
        <w:t xml:space="preserve">All </w:t>
      </w:r>
      <w:r w:rsidR="00A81BCF">
        <w:rPr>
          <w:rFonts w:eastAsia="Calibri"/>
        </w:rPr>
        <w:t xml:space="preserve">enrollees </w:t>
      </w:r>
      <w:r>
        <w:rPr>
          <w:rFonts w:eastAsia="Calibri"/>
        </w:rPr>
        <w:t xml:space="preserve">eligible for services under Phase One are exempt from cost-sharing requirements. </w:t>
      </w:r>
    </w:p>
    <w:p w14:paraId="5FD05285" w14:textId="37E799ED" w:rsidR="00360FC2" w:rsidRDefault="0087784B" w:rsidP="00257641">
      <w:pPr>
        <w:pStyle w:val="Heading4"/>
      </w:pPr>
      <w:r>
        <w:t>4</w:t>
      </w:r>
      <w:r w:rsidR="00360FC2">
        <w:t xml:space="preserve">.9.3 Cost-Sharing Obligations When Medicaid is Secondary Payer </w:t>
      </w:r>
    </w:p>
    <w:p w14:paraId="55FAA2A3" w14:textId="643B3717" w:rsidR="00A45D82" w:rsidRDefault="00A81BCF" w:rsidP="00257641">
      <w:r>
        <w:t>Enrollee</w:t>
      </w:r>
      <w:r w:rsidRPr="00A070E9">
        <w:t xml:space="preserve">s </w:t>
      </w:r>
      <w:r w:rsidR="00A45D82" w:rsidRPr="00A070E9">
        <w:t xml:space="preserve">who have primary insurance other than Medicaid are exempt from Medicaid cost sharing obligations. When a third party has made </w:t>
      </w:r>
      <w:r w:rsidR="00217C51">
        <w:t xml:space="preserve">a </w:t>
      </w:r>
      <w:r w:rsidR="00A45D82" w:rsidRPr="00A070E9">
        <w:t xml:space="preserve">payment for a covered service and the MCO is the secondary payer, the Medicaid allowed amount </w:t>
      </w:r>
      <w:r w:rsidR="00867BB7">
        <w:t>must</w:t>
      </w:r>
      <w:r w:rsidR="00867BB7" w:rsidRPr="00A070E9">
        <w:t xml:space="preserve"> </w:t>
      </w:r>
      <w:r w:rsidR="00A45D82" w:rsidRPr="00A070E9">
        <w:t>be calculated as the difference between the paid amount and the Medicaid-allowed amount compared to the sum of the co-</w:t>
      </w:r>
      <w:r w:rsidR="00A45D82" w:rsidRPr="00A070E9">
        <w:lastRenderedPageBreak/>
        <w:t xml:space="preserve">insurance, copayment, and deductible amounts. The MCO is responsible for paying the lesser of either the difference amount or the summed amount. </w:t>
      </w:r>
    </w:p>
    <w:p w14:paraId="0B3E3DC1" w14:textId="4E7E20F5" w:rsidR="00807C04" w:rsidRDefault="0087784B" w:rsidP="00257641">
      <w:pPr>
        <w:pStyle w:val="Heading3"/>
      </w:pPr>
      <w:bookmarkStart w:id="142" w:name="_Toc8129031"/>
      <w:r>
        <w:t>4</w:t>
      </w:r>
      <w:r w:rsidR="00807C04">
        <w:t>.10</w:t>
      </w:r>
      <w:r w:rsidR="00807C04" w:rsidRPr="00DF1D1C">
        <w:tab/>
      </w:r>
      <w:r w:rsidR="00807C04">
        <w:t>Value-Added Services</w:t>
      </w:r>
      <w:bookmarkEnd w:id="142"/>
      <w:r w:rsidR="00807C04">
        <w:t xml:space="preserve"> </w:t>
      </w:r>
    </w:p>
    <w:p w14:paraId="6DD3D639" w14:textId="17D79767" w:rsidR="006F7109" w:rsidRDefault="006F7109" w:rsidP="00257641">
      <w:r>
        <w:t>The MCO may propose to o</w:t>
      </w:r>
      <w:r w:rsidR="00717ED8">
        <w:t>ffer Value-A</w:t>
      </w:r>
      <w:r>
        <w:t xml:space="preserve">dded </w:t>
      </w:r>
      <w:r w:rsidR="0045764E">
        <w:t>S</w:t>
      </w:r>
      <w:r>
        <w:t xml:space="preserve">ervices. If offered, the MCO will not receive additional compensation for the Value-Added </w:t>
      </w:r>
      <w:r w:rsidR="0045764E">
        <w:t>S</w:t>
      </w:r>
      <w:r>
        <w:t>ervices</w:t>
      </w:r>
      <w:r w:rsidR="004513FC">
        <w:t xml:space="preserve"> from the Department</w:t>
      </w:r>
      <w:r w:rsidR="00F04622">
        <w:t>. The MCO</w:t>
      </w:r>
      <w:r w:rsidR="004646FE">
        <w:t xml:space="preserve"> </w:t>
      </w:r>
      <w:r>
        <w:t xml:space="preserve">may report the costs of Value-Added </w:t>
      </w:r>
      <w:r w:rsidR="0045764E">
        <w:t>S</w:t>
      </w:r>
      <w:r>
        <w:t>ervices as allowable medical or administrative costs</w:t>
      </w:r>
      <w:r w:rsidR="00F04622">
        <w:t xml:space="preserve"> for the purposes of Medical Loss Ratio</w:t>
      </w:r>
      <w:r w:rsidR="00005E7A">
        <w:t xml:space="preserve"> (</w:t>
      </w:r>
      <w:r w:rsidR="000A32BE">
        <w:t>MLR</w:t>
      </w:r>
      <w:r w:rsidR="00005E7A">
        <w:t>)</w:t>
      </w:r>
      <w:r w:rsidR="00F04622">
        <w:t xml:space="preserve"> calculation</w:t>
      </w:r>
      <w:r>
        <w:t xml:space="preserve">. The cost of Value-Added </w:t>
      </w:r>
      <w:r w:rsidR="0045764E">
        <w:t>S</w:t>
      </w:r>
      <w:r>
        <w:t>ervices is</w:t>
      </w:r>
      <w:r w:rsidRPr="006F7109">
        <w:t xml:space="preserve"> not included in the </w:t>
      </w:r>
      <w:r>
        <w:t xml:space="preserve">MCO capitation </w:t>
      </w:r>
      <w:r w:rsidRPr="006F7109">
        <w:t xml:space="preserve">rates. The Value-Added </w:t>
      </w:r>
      <w:r w:rsidR="0045764E">
        <w:t>S</w:t>
      </w:r>
      <w:r w:rsidRPr="006F7109">
        <w:t xml:space="preserve">ervices are not included in the </w:t>
      </w:r>
      <w:r w:rsidR="004A2522">
        <w:t>Medicaid</w:t>
      </w:r>
      <w:r w:rsidR="004A2522" w:rsidRPr="006F7109">
        <w:t xml:space="preserve"> </w:t>
      </w:r>
      <w:r w:rsidRPr="006F7109">
        <w:t>benefit package.</w:t>
      </w:r>
    </w:p>
    <w:p w14:paraId="72CE42FD" w14:textId="5B5BD4A1" w:rsidR="00A4696B" w:rsidRDefault="006F7109" w:rsidP="00257641">
      <w:pPr>
        <w:pStyle w:val="normal6"/>
      </w:pPr>
      <w:r>
        <w:t>Value-A</w:t>
      </w:r>
      <w:r w:rsidRPr="006F7109">
        <w:t>dded</w:t>
      </w:r>
      <w:r w:rsidR="00717ED8">
        <w:t xml:space="preserve"> </w:t>
      </w:r>
      <w:r w:rsidR="0045764E">
        <w:t>S</w:t>
      </w:r>
      <w:r w:rsidR="00717ED8">
        <w:t xml:space="preserve">ervices </w:t>
      </w:r>
      <w:r w:rsidRPr="006F7109">
        <w:t xml:space="preserve">must be </w:t>
      </w:r>
      <w:r w:rsidR="001163D7">
        <w:t xml:space="preserve">submitted and </w:t>
      </w:r>
      <w:r w:rsidRPr="006F7109">
        <w:t>approved b</w:t>
      </w:r>
      <w:r w:rsidR="00717ED8">
        <w:t>y the Department</w:t>
      </w:r>
      <w:r w:rsidR="001163D7" w:rsidRPr="001163D7">
        <w:t xml:space="preserve"> </w:t>
      </w:r>
      <w:r w:rsidR="001163D7">
        <w:t xml:space="preserve">as part of the MCO’s initial readiness review during implementation and </w:t>
      </w:r>
      <w:r w:rsidR="00A4696B">
        <w:t>bi-annually</w:t>
      </w:r>
      <w:r w:rsidR="001163D7">
        <w:t>. The MCO will submit the proposed Value-Added Services to the Department</w:t>
      </w:r>
      <w:r w:rsidR="00A4696B">
        <w:t xml:space="preserve"> on the </w:t>
      </w:r>
      <w:r w:rsidR="00FF4748" w:rsidRPr="00FF4748">
        <w:t>following</w:t>
      </w:r>
      <w:r w:rsidR="00A4696B">
        <w:t xml:space="preserve"> schedule:</w:t>
      </w:r>
    </w:p>
    <w:p w14:paraId="6DECCE88" w14:textId="6C993B3E" w:rsidR="00A4696B" w:rsidRDefault="00A4696B" w:rsidP="00257641">
      <w:pPr>
        <w:pStyle w:val="bullet1"/>
      </w:pPr>
      <w:r>
        <w:t xml:space="preserve">By </w:t>
      </w:r>
      <w:r w:rsidR="00765703">
        <w:t xml:space="preserve">October </w:t>
      </w:r>
      <w:r>
        <w:t>1</w:t>
      </w:r>
      <w:r w:rsidR="00135B12" w:rsidRPr="00542D30">
        <w:rPr>
          <w:vertAlign w:val="superscript"/>
        </w:rPr>
        <w:t>st</w:t>
      </w:r>
      <w:r>
        <w:t xml:space="preserve"> of each calendar year for the January 1</w:t>
      </w:r>
      <w:r w:rsidR="00135B12" w:rsidRPr="00542D30">
        <w:rPr>
          <w:vertAlign w:val="superscript"/>
        </w:rPr>
        <w:t>st</w:t>
      </w:r>
      <w:r>
        <w:t xml:space="preserve"> publishing date; and</w:t>
      </w:r>
    </w:p>
    <w:p w14:paraId="30BC2387" w14:textId="3ABC5BFE" w:rsidR="00A4696B" w:rsidRDefault="00A4696B" w:rsidP="00257641">
      <w:pPr>
        <w:pStyle w:val="bullet1last"/>
      </w:pPr>
      <w:r>
        <w:t xml:space="preserve">By </w:t>
      </w:r>
      <w:r w:rsidR="00765703">
        <w:t xml:space="preserve">April </w:t>
      </w:r>
      <w:r>
        <w:t>1</w:t>
      </w:r>
      <w:r w:rsidR="00135B12" w:rsidRPr="00542D30">
        <w:rPr>
          <w:vertAlign w:val="superscript"/>
        </w:rPr>
        <w:t>st</w:t>
      </w:r>
      <w:r>
        <w:t xml:space="preserve"> of each calendar year for</w:t>
      </w:r>
      <w:r w:rsidR="00CC626E">
        <w:t xml:space="preserve"> the</w:t>
      </w:r>
      <w:r>
        <w:t xml:space="preserve"> July 1</w:t>
      </w:r>
      <w:r w:rsidR="00135B12" w:rsidRPr="00542D30">
        <w:rPr>
          <w:vertAlign w:val="superscript"/>
        </w:rPr>
        <w:t>st</w:t>
      </w:r>
      <w:r>
        <w:t xml:space="preserve"> publishing date. </w:t>
      </w:r>
    </w:p>
    <w:p w14:paraId="3CABD014" w14:textId="77777777" w:rsidR="00717ED8" w:rsidRDefault="00717ED8" w:rsidP="00257641">
      <w:pPr>
        <w:pStyle w:val="normal6"/>
      </w:pPr>
      <w:r>
        <w:t xml:space="preserve">For each Value-Added </w:t>
      </w:r>
      <w:r w:rsidR="0045764E">
        <w:t>S</w:t>
      </w:r>
      <w:r>
        <w:t xml:space="preserve">ervice proposed, the </w:t>
      </w:r>
      <w:r w:rsidR="00F33B38">
        <w:t>MCO must</w:t>
      </w:r>
      <w:r>
        <w:t>:</w:t>
      </w:r>
    </w:p>
    <w:p w14:paraId="265A6788" w14:textId="77777777" w:rsidR="00717ED8" w:rsidRDefault="00717ED8" w:rsidP="00257641">
      <w:pPr>
        <w:pStyle w:val="bullet1"/>
      </w:pPr>
      <w:r>
        <w:t xml:space="preserve">Define and describe the Value-Added </w:t>
      </w:r>
      <w:r w:rsidR="0045764E">
        <w:t>S</w:t>
      </w:r>
      <w:r>
        <w:t>ervice;</w:t>
      </w:r>
    </w:p>
    <w:p w14:paraId="7542A531" w14:textId="77777777" w:rsidR="00717ED8" w:rsidRDefault="00717ED8" w:rsidP="00257641">
      <w:pPr>
        <w:pStyle w:val="bullet1"/>
      </w:pPr>
      <w:r>
        <w:t xml:space="preserve">Specify the applicable service areas for the proposed Value-Added </w:t>
      </w:r>
      <w:r w:rsidR="0045764E">
        <w:t>S</w:t>
      </w:r>
      <w:r>
        <w:t>ervice;</w:t>
      </w:r>
    </w:p>
    <w:p w14:paraId="18C8525F" w14:textId="50F35D38" w:rsidR="00717ED8" w:rsidRDefault="00717ED8" w:rsidP="00257641">
      <w:pPr>
        <w:pStyle w:val="bullet1"/>
      </w:pPr>
      <w:r>
        <w:t>Identify the category</w:t>
      </w:r>
      <w:r w:rsidR="0063021D">
        <w:t xml:space="preserve">, </w:t>
      </w:r>
      <w:r>
        <w:t xml:space="preserve">group </w:t>
      </w:r>
      <w:r w:rsidR="0063021D">
        <w:t xml:space="preserve">or managed care program </w:t>
      </w:r>
      <w:r>
        <w:t xml:space="preserve">of </w:t>
      </w:r>
      <w:r w:rsidR="00A81BCF">
        <w:t xml:space="preserve">enrollees </w:t>
      </w:r>
      <w:r>
        <w:t xml:space="preserve">eligible to receive the proposed Value-Added </w:t>
      </w:r>
      <w:r w:rsidR="0045764E">
        <w:t>S</w:t>
      </w:r>
      <w:r>
        <w:t xml:space="preserve">ervice if it is a type of service that is not appropriate for all </w:t>
      </w:r>
      <w:r w:rsidR="00A81BCF">
        <w:t>enrollees</w:t>
      </w:r>
      <w:r>
        <w:t>;</w:t>
      </w:r>
    </w:p>
    <w:p w14:paraId="580CCCDE" w14:textId="77777777" w:rsidR="00717ED8" w:rsidRDefault="00717ED8" w:rsidP="00257641">
      <w:pPr>
        <w:pStyle w:val="bullet1"/>
      </w:pPr>
      <w:r>
        <w:t xml:space="preserve">Note any limitations or restrictions that apply to the Value-Added </w:t>
      </w:r>
      <w:r w:rsidR="0045764E">
        <w:t>S</w:t>
      </w:r>
      <w:r>
        <w:t>ervice; and</w:t>
      </w:r>
    </w:p>
    <w:p w14:paraId="7E1C4FFD" w14:textId="77777777" w:rsidR="00717ED8" w:rsidRDefault="00717ED8" w:rsidP="00257641">
      <w:pPr>
        <w:pStyle w:val="bullet1last"/>
      </w:pPr>
      <w:r>
        <w:t xml:space="preserve">Describe if, and how, the MCO will identify the Value-Added </w:t>
      </w:r>
      <w:r w:rsidR="0045764E">
        <w:t>S</w:t>
      </w:r>
      <w:r>
        <w:t>ervice in the encounter data.</w:t>
      </w:r>
    </w:p>
    <w:p w14:paraId="1F3599F8" w14:textId="14B17F81" w:rsidR="006F7109" w:rsidRPr="006F7109" w:rsidRDefault="00717ED8" w:rsidP="00257641">
      <w:r>
        <w:t>Since Value-A</w:t>
      </w:r>
      <w:r w:rsidR="006F7109" w:rsidRPr="006F7109">
        <w:t xml:space="preserve">dded </w:t>
      </w:r>
      <w:r w:rsidR="0045764E">
        <w:t>S</w:t>
      </w:r>
      <w:r w:rsidR="006F7109" w:rsidRPr="006F7109">
        <w:t xml:space="preserve">ervices are not Medicaid </w:t>
      </w:r>
      <w:r>
        <w:t xml:space="preserve">covered </w:t>
      </w:r>
      <w:r w:rsidR="006F7109" w:rsidRPr="006F7109">
        <w:t>services</w:t>
      </w:r>
      <w:r w:rsidR="006541EC">
        <w:t xml:space="preserve"> or required </w:t>
      </w:r>
      <w:r w:rsidR="00946B0F">
        <w:t>SNS</w:t>
      </w:r>
      <w:r w:rsidR="006F7109" w:rsidRPr="006F7109">
        <w:t>, there is no appeal</w:t>
      </w:r>
      <w:r>
        <w:t xml:space="preserve"> or fair hearing rights for a </w:t>
      </w:r>
      <w:r w:rsidR="00A81BCF">
        <w:t>enrollee</w:t>
      </w:r>
      <w:r w:rsidR="00A81BCF" w:rsidRPr="006F7109">
        <w:t xml:space="preserve"> </w:t>
      </w:r>
      <w:r w:rsidR="006F7109" w:rsidRPr="006F7109">
        <w:t xml:space="preserve">regarding these services. A denial of a </w:t>
      </w:r>
      <w:r w:rsidR="00993F20">
        <w:t>V</w:t>
      </w:r>
      <w:r w:rsidR="006F7109" w:rsidRPr="006F7109">
        <w:t>alue-</w:t>
      </w:r>
      <w:r w:rsidR="00993F20">
        <w:t>A</w:t>
      </w:r>
      <w:r w:rsidR="006F7109" w:rsidRPr="006F7109">
        <w:t xml:space="preserve">dded </w:t>
      </w:r>
      <w:r w:rsidR="0045764E">
        <w:t>S</w:t>
      </w:r>
      <w:r>
        <w:t>ervice will not be considered an adverse</w:t>
      </w:r>
      <w:r w:rsidR="006F7109" w:rsidRPr="006F7109">
        <w:t xml:space="preserve"> </w:t>
      </w:r>
      <w:r w:rsidR="00305804">
        <w:t>benefit determination</w:t>
      </w:r>
      <w:r w:rsidR="006F7109" w:rsidRPr="006F7109">
        <w:t xml:space="preserve">. The MCO </w:t>
      </w:r>
      <w:r>
        <w:t>must notify a</w:t>
      </w:r>
      <w:r w:rsidR="00A81BCF">
        <w:t>n</w:t>
      </w:r>
      <w:r>
        <w:t xml:space="preserve"> </w:t>
      </w:r>
      <w:r w:rsidR="00A81BCF">
        <w:t xml:space="preserve">enrollee </w:t>
      </w:r>
      <w:r>
        <w:t>if a Value-A</w:t>
      </w:r>
      <w:r w:rsidR="006F7109" w:rsidRPr="006F7109">
        <w:t xml:space="preserve">dded </w:t>
      </w:r>
      <w:r w:rsidR="0045764E">
        <w:t>S</w:t>
      </w:r>
      <w:r w:rsidR="006F7109" w:rsidRPr="006F7109">
        <w:t>ervice is not approved.</w:t>
      </w:r>
      <w:r w:rsidR="006F7109">
        <w:t xml:space="preserve"> </w:t>
      </w:r>
      <w:r w:rsidR="006F7109" w:rsidRPr="00DB7841">
        <w:t xml:space="preserve">No-copays may be imposed for </w:t>
      </w:r>
      <w:r>
        <w:t xml:space="preserve">the </w:t>
      </w:r>
      <w:r w:rsidR="006F7109">
        <w:t>V</w:t>
      </w:r>
      <w:r w:rsidR="006F7109" w:rsidRPr="00DB7841">
        <w:t>alue-</w:t>
      </w:r>
      <w:r w:rsidR="006F7109">
        <w:t>A</w:t>
      </w:r>
      <w:r w:rsidR="006F7109" w:rsidRPr="00DB7841">
        <w:t xml:space="preserve">dded </w:t>
      </w:r>
      <w:r w:rsidR="0045764E">
        <w:t>S</w:t>
      </w:r>
      <w:r w:rsidR="006F7109" w:rsidRPr="00DB7841">
        <w:t>ervices.</w:t>
      </w:r>
    </w:p>
    <w:p w14:paraId="666078B6" w14:textId="0A5EAF45" w:rsidR="00AA0776" w:rsidRPr="00DF1D1C" w:rsidRDefault="0087784B" w:rsidP="007610FD">
      <w:pPr>
        <w:pStyle w:val="Heading2"/>
      </w:pPr>
      <w:bookmarkStart w:id="143" w:name="_Toc8129032"/>
      <w:bookmarkStart w:id="144" w:name="_Toc73441803"/>
      <w:r>
        <w:t>5</w:t>
      </w:r>
      <w:r w:rsidR="00851ED0">
        <w:t xml:space="preserve">. </w:t>
      </w:r>
      <w:r w:rsidR="00AA0776" w:rsidRPr="00482733">
        <w:t>MEDIC</w:t>
      </w:r>
      <w:r w:rsidR="00AA0776" w:rsidRPr="00DF1D1C">
        <w:t>AID ADMINISTRATOR</w:t>
      </w:r>
      <w:r w:rsidR="0060211A" w:rsidRPr="00DF1D1C">
        <w:t>/</w:t>
      </w:r>
      <w:r w:rsidR="009B19C2">
        <w:t xml:space="preserve">CONTRACT </w:t>
      </w:r>
      <w:r w:rsidR="0060211A" w:rsidRPr="00DF1D1C">
        <w:t>LIAISON</w:t>
      </w:r>
      <w:r w:rsidR="00AA0776" w:rsidRPr="00DF1D1C">
        <w:t xml:space="preserve"> FUNCTIONS</w:t>
      </w:r>
      <w:bookmarkEnd w:id="143"/>
    </w:p>
    <w:p w14:paraId="1E03D21C" w14:textId="77777777" w:rsidR="006B36D7" w:rsidRPr="00DF1D1C" w:rsidRDefault="00AA0776" w:rsidP="00257641">
      <w:r w:rsidRPr="00DF1D1C">
        <w:t>The MCO must employ a West Virginia Medicaid Administrator</w:t>
      </w:r>
      <w:r w:rsidR="00822F14" w:rsidRPr="00DF1D1C">
        <w:t>/</w:t>
      </w:r>
      <w:r w:rsidR="009B19C2">
        <w:t xml:space="preserve">Contract </w:t>
      </w:r>
      <w:r w:rsidR="00822F14" w:rsidRPr="00DF1D1C">
        <w:t>Liaison</w:t>
      </w:r>
      <w:r w:rsidR="0078080B" w:rsidRPr="00DF1D1C">
        <w:t xml:space="preserve">. </w:t>
      </w:r>
      <w:r w:rsidR="0060211A" w:rsidRPr="00DF1D1C">
        <w:t xml:space="preserve">The </w:t>
      </w:r>
      <w:r w:rsidR="0073202A">
        <w:t>MCO</w:t>
      </w:r>
      <w:r w:rsidR="00FA1C0C" w:rsidRPr="00DF1D1C">
        <w:t>’</w:t>
      </w:r>
      <w:r w:rsidR="0060211A" w:rsidRPr="00DF1D1C">
        <w:t>s Medicaid Administrator</w:t>
      </w:r>
      <w:r w:rsidR="00F71471" w:rsidRPr="00DF1D1C">
        <w:t>(s)</w:t>
      </w:r>
      <w:r w:rsidR="0060211A" w:rsidRPr="00DF1D1C">
        <w:t xml:space="preserve"> </w:t>
      </w:r>
      <w:r w:rsidR="00764B42" w:rsidRPr="00DF1D1C">
        <w:t xml:space="preserve">may </w:t>
      </w:r>
      <w:r w:rsidR="0060211A" w:rsidRPr="00DF1D1C">
        <w:t xml:space="preserve">also fulfill the duties of the </w:t>
      </w:r>
      <w:r w:rsidR="009B19C2">
        <w:t xml:space="preserve">Contract </w:t>
      </w:r>
      <w:r w:rsidR="0060211A" w:rsidRPr="00DF1D1C">
        <w:t xml:space="preserve">liaison, as outlined in Article II, Section 5.9 of the </w:t>
      </w:r>
      <w:r w:rsidR="007F305B">
        <w:t>Co</w:t>
      </w:r>
      <w:r w:rsidR="0060211A" w:rsidRPr="00DF1D1C">
        <w:t xml:space="preserve">ntract. </w:t>
      </w:r>
      <w:r w:rsidRPr="00DF1D1C">
        <w:t>The Medicaid Administrator</w:t>
      </w:r>
      <w:r w:rsidR="00F71471" w:rsidRPr="00DF1D1C">
        <w:t>(s)</w:t>
      </w:r>
      <w:r w:rsidRPr="00DF1D1C">
        <w:t xml:space="preserve"> must be responsible for making recommendations to management on any changes needed to improve either the actual care provided or the manner in which the care is delivered</w:t>
      </w:r>
      <w:r w:rsidR="0078080B" w:rsidRPr="00DF1D1C">
        <w:t xml:space="preserve">. </w:t>
      </w:r>
    </w:p>
    <w:p w14:paraId="13A0368B" w14:textId="0A130FE8" w:rsidR="00AA0776" w:rsidRPr="00DF1D1C" w:rsidRDefault="00AA0776" w:rsidP="00257641">
      <w:pPr>
        <w:pStyle w:val="normal6"/>
      </w:pPr>
      <w:r w:rsidRPr="00DF1D1C">
        <w:t>The person</w:t>
      </w:r>
      <w:r w:rsidR="004D12C8" w:rsidRPr="00DF1D1C">
        <w:t>(</w:t>
      </w:r>
      <w:r w:rsidR="00F71471" w:rsidRPr="00DF1D1C">
        <w:t>s</w:t>
      </w:r>
      <w:r w:rsidR="004D12C8" w:rsidRPr="00DF1D1C">
        <w:t>)</w:t>
      </w:r>
      <w:r w:rsidRPr="00DF1D1C">
        <w:t xml:space="preserve"> must be in </w:t>
      </w:r>
      <w:r w:rsidR="00FA1C0C" w:rsidRPr="00DF1D1C">
        <w:t xml:space="preserve">a </w:t>
      </w:r>
      <w:r w:rsidRPr="00DF1D1C">
        <w:t>position within the MCO that provide</w:t>
      </w:r>
      <w:r w:rsidR="00FA1C0C" w:rsidRPr="00DF1D1C">
        <w:t>s</w:t>
      </w:r>
      <w:r w:rsidRPr="00DF1D1C">
        <w:t xml:space="preserve"> the authority needed to carry out these tasks and must be authorized and empowered to make and resolve operational</w:t>
      </w:r>
      <w:r w:rsidR="00B919BF" w:rsidRPr="00DF1D1C">
        <w:t xml:space="preserve"> and policy decisions </w:t>
      </w:r>
      <w:r w:rsidRPr="00DF1D1C">
        <w:t xml:space="preserve">within two </w:t>
      </w:r>
      <w:r w:rsidR="00D970E0">
        <w:t xml:space="preserve">(2) </w:t>
      </w:r>
      <w:r w:rsidRPr="00DF1D1C">
        <w:t>business days</w:t>
      </w:r>
      <w:r w:rsidR="00B919BF" w:rsidRPr="00DF1D1C">
        <w:t xml:space="preserve"> and financial decisions pertaining to claims </w:t>
      </w:r>
      <w:r w:rsidR="00B919BF" w:rsidRPr="00DF1D1C">
        <w:lastRenderedPageBreak/>
        <w:t xml:space="preserve">payment issues within five </w:t>
      </w:r>
      <w:r w:rsidR="00D970E0">
        <w:t xml:space="preserve">(5) </w:t>
      </w:r>
      <w:r w:rsidR="00B919BF" w:rsidRPr="00DF1D1C">
        <w:t>business days</w:t>
      </w:r>
      <w:r w:rsidR="0078080B" w:rsidRPr="00DF1D1C">
        <w:t xml:space="preserve">. </w:t>
      </w:r>
      <w:r w:rsidRPr="00DF1D1C">
        <w:t>Th</w:t>
      </w:r>
      <w:r w:rsidR="00F71471" w:rsidRPr="00DF1D1C">
        <w:t>e person</w:t>
      </w:r>
      <w:r w:rsidR="004D12C8" w:rsidRPr="00DF1D1C">
        <w:t>(</w:t>
      </w:r>
      <w:r w:rsidR="00F71471" w:rsidRPr="00DF1D1C">
        <w:t>s</w:t>
      </w:r>
      <w:r w:rsidR="004D12C8" w:rsidRPr="00DF1D1C">
        <w:t>)</w:t>
      </w:r>
      <w:r w:rsidRPr="00DF1D1C">
        <w:t xml:space="preserve"> must demonstrate substantial experience in health care, experience working with low-income </w:t>
      </w:r>
      <w:r w:rsidR="006541EC">
        <w:t xml:space="preserve">and foster care </w:t>
      </w:r>
      <w:r w:rsidRPr="00DF1D1C">
        <w:t>populations and cultural sensitivity</w:t>
      </w:r>
      <w:r w:rsidR="0078080B" w:rsidRPr="00DF1D1C">
        <w:t xml:space="preserve">. </w:t>
      </w:r>
      <w:r w:rsidRPr="00DF1D1C">
        <w:t>The person</w:t>
      </w:r>
      <w:r w:rsidR="004D12C8" w:rsidRPr="00DF1D1C">
        <w:t>(s)</w:t>
      </w:r>
      <w:r w:rsidRPr="00DF1D1C">
        <w:t xml:space="preserve"> serving as Medicaid Administrator</w:t>
      </w:r>
      <w:r w:rsidR="00F71471" w:rsidRPr="00DF1D1C">
        <w:t>(s)</w:t>
      </w:r>
      <w:r w:rsidRPr="00DF1D1C">
        <w:t xml:space="preserve"> need not be dedicated full-time to this function, but must commit sufficient time to fulfilling the requirements of the position</w:t>
      </w:r>
      <w:r w:rsidR="0078080B" w:rsidRPr="00DF1D1C">
        <w:t xml:space="preserve">. </w:t>
      </w:r>
      <w:r w:rsidRPr="00DF1D1C">
        <w:t>The Administrator</w:t>
      </w:r>
      <w:r w:rsidR="00F71471" w:rsidRPr="00DF1D1C">
        <w:t>(s)</w:t>
      </w:r>
      <w:r w:rsidRPr="00DF1D1C">
        <w:t xml:space="preserve"> need not be located full-time in West Virginia, but must be accessible through an 800 number and must be available in West Virginia as required. If the Administrator</w:t>
      </w:r>
      <w:r w:rsidR="00F71471" w:rsidRPr="00DF1D1C">
        <w:t>(s)</w:t>
      </w:r>
      <w:r w:rsidRPr="00DF1D1C">
        <w:t xml:space="preserve"> </w:t>
      </w:r>
      <w:r w:rsidR="004D12C8" w:rsidRPr="00DF1D1C">
        <w:t xml:space="preserve">are </w:t>
      </w:r>
      <w:r w:rsidRPr="00DF1D1C">
        <w:t xml:space="preserve">out of the office, there must be a </w:t>
      </w:r>
      <w:r w:rsidR="00CA1E4F" w:rsidRPr="00DF1D1C">
        <w:t xml:space="preserve">designee </w:t>
      </w:r>
      <w:r w:rsidRPr="00DF1D1C">
        <w:t>available who can respond to the Administrator</w:t>
      </w:r>
      <w:r w:rsidR="00FA1C0C" w:rsidRPr="00DF1D1C">
        <w:t>’</w:t>
      </w:r>
      <w:r w:rsidRPr="00DF1D1C">
        <w:t xml:space="preserve">s duties within the required timeframe. </w:t>
      </w:r>
      <w:r w:rsidR="00A163E4">
        <w:t>T</w:t>
      </w:r>
      <w:r w:rsidR="004D12C8" w:rsidRPr="00DF1D1C">
        <w:t>he</w:t>
      </w:r>
      <w:r w:rsidRPr="00DF1D1C">
        <w:t xml:space="preserve"> Administrator</w:t>
      </w:r>
      <w:r w:rsidR="00F71471" w:rsidRPr="00DF1D1C">
        <w:t>(s)</w:t>
      </w:r>
      <w:r w:rsidRPr="00DF1D1C">
        <w:t xml:space="preserve"> will:</w:t>
      </w:r>
    </w:p>
    <w:p w14:paraId="04593915" w14:textId="77777777" w:rsidR="00AA0776" w:rsidRPr="00DF1D1C" w:rsidRDefault="00AA0776" w:rsidP="00257641">
      <w:pPr>
        <w:numPr>
          <w:ilvl w:val="0"/>
          <w:numId w:val="84"/>
        </w:numPr>
        <w:tabs>
          <w:tab w:val="left" w:pos="720"/>
        </w:tabs>
        <w:spacing w:after="120"/>
      </w:pPr>
      <w:r w:rsidRPr="00DF1D1C">
        <w:t>Investigate and resolve access and cultural sensitivity issues identified by MCO staff, State staff, providers, advocate organizations and beneficiaries;</w:t>
      </w:r>
    </w:p>
    <w:p w14:paraId="6DEF9226" w14:textId="77777777" w:rsidR="00AA0776" w:rsidRPr="00B43EF8" w:rsidRDefault="00AA0776" w:rsidP="00257641">
      <w:pPr>
        <w:numPr>
          <w:ilvl w:val="0"/>
          <w:numId w:val="84"/>
        </w:numPr>
        <w:tabs>
          <w:tab w:val="left" w:pos="720"/>
        </w:tabs>
        <w:spacing w:after="120"/>
      </w:pPr>
      <w:r w:rsidRPr="00DF1D1C">
        <w:t xml:space="preserve">Monitor </w:t>
      </w:r>
      <w:r w:rsidRPr="00B43EF8">
        <w:t>MCO formal and informal grievances with the grievance personnel to look at trends or major areas of concern and discuss these reports with community advocates, if requested;</w:t>
      </w:r>
    </w:p>
    <w:p w14:paraId="1AC6AC80" w14:textId="79C3EECB" w:rsidR="00AA0776" w:rsidRPr="00B43EF8" w:rsidRDefault="00AA0776" w:rsidP="00257641">
      <w:pPr>
        <w:numPr>
          <w:ilvl w:val="0"/>
          <w:numId w:val="84"/>
        </w:numPr>
        <w:tabs>
          <w:tab w:val="left" w:pos="720"/>
        </w:tabs>
        <w:spacing w:after="120"/>
      </w:pPr>
      <w:r w:rsidRPr="00B43EF8">
        <w:t xml:space="preserve">Coordinate with </w:t>
      </w:r>
      <w:r w:rsidR="006541EC">
        <w:t xml:space="preserve">local </w:t>
      </w:r>
      <w:r w:rsidR="006541EC" w:rsidRPr="006541EC">
        <w:t>Department</w:t>
      </w:r>
      <w:r w:rsidR="006541EC">
        <w:t>s</w:t>
      </w:r>
      <w:r w:rsidR="006541EC" w:rsidRPr="006541EC">
        <w:t xml:space="preserve"> of Health and Human Resources</w:t>
      </w:r>
      <w:r w:rsidR="006541EC">
        <w:t>,</w:t>
      </w:r>
      <w:r w:rsidR="006541EC" w:rsidRPr="006541EC">
        <w:t xml:space="preserve"> </w:t>
      </w:r>
      <w:r w:rsidRPr="00B43EF8">
        <w:t>schools, community agencies, local health departments, state health laboratories and state agencies providing complementary services to Medicaid enrollees;</w:t>
      </w:r>
    </w:p>
    <w:p w14:paraId="52D4652B" w14:textId="77777777" w:rsidR="00AA0776" w:rsidRPr="00B43EF8" w:rsidRDefault="00AA0776" w:rsidP="00257641">
      <w:pPr>
        <w:numPr>
          <w:ilvl w:val="0"/>
          <w:numId w:val="84"/>
        </w:numPr>
        <w:tabs>
          <w:tab w:val="left" w:pos="720"/>
        </w:tabs>
        <w:spacing w:after="120"/>
      </w:pPr>
      <w:r w:rsidRPr="00B43EF8">
        <w:t>Recommend policy and procedural changes to MCO management including those needed to ensure and improve enrollee access to care and quality of care; changes can be recommended for both internal administrative policies and providers;</w:t>
      </w:r>
    </w:p>
    <w:p w14:paraId="393A0514" w14:textId="77777777" w:rsidR="00AA0776" w:rsidRPr="00B43EF8" w:rsidRDefault="00AA0776" w:rsidP="00257641">
      <w:pPr>
        <w:numPr>
          <w:ilvl w:val="0"/>
          <w:numId w:val="84"/>
        </w:numPr>
        <w:tabs>
          <w:tab w:val="left" w:pos="720"/>
        </w:tabs>
        <w:spacing w:after="120"/>
      </w:pPr>
      <w:r w:rsidRPr="00B43EF8">
        <w:t>Function as a primary contact for beneficiary advocacy groups and work with these groups to identify and correct beneficiary access barriers;</w:t>
      </w:r>
    </w:p>
    <w:p w14:paraId="01E19DAC" w14:textId="77777777" w:rsidR="00AA0776" w:rsidRPr="00B43EF8" w:rsidRDefault="00AA0776" w:rsidP="00257641">
      <w:pPr>
        <w:numPr>
          <w:ilvl w:val="0"/>
          <w:numId w:val="84"/>
        </w:numPr>
        <w:tabs>
          <w:tab w:val="left" w:pos="720"/>
        </w:tabs>
        <w:spacing w:after="120"/>
      </w:pPr>
      <w:r w:rsidRPr="00B43EF8">
        <w:t>Connect with local community organizations to acquire knowledge and insight regarding the special health care needs of beneficiaries;</w:t>
      </w:r>
    </w:p>
    <w:p w14:paraId="476A74F3" w14:textId="77777777" w:rsidR="00AA0776" w:rsidRPr="00B43EF8" w:rsidRDefault="00AA0776" w:rsidP="00257641">
      <w:pPr>
        <w:numPr>
          <w:ilvl w:val="0"/>
          <w:numId w:val="84"/>
        </w:numPr>
        <w:tabs>
          <w:tab w:val="left" w:pos="720"/>
        </w:tabs>
        <w:spacing w:after="120"/>
      </w:pPr>
      <w:r w:rsidRPr="00B43EF8">
        <w:t>Analyze systems functions through meetings with staff;</w:t>
      </w:r>
    </w:p>
    <w:p w14:paraId="5A156139" w14:textId="77777777" w:rsidR="00AA0776" w:rsidRPr="00B43EF8" w:rsidRDefault="00AA0776" w:rsidP="00257641">
      <w:pPr>
        <w:numPr>
          <w:ilvl w:val="0"/>
          <w:numId w:val="84"/>
        </w:numPr>
        <w:tabs>
          <w:tab w:val="left" w:pos="720"/>
        </w:tabs>
        <w:spacing w:after="120"/>
      </w:pPr>
      <w:r w:rsidRPr="00B43EF8">
        <w:t>Organize and provide training and educational materials for MCO staff and providers to enhance their understanding of the values and practices of all cultures with which the MCOs interact;</w:t>
      </w:r>
    </w:p>
    <w:p w14:paraId="013FBB7A" w14:textId="77777777" w:rsidR="00AA0776" w:rsidRPr="00B43EF8" w:rsidRDefault="00AA0776" w:rsidP="00257641">
      <w:pPr>
        <w:numPr>
          <w:ilvl w:val="0"/>
          <w:numId w:val="84"/>
        </w:numPr>
        <w:tabs>
          <w:tab w:val="left" w:pos="720"/>
        </w:tabs>
        <w:spacing w:after="120"/>
      </w:pPr>
      <w:r w:rsidRPr="00B43EF8">
        <w:t>Provide input to MCO management on how provider changes will affect enrollee access and quality/continuity of care; develop/coordinate plans to minimize any potential problems;</w:t>
      </w:r>
    </w:p>
    <w:p w14:paraId="0507DCCA" w14:textId="77777777" w:rsidR="00AA0776" w:rsidRPr="00B43EF8" w:rsidRDefault="00AA0776" w:rsidP="00257641">
      <w:pPr>
        <w:numPr>
          <w:ilvl w:val="0"/>
          <w:numId w:val="84"/>
        </w:numPr>
        <w:tabs>
          <w:tab w:val="left" w:pos="720"/>
        </w:tabs>
        <w:spacing w:after="120"/>
      </w:pPr>
      <w:r w:rsidRPr="00B43EF8">
        <w:t>Review all informing material to be distributed to enrollees; and</w:t>
      </w:r>
    </w:p>
    <w:p w14:paraId="19ADDDF8" w14:textId="77777777" w:rsidR="00AA0776" w:rsidRPr="00DF1D1C" w:rsidRDefault="00AA0776" w:rsidP="00257641">
      <w:pPr>
        <w:numPr>
          <w:ilvl w:val="0"/>
          <w:numId w:val="84"/>
        </w:numPr>
        <w:tabs>
          <w:tab w:val="left" w:pos="720"/>
        </w:tabs>
      </w:pPr>
      <w:r w:rsidRPr="00B43EF8">
        <w:t>Assist enrollees and authorized</w:t>
      </w:r>
      <w:r w:rsidRPr="00DF1D1C">
        <w:t xml:space="preserve"> representatives to obtain medical records.</w:t>
      </w:r>
    </w:p>
    <w:p w14:paraId="3E2934FD" w14:textId="1C9369A7" w:rsidR="009A0060" w:rsidRPr="00DF1D1C" w:rsidRDefault="0087784B" w:rsidP="007610FD">
      <w:pPr>
        <w:pStyle w:val="Heading2"/>
      </w:pPr>
      <w:bookmarkStart w:id="145" w:name="_Toc8129033"/>
      <w:r>
        <w:t>6</w:t>
      </w:r>
      <w:r w:rsidR="00851ED0">
        <w:t xml:space="preserve">. </w:t>
      </w:r>
      <w:r w:rsidR="009A0060" w:rsidRPr="00566EBB">
        <w:t>HEALTH CARE MANAGEMENT</w:t>
      </w:r>
      <w:bookmarkEnd w:id="144"/>
      <w:bookmarkEnd w:id="145"/>
    </w:p>
    <w:p w14:paraId="4DE2A9D4" w14:textId="3467DD9A" w:rsidR="009A0060" w:rsidRPr="00DF1D1C" w:rsidRDefault="0087784B" w:rsidP="00257641">
      <w:pPr>
        <w:pStyle w:val="Heading3"/>
      </w:pPr>
      <w:bookmarkStart w:id="146" w:name="_Toc73441804"/>
      <w:bookmarkStart w:id="147" w:name="_Toc8129034"/>
      <w:r>
        <w:t>6</w:t>
      </w:r>
      <w:r w:rsidR="009A0060" w:rsidRPr="00DF1D1C">
        <w:t>.1</w:t>
      </w:r>
      <w:r w:rsidR="009A0060" w:rsidRPr="00DF1D1C">
        <w:tab/>
        <w:t>Second Opinions</w:t>
      </w:r>
      <w:bookmarkEnd w:id="146"/>
      <w:bookmarkEnd w:id="147"/>
    </w:p>
    <w:p w14:paraId="0B9A06DB" w14:textId="77777777" w:rsidR="009A0060" w:rsidRPr="00DF1D1C" w:rsidRDefault="009A0060" w:rsidP="00257641">
      <w:r w:rsidRPr="00DF1D1C">
        <w:t>The MCO must provide for a second opinion from a qualified health care professional within the network, or arrange for the enrollee to obtain a second opinion outside the network, at no cost to the enrollee</w:t>
      </w:r>
      <w:r w:rsidR="0078080B" w:rsidRPr="00DF1D1C">
        <w:t xml:space="preserve">. </w:t>
      </w:r>
    </w:p>
    <w:p w14:paraId="2F05B50F" w14:textId="4BEAD974" w:rsidR="009A0060" w:rsidRPr="00DF1D1C" w:rsidRDefault="0087784B" w:rsidP="00257641">
      <w:pPr>
        <w:pStyle w:val="Heading3"/>
      </w:pPr>
      <w:bookmarkStart w:id="148" w:name="_Toc73441805"/>
      <w:bookmarkStart w:id="149" w:name="_Toc8129035"/>
      <w:r>
        <w:lastRenderedPageBreak/>
        <w:t>6</w:t>
      </w:r>
      <w:r w:rsidR="009A0060" w:rsidRPr="00DF1D1C">
        <w:t>.2</w:t>
      </w:r>
      <w:r w:rsidR="009A0060" w:rsidRPr="00DF1D1C">
        <w:tab/>
        <w:t>Out-of-Network Services</w:t>
      </w:r>
      <w:bookmarkEnd w:id="148"/>
      <w:bookmarkEnd w:id="149"/>
      <w:r w:rsidR="009A0060" w:rsidRPr="00DF1D1C">
        <w:t xml:space="preserve"> </w:t>
      </w:r>
    </w:p>
    <w:p w14:paraId="08FFCE74" w14:textId="0C255C94" w:rsidR="009A0060" w:rsidRPr="00DF1D1C" w:rsidRDefault="009A0060" w:rsidP="00257641">
      <w:r w:rsidRPr="00DF1D1C">
        <w:t xml:space="preserve">The MCO must cover </w:t>
      </w:r>
      <w:r w:rsidR="001534CB" w:rsidRPr="00DF1D1C">
        <w:t xml:space="preserve">out-of-network </w:t>
      </w:r>
      <w:r w:rsidRPr="00DF1D1C">
        <w:t xml:space="preserve">services </w:t>
      </w:r>
      <w:r w:rsidR="001534CB">
        <w:t xml:space="preserve">that are otherwise </w:t>
      </w:r>
      <w:r w:rsidRPr="00DF1D1C">
        <w:t xml:space="preserve">covered under the </w:t>
      </w:r>
      <w:r w:rsidR="009B19C2">
        <w:t xml:space="preserve">Contract </w:t>
      </w:r>
      <w:r w:rsidRPr="00DF1D1C">
        <w:t xml:space="preserve">for the enrollee if the </w:t>
      </w:r>
      <w:r w:rsidR="001534CB">
        <w:t xml:space="preserve">MCO’s </w:t>
      </w:r>
      <w:r w:rsidRPr="00DF1D1C">
        <w:t>network is unable to provide such services</w:t>
      </w:r>
      <w:r w:rsidR="001534CB">
        <w:t>. The MCO</w:t>
      </w:r>
      <w:r w:rsidRPr="00DF1D1C">
        <w:t xml:space="preserve"> </w:t>
      </w:r>
      <w:r w:rsidR="00E809B6">
        <w:t xml:space="preserve">must </w:t>
      </w:r>
      <w:r w:rsidRPr="00DF1D1C">
        <w:t>ensure that the cost to the enrollee is no greater than it would be if the services were furnished within the network</w:t>
      </w:r>
      <w:r w:rsidR="0078080B" w:rsidRPr="00DF1D1C">
        <w:t xml:space="preserve">. </w:t>
      </w:r>
      <w:r w:rsidRPr="00DF1D1C">
        <w:t xml:space="preserve">Services must be covered </w:t>
      </w:r>
      <w:r w:rsidR="00BB161F">
        <w:t xml:space="preserve">as </w:t>
      </w:r>
      <w:r w:rsidRPr="00DF1D1C">
        <w:t>adequate</w:t>
      </w:r>
      <w:r w:rsidR="00BB161F">
        <w:t>ly</w:t>
      </w:r>
      <w:r w:rsidRPr="00DF1D1C">
        <w:t xml:space="preserve"> and timely </w:t>
      </w:r>
      <w:r w:rsidR="00BB161F">
        <w:t xml:space="preserve">as if </w:t>
      </w:r>
      <w:r w:rsidR="0027012D">
        <w:t>such</w:t>
      </w:r>
      <w:r w:rsidR="00BB161F">
        <w:t xml:space="preserve"> services were provided </w:t>
      </w:r>
      <w:r w:rsidR="0027012D">
        <w:t xml:space="preserve">within the </w:t>
      </w:r>
      <w:r w:rsidR="00BB161F">
        <w:t>network</w:t>
      </w:r>
      <w:r w:rsidRPr="00DF1D1C">
        <w:t>, and for as long as the MCO is unable to provide them</w:t>
      </w:r>
      <w:r w:rsidR="0078080B" w:rsidRPr="00DF1D1C">
        <w:t xml:space="preserve">. </w:t>
      </w:r>
      <w:r w:rsidRPr="00DF1D1C">
        <w:t xml:space="preserve">To the extent possible, the MCO </w:t>
      </w:r>
      <w:r w:rsidR="00E809B6">
        <w:t>must</w:t>
      </w:r>
      <w:r w:rsidRPr="00DF1D1C">
        <w:t xml:space="preserve"> encourage </w:t>
      </w:r>
      <w:r w:rsidR="00FA1C0C" w:rsidRPr="00DF1D1C">
        <w:t xml:space="preserve">out-of-network </w:t>
      </w:r>
      <w:r w:rsidRPr="00DF1D1C">
        <w:t>providers to coordinate with the MCO with respect to payment.</w:t>
      </w:r>
      <w:r w:rsidR="007C2BF7">
        <w:t xml:space="preserve"> </w:t>
      </w:r>
    </w:p>
    <w:p w14:paraId="589FEEFD" w14:textId="3DCE9B09" w:rsidR="009A0060" w:rsidRPr="005C2321" w:rsidRDefault="0087784B" w:rsidP="00257641">
      <w:pPr>
        <w:pStyle w:val="Heading3"/>
      </w:pPr>
      <w:bookmarkStart w:id="150" w:name="_Toc73441806"/>
      <w:bookmarkStart w:id="151" w:name="_Toc8129036"/>
      <w:r>
        <w:t>6</w:t>
      </w:r>
      <w:r w:rsidR="009A0060" w:rsidRPr="00DF1D1C">
        <w:t>.3</w:t>
      </w:r>
      <w:r w:rsidR="009A0060" w:rsidRPr="00DF1D1C">
        <w:tab/>
        <w:t>Continuity and Coordination of Care</w:t>
      </w:r>
      <w:bookmarkEnd w:id="150"/>
      <w:bookmarkEnd w:id="151"/>
    </w:p>
    <w:p w14:paraId="0AA03841" w14:textId="66EA3F79" w:rsidR="009A0060" w:rsidRPr="00DF1D1C" w:rsidRDefault="009A0060" w:rsidP="00257641">
      <w:r w:rsidRPr="00DF1D1C">
        <w:t xml:space="preserve">The MCO must ensure continuity and coordination of care through use of an individual or entity </w:t>
      </w:r>
      <w:r w:rsidR="00C80955" w:rsidRPr="00DF1D1C">
        <w:t>that</w:t>
      </w:r>
      <w:r w:rsidRPr="00DF1D1C">
        <w:t xml:space="preserve"> is formally designated as having primary responsibility for coordinating all services</w:t>
      </w:r>
      <w:r w:rsidR="00B579F1">
        <w:t xml:space="preserve"> for the enrollee under this contract</w:t>
      </w:r>
      <w:r w:rsidR="00367D0F">
        <w:t>;</w:t>
      </w:r>
      <w:r w:rsidR="0078080B" w:rsidRPr="00DF1D1C">
        <w:t xml:space="preserve"> </w:t>
      </w:r>
      <w:r w:rsidR="00367D0F">
        <w:t xml:space="preserve">the MCO must provide the enrollee </w:t>
      </w:r>
      <w:r w:rsidR="00B579F1">
        <w:t xml:space="preserve">or his representative </w:t>
      </w:r>
      <w:r w:rsidR="00367D0F">
        <w:t xml:space="preserve">with information on how to contact the designated individual or entity. </w:t>
      </w:r>
      <w:r w:rsidRPr="00DF1D1C">
        <w:t xml:space="preserve">The MCO must have a procedure to coordinate the services that the MCO provides to the enrollee with </w:t>
      </w:r>
      <w:r w:rsidR="00B579F1">
        <w:t xml:space="preserve">any </w:t>
      </w:r>
      <w:r w:rsidRPr="00DF1D1C">
        <w:t xml:space="preserve">services provided by other </w:t>
      </w:r>
      <w:r w:rsidR="00B579F1">
        <w:t>entities</w:t>
      </w:r>
      <w:r w:rsidR="00B579F1" w:rsidRPr="00DF1D1C">
        <w:t xml:space="preserve"> </w:t>
      </w:r>
      <w:r w:rsidRPr="00DF1D1C">
        <w:t>and to promote case management</w:t>
      </w:r>
      <w:r w:rsidR="0078080B" w:rsidRPr="00DF1D1C">
        <w:t xml:space="preserve">. </w:t>
      </w:r>
      <w:r w:rsidRPr="00DF1D1C">
        <w:t xml:space="preserve">The MCO must also have procedures for timely communication of clinical </w:t>
      </w:r>
      <w:r w:rsidR="00B579F1">
        <w:t xml:space="preserve">and other pertinent </w:t>
      </w:r>
      <w:r w:rsidRPr="00DF1D1C">
        <w:t>information among providers</w:t>
      </w:r>
      <w:r w:rsidR="00EB7C08">
        <w:t>.</w:t>
      </w:r>
      <w:r w:rsidR="0078080B" w:rsidRPr="00DF1D1C">
        <w:t xml:space="preserve"> </w:t>
      </w:r>
      <w:r w:rsidRPr="00DF1D1C">
        <w:t xml:space="preserve">Regardless of the mechanism adopted for coordination of services, the MCO must ensure that each enrollee has an ongoing source of primary care. </w:t>
      </w:r>
    </w:p>
    <w:p w14:paraId="3F9ACF02" w14:textId="4C8DCEDF" w:rsidR="009A0060" w:rsidRDefault="009A0060" w:rsidP="00257641">
      <w:r w:rsidRPr="00DF1D1C">
        <w:t xml:space="preserve">The MCO must have programs for coordination of care that include coordination of services with community and </w:t>
      </w:r>
      <w:r w:rsidR="00B579F1">
        <w:t xml:space="preserve">other </w:t>
      </w:r>
      <w:r w:rsidRPr="00DF1D1C">
        <w:t>social services generally available through contracting or non-contracting providers in the area served by the MCO</w:t>
      </w:r>
      <w:r w:rsidR="0078080B" w:rsidRPr="00DF1D1C">
        <w:t xml:space="preserve">. </w:t>
      </w:r>
      <w:r w:rsidRPr="00DF1D1C">
        <w:t xml:space="preserve">The MCO should also ensure that enrollees are informed of specific health care needs that require follow-up; receive, as appropriate, training in self-care and other measures they may take to promote their own health; and comply with prescribed treatments or regimens. </w:t>
      </w:r>
    </w:p>
    <w:p w14:paraId="31045ED0" w14:textId="787521E5" w:rsidR="00D61A6C" w:rsidRDefault="00D61A6C" w:rsidP="00257641">
      <w:r>
        <w:t>In</w:t>
      </w:r>
      <w:r w:rsidR="00285280">
        <w:t xml:space="preserve"> the instance where a</w:t>
      </w:r>
      <w:r w:rsidR="00E32FF4">
        <w:t>n</w:t>
      </w:r>
      <w:r w:rsidR="00285280">
        <w:t xml:space="preserve"> </w:t>
      </w:r>
      <w:r w:rsidR="00E32FF4">
        <w:t xml:space="preserve">enrollee </w:t>
      </w:r>
      <w:r w:rsidR="00285280">
        <w:t xml:space="preserve">transfers enrollment to </w:t>
      </w:r>
      <w:r w:rsidR="00051602">
        <w:t xml:space="preserve">a </w:t>
      </w:r>
      <w:r w:rsidR="00B579F1">
        <w:t>MHT</w:t>
      </w:r>
      <w:r w:rsidR="00550F5D">
        <w:t>/</w:t>
      </w:r>
      <w:r w:rsidR="00B579F1">
        <w:t xml:space="preserve">WVBH </w:t>
      </w:r>
      <w:r w:rsidR="00285280">
        <w:t>MCO</w:t>
      </w:r>
      <w:r w:rsidR="00550F5D">
        <w:t xml:space="preserve"> or FFS</w:t>
      </w:r>
      <w:r w:rsidR="00285280">
        <w:t xml:space="preserve">, the MCO </w:t>
      </w:r>
      <w:r w:rsidR="00B579F1">
        <w:t>is required to provide transition of care</w:t>
      </w:r>
      <w:r w:rsidR="00285280">
        <w:t xml:space="preserve"> clinical information </w:t>
      </w:r>
      <w:r w:rsidR="00B579F1">
        <w:t>to the MHT</w:t>
      </w:r>
      <w:r w:rsidR="00550F5D">
        <w:t>/</w:t>
      </w:r>
      <w:r w:rsidR="00B579F1">
        <w:t>WVBH</w:t>
      </w:r>
      <w:r w:rsidR="00285280">
        <w:t xml:space="preserve"> MCO</w:t>
      </w:r>
      <w:r w:rsidR="00F77CF6">
        <w:t xml:space="preserve"> </w:t>
      </w:r>
      <w:r w:rsidR="00550F5D">
        <w:t xml:space="preserve">or to the Department </w:t>
      </w:r>
      <w:r w:rsidR="00F77CF6">
        <w:t>to promote continuity of care.</w:t>
      </w:r>
    </w:p>
    <w:p w14:paraId="0829F577" w14:textId="3D681399" w:rsidR="00F4702D" w:rsidRPr="00DF1D1C" w:rsidRDefault="00F4702D" w:rsidP="00257641">
      <w:pPr>
        <w:pStyle w:val="Heading4"/>
      </w:pPr>
      <w:r>
        <w:t>6.3.1</w:t>
      </w:r>
      <w:r w:rsidRPr="00DF1D1C">
        <w:tab/>
      </w:r>
      <w:r>
        <w:t xml:space="preserve"> </w:t>
      </w:r>
      <w:r w:rsidRPr="00DF1D1C">
        <w:t>Coordination of Care</w:t>
      </w:r>
    </w:p>
    <w:p w14:paraId="63019C39" w14:textId="77777777" w:rsidR="00F4702D" w:rsidRPr="00DF1D1C" w:rsidRDefault="00F4702D" w:rsidP="00257641">
      <w:pPr>
        <w:pStyle w:val="normal6"/>
      </w:pPr>
      <w:r w:rsidRPr="00DF1D1C">
        <w:t>The MCO must have systems in place to ensure well-managed patient care, including at a minimum:</w:t>
      </w:r>
    </w:p>
    <w:p w14:paraId="4FD3320A" w14:textId="77777777" w:rsidR="00F4702D" w:rsidRPr="00DF1D1C" w:rsidRDefault="00F4702D" w:rsidP="00257641">
      <w:pPr>
        <w:numPr>
          <w:ilvl w:val="0"/>
          <w:numId w:val="10"/>
        </w:numPr>
        <w:tabs>
          <w:tab w:val="clear" w:pos="360"/>
          <w:tab w:val="left" w:pos="720"/>
          <w:tab w:val="left" w:pos="1440"/>
          <w:tab w:val="left" w:pos="2160"/>
          <w:tab w:val="left" w:pos="9360"/>
        </w:tabs>
        <w:spacing w:after="120"/>
        <w:ind w:left="720"/>
      </w:pPr>
      <w:r w:rsidRPr="00DF1D1C">
        <w:t>Management and integration of health care through primary care provider, or other means;</w:t>
      </w:r>
    </w:p>
    <w:p w14:paraId="743382B8" w14:textId="77777777" w:rsidR="00F4702D" w:rsidRPr="00DF1D1C" w:rsidRDefault="00F4702D" w:rsidP="00257641">
      <w:pPr>
        <w:numPr>
          <w:ilvl w:val="0"/>
          <w:numId w:val="10"/>
        </w:numPr>
        <w:tabs>
          <w:tab w:val="clear" w:pos="360"/>
          <w:tab w:val="left" w:pos="720"/>
          <w:tab w:val="left" w:pos="1440"/>
          <w:tab w:val="left" w:pos="2160"/>
          <w:tab w:val="left" w:pos="9360"/>
        </w:tabs>
        <w:spacing w:after="120"/>
        <w:ind w:left="720"/>
      </w:pPr>
      <w:r w:rsidRPr="00DF1D1C">
        <w:t>S</w:t>
      </w:r>
      <w:r>
        <w:t>ystems to assure referrals for Medically N</w:t>
      </w:r>
      <w:r w:rsidRPr="00DF1D1C">
        <w:t>ecessary specialty, secondary and tertiary care;</w:t>
      </w:r>
    </w:p>
    <w:p w14:paraId="772ACBEB" w14:textId="2D13B0F6" w:rsidR="00F4702D" w:rsidRPr="00DF1D1C" w:rsidRDefault="00F4702D" w:rsidP="00257641">
      <w:pPr>
        <w:numPr>
          <w:ilvl w:val="0"/>
          <w:numId w:val="10"/>
        </w:numPr>
        <w:tabs>
          <w:tab w:val="clear" w:pos="360"/>
          <w:tab w:val="left" w:pos="720"/>
          <w:tab w:val="left" w:pos="1440"/>
          <w:tab w:val="left" w:pos="2160"/>
          <w:tab w:val="left" w:pos="9360"/>
        </w:tabs>
        <w:spacing w:after="120"/>
        <w:ind w:left="720"/>
      </w:pPr>
      <w:r w:rsidRPr="00DF1D1C">
        <w:t xml:space="preserve">Systems to assure provision of care in emergency situations, including an education process to help assure that </w:t>
      </w:r>
      <w:r w:rsidR="00E32FF4">
        <w:t xml:space="preserve">enrollees </w:t>
      </w:r>
      <w:r>
        <w:t>know where and how to obtain Medically N</w:t>
      </w:r>
      <w:r w:rsidRPr="00DF1D1C">
        <w:t>ecessary care in emergency situations;</w:t>
      </w:r>
    </w:p>
    <w:p w14:paraId="3FDDF8F9" w14:textId="77777777" w:rsidR="00F4702D" w:rsidRPr="00DF1D1C" w:rsidRDefault="00F4702D" w:rsidP="00257641">
      <w:pPr>
        <w:numPr>
          <w:ilvl w:val="0"/>
          <w:numId w:val="10"/>
        </w:numPr>
        <w:tabs>
          <w:tab w:val="clear" w:pos="360"/>
          <w:tab w:val="left" w:pos="720"/>
          <w:tab w:val="left" w:pos="1440"/>
          <w:tab w:val="left" w:pos="2160"/>
          <w:tab w:val="left" w:pos="9360"/>
        </w:tabs>
        <w:spacing w:after="120"/>
        <w:ind w:left="720"/>
      </w:pPr>
      <w:r w:rsidRPr="00DF1D1C">
        <w:t xml:space="preserve">A system by which enrollees may obtain a covered service or services that the MCO does not provide or for which the MCO does not arrange because it would violate a religious </w:t>
      </w:r>
      <w:r w:rsidRPr="00DF1D1C">
        <w:lastRenderedPageBreak/>
        <w:t xml:space="preserve">or moral teaching of the religious institution or organization by which the MCO is owned, controlled, sponsored or affiliated; </w:t>
      </w:r>
    </w:p>
    <w:p w14:paraId="41A53303" w14:textId="72462AE9" w:rsidR="00F4702D" w:rsidRDefault="00F4702D" w:rsidP="00257641">
      <w:pPr>
        <w:numPr>
          <w:ilvl w:val="0"/>
          <w:numId w:val="10"/>
        </w:numPr>
        <w:tabs>
          <w:tab w:val="clear" w:pos="360"/>
          <w:tab w:val="left" w:pos="720"/>
          <w:tab w:val="left" w:pos="1440"/>
          <w:tab w:val="left" w:pos="2160"/>
          <w:tab w:val="left" w:pos="9360"/>
        </w:tabs>
        <w:spacing w:after="120"/>
        <w:ind w:left="720"/>
      </w:pPr>
      <w:r w:rsidRPr="00DF1D1C">
        <w:t xml:space="preserve">Coordination and provision of EPSDT services as defined in Article III, Section </w:t>
      </w:r>
      <w:r w:rsidR="00A62DEB">
        <w:t>2</w:t>
      </w:r>
      <w:r w:rsidRPr="00DF1D1C">
        <w:t>.2</w:t>
      </w:r>
      <w:r>
        <w:t>; and</w:t>
      </w:r>
    </w:p>
    <w:p w14:paraId="79A2C9A9" w14:textId="77777777" w:rsidR="00F4702D" w:rsidRPr="00DF1D1C" w:rsidRDefault="00F4702D" w:rsidP="00257641">
      <w:pPr>
        <w:numPr>
          <w:ilvl w:val="0"/>
          <w:numId w:val="10"/>
        </w:numPr>
        <w:tabs>
          <w:tab w:val="clear" w:pos="360"/>
          <w:tab w:val="left" w:pos="720"/>
          <w:tab w:val="left" w:pos="1440"/>
          <w:tab w:val="left" w:pos="2160"/>
          <w:tab w:val="left" w:pos="9360"/>
        </w:tabs>
        <w:ind w:left="720"/>
      </w:pPr>
      <w:r w:rsidRPr="00CB66EE">
        <w:t>Policies and procedures that ensure the completeness of the case management record to include all results of referrals, consultations, inpatient records, and outpatient records.</w:t>
      </w:r>
    </w:p>
    <w:p w14:paraId="751F54D9" w14:textId="77777777" w:rsidR="00F4702D" w:rsidRDefault="00F4702D" w:rsidP="00257641">
      <w:r w:rsidRPr="00DF1D1C">
        <w:t>The MCO must provide coordination services to assist enrollees in arranging, coordinating and monitoring all medical</w:t>
      </w:r>
      <w:r>
        <w:t>, behavioral, socially necessary,</w:t>
      </w:r>
      <w:r w:rsidRPr="00DF1D1C">
        <w:t xml:space="preserve"> and support services. Each PCP is to act as the coordination of care manager for his/her patients’ overall care. </w:t>
      </w:r>
    </w:p>
    <w:p w14:paraId="4E06FDCB" w14:textId="77777777" w:rsidR="00F4702D" w:rsidRDefault="00F4702D" w:rsidP="00257641">
      <w:r w:rsidRPr="00DF1D1C">
        <w:t xml:space="preserve">The MCO must also designate an individual or entity </w:t>
      </w:r>
      <w:r>
        <w:t>to serve as a care manager for</w:t>
      </w:r>
      <w:r w:rsidRPr="00DF1D1C">
        <w:t xml:space="preserve"> enrollees with ongoing medical conditions</w:t>
      </w:r>
      <w:r>
        <w:t xml:space="preserve"> and special health needs. Responsibilities of the MCO’s designee include assessing enrollees’ conditions, identifying medical procedures to address and/or monitor the conditions, developing treatment plans appropriate for those enrollees determined to need a course of treatment or regular care monitoring, coordinating </w:t>
      </w:r>
      <w:r w:rsidRPr="00DF1D1C">
        <w:t>hospital admission/discharge planning</w:t>
      </w:r>
      <w:r>
        <w:t xml:space="preserve"> and</w:t>
      </w:r>
      <w:r w:rsidRPr="00DF1D1C">
        <w:t xml:space="preserve"> post-discharge care and continued services (e.g., rehabilitation)</w:t>
      </w:r>
      <w:r>
        <w:t>, providing assistance to enrollees in obtaining behavioral health, SNS, and other community services, and providing assistance in the coordination of behavioral health, physical health and all other services</w:t>
      </w:r>
      <w:r w:rsidRPr="00DF1D1C">
        <w:t>.</w:t>
      </w:r>
    </w:p>
    <w:p w14:paraId="7D434369" w14:textId="1E37D7C0" w:rsidR="00F4702D" w:rsidRDefault="00F4702D" w:rsidP="00257641">
      <w:r>
        <w:t xml:space="preserve">The MCO </w:t>
      </w:r>
      <w:r w:rsidR="00867BB7">
        <w:t xml:space="preserve">must </w:t>
      </w:r>
      <w:r>
        <w:t xml:space="preserve">assist any Medicaid </w:t>
      </w:r>
      <w:r w:rsidR="00E32FF4">
        <w:t xml:space="preserve">enrollee </w:t>
      </w:r>
      <w:r>
        <w:t xml:space="preserve">seeking information about workforce opportunities. The MCO </w:t>
      </w:r>
      <w:r w:rsidR="00867BB7">
        <w:t xml:space="preserve">must </w:t>
      </w:r>
      <w:r>
        <w:t xml:space="preserve">refer inquiries to a local workforce office for additional assistance in establishing employment. If the </w:t>
      </w:r>
      <w:r w:rsidR="00E32FF4">
        <w:t xml:space="preserve">enrollee </w:t>
      </w:r>
      <w:r>
        <w:t xml:space="preserve">identifies a behavioral health or medical need that is preventing the individual from establishing employment, the MCO </w:t>
      </w:r>
      <w:r w:rsidR="00867BB7">
        <w:t xml:space="preserve">must </w:t>
      </w:r>
      <w:r>
        <w:t xml:space="preserve">make all reasonable effort to enroll the </w:t>
      </w:r>
      <w:r w:rsidR="00E32FF4">
        <w:t xml:space="preserve">enrollee </w:t>
      </w:r>
      <w:r>
        <w:t xml:space="preserve">in care management and work with the </w:t>
      </w:r>
      <w:r w:rsidR="00E32FF4">
        <w:t xml:space="preserve">enrollee </w:t>
      </w:r>
      <w:r>
        <w:t xml:space="preserve">to establish a care plan to help address these barriers. </w:t>
      </w:r>
    </w:p>
    <w:p w14:paraId="187E1E37" w14:textId="308D43E6" w:rsidR="00F4702D" w:rsidRPr="00DF1D1C" w:rsidRDefault="00F4702D" w:rsidP="00257641">
      <w:r>
        <w:t xml:space="preserve">As part of discharge planning, the MCO </w:t>
      </w:r>
      <w:r w:rsidR="00867BB7">
        <w:t xml:space="preserve">must </w:t>
      </w:r>
      <w:r>
        <w:t xml:space="preserve">make all reasonable effort to engage any </w:t>
      </w:r>
      <w:r w:rsidR="00E32FF4">
        <w:t xml:space="preserve">enrollee </w:t>
      </w:r>
      <w:r>
        <w:t xml:space="preserve">exiting a drug rehabilitation program to determine whether employment assistance is needed. If so, the MCO </w:t>
      </w:r>
      <w:r w:rsidR="00867BB7">
        <w:t xml:space="preserve">must </w:t>
      </w:r>
      <w:r>
        <w:t>coordinate a referral to a local workforce agency and facilitate linkages to other related community supports available.</w:t>
      </w:r>
    </w:p>
    <w:p w14:paraId="3959DC41" w14:textId="77777777" w:rsidR="00F4702D" w:rsidRPr="00DF1D1C" w:rsidRDefault="00F4702D" w:rsidP="00257641">
      <w:r w:rsidRPr="00DF1D1C">
        <w:t>The MCO’s notice to an enrollee and/or provider of its decision to deny, limit, or discontinue authorization of, or payment for, a service must specify the criteria used in denying or limiting authorization and include information on how to request reconsideration of the decision pursuant to the procedures. The notice to the enrollee must be in writing.</w:t>
      </w:r>
    </w:p>
    <w:p w14:paraId="1EE10B3C" w14:textId="3B96CBBB" w:rsidR="00F4702D" w:rsidRDefault="00F4702D" w:rsidP="00257641">
      <w:pPr>
        <w:pStyle w:val="Heading4"/>
      </w:pPr>
      <w:r>
        <w:t xml:space="preserve">6.3.2 </w:t>
      </w:r>
      <w:r w:rsidRPr="00DF1D1C">
        <w:t>Coordination of Care</w:t>
      </w:r>
      <w:r>
        <w:t xml:space="preserve"> with Other Entities</w:t>
      </w:r>
    </w:p>
    <w:p w14:paraId="36E1DFDE" w14:textId="238A9F9C" w:rsidR="00F4702D" w:rsidRPr="00DF1D1C" w:rsidRDefault="00F4702D" w:rsidP="00257641">
      <w:pPr>
        <w:pStyle w:val="Heading5"/>
      </w:pPr>
      <w:r>
        <w:t xml:space="preserve">6.3.2.1 </w:t>
      </w:r>
      <w:r w:rsidRPr="00DF1D1C">
        <w:t xml:space="preserve">Family Planning </w:t>
      </w:r>
    </w:p>
    <w:p w14:paraId="1256180D" w14:textId="67400189" w:rsidR="00F4702D" w:rsidRPr="00DF1D1C" w:rsidRDefault="00F4702D" w:rsidP="00257641">
      <w:r w:rsidRPr="00DF1D1C">
        <w:t xml:space="preserve">Family planning services will be tracked, coordinated and monitored by the MCO. The MCO will assume financial risk for these services. Through its reimbursement of other providers, the MCO will be able to monitor </w:t>
      </w:r>
      <w:r w:rsidR="00E32FF4">
        <w:t>enrollee</w:t>
      </w:r>
      <w:r w:rsidR="00E32FF4" w:rsidRPr="00DF1D1C">
        <w:t xml:space="preserve">s’ </w:t>
      </w:r>
      <w:r w:rsidRPr="00DF1D1C">
        <w:t xml:space="preserve">utilization of such services. </w:t>
      </w:r>
      <w:r w:rsidRPr="00950C03">
        <w:t xml:space="preserve">Additionally, the MCO will ask </w:t>
      </w:r>
      <w:r>
        <w:t>in</w:t>
      </w:r>
      <w:r w:rsidRPr="00950C03">
        <w:t xml:space="preserve">-network providers to educate </w:t>
      </w:r>
      <w:r w:rsidR="00E32FF4">
        <w:t>enrollee</w:t>
      </w:r>
      <w:r w:rsidR="00E32FF4" w:rsidRPr="00950C03">
        <w:t xml:space="preserve">s </w:t>
      </w:r>
      <w:r w:rsidRPr="00950C03">
        <w:t>about the release of necessary medical data to the MCO</w:t>
      </w:r>
      <w:r>
        <w:t xml:space="preserve">. </w:t>
      </w:r>
    </w:p>
    <w:p w14:paraId="0BE55A61" w14:textId="77777777" w:rsidR="00F4702D" w:rsidRPr="00DF1D1C" w:rsidRDefault="00F4702D" w:rsidP="00257641">
      <w:r w:rsidRPr="00DF1D1C">
        <w:lastRenderedPageBreak/>
        <w:t xml:space="preserve">The MCO </w:t>
      </w:r>
      <w:r>
        <w:t>must</w:t>
      </w:r>
      <w:r w:rsidRPr="00DF1D1C">
        <w:t xml:space="preserve"> ensure that enrollees who seek family plann</w:t>
      </w:r>
      <w:r>
        <w:t xml:space="preserve">ing services from the plan are </w:t>
      </w:r>
      <w:r w:rsidRPr="00DF1D1C">
        <w:t xml:space="preserve">provided with counseling regarding methods of contraception; HIV and sexually transmitted diseases and risk-reduction practices; and options to pregnant enrollees who may wish to terminate their pregnancies. The MCO </w:t>
      </w:r>
      <w:r>
        <w:t xml:space="preserve">will </w:t>
      </w:r>
      <w:r w:rsidRPr="00DF1D1C">
        <w:t xml:space="preserve">make appropriate referrals as necessary. All family planning services will be included in the encounter data that all health plans must report to </w:t>
      </w:r>
      <w:r>
        <w:t>DHHR</w:t>
      </w:r>
      <w:r w:rsidRPr="00DF1D1C">
        <w:t>.</w:t>
      </w:r>
    </w:p>
    <w:p w14:paraId="78C902CB" w14:textId="4922F745" w:rsidR="00F4702D" w:rsidRPr="00DF1D1C" w:rsidRDefault="00F4702D" w:rsidP="00257641">
      <w:pPr>
        <w:pStyle w:val="Heading5"/>
      </w:pPr>
      <w:r>
        <w:t>6.3.2.2</w:t>
      </w:r>
      <w:r w:rsidR="003150A4">
        <w:t xml:space="preserve"> </w:t>
      </w:r>
      <w:r w:rsidRPr="00DF1D1C">
        <w:t>Fee-For-Service Health Care</w:t>
      </w:r>
    </w:p>
    <w:p w14:paraId="527D117E" w14:textId="77777777" w:rsidR="00F4702D" w:rsidRPr="00DF1D1C" w:rsidRDefault="00F4702D" w:rsidP="00257641">
      <w:r w:rsidRPr="00DF1D1C">
        <w:t xml:space="preserve">The MCO must follow established Medicaid procedures and provide referrals and assistance in scheduling appointments to enrollees in need of Medicaid covered services outside of the scope of this </w:t>
      </w:r>
      <w:r>
        <w:t xml:space="preserve">Contract </w:t>
      </w:r>
      <w:r w:rsidRPr="00DF1D1C">
        <w:t xml:space="preserve">as defined in </w:t>
      </w:r>
      <w:r>
        <w:t>Contract Appendix</w:t>
      </w:r>
      <w:r w:rsidRPr="00DF1D1C">
        <w:t xml:space="preserve"> A. The MCO must also comply with all policies developed by </w:t>
      </w:r>
      <w:r>
        <w:t>DHHR</w:t>
      </w:r>
      <w:r w:rsidRPr="00DF1D1C">
        <w:t xml:space="preserve"> for linking the services provided by the MCO to those non-covered services. These services will be tracked and monitored by the plans and </w:t>
      </w:r>
      <w:r>
        <w:t>DHHR</w:t>
      </w:r>
      <w:r w:rsidRPr="00DF1D1C">
        <w:t xml:space="preserve"> through submission of encounter forms to </w:t>
      </w:r>
      <w:r>
        <w:t>DHHR</w:t>
      </w:r>
      <w:r w:rsidRPr="00DF1D1C">
        <w:t>.</w:t>
      </w:r>
    </w:p>
    <w:p w14:paraId="2314F068" w14:textId="67129167" w:rsidR="00F4702D" w:rsidRPr="00DF1D1C" w:rsidRDefault="00F4702D" w:rsidP="00257641">
      <w:pPr>
        <w:pStyle w:val="Heading5"/>
      </w:pPr>
      <w:r>
        <w:t>6.3.2.3</w:t>
      </w:r>
      <w:r w:rsidR="003150A4">
        <w:t xml:space="preserve"> </w:t>
      </w:r>
      <w:r w:rsidRPr="00DF1D1C">
        <w:t>WIC Program</w:t>
      </w:r>
    </w:p>
    <w:p w14:paraId="75579341" w14:textId="77777777" w:rsidR="00F4702D" w:rsidRDefault="00F4702D" w:rsidP="00257641">
      <w:r w:rsidRPr="00DF1D1C">
        <w:t xml:space="preserve">The MCO must work with </w:t>
      </w:r>
      <w:r>
        <w:t>DHHR</w:t>
      </w:r>
      <w:r w:rsidRPr="00DF1D1C">
        <w:t xml:space="preserve"> to provide for the coordination between the Medicaid program and the Special Supplemental Food Program for Women, Infants and Children (WIC) and must provide timely notice and referral to WIC in accordance with section 1902(a)(53) of the Social Security Act. The MCO must refer potentially eligible women (e.g., pregnant, breastfeeding, and less than </w:t>
      </w:r>
      <w:r>
        <w:t>six (</w:t>
      </w:r>
      <w:r w:rsidRPr="00DF1D1C">
        <w:t>6</w:t>
      </w:r>
      <w:r>
        <w:t>)</w:t>
      </w:r>
      <w:r w:rsidRPr="00DF1D1C">
        <w:t xml:space="preserve"> months postpartum), infants, and children under the age of </w:t>
      </w:r>
      <w:r>
        <w:t>five (</w:t>
      </w:r>
      <w:r w:rsidRPr="00DF1D1C">
        <w:t>5</w:t>
      </w:r>
      <w:r>
        <w:t>)</w:t>
      </w:r>
      <w:r w:rsidRPr="00DF1D1C">
        <w:t xml:space="preserve"> to WIC. The MCO must include timely (not more than </w:t>
      </w:r>
      <w:r>
        <w:t>sixty (</w:t>
      </w:r>
      <w:r w:rsidRPr="00DF1D1C">
        <w:t>60</w:t>
      </w:r>
      <w:r>
        <w:t>)</w:t>
      </w:r>
      <w:r w:rsidRPr="00DF1D1C">
        <w:t xml:space="preserve"> </w:t>
      </w:r>
      <w:r>
        <w:t xml:space="preserve">calendar </w:t>
      </w:r>
      <w:r w:rsidRPr="00DF1D1C">
        <w:t>days) referral of medical information (length/height, weight, hemoglobin and medical condition which influen</w:t>
      </w:r>
      <w:r>
        <w:t xml:space="preserve">ces consumption, adsorption, or </w:t>
      </w:r>
      <w:r w:rsidRPr="00DF1D1C">
        <w:t>utilization of food nutrients)</w:t>
      </w:r>
      <w:r>
        <w:t xml:space="preserve">. </w:t>
      </w:r>
    </w:p>
    <w:p w14:paraId="3BB91DC6" w14:textId="00E75BA3" w:rsidR="00F4702D" w:rsidRPr="00DF1D1C" w:rsidRDefault="00F4702D" w:rsidP="00257641">
      <w:pPr>
        <w:pStyle w:val="Heading5"/>
      </w:pPr>
      <w:r>
        <w:t xml:space="preserve">6.3.2.4 </w:t>
      </w:r>
      <w:r w:rsidRPr="00DF1D1C">
        <w:t>School-Health Related Services</w:t>
      </w:r>
    </w:p>
    <w:p w14:paraId="47B803D4" w14:textId="77777777" w:rsidR="00F4702D" w:rsidRPr="00DF1D1C" w:rsidRDefault="00F4702D" w:rsidP="00257641">
      <w:r w:rsidRPr="00DF1D1C">
        <w:t xml:space="preserve">MCOs must work with the providers of school-health related services to coordinate care. </w:t>
      </w:r>
    </w:p>
    <w:p w14:paraId="7977C01E" w14:textId="7C662A85" w:rsidR="00F4702D" w:rsidRPr="00DF1D1C" w:rsidRDefault="00F4702D" w:rsidP="00257641">
      <w:pPr>
        <w:pStyle w:val="Heading5"/>
      </w:pPr>
      <w:r>
        <w:t>6.3.2.5</w:t>
      </w:r>
      <w:r w:rsidR="003150A4">
        <w:t xml:space="preserve"> </w:t>
      </w:r>
      <w:r w:rsidRPr="00DF1D1C">
        <w:t>Community and Social Services</w:t>
      </w:r>
    </w:p>
    <w:p w14:paraId="02123284" w14:textId="77777777" w:rsidR="00F4702D" w:rsidRPr="00DF1D1C" w:rsidRDefault="00F4702D" w:rsidP="00257641">
      <w:r w:rsidRPr="00DF1D1C">
        <w:t>The MCO must have programs for coordination of care that include coordination of services with community and social services generally available through contracting or non-contracting providers</w:t>
      </w:r>
      <w:r>
        <w:t xml:space="preserve"> in the area served by the MCO.</w:t>
      </w:r>
    </w:p>
    <w:p w14:paraId="0F28AFEC" w14:textId="70020DF2" w:rsidR="00F4702D" w:rsidRPr="00DF1D1C" w:rsidRDefault="00F4702D" w:rsidP="00257641">
      <w:pPr>
        <w:pStyle w:val="Heading4"/>
      </w:pPr>
      <w:r>
        <w:t xml:space="preserve">6.3.3 </w:t>
      </w:r>
      <w:r w:rsidRPr="00DF1D1C">
        <w:t>Coordination of Care for Persons with Special Health Care Needs</w:t>
      </w:r>
      <w:r>
        <w:t xml:space="preserve"> and SSI Eligibles</w:t>
      </w:r>
    </w:p>
    <w:p w14:paraId="26F1AC88" w14:textId="77777777" w:rsidR="00F4702D" w:rsidRDefault="00F4702D" w:rsidP="00257641">
      <w:r w:rsidRPr="00FB06BA">
        <w:t>The MCO must have procedures for identifying individuals with complex or serious medical conditions. The MCO must complete identification and assessment of the individuals with complex or serious medical conditions within</w:t>
      </w:r>
      <w:r>
        <w:t xml:space="preserve"> ninety</w:t>
      </w:r>
      <w:r w:rsidRPr="00FB06BA">
        <w:t xml:space="preserve"> </w:t>
      </w:r>
      <w:r>
        <w:t>(</w:t>
      </w:r>
      <w:r w:rsidRPr="00FB06BA">
        <w:t>90</w:t>
      </w:r>
      <w:r>
        <w:t>)</w:t>
      </w:r>
      <w:r w:rsidRPr="00FB06BA">
        <w:t xml:space="preserve"> </w:t>
      </w:r>
      <w:r>
        <w:t xml:space="preserve">calendar </w:t>
      </w:r>
      <w:r w:rsidRPr="00FB06BA">
        <w:t xml:space="preserve">days of the effective date of enrollment in the MCO. The MCO must use appropriate health care professionals in assessing those conditions, identifying medical procedures to address and/or monitor the conditions, and developing treatment plans appropriate for those enrollees determined to need a course of treatment or regular care monitoring. Treatment plans must specify an adequate number of direct access visits to specialists to accommodate implementation of the treatment plan. The </w:t>
      </w:r>
      <w:r>
        <w:t xml:space="preserve">MCO must make all efforts to assure that a person-centered </w:t>
      </w:r>
      <w:r w:rsidRPr="00FB06BA">
        <w:t xml:space="preserve">treatment plan </w:t>
      </w:r>
      <w:r>
        <w:t xml:space="preserve">is developed in collaboration with the </w:t>
      </w:r>
      <w:r w:rsidRPr="00FB06BA">
        <w:t>enrollee’s primary care provider</w:t>
      </w:r>
      <w:r>
        <w:t>,</w:t>
      </w:r>
      <w:r w:rsidRPr="00FB06BA">
        <w:t xml:space="preserve"> with participation from the enrollee</w:t>
      </w:r>
      <w:r>
        <w:t xml:space="preserve"> and </w:t>
      </w:r>
      <w:r w:rsidRPr="00FB06BA">
        <w:t>the enrollee’s care manager (if a separate care manager has been designated in addition to the</w:t>
      </w:r>
      <w:r w:rsidRPr="00A83C71">
        <w:t xml:space="preserve"> PCP), and in consultation with any specialist</w:t>
      </w:r>
      <w:r>
        <w:t xml:space="preserve">s caring for the enrollee; </w:t>
      </w:r>
      <w:r w:rsidRPr="00A83C71">
        <w:t xml:space="preserve">and </w:t>
      </w:r>
      <w:r w:rsidRPr="00AE595F">
        <w:t xml:space="preserve">must </w:t>
      </w:r>
      <w:r w:rsidRPr="00A83C71">
        <w:t xml:space="preserve">meet applicable quality </w:t>
      </w:r>
      <w:r w:rsidRPr="00A83C71">
        <w:lastRenderedPageBreak/>
        <w:t xml:space="preserve">assurance and utilization standards. These treatment plans must be </w:t>
      </w:r>
      <w:r>
        <w:t xml:space="preserve">reviewed and revised upon reassessment of functional need, at least every twelve (12) months, when the enrollee’s circumstances or needs change significantly, or at the request of the </w:t>
      </w:r>
      <w:r w:rsidRPr="00D25709">
        <w:rPr>
          <w:szCs w:val="22"/>
        </w:rPr>
        <w:t>enrollee</w:t>
      </w:r>
      <w:r>
        <w:rPr>
          <w:rFonts w:cs="Melior"/>
          <w:szCs w:val="22"/>
        </w:rPr>
        <w:t>.</w:t>
      </w:r>
    </w:p>
    <w:p w14:paraId="2074A5F0" w14:textId="77777777" w:rsidR="00F4702D" w:rsidRDefault="00F4702D" w:rsidP="00257641">
      <w:r w:rsidRPr="00D37373">
        <w:t xml:space="preserve">If </w:t>
      </w:r>
      <w:r>
        <w:t xml:space="preserve">a </w:t>
      </w:r>
      <w:r w:rsidRPr="00D37373">
        <w:t xml:space="preserve">treatment plan or regular care </w:t>
      </w:r>
      <w:r>
        <w:t xml:space="preserve">monitoring is in place, the MCO must have </w:t>
      </w:r>
      <w:r w:rsidRPr="00D37373">
        <w:t>a mechanism in place to allow enrollees to directly access specialists as appropriate for enrollee’s condition and identified needs.</w:t>
      </w:r>
    </w:p>
    <w:p w14:paraId="360EBB6F" w14:textId="77777777" w:rsidR="00F4702D" w:rsidRPr="00DF1D1C" w:rsidRDefault="00F4702D" w:rsidP="00257641">
      <w:r w:rsidRPr="00DF1D1C">
        <w:t xml:space="preserve">The MCO must share the </w:t>
      </w:r>
      <w:r>
        <w:t>identified needs</w:t>
      </w:r>
      <w:r w:rsidRPr="00DF1D1C">
        <w:t xml:space="preserve"> and </w:t>
      </w:r>
      <w:r>
        <w:t xml:space="preserve">the </w:t>
      </w:r>
      <w:r w:rsidRPr="00DF1D1C">
        <w:t>MCO</w:t>
      </w:r>
      <w:r>
        <w:t>’s</w:t>
      </w:r>
      <w:r w:rsidRPr="00DF1D1C">
        <w:t xml:space="preserve"> assessment of enrollees with special health care needs with other </w:t>
      </w:r>
      <w:r>
        <w:t>entities</w:t>
      </w:r>
      <w:r w:rsidRPr="00DF1D1C">
        <w:t xml:space="preserve"> serving </w:t>
      </w:r>
      <w:r>
        <w:t xml:space="preserve">those </w:t>
      </w:r>
      <w:r w:rsidRPr="00DF1D1C">
        <w:t>enrollees</w:t>
      </w:r>
      <w:r>
        <w:t xml:space="preserve"> as appropriate to coordinate care</w:t>
      </w:r>
      <w:r w:rsidRPr="00DF1D1C">
        <w:t xml:space="preserve">. The MCO </w:t>
      </w:r>
      <w:r w:rsidRPr="00AE595F">
        <w:t>must</w:t>
      </w:r>
      <w:r w:rsidRPr="00DF1D1C">
        <w:t xml:space="preserve"> ensure that in the process of coordinating care, each enrollee’s privacy is protected in accordance with the requirements of 42 CFR parts 160 and 164 subparts A and E, to the extent they apply.</w:t>
      </w:r>
    </w:p>
    <w:p w14:paraId="6E396398" w14:textId="1D87C98D" w:rsidR="00F4702D" w:rsidRPr="00B76260" w:rsidRDefault="00F4702D" w:rsidP="00257641">
      <w:r w:rsidRPr="00B56D64">
        <w:t xml:space="preserve">The MCO must have trained staff available to assist in the development of a clinical treatment plan and to work with the </w:t>
      </w:r>
      <w:r w:rsidR="00E32FF4">
        <w:t>enrollee</w:t>
      </w:r>
      <w:r w:rsidR="00E32FF4" w:rsidRPr="00B56D64">
        <w:t xml:space="preserve"> </w:t>
      </w:r>
      <w:r w:rsidRPr="00B56D64">
        <w:t xml:space="preserve">and PCP to facilitate specialty referrals, coordinate </w:t>
      </w:r>
      <w:r>
        <w:t xml:space="preserve">SNS, </w:t>
      </w:r>
      <w:r w:rsidRPr="00B56D64">
        <w:t xml:space="preserve">hospital admission/discharge planning, post-discharge care and continued services (e.g., rehabilitation), and </w:t>
      </w:r>
      <w:r>
        <w:t xml:space="preserve">to </w:t>
      </w:r>
      <w:r w:rsidRPr="00B56D64">
        <w:t>coordinate with services provided on a fee-for-service basis.</w:t>
      </w:r>
      <w:r w:rsidRPr="00DF1D1C">
        <w:t xml:space="preserve"> </w:t>
      </w:r>
    </w:p>
    <w:p w14:paraId="2AAEA8FE" w14:textId="18FC38E3" w:rsidR="00F4702D" w:rsidRDefault="00F60EB0" w:rsidP="00257641">
      <w:pPr>
        <w:pStyle w:val="Heading5"/>
      </w:pPr>
      <w:r>
        <w:t>6.3</w:t>
      </w:r>
      <w:r w:rsidR="00F4702D">
        <w:t>.3.1 Associations with the Title V State Agency</w:t>
      </w:r>
    </w:p>
    <w:p w14:paraId="0995EBF9" w14:textId="77777777" w:rsidR="00F4702D" w:rsidRDefault="00F4702D" w:rsidP="00257641">
      <w:pPr>
        <w:pStyle w:val="normal6"/>
      </w:pPr>
      <w:r>
        <w:t>The MCO, through the Department, will coordinate with the Bureau for Public Health (BPH), Office of Maternal, Child and Family Health (OMCFH), to:</w:t>
      </w:r>
    </w:p>
    <w:p w14:paraId="578A5ED0" w14:textId="63AEC565" w:rsidR="00F4702D" w:rsidRDefault="00F4702D" w:rsidP="00257641">
      <w:pPr>
        <w:pStyle w:val="StyleAfter12pt"/>
        <w:spacing w:after="120"/>
        <w:ind w:left="720" w:hanging="360"/>
      </w:pPr>
      <w:r>
        <w:t>1.</w:t>
      </w:r>
      <w:r>
        <w:tab/>
        <w:t xml:space="preserve">Make all reasonable efforts to assure that all </w:t>
      </w:r>
      <w:r w:rsidR="00E32FF4">
        <w:t xml:space="preserve">enrollees </w:t>
      </w:r>
      <w:r>
        <w:t>with special health care needs, ages zero (0) to twenty-one (21), have access to a medical home and receive comprehensive, coordinated services and supports pursuant to national standards for systems of care for children and youth with special health care needs;</w:t>
      </w:r>
    </w:p>
    <w:p w14:paraId="7264239B" w14:textId="47A73B72" w:rsidR="00F4702D" w:rsidRDefault="00F4702D" w:rsidP="00257641">
      <w:pPr>
        <w:pStyle w:val="StyleAfter12pt"/>
        <w:spacing w:after="120"/>
        <w:ind w:left="720" w:hanging="360"/>
      </w:pPr>
      <w:r>
        <w:t>2.</w:t>
      </w:r>
      <w:r>
        <w:tab/>
        <w:t>Make all reasonable efforts to assure better access to and receipt of the full range of screening, diagnostic, and treatment services covered under EPSDT;</w:t>
      </w:r>
      <w:r w:rsidR="003150A4">
        <w:t xml:space="preserve"> </w:t>
      </w:r>
    </w:p>
    <w:p w14:paraId="06B6ED8B" w14:textId="0AA34F39" w:rsidR="00F4702D" w:rsidRDefault="00F4702D" w:rsidP="00257641">
      <w:pPr>
        <w:pStyle w:val="StyleAfter12pt"/>
        <w:spacing w:after="120"/>
        <w:ind w:left="720" w:hanging="360"/>
      </w:pPr>
      <w:r>
        <w:t>3.</w:t>
      </w:r>
      <w:r w:rsidR="003150A4">
        <w:t xml:space="preserve"> </w:t>
      </w:r>
      <w:r>
        <w:t>Improve the rates and content of well child visits;</w:t>
      </w:r>
    </w:p>
    <w:p w14:paraId="32C3A744" w14:textId="770118EE" w:rsidR="00F4702D" w:rsidRDefault="00F4702D" w:rsidP="00257641">
      <w:pPr>
        <w:pStyle w:val="StyleAfter12pt"/>
        <w:spacing w:after="120"/>
        <w:ind w:left="720" w:hanging="360"/>
      </w:pPr>
      <w:r>
        <w:t>4.</w:t>
      </w:r>
      <w:r w:rsidR="003150A4">
        <w:t xml:space="preserve"> </w:t>
      </w:r>
      <w:r>
        <w:t xml:space="preserve">Improve care coordination for children with special health care needs, particularly those with multiple systems of care in place; </w:t>
      </w:r>
    </w:p>
    <w:p w14:paraId="16F4B745" w14:textId="77777777" w:rsidR="00F4702D" w:rsidRDefault="00F4702D" w:rsidP="00257641">
      <w:pPr>
        <w:pStyle w:val="StyleAfter12pt"/>
        <w:ind w:left="720" w:hanging="360"/>
      </w:pPr>
      <w:r>
        <w:t>5.</w:t>
      </w:r>
      <w:r>
        <w:tab/>
        <w:t xml:space="preserve">Make all reasonable efforts to assure children enrolled in Medicaid and their established plans of care are being met. </w:t>
      </w:r>
    </w:p>
    <w:p w14:paraId="45278432" w14:textId="42D79253" w:rsidR="00F4702D" w:rsidRDefault="00F4702D" w:rsidP="00257641">
      <w:r>
        <w:t xml:space="preserve">The Department, BPH, OMCFH, and the MCO will establish a Memorandum of Understanding (MOU) to implement coordination strategies to better serve children under the age of twenty-one (21), including those individuals with special health care needs, who are eligible for Medicaid managed care services. The MCO </w:t>
      </w:r>
      <w:r w:rsidR="00867BB7">
        <w:t xml:space="preserve">must </w:t>
      </w:r>
      <w:r>
        <w:t>collaborate with OMCFH care coordinators to share plans of care for children with special health care needs. The MCO must ensure that they do not duplicate services provided by OMCFH.</w:t>
      </w:r>
    </w:p>
    <w:p w14:paraId="18073980" w14:textId="46A28DA8" w:rsidR="00F4702D" w:rsidRDefault="00F4702D" w:rsidP="00257641">
      <w:r>
        <w:t xml:space="preserve">The MCO and OMCFH </w:t>
      </w:r>
      <w:r w:rsidR="00867BB7">
        <w:t xml:space="preserve">must </w:t>
      </w:r>
      <w:r>
        <w:t xml:space="preserve">share data necessary to improve service delivery and improved outcomes. Each entity </w:t>
      </w:r>
      <w:r w:rsidR="00867BB7">
        <w:t xml:space="preserve">must </w:t>
      </w:r>
      <w:r>
        <w:t xml:space="preserve">designate an individual to accept and coordinate all data requests. Use of individually identifiable MCO data will be limited to purposes directly connected to the purposes of rendering Medicaid services. All shared data will be subject to all applicable </w:t>
      </w:r>
      <w:r>
        <w:lastRenderedPageBreak/>
        <w:t xml:space="preserve">requirements regarding privacy and confidentiality and will be consistent with all State and Federal statutory requirements around the electronic submission of identifiable information. </w:t>
      </w:r>
    </w:p>
    <w:p w14:paraId="683593FA" w14:textId="77777777" w:rsidR="00F4702D" w:rsidRDefault="00F4702D" w:rsidP="00257641">
      <w:r>
        <w:t xml:space="preserve">The MCO and OMCFH will collaborate as appropriate on quality improvement activities, education, and other initiatives targeted at improving the care and health outcomes for children with special health care needs. </w:t>
      </w:r>
    </w:p>
    <w:p w14:paraId="6A7ACBAA" w14:textId="5EDA95EC" w:rsidR="00F4702D" w:rsidRDefault="00F4702D" w:rsidP="00257641">
      <w:r>
        <w:t>For any child with special health care needs requiring medical foods, the MCO should accept the clinical evaluations conducted by the BPH’s OMCFH.</w:t>
      </w:r>
      <w:r w:rsidR="003150A4">
        <w:t xml:space="preserve"> </w:t>
      </w:r>
      <w:r>
        <w:t xml:space="preserve">OMCFH will provide the </w:t>
      </w:r>
      <w:r w:rsidR="00E32FF4">
        <w:t xml:space="preserve">enrollee’s </w:t>
      </w:r>
      <w:r>
        <w:t xml:space="preserve">MCO with the necessary information, including food type, amount, and duration, required to authorize medical foods. For MCO </w:t>
      </w:r>
      <w:r w:rsidR="00E32FF4">
        <w:t xml:space="preserve">enrollees </w:t>
      </w:r>
      <w:r>
        <w:t xml:space="preserve">enrolled in the Title V Children with Special Health Care Needs program that do not require complete nutrition via tube, catheter, or stoma, the OFCMH will coordinate services with the nutritional foods vendor and the State’s fiscal agent. The MCO is responsible for providing medical foods services for all other </w:t>
      </w:r>
      <w:r w:rsidR="00E32FF4">
        <w:t>enrollees</w:t>
      </w:r>
      <w:r>
        <w:t xml:space="preserve">. </w:t>
      </w:r>
    </w:p>
    <w:p w14:paraId="03E41D8A" w14:textId="02B6646B" w:rsidR="00F4702D" w:rsidRDefault="00F4702D" w:rsidP="00257641">
      <w:pPr>
        <w:pStyle w:val="Heading4"/>
      </w:pPr>
      <w:r>
        <w:t>6.</w:t>
      </w:r>
      <w:r w:rsidR="005B3E45">
        <w:t>3</w:t>
      </w:r>
      <w:r>
        <w:t xml:space="preserve">.4 </w:t>
      </w:r>
      <w:r w:rsidR="00F60EB0">
        <w:t xml:space="preserve">Coordination with Chronic Condition </w:t>
      </w:r>
      <w:r>
        <w:t>Health Homes</w:t>
      </w:r>
    </w:p>
    <w:p w14:paraId="614DF65F" w14:textId="2A36FCA4" w:rsidR="00F4702D" w:rsidRPr="00A83C71" w:rsidRDefault="00F4702D" w:rsidP="00257641">
      <w:r w:rsidRPr="00920AFC">
        <w:t xml:space="preserve">If </w:t>
      </w:r>
      <w:r>
        <w:t>an</w:t>
      </w:r>
      <w:r w:rsidRPr="00920AFC">
        <w:t xml:space="preserve"> enrollee </w:t>
      </w:r>
      <w:r>
        <w:t xml:space="preserve">meets the requirements as </w:t>
      </w:r>
      <w:r w:rsidRPr="00920AFC">
        <w:t>defined in the Medicaid State Plan as qual</w:t>
      </w:r>
      <w:r>
        <w:t>ifying for a chronic condition Health H</w:t>
      </w:r>
      <w:r w:rsidRPr="00920AFC">
        <w:t>ome</w:t>
      </w:r>
      <w:r>
        <w:t xml:space="preserve"> </w:t>
      </w:r>
      <w:r w:rsidRPr="00920AFC">
        <w:t xml:space="preserve">the MCO must notify the enrollee of </w:t>
      </w:r>
      <w:r>
        <w:t>the availability of designated Health H</w:t>
      </w:r>
      <w:r w:rsidRPr="00920AFC">
        <w:t>omes for his or her condition</w:t>
      </w:r>
      <w:r>
        <w:t xml:space="preserve">. The MCO will include Behavioral Health Homes in its Health Home network. Behavioral Health Home providers do not need to provide all the services of a traditional Medical Home themselves, but must ensure that the full array of primary and Behavioral Health Care services is available, integrated, and coordinated. If the enrollee chooses to participate, the MCO </w:t>
      </w:r>
      <w:r w:rsidR="00867BB7">
        <w:t xml:space="preserve">must </w:t>
      </w:r>
      <w:r>
        <w:t xml:space="preserve">facilitate a referral to the health home. DHHR shall provide a monthly Health Home enrollment list to the MCO so that coordination may occur between the MCO and the Health Home provider. </w:t>
      </w:r>
    </w:p>
    <w:p w14:paraId="06F1800B" w14:textId="1A86FA06" w:rsidR="00F4702D" w:rsidRDefault="00F4702D" w:rsidP="00257641">
      <w:r w:rsidRPr="004E5854">
        <w:t xml:space="preserve">If the enrollee is participating in a chronic care </w:t>
      </w:r>
      <w:r>
        <w:t>H</w:t>
      </w:r>
      <w:r w:rsidRPr="004E5854">
        <w:t xml:space="preserve">ealth </w:t>
      </w:r>
      <w:r>
        <w:t>H</w:t>
      </w:r>
      <w:r w:rsidRPr="004E5854">
        <w:t xml:space="preserve">ome, the </w:t>
      </w:r>
      <w:r>
        <w:t>H</w:t>
      </w:r>
      <w:r w:rsidRPr="004E5854">
        <w:t xml:space="preserve">ealth </w:t>
      </w:r>
      <w:r>
        <w:t>H</w:t>
      </w:r>
      <w:r w:rsidRPr="004E5854">
        <w:t xml:space="preserve">ome must be notified of any use of emergency services and be notified of any inpatient admission or discharge of a </w:t>
      </w:r>
      <w:r>
        <w:t>H</w:t>
      </w:r>
      <w:r w:rsidRPr="004E5854">
        <w:t xml:space="preserve">ealth </w:t>
      </w:r>
      <w:r>
        <w:t>H</w:t>
      </w:r>
      <w:r w:rsidRPr="004E5854">
        <w:t xml:space="preserve">ome </w:t>
      </w:r>
      <w:r w:rsidR="005B3E45">
        <w:t>enrollee</w:t>
      </w:r>
      <w:r w:rsidR="005B3E45" w:rsidRPr="004E5854">
        <w:t xml:space="preserve"> </w:t>
      </w:r>
      <w:r w:rsidRPr="004E5854">
        <w:t xml:space="preserve">that the MCO learns of through its inpatient admission initial authorization and concurrent review processes within </w:t>
      </w:r>
      <w:r>
        <w:t>twenty-four (</w:t>
      </w:r>
      <w:r w:rsidRPr="004E5854">
        <w:t>24</w:t>
      </w:r>
      <w:r>
        <w:t>)</w:t>
      </w:r>
      <w:r w:rsidRPr="004E5854">
        <w:t xml:space="preserve"> hours.</w:t>
      </w:r>
    </w:p>
    <w:p w14:paraId="4B766978" w14:textId="47326583" w:rsidR="00F60EB0" w:rsidRPr="006C1C70" w:rsidRDefault="00F60EB0" w:rsidP="00257641">
      <w:pPr>
        <w:pStyle w:val="Heading4"/>
      </w:pPr>
      <w:r>
        <w:t>6.</w:t>
      </w:r>
      <w:r w:rsidR="005B3E45">
        <w:t>3</w:t>
      </w:r>
      <w:r>
        <w:t xml:space="preserve">.5 </w:t>
      </w:r>
      <w:r w:rsidRPr="006C1C70">
        <w:t>Transition of Care</w:t>
      </w:r>
    </w:p>
    <w:p w14:paraId="7F21052A" w14:textId="736D284E" w:rsidR="00C45E75" w:rsidRDefault="00F60EB0" w:rsidP="00257641">
      <w:pPr>
        <w:pStyle w:val="normal6"/>
      </w:pPr>
      <w:r>
        <w:t xml:space="preserve">The MCO must have a </w:t>
      </w:r>
      <w:r w:rsidRPr="00E439FB">
        <w:t>transition of care policy to ensure continued access to services during a transition from FFS to a MCO, or transition from one MCO to another when an enrollee, in the absence of continued services, would suffer serious detriment to their health or be at risk of hospital</w:t>
      </w:r>
      <w:r>
        <w:t xml:space="preserve">ization or institutionalization as specified in 42 CFR </w:t>
      </w:r>
      <w:r w:rsidRPr="00E439FB">
        <w:t>§ 438.62 (b)</w:t>
      </w:r>
      <w:r>
        <w:t>.</w:t>
      </w:r>
      <w:r w:rsidRPr="00E439FB">
        <w:t xml:space="preserve"> </w:t>
      </w:r>
      <w:r>
        <w:t xml:space="preserve">The MCO is required to identify and facilitate transitions for </w:t>
      </w:r>
      <w:r w:rsidR="005B3E45">
        <w:t xml:space="preserve">enrollees </w:t>
      </w:r>
      <w:r>
        <w:t xml:space="preserve">that are moving from one MCO to another or from a MCO to a FFS provider or to private insurance and require additional or distinctive assistance during a period of transition. </w:t>
      </w:r>
      <w:r w:rsidR="00C45E75">
        <w:t>The MCO must provide an enrollee care plan to the next provider of services (e.g. new MCO, parent, or provider) within fourteen (14) calendar days of their eligibility termination with the specialized MCO.</w:t>
      </w:r>
    </w:p>
    <w:p w14:paraId="389EE6AF" w14:textId="77777777" w:rsidR="00C45E75" w:rsidRDefault="00C45E75" w:rsidP="00257641">
      <w:pPr>
        <w:pStyle w:val="normal6"/>
      </w:pPr>
    </w:p>
    <w:p w14:paraId="18B8FD48" w14:textId="5FCDFB19" w:rsidR="00F60EB0" w:rsidRPr="00C11B9C" w:rsidRDefault="00F60EB0" w:rsidP="00257641">
      <w:pPr>
        <w:pStyle w:val="normal6"/>
      </w:pPr>
      <w:r>
        <w:t xml:space="preserve">When relinquishing </w:t>
      </w:r>
      <w:r w:rsidR="005B3E45">
        <w:t>enrollees</w:t>
      </w:r>
      <w:r>
        <w:t xml:space="preserve">, the MCO </w:t>
      </w:r>
      <w:r w:rsidR="00867BB7">
        <w:t xml:space="preserve">must </w:t>
      </w:r>
      <w:r>
        <w:t>cooperate with the receiving MCO or FFS Medicaid regarding the course of on-going care with a specialist or other provider.</w:t>
      </w:r>
      <w:r w:rsidR="003150A4">
        <w:t xml:space="preserve"> </w:t>
      </w:r>
      <w:r>
        <w:t xml:space="preserve">Priority will be given to </w:t>
      </w:r>
      <w:r w:rsidR="005B3E45">
        <w:t xml:space="preserve">enrollees </w:t>
      </w:r>
      <w:r>
        <w:t xml:space="preserve">who have medical conditions or circumstances such as </w:t>
      </w:r>
      <w:r w:rsidR="005B3E45">
        <w:t xml:space="preserve">enrollees </w:t>
      </w:r>
      <w:r>
        <w:t>who:</w:t>
      </w:r>
    </w:p>
    <w:p w14:paraId="0BD98116" w14:textId="77777777" w:rsidR="00F60EB0" w:rsidRPr="00901179" w:rsidRDefault="00F60EB0" w:rsidP="00257641">
      <w:pPr>
        <w:pStyle w:val="bullet1"/>
      </w:pPr>
      <w:r>
        <w:lastRenderedPageBreak/>
        <w:t>Are c</w:t>
      </w:r>
      <w:r w:rsidRPr="00901179">
        <w:t>urrently hospitalized;</w:t>
      </w:r>
    </w:p>
    <w:p w14:paraId="3239D8DF" w14:textId="77777777" w:rsidR="00F60EB0" w:rsidRPr="00901179" w:rsidRDefault="00F60EB0" w:rsidP="00257641">
      <w:pPr>
        <w:pStyle w:val="bullet1"/>
      </w:pPr>
      <w:r w:rsidRPr="00901179">
        <w:t xml:space="preserve">Are pregnant </w:t>
      </w:r>
      <w:r>
        <w:t xml:space="preserve">with </w:t>
      </w:r>
      <w:r w:rsidRPr="00901179">
        <w:t xml:space="preserve">high risk </w:t>
      </w:r>
      <w:r>
        <w:t>pregnancies i</w:t>
      </w:r>
      <w:r w:rsidRPr="00901179">
        <w:t>n their third trimester, or are within thirty (30) calendar days of their anticipated delivery date;</w:t>
      </w:r>
    </w:p>
    <w:p w14:paraId="7041BF78" w14:textId="77777777" w:rsidR="00F60EB0" w:rsidRDefault="00F60EB0" w:rsidP="00257641">
      <w:pPr>
        <w:pStyle w:val="bullet1"/>
      </w:pPr>
      <w:r>
        <w:t>Are in the process of receiving a m</w:t>
      </w:r>
      <w:r w:rsidRPr="00901179">
        <w:t xml:space="preserve">ajor organ or tissue transplantation service or </w:t>
      </w:r>
      <w:r>
        <w:t xml:space="preserve">which </w:t>
      </w:r>
      <w:r w:rsidRPr="00901179">
        <w:t>have been authorized;</w:t>
      </w:r>
    </w:p>
    <w:p w14:paraId="255B6458" w14:textId="7C26CF43" w:rsidR="00F60EB0" w:rsidRDefault="00F60EB0" w:rsidP="00257641">
      <w:pPr>
        <w:pStyle w:val="bullet1"/>
      </w:pPr>
      <w:r>
        <w:t>Have a c</w:t>
      </w:r>
      <w:r w:rsidRPr="00901179">
        <w:t xml:space="preserve">hronic illness, which has placed the </w:t>
      </w:r>
      <w:r w:rsidR="00B84408">
        <w:t>enrollee</w:t>
      </w:r>
      <w:r w:rsidR="00B84408" w:rsidRPr="00901179">
        <w:t xml:space="preserve"> </w:t>
      </w:r>
      <w:r w:rsidRPr="00901179">
        <w:t>in a high risk category and/or resulted in hospitalization or placement in nursing, or other, facilities;</w:t>
      </w:r>
    </w:p>
    <w:p w14:paraId="3E254049" w14:textId="77777777" w:rsidR="00F60EB0" w:rsidRDefault="00F60EB0" w:rsidP="00257641">
      <w:pPr>
        <w:pStyle w:val="bullet1"/>
      </w:pPr>
      <w:r>
        <w:t>Are in treatment such as c</w:t>
      </w:r>
      <w:r w:rsidRPr="003C45E8">
        <w:t>hemotherapy, radiation therapy, or</w:t>
      </w:r>
      <w:r>
        <w:t xml:space="preserve"> d</w:t>
      </w:r>
      <w:r w:rsidRPr="003C45E8">
        <w:t>ialysis;</w:t>
      </w:r>
    </w:p>
    <w:p w14:paraId="362012D4" w14:textId="77777777" w:rsidR="00F60EB0" w:rsidRDefault="00F60EB0" w:rsidP="00257641">
      <w:pPr>
        <w:pStyle w:val="bullet1"/>
      </w:pPr>
      <w:r>
        <w:t>Have ongoing special health care needs such as s</w:t>
      </w:r>
      <w:r w:rsidRPr="003C45E8">
        <w:t xml:space="preserve">pecialized </w:t>
      </w:r>
      <w:r>
        <w:t>DME</w:t>
      </w:r>
      <w:r w:rsidRPr="003C45E8">
        <w:t>, including ventilators and</w:t>
      </w:r>
      <w:r w:rsidRPr="00E439FB">
        <w:t xml:space="preserve"> other respiratory assistance equipment;</w:t>
      </w:r>
      <w:r>
        <w:t xml:space="preserve"> and</w:t>
      </w:r>
    </w:p>
    <w:p w14:paraId="077F0E7C" w14:textId="77777777" w:rsidR="00F60EB0" w:rsidRDefault="00F60EB0" w:rsidP="00257641">
      <w:pPr>
        <w:pStyle w:val="bullet1"/>
        <w:spacing w:after="240"/>
        <w:rPr>
          <w:szCs w:val="24"/>
        </w:rPr>
      </w:pPr>
      <w:r>
        <w:rPr>
          <w:szCs w:val="24"/>
        </w:rPr>
        <w:t>Are currently receiving home health services.</w:t>
      </w:r>
    </w:p>
    <w:p w14:paraId="3B68B64F" w14:textId="72C0B24E" w:rsidR="00F60EB0" w:rsidRPr="00936772" w:rsidRDefault="00F60EB0" w:rsidP="00257641">
      <w:r w:rsidRPr="00901179">
        <w:t xml:space="preserve">The </w:t>
      </w:r>
      <w:r w:rsidR="00B84408">
        <w:t>enrollee</w:t>
      </w:r>
      <w:r w:rsidR="00B84408" w:rsidRPr="00901179">
        <w:t xml:space="preserve"> </w:t>
      </w:r>
      <w:r w:rsidR="00867BB7">
        <w:t>must</w:t>
      </w:r>
      <w:r w:rsidR="00867BB7" w:rsidRPr="00901179">
        <w:t xml:space="preserve"> </w:t>
      </w:r>
      <w:r w:rsidRPr="00901179">
        <w:t xml:space="preserve">have access to services consistent with the access they previously had under the </w:t>
      </w:r>
      <w:r w:rsidR="00B84408">
        <w:t>enrollee</w:t>
      </w:r>
      <w:r w:rsidR="00B84408" w:rsidRPr="00901179">
        <w:t xml:space="preserve">’s </w:t>
      </w:r>
      <w:r w:rsidRPr="00901179">
        <w:t xml:space="preserve">previous MCO or FFS, and is permitted to retain their current provider for a period of </w:t>
      </w:r>
      <w:r w:rsidR="00843189">
        <w:t>ninety (9</w:t>
      </w:r>
      <w:r w:rsidRPr="00901179">
        <w:t>0) calendar days</w:t>
      </w:r>
      <w:r>
        <w:t>,</w:t>
      </w:r>
      <w:r w:rsidRPr="00901179">
        <w:t xml:space="preserve"> </w:t>
      </w:r>
      <w:r>
        <w:t xml:space="preserve">even </w:t>
      </w:r>
      <w:r w:rsidRPr="00901179">
        <w:t>if that provider is not in the MCO’s network</w:t>
      </w:r>
      <w:r>
        <w:t>,</w:t>
      </w:r>
      <w:r w:rsidRPr="00901179">
        <w:t xml:space="preserve"> while a transition of care plan is developed. As part of the transition of care planning, the </w:t>
      </w:r>
      <w:r w:rsidR="00B84408">
        <w:t>enrollee</w:t>
      </w:r>
      <w:r w:rsidR="00B84408" w:rsidRPr="00901179">
        <w:t xml:space="preserve"> </w:t>
      </w:r>
      <w:r w:rsidRPr="00901179">
        <w:t xml:space="preserve">will be referred to appropriate in-network providers for needed services. </w:t>
      </w:r>
      <w:r w:rsidR="00B84408">
        <w:t>Enrollee</w:t>
      </w:r>
      <w:r w:rsidR="00B84408" w:rsidRPr="00936772">
        <w:t xml:space="preserve">s </w:t>
      </w:r>
      <w:r w:rsidRPr="00936772">
        <w:t>with procedures that are scheduled to occur after their new MCO effective date, but that have been authorized by either BMS</w:t>
      </w:r>
      <w:r w:rsidRPr="00901179">
        <w:t xml:space="preserve"> or the </w:t>
      </w:r>
      <w:r w:rsidR="00B84408">
        <w:t>enrollee</w:t>
      </w:r>
      <w:r w:rsidR="00B84408" w:rsidRPr="00901179">
        <w:t xml:space="preserve">’s </w:t>
      </w:r>
      <w:r w:rsidRPr="00901179">
        <w:t xml:space="preserve">original MCO prior to the new MCO effective date will be covered by the </w:t>
      </w:r>
      <w:r w:rsidR="00B84408">
        <w:t>enrollee</w:t>
      </w:r>
      <w:r w:rsidR="00B84408" w:rsidRPr="00901179">
        <w:t xml:space="preserve">’s </w:t>
      </w:r>
      <w:r w:rsidRPr="00901179">
        <w:t xml:space="preserve">new MCO </w:t>
      </w:r>
      <w:r>
        <w:t xml:space="preserve">until the end of the current authorization period as granted by either another MCO or FFS, or until the MCO has evaluated and assessed the </w:t>
      </w:r>
      <w:r w:rsidR="00B84408">
        <w:t xml:space="preserve">enrollee </w:t>
      </w:r>
      <w:r>
        <w:t xml:space="preserve">and issued or denied a new service authorization as outlined in Article III, Section </w:t>
      </w:r>
      <w:r w:rsidR="006A15A6">
        <w:t>6</w:t>
      </w:r>
      <w:r>
        <w:t>.4.1.</w:t>
      </w:r>
    </w:p>
    <w:p w14:paraId="3B26D881" w14:textId="483CCE76" w:rsidR="00F60EB0" w:rsidRPr="00901179" w:rsidRDefault="00B84408" w:rsidP="00257641">
      <w:pPr>
        <w:rPr>
          <w:rFonts w:cs="Arial"/>
          <w:noProof w:val="0"/>
          <w:szCs w:val="22"/>
        </w:rPr>
      </w:pPr>
      <w:r>
        <w:rPr>
          <w:rFonts w:cs="Arial"/>
          <w:noProof w:val="0"/>
          <w:szCs w:val="22"/>
        </w:rPr>
        <w:t>Enrollee</w:t>
      </w:r>
      <w:r w:rsidRPr="00901179">
        <w:rPr>
          <w:rFonts w:cs="Arial"/>
          <w:noProof w:val="0"/>
          <w:szCs w:val="22"/>
        </w:rPr>
        <w:t xml:space="preserve">s </w:t>
      </w:r>
      <w:r w:rsidR="00F60EB0" w:rsidRPr="00901179">
        <w:rPr>
          <w:rFonts w:cs="Arial"/>
          <w:noProof w:val="0"/>
          <w:szCs w:val="22"/>
        </w:rPr>
        <w:t xml:space="preserve">that are in ongoing outpatient treatment that has been covered by BMS or another MCO prior to their new MCO effective date will be covered by the new MCO </w:t>
      </w:r>
      <w:r w:rsidR="00F60EB0">
        <w:t xml:space="preserve">until the end of the current authorization period as granted by either another MCO or FFS, or until the MCO has evaluated and assessed the </w:t>
      </w:r>
      <w:r>
        <w:t xml:space="preserve">enrollee </w:t>
      </w:r>
      <w:r w:rsidR="00F60EB0">
        <w:t xml:space="preserve">and issued or denied a new service authorization as outlined in Article III, Section </w:t>
      </w:r>
      <w:r w:rsidR="00F20B6F">
        <w:t>6</w:t>
      </w:r>
      <w:r w:rsidR="00F60EB0">
        <w:t>.4.1</w:t>
      </w:r>
      <w:r w:rsidR="00F60EB0" w:rsidRPr="00901179">
        <w:rPr>
          <w:rFonts w:cs="Arial"/>
          <w:noProof w:val="0"/>
          <w:szCs w:val="22"/>
        </w:rPr>
        <w:t xml:space="preserve">. </w:t>
      </w:r>
    </w:p>
    <w:p w14:paraId="03539CB0" w14:textId="4DDB198D" w:rsidR="00F60EB0" w:rsidRDefault="00F60EB0" w:rsidP="00257641">
      <w:r w:rsidRPr="00901179">
        <w:t xml:space="preserve">The MCO will monitor providers to ensure transition of care from one entity to another to include discharge planning as appropriate. Consistent with federal and state laws, Medicaid FFS or the MCO that was previously serving the enrollee will fully and timely comply with requests for historical utilization data from the new MCO or with requests for copies of </w:t>
      </w:r>
      <w:r w:rsidR="00B84408">
        <w:t>enrollee</w:t>
      </w:r>
      <w:r w:rsidR="00B84408" w:rsidRPr="00901179">
        <w:t xml:space="preserve"> </w:t>
      </w:r>
      <w:r w:rsidRPr="00901179">
        <w:t xml:space="preserve">medical records from the </w:t>
      </w:r>
      <w:r w:rsidR="00B84408">
        <w:t>enrollee</w:t>
      </w:r>
      <w:r w:rsidR="00B84408" w:rsidRPr="00901179">
        <w:t xml:space="preserve">’s </w:t>
      </w:r>
      <w:r w:rsidRPr="00901179">
        <w:t>new provider(s), as appropriate.</w:t>
      </w:r>
      <w:r w:rsidRPr="004F15FE">
        <w:t xml:space="preserve"> </w:t>
      </w:r>
    </w:p>
    <w:p w14:paraId="0FB6184C" w14:textId="59F8D50C" w:rsidR="009A0060" w:rsidRPr="00DF1D1C" w:rsidRDefault="0087784B" w:rsidP="00257641">
      <w:pPr>
        <w:pStyle w:val="Heading3"/>
      </w:pPr>
      <w:bookmarkStart w:id="152" w:name="_Toc73441807"/>
      <w:bookmarkStart w:id="153" w:name="_Toc8129037"/>
      <w:r>
        <w:t>6</w:t>
      </w:r>
      <w:r w:rsidR="009A0060" w:rsidRPr="00DF1D1C">
        <w:t>.4</w:t>
      </w:r>
      <w:r w:rsidR="009A0060" w:rsidRPr="00DF1D1C">
        <w:tab/>
        <w:t>Service Authorization</w:t>
      </w:r>
      <w:bookmarkEnd w:id="152"/>
      <w:r w:rsidR="009E7315">
        <w:t xml:space="preserve"> (Prior Authorization)</w:t>
      </w:r>
      <w:bookmarkEnd w:id="153"/>
      <w:r w:rsidR="009A0060" w:rsidRPr="00DF1D1C">
        <w:t xml:space="preserve"> </w:t>
      </w:r>
    </w:p>
    <w:p w14:paraId="57CEE111" w14:textId="206F757A" w:rsidR="009A0060" w:rsidRPr="00DF1D1C" w:rsidRDefault="00326323" w:rsidP="00257641">
      <w:r>
        <w:t>The MCO must adopt service authorization requirements that comply with state and federal laws governing authorization of health care services</w:t>
      </w:r>
      <w:r w:rsidR="00854A8E">
        <w:t>, including, but not limited to, West Virginia Code §33-25A-8s</w:t>
      </w:r>
      <w:r>
        <w:t xml:space="preserve">. </w:t>
      </w:r>
      <w:r w:rsidR="009A0060" w:rsidRPr="00DF1D1C">
        <w:t>The MCO must develop</w:t>
      </w:r>
      <w:r>
        <w:t>, maintain</w:t>
      </w:r>
      <w:r w:rsidR="004646FE">
        <w:t>,</w:t>
      </w:r>
      <w:r w:rsidR="009A0060" w:rsidRPr="00DF1D1C">
        <w:t xml:space="preserve"> and implement written policies and procedures, reflecting current standards of medical practice, for processing requests for initial authorization of services or requests for continuation of services. The policies must provide for consultation with the requesting provider when appropriate and must have mechanisms to ensure consistent application of review criteria and compatible decisions. The policies must specify information sources and the process used to review and approve the provision of medical services</w:t>
      </w:r>
      <w:r w:rsidR="0078080B" w:rsidRPr="00DF1D1C">
        <w:t xml:space="preserve">. </w:t>
      </w:r>
      <w:r w:rsidR="009A0060" w:rsidRPr="00DF1D1C">
        <w:t xml:space="preserve">The plan </w:t>
      </w:r>
      <w:r w:rsidR="009A0060" w:rsidRPr="00DF1D1C">
        <w:lastRenderedPageBreak/>
        <w:t>must have mechanisms to detect both underutilization and overutilization of services</w:t>
      </w:r>
      <w:r w:rsidR="0078080B" w:rsidRPr="00DF1D1C">
        <w:t xml:space="preserve">. </w:t>
      </w:r>
      <w:r w:rsidR="009A0060" w:rsidRPr="00DF1D1C">
        <w:t>Criteria for decisions on coverage and medical necessity must be clearly documented, based on reasonable medical evidence or a consensus of relevant health care professionals, and regularly updated</w:t>
      </w:r>
      <w:r w:rsidR="0078080B" w:rsidRPr="00DF1D1C">
        <w:t xml:space="preserve">. </w:t>
      </w:r>
      <w:r w:rsidR="009A0060" w:rsidRPr="00DF1D1C">
        <w:t xml:space="preserve">The MCO </w:t>
      </w:r>
      <w:r w:rsidR="00AE595F">
        <w:t>must</w:t>
      </w:r>
      <w:r w:rsidR="009A0060" w:rsidRPr="00DF1D1C">
        <w:t xml:space="preserve"> ensure that the services are sufficient in amount, duration, and scope to reasonably be expected to achieve the purpose for which the services are furnished.</w:t>
      </w:r>
    </w:p>
    <w:p w14:paraId="369D31A0" w14:textId="72BA97E6" w:rsidR="009A0060" w:rsidRPr="00DF1D1C" w:rsidRDefault="009A0060" w:rsidP="00257641">
      <w:r w:rsidRPr="00DF1D1C">
        <w:t>Decisions to deny service authorization or to authorize a service in amount, duration or scope that is less than requested must be made by a health care professional who has appropriate clinical expertise in treating the enrollee</w:t>
      </w:r>
      <w:r w:rsidR="00FA1C0C" w:rsidRPr="00DF1D1C">
        <w:t>’</w:t>
      </w:r>
      <w:r w:rsidRPr="00DF1D1C">
        <w:t>s condition or disease</w:t>
      </w:r>
      <w:r w:rsidR="00441757">
        <w:t xml:space="preserve"> and who has knowledge of local patterns of care, </w:t>
      </w:r>
      <w:r w:rsidRPr="00DF1D1C">
        <w:t xml:space="preserve">as determined by </w:t>
      </w:r>
      <w:r w:rsidR="00D70FC7">
        <w:t>DHHR</w:t>
      </w:r>
      <w:r w:rsidR="0078080B" w:rsidRPr="00DF1D1C">
        <w:t xml:space="preserve">. </w:t>
      </w:r>
      <w:r w:rsidR="005C4F7A">
        <w:t>As stated in Article II, Section 4.</w:t>
      </w:r>
      <w:r w:rsidR="008942AD">
        <w:t>1</w:t>
      </w:r>
      <w:r w:rsidR="004262F9">
        <w:t>0</w:t>
      </w:r>
      <w:r w:rsidR="005C4F7A">
        <w:t xml:space="preserve"> of this Contract, t</w:t>
      </w:r>
      <w:r w:rsidRPr="00DF1D1C">
        <w:t xml:space="preserve">he MCO </w:t>
      </w:r>
      <w:r w:rsidR="00AE595F">
        <w:t>may</w:t>
      </w:r>
      <w:r w:rsidRPr="00DF1D1C">
        <w:t xml:space="preserve"> not arbitrarily deny or reduce the amount, duration, or scope of a required service solely because of diagnosis, type of illness, or condition of the beneficiary</w:t>
      </w:r>
      <w:r w:rsidR="0078080B" w:rsidRPr="00DF1D1C">
        <w:t xml:space="preserve">. </w:t>
      </w:r>
      <w:r w:rsidRPr="00DF1D1C">
        <w:t>The MCO may place appropriate limits on a service on the basis of criteria such as medical necessity; or for utilization control, provided the services furnished can reasonably be expected to achieve their purpose.</w:t>
      </w:r>
    </w:p>
    <w:p w14:paraId="4785A8E8" w14:textId="77777777" w:rsidR="009A0060" w:rsidRPr="00DF1D1C" w:rsidRDefault="009A0060" w:rsidP="00257641">
      <w:r w:rsidRPr="00DF1D1C">
        <w:t>Admission, continued stay, and discharge criteria used by the MCO should be communicated to all providers and enrollees when appropriate, and to individual enrollees when requested</w:t>
      </w:r>
      <w:r w:rsidR="0078080B" w:rsidRPr="00DF1D1C">
        <w:t xml:space="preserve">. </w:t>
      </w:r>
      <w:r w:rsidRPr="00DF1D1C">
        <w:t>In the case of any decision to deny, limit, or discontinue authorization of services, the MCO must notify the requesting provider and provide the enrollee written notice of such decision</w:t>
      </w:r>
      <w:r w:rsidR="0078080B" w:rsidRPr="00DF1D1C">
        <w:t xml:space="preserve">. </w:t>
      </w:r>
      <w:r w:rsidRPr="00DF1D1C">
        <w:t>The notice must meet the standards set forth in this contract.</w:t>
      </w:r>
    </w:p>
    <w:p w14:paraId="6DADA7B1" w14:textId="7CD932B6" w:rsidR="009A0060" w:rsidRDefault="009A0060" w:rsidP="00257641">
      <w:r w:rsidRPr="00DF1D1C">
        <w:t xml:space="preserve">The MCO must make authorization decisions and </w:t>
      </w:r>
      <w:r w:rsidR="00135B12" w:rsidRPr="0043697A">
        <w:t>in the event of an authorization denial,</w:t>
      </w:r>
      <w:r w:rsidR="00135B12">
        <w:t xml:space="preserve"> </w:t>
      </w:r>
      <w:r w:rsidRPr="00DF1D1C">
        <w:t xml:space="preserve">provide </w:t>
      </w:r>
      <w:r w:rsidR="00D275AF">
        <w:t xml:space="preserve">written </w:t>
      </w:r>
      <w:r w:rsidRPr="00DF1D1C">
        <w:t xml:space="preserve">notice </w:t>
      </w:r>
      <w:r w:rsidR="00D275AF">
        <w:t xml:space="preserve">to the requesting provider and enrollee </w:t>
      </w:r>
      <w:r w:rsidRPr="00DF1D1C">
        <w:t>as expeditiously as required by the enrollee</w:t>
      </w:r>
      <w:r w:rsidR="00FA1C0C" w:rsidRPr="00DF1D1C">
        <w:t>’</w:t>
      </w:r>
      <w:r w:rsidRPr="00DF1D1C">
        <w:t>s health condition</w:t>
      </w:r>
      <w:r w:rsidR="00E65CE2">
        <w:t>,</w:t>
      </w:r>
      <w:r w:rsidRPr="00DF1D1C">
        <w:t xml:space="preserve"> and </w:t>
      </w:r>
      <w:r w:rsidR="00AC4586">
        <w:t xml:space="preserve">no later than </w:t>
      </w:r>
      <w:r w:rsidR="009277B1">
        <w:t>seven</w:t>
      </w:r>
      <w:r w:rsidR="00837238">
        <w:t xml:space="preserve"> </w:t>
      </w:r>
      <w:r w:rsidR="007F305B">
        <w:t>(</w:t>
      </w:r>
      <w:r w:rsidR="009277B1">
        <w:t>7</w:t>
      </w:r>
      <w:r w:rsidR="007F305B">
        <w:t>)</w:t>
      </w:r>
      <w:r w:rsidR="00F33B38">
        <w:t xml:space="preserve"> </w:t>
      </w:r>
      <w:r w:rsidR="00F33B38" w:rsidRPr="00DF1D1C">
        <w:t>calendar</w:t>
      </w:r>
      <w:r w:rsidRPr="00DF1D1C">
        <w:t xml:space="preserve"> days of receiving the request for service for the purposes of standard authorization decisions. This </w:t>
      </w:r>
      <w:r w:rsidR="007155C8">
        <w:t>seven</w:t>
      </w:r>
      <w:r w:rsidR="007F305B">
        <w:t xml:space="preserve"> </w:t>
      </w:r>
      <w:r w:rsidR="000D5879">
        <w:t>(</w:t>
      </w:r>
      <w:r w:rsidR="007155C8">
        <w:t>7</w:t>
      </w:r>
      <w:r w:rsidR="00F33B38">
        <w:t xml:space="preserve">) </w:t>
      </w:r>
      <w:r w:rsidR="00F33B38" w:rsidRPr="00DF1D1C">
        <w:t>calendar</w:t>
      </w:r>
      <w:r w:rsidRPr="00DF1D1C">
        <w:t xml:space="preserve"> day</w:t>
      </w:r>
      <w:r w:rsidR="00A95D87">
        <w:t>s</w:t>
      </w:r>
      <w:r w:rsidRPr="00DF1D1C">
        <w:t xml:space="preserve"> period may be extended up to </w:t>
      </w:r>
      <w:r w:rsidR="007F305B">
        <w:t>fourteen (</w:t>
      </w:r>
      <w:r w:rsidR="00D275AF">
        <w:t>14</w:t>
      </w:r>
      <w:r w:rsidR="007F305B">
        <w:t>)</w:t>
      </w:r>
      <w:r w:rsidR="00F33B38">
        <w:t xml:space="preserve"> </w:t>
      </w:r>
      <w:r w:rsidR="00F33B38" w:rsidRPr="00DF1D1C">
        <w:t>additional</w:t>
      </w:r>
      <w:r w:rsidRPr="00DF1D1C">
        <w:t xml:space="preserve"> </w:t>
      </w:r>
      <w:r w:rsidR="00D8397D">
        <w:t xml:space="preserve">calendar </w:t>
      </w:r>
      <w:r w:rsidRPr="00DF1D1C">
        <w:t xml:space="preserve">days upon request of the enrollee or provider, or if the MCO justifies to </w:t>
      </w:r>
      <w:r w:rsidR="00D70FC7">
        <w:t>DHHR</w:t>
      </w:r>
      <w:r w:rsidR="00D70FC7" w:rsidRPr="00DF1D1C">
        <w:t xml:space="preserve"> </w:t>
      </w:r>
      <w:r w:rsidR="00B0664A">
        <w:t xml:space="preserve">in </w:t>
      </w:r>
      <w:r w:rsidR="00EC721A">
        <w:t xml:space="preserve">advance and in </w:t>
      </w:r>
      <w:r w:rsidR="00B0664A">
        <w:t xml:space="preserve">writing </w:t>
      </w:r>
      <w:r w:rsidR="005D5BE6">
        <w:t xml:space="preserve">a need for additional information and </w:t>
      </w:r>
      <w:r w:rsidR="008D4C49">
        <w:t xml:space="preserve">that </w:t>
      </w:r>
      <w:r w:rsidRPr="00DF1D1C">
        <w:t xml:space="preserve">the enrollee </w:t>
      </w:r>
      <w:r w:rsidR="00241299">
        <w:t>will</w:t>
      </w:r>
      <w:r w:rsidR="00241299" w:rsidRPr="00DF1D1C">
        <w:t xml:space="preserve"> </w:t>
      </w:r>
      <w:r w:rsidRPr="00DF1D1C">
        <w:t xml:space="preserve">benefit from </w:t>
      </w:r>
      <w:r w:rsidR="001A19C7">
        <w:t>such</w:t>
      </w:r>
      <w:r w:rsidR="001A19C7" w:rsidRPr="00DF1D1C">
        <w:t xml:space="preserve"> </w:t>
      </w:r>
      <w:r w:rsidRPr="00DF1D1C">
        <w:t>extension</w:t>
      </w:r>
      <w:r w:rsidR="0078080B" w:rsidRPr="00DF1D1C">
        <w:t xml:space="preserve">. </w:t>
      </w:r>
    </w:p>
    <w:p w14:paraId="386DB932" w14:textId="4E0076CB" w:rsidR="002C633C" w:rsidRPr="00DF1D1C" w:rsidRDefault="00135B12" w:rsidP="00257641">
      <w:r>
        <w:t xml:space="preserve">For at least ninety-five percent </w:t>
      </w:r>
      <w:r w:rsidR="00F60EB0">
        <w:t xml:space="preserve">(95%) </w:t>
      </w:r>
      <w:r>
        <w:t>of authorization requests received, t</w:t>
      </w:r>
      <w:r w:rsidR="002C633C" w:rsidRPr="002C633C">
        <w:t xml:space="preserve">he MCO must make </w:t>
      </w:r>
      <w:r>
        <w:t xml:space="preserve">an </w:t>
      </w:r>
      <w:r w:rsidR="002C633C" w:rsidRPr="002C633C">
        <w:t xml:space="preserve">authorization decision and </w:t>
      </w:r>
      <w:r w:rsidRPr="0043697A">
        <w:t>in the event of an authorization denial,</w:t>
      </w:r>
      <w:r>
        <w:t xml:space="preserve"> send a </w:t>
      </w:r>
      <w:r w:rsidR="002C633C" w:rsidRPr="002C633C">
        <w:t xml:space="preserve">written notice within seven (7) calendar days of </w:t>
      </w:r>
      <w:r>
        <w:t>receipt of the authorization request</w:t>
      </w:r>
      <w:r w:rsidR="002C633C" w:rsidRPr="002C633C">
        <w:t>.</w:t>
      </w:r>
      <w:r w:rsidR="003150A4">
        <w:t xml:space="preserve"> </w:t>
      </w:r>
      <w:r w:rsidR="002C633C" w:rsidRPr="002C633C">
        <w:t xml:space="preserve">Failure to </w:t>
      </w:r>
      <w:r>
        <w:t xml:space="preserve">meet </w:t>
      </w:r>
      <w:r w:rsidR="00621BCF">
        <w:t xml:space="preserve">the </w:t>
      </w:r>
      <w:r w:rsidR="00D970E0">
        <w:t>ninety-five percent</w:t>
      </w:r>
      <w:r w:rsidR="002C633C" w:rsidRPr="002C633C">
        <w:t xml:space="preserve"> </w:t>
      </w:r>
      <w:r w:rsidR="00F60EB0">
        <w:t>(</w:t>
      </w:r>
      <w:r w:rsidR="00F60EB0" w:rsidRPr="002C633C">
        <w:t>95</w:t>
      </w:r>
      <w:r w:rsidR="00F60EB0">
        <w:t xml:space="preserve">%) </w:t>
      </w:r>
      <w:r w:rsidR="00621BCF">
        <w:t xml:space="preserve">SLA </w:t>
      </w:r>
      <w:r w:rsidR="002C633C" w:rsidRPr="002C633C">
        <w:t xml:space="preserve">in a given quarter, will result in </w:t>
      </w:r>
      <w:r>
        <w:t>liquidated damages</w:t>
      </w:r>
      <w:r w:rsidR="002C633C" w:rsidRPr="002C633C">
        <w:t xml:space="preserve"> of $250,000 for each quarter in which that threshold is not met</w:t>
      </w:r>
      <w:r>
        <w:t xml:space="preserve"> as outlined in Appendix </w:t>
      </w:r>
      <w:r w:rsidR="00AF588A">
        <w:t>F</w:t>
      </w:r>
      <w:r w:rsidR="002C633C" w:rsidRPr="002C633C">
        <w:t>.</w:t>
      </w:r>
    </w:p>
    <w:p w14:paraId="3A072238" w14:textId="1EB9B689" w:rsidR="009A0060" w:rsidRDefault="009A0060" w:rsidP="00257641">
      <w:r w:rsidRPr="00DF1D1C">
        <w:t>The MCO must provide an expedited authorization for services when the provider indicates that the standard timeframe could seriously jeopardize the enrollee</w:t>
      </w:r>
      <w:r w:rsidR="00FA1C0C" w:rsidRPr="00DF1D1C">
        <w:t>’</w:t>
      </w:r>
      <w:r w:rsidRPr="00DF1D1C">
        <w:t>s life or health or ability to attain, maintain, or regain maximum function</w:t>
      </w:r>
      <w:r w:rsidR="0078080B" w:rsidRPr="00DF1D1C">
        <w:t xml:space="preserve">. </w:t>
      </w:r>
      <w:r w:rsidRPr="00DF1D1C">
        <w:t>The MCO must make the expedited authorization decision and provide notice to the enrollee as expeditiously as the enrollee</w:t>
      </w:r>
      <w:r w:rsidR="00FA1C0C" w:rsidRPr="00DF1D1C">
        <w:t>’</w:t>
      </w:r>
      <w:r w:rsidRPr="00DF1D1C">
        <w:t xml:space="preserve">s health condition requires, </w:t>
      </w:r>
      <w:r w:rsidR="00690800">
        <w:t>but</w:t>
      </w:r>
      <w:r w:rsidR="00690800" w:rsidRPr="00DF1D1C">
        <w:t xml:space="preserve"> </w:t>
      </w:r>
      <w:r w:rsidRPr="00DF1D1C">
        <w:t>no later than</w:t>
      </w:r>
      <w:r w:rsidR="00340FEA">
        <w:t xml:space="preserve"> </w:t>
      </w:r>
      <w:r w:rsidR="00FD234C">
        <w:t xml:space="preserve">two (2) business days </w:t>
      </w:r>
      <w:r w:rsidRPr="00DF1D1C">
        <w:t>after receipt of the request for service</w:t>
      </w:r>
      <w:r w:rsidR="00E26130">
        <w:t xml:space="preserve"> authorization</w:t>
      </w:r>
      <w:r w:rsidRPr="00DF1D1C">
        <w:t xml:space="preserve">. This </w:t>
      </w:r>
      <w:r w:rsidR="00FD234C">
        <w:t>two (2)</w:t>
      </w:r>
      <w:r w:rsidR="00BF2BA8">
        <w:t xml:space="preserve"> day</w:t>
      </w:r>
      <w:r w:rsidR="00FD234C">
        <w:t xml:space="preserve"> business</w:t>
      </w:r>
      <w:r w:rsidR="00837238">
        <w:t xml:space="preserve"> </w:t>
      </w:r>
      <w:r w:rsidRPr="00DF1D1C">
        <w:t>period may be extended up to</w:t>
      </w:r>
      <w:r w:rsidR="00436626">
        <w:t xml:space="preserve"> forty-eight (48) hours for expedited preservice authorizations and up to seventy-two (72) hours for expedited concurrent reviews</w:t>
      </w:r>
      <w:r w:rsidRPr="00DF1D1C">
        <w:t xml:space="preserve"> upon request of the enrollee</w:t>
      </w:r>
      <w:r w:rsidR="003254D7">
        <w:t xml:space="preserve"> </w:t>
      </w:r>
      <w:r w:rsidRPr="00DF1D1C">
        <w:t xml:space="preserve">or if the MCO justifies to </w:t>
      </w:r>
      <w:r w:rsidR="00D70FC7">
        <w:t>DHHR</w:t>
      </w:r>
      <w:r w:rsidR="00D70FC7" w:rsidRPr="00DF1D1C">
        <w:t xml:space="preserve"> </w:t>
      </w:r>
      <w:r w:rsidR="00B0664A">
        <w:t xml:space="preserve">in </w:t>
      </w:r>
      <w:r w:rsidR="004675E0">
        <w:t xml:space="preserve">advance and in </w:t>
      </w:r>
      <w:r w:rsidR="00F33B38">
        <w:t xml:space="preserve">writing </w:t>
      </w:r>
      <w:r w:rsidR="00F427A3">
        <w:t xml:space="preserve">a need for additional information and </w:t>
      </w:r>
      <w:r w:rsidR="00F33B38">
        <w:t xml:space="preserve">that </w:t>
      </w:r>
      <w:r w:rsidR="00F33B38" w:rsidRPr="00DF1D1C">
        <w:t>the</w:t>
      </w:r>
      <w:r w:rsidRPr="00DF1D1C">
        <w:t xml:space="preserve"> enrollee </w:t>
      </w:r>
      <w:r w:rsidR="00F91518">
        <w:t>will</w:t>
      </w:r>
      <w:r w:rsidR="00F91518" w:rsidRPr="00DF1D1C">
        <w:t xml:space="preserve"> </w:t>
      </w:r>
      <w:r w:rsidRPr="00DF1D1C">
        <w:t xml:space="preserve">benefit from </w:t>
      </w:r>
      <w:r w:rsidR="00F33B38">
        <w:t xml:space="preserve">such </w:t>
      </w:r>
      <w:r w:rsidR="00F33B38" w:rsidRPr="00DF1D1C">
        <w:t>extension</w:t>
      </w:r>
      <w:r w:rsidRPr="00DF1D1C">
        <w:t>.</w:t>
      </w:r>
      <w:r w:rsidR="004675E0">
        <w:t xml:space="preserve"> </w:t>
      </w:r>
    </w:p>
    <w:p w14:paraId="6B1A4C2A" w14:textId="0C24DBFA" w:rsidR="00FC742F" w:rsidRPr="00DF1D1C" w:rsidRDefault="00FC742F" w:rsidP="00257641">
      <w:r>
        <w:t>If the MCO places authorization requirements on durable medical equipment or other services necessary for a</w:t>
      </w:r>
      <w:r w:rsidR="00B84408">
        <w:t>n</w:t>
      </w:r>
      <w:r>
        <w:t xml:space="preserve"> </w:t>
      </w:r>
      <w:r w:rsidR="00B84408">
        <w:t xml:space="preserve">enrollee </w:t>
      </w:r>
      <w:r>
        <w:t xml:space="preserve">to be discharged from an inpatient stay, the MCO must provide a </w:t>
      </w:r>
      <w:r>
        <w:lastRenderedPageBreak/>
        <w:t xml:space="preserve">process for review of the service request within </w:t>
      </w:r>
      <w:r w:rsidR="00FD234C">
        <w:t xml:space="preserve">two (2) business days </w:t>
      </w:r>
      <w:r>
        <w:t xml:space="preserve">so as not to delay the </w:t>
      </w:r>
      <w:r w:rsidR="00B84408">
        <w:t xml:space="preserve">enrollee’s </w:t>
      </w:r>
      <w:r>
        <w:t xml:space="preserve">discharge. The MCO is </w:t>
      </w:r>
      <w:r w:rsidR="00F74BFB">
        <w:t>prohibited</w:t>
      </w:r>
      <w:r>
        <w:t xml:space="preserve"> from placing </w:t>
      </w:r>
      <w:r w:rsidR="00F74BFB">
        <w:t>prior authorization requirements on oxygen</w:t>
      </w:r>
      <w:r w:rsidR="00BF2BA8">
        <w:t xml:space="preserve"> concentrators</w:t>
      </w:r>
      <w:r w:rsidR="00F74BFB">
        <w:t>.</w:t>
      </w:r>
    </w:p>
    <w:p w14:paraId="3EB88DFE" w14:textId="77777777" w:rsidR="009A0060" w:rsidRDefault="009A0060" w:rsidP="00257641">
      <w:r w:rsidRPr="00DF1D1C">
        <w:t>The MCO may not structure compensation to persons or organizations conducting utilization management activities so as to provide inappropriate incentives for denial, limitation</w:t>
      </w:r>
      <w:r w:rsidR="00FA1C0C" w:rsidRPr="00DF1D1C">
        <w:t>,</w:t>
      </w:r>
      <w:r w:rsidRPr="00DF1D1C">
        <w:t xml:space="preserve"> or disco</w:t>
      </w:r>
      <w:r w:rsidR="00F40583">
        <w:t>ntinuation of authorization of Medically N</w:t>
      </w:r>
      <w:r w:rsidRPr="00DF1D1C">
        <w:t xml:space="preserve">ecessary </w:t>
      </w:r>
      <w:r w:rsidR="00F40583">
        <w:t xml:space="preserve">covered </w:t>
      </w:r>
      <w:r w:rsidRPr="00DF1D1C">
        <w:t>services</w:t>
      </w:r>
      <w:r w:rsidR="0078080B" w:rsidRPr="00DF1D1C">
        <w:t xml:space="preserve">. </w:t>
      </w:r>
    </w:p>
    <w:p w14:paraId="492C2656" w14:textId="3436E561" w:rsidR="0066705C" w:rsidRPr="0066705C" w:rsidRDefault="0087784B" w:rsidP="00257641">
      <w:pPr>
        <w:pStyle w:val="StyleHeading4After0pt"/>
      </w:pPr>
      <w:r>
        <w:t>6</w:t>
      </w:r>
      <w:r w:rsidR="008C78A4">
        <w:t xml:space="preserve">.4.1 </w:t>
      </w:r>
      <w:r w:rsidR="0032433A">
        <w:t xml:space="preserve">Service Authorization </w:t>
      </w:r>
      <w:r w:rsidR="0066705C" w:rsidRPr="0066705C">
        <w:t>Continuity of Care</w:t>
      </w:r>
      <w:r w:rsidR="0066705C">
        <w:t xml:space="preserve"> </w:t>
      </w:r>
    </w:p>
    <w:p w14:paraId="3DC77BA5" w14:textId="7D17C9B4" w:rsidR="00F809F3" w:rsidRDefault="00F809F3" w:rsidP="00257641">
      <w:r>
        <w:t xml:space="preserve">The MCO must ensure that the care of enrolled </w:t>
      </w:r>
      <w:r w:rsidR="00873969">
        <w:t xml:space="preserve">enrollees </w:t>
      </w:r>
      <w:r>
        <w:t xml:space="preserve">is not disrupted or interrupted. </w:t>
      </w:r>
    </w:p>
    <w:p w14:paraId="28DF50F2" w14:textId="77777777" w:rsidR="00564CC7" w:rsidRDefault="00564CC7" w:rsidP="00257641">
      <w:r>
        <w:t>The MCO cannot require service authorization as a condition for payment for emergency care.</w:t>
      </w:r>
      <w:r w:rsidR="00832FA5">
        <w:t xml:space="preserve"> The MCO cannot require service authorization for family planning services whether rendered by a network or out-of-network provider.</w:t>
      </w:r>
    </w:p>
    <w:p w14:paraId="1A310BE3" w14:textId="6B0A0CB1" w:rsidR="00D10465" w:rsidRDefault="00D10465" w:rsidP="00257641">
      <w:r>
        <w:t xml:space="preserve">The MCO must provide </w:t>
      </w:r>
      <w:r w:rsidR="00D970E0">
        <w:t xml:space="preserve">a </w:t>
      </w:r>
      <w:r w:rsidR="004A3677">
        <w:t>thirty (</w:t>
      </w:r>
      <w:r>
        <w:t>30</w:t>
      </w:r>
      <w:r w:rsidR="004A3677">
        <w:t>)</w:t>
      </w:r>
      <w:r>
        <w:t xml:space="preserve"> </w:t>
      </w:r>
      <w:r w:rsidR="00BF2BA8">
        <w:t xml:space="preserve">calendar </w:t>
      </w:r>
      <w:r>
        <w:t>day notice to p</w:t>
      </w:r>
      <w:r w:rsidRPr="00D10465">
        <w:t xml:space="preserve">roviders before implementing changes to policies and procedures affecting the </w:t>
      </w:r>
      <w:r>
        <w:t>service</w:t>
      </w:r>
      <w:r w:rsidRPr="00D10465">
        <w:t xml:space="preserve"> authorization process. However, in the case of suspected frau</w:t>
      </w:r>
      <w:r>
        <w:t>d, waste, or abuse by a single p</w:t>
      </w:r>
      <w:r w:rsidRPr="00D10465">
        <w:t xml:space="preserve">rovider, the MCO may implement changes to policies and procedures affecting the </w:t>
      </w:r>
      <w:r>
        <w:t>service</w:t>
      </w:r>
      <w:r w:rsidRPr="00D10465">
        <w:t xml:space="preserve"> authorization process without the required notice period.</w:t>
      </w:r>
    </w:p>
    <w:p w14:paraId="10ED3938" w14:textId="559ED172" w:rsidR="00843189" w:rsidRDefault="00843189" w:rsidP="00257641">
      <w:r w:rsidRPr="00843189">
        <w:t xml:space="preserve">The MCO must establish a process by which it obtains authorization and claims data from the </w:t>
      </w:r>
      <w:r w:rsidR="00873969">
        <w:t>enrollee</w:t>
      </w:r>
      <w:r w:rsidR="00873969" w:rsidRPr="00843189">
        <w:t xml:space="preserve">’s </w:t>
      </w:r>
      <w:r w:rsidRPr="00843189">
        <w:t>previous Medicaid provider to prevent access to care issues.</w:t>
      </w:r>
      <w:r w:rsidR="003150A4">
        <w:t xml:space="preserve"> </w:t>
      </w:r>
      <w:r w:rsidRPr="00843189">
        <w:t xml:space="preserve">The MCO </w:t>
      </w:r>
      <w:r w:rsidR="00867BB7">
        <w:t>must</w:t>
      </w:r>
      <w:r w:rsidR="00867BB7" w:rsidRPr="00843189">
        <w:t xml:space="preserve"> </w:t>
      </w:r>
      <w:r w:rsidRPr="00843189">
        <w:t>outline this process as an operational procedure document and submit to the Department for review and approval annually by July 1.</w:t>
      </w:r>
      <w:r w:rsidR="003150A4">
        <w:t xml:space="preserve"> </w:t>
      </w:r>
      <w:r w:rsidRPr="00843189">
        <w:t xml:space="preserve">For new </w:t>
      </w:r>
      <w:r w:rsidR="00873969">
        <w:t>enrollee</w:t>
      </w:r>
      <w:r w:rsidR="00873969" w:rsidRPr="00843189">
        <w:t>s</w:t>
      </w:r>
      <w:r w:rsidRPr="00843189">
        <w:t xml:space="preserve">, the MCO must allow the </w:t>
      </w:r>
      <w:r w:rsidR="00873969">
        <w:t>enrollee</w:t>
      </w:r>
      <w:r w:rsidR="00873969" w:rsidRPr="00843189">
        <w:t xml:space="preserve"> </w:t>
      </w:r>
      <w:r w:rsidRPr="00843189">
        <w:t>to continue to see existing providers for at least ninety (90</w:t>
      </w:r>
      <w:r>
        <w:t>)</w:t>
      </w:r>
      <w:r w:rsidRPr="00843189">
        <w:t xml:space="preserve"> days as a transition of care policy.</w:t>
      </w:r>
    </w:p>
    <w:p w14:paraId="66A1D13D" w14:textId="2E266F99" w:rsidR="00D10465" w:rsidRPr="00D10465" w:rsidRDefault="00843189" w:rsidP="00257641">
      <w:r>
        <w:t xml:space="preserve">In the event of documentation submission by a provider, placement agent, caseworker, </w:t>
      </w:r>
      <w:r w:rsidR="00873969">
        <w:t xml:space="preserve">enrollee </w:t>
      </w:r>
      <w:r>
        <w:t xml:space="preserve">or other third-party representative </w:t>
      </w:r>
      <w:r w:rsidR="00FC0FF9">
        <w:t xml:space="preserve">of the existence of a service authorization, the MCO must ensure </w:t>
      </w:r>
      <w:r w:rsidR="00873969">
        <w:t xml:space="preserve">enrollees </w:t>
      </w:r>
      <w:r w:rsidR="00FC0FF9">
        <w:t>receiving services through a service authorization from either another MCO or FFS receive continued authorization of those services for the same amount, duration, and scope for the shortest period of one of the following: (</w:t>
      </w:r>
      <w:r w:rsidR="003C13AB">
        <w:t>1</w:t>
      </w:r>
      <w:r w:rsidR="00FC0FF9">
        <w:t>) until the end of the current authorization period</w:t>
      </w:r>
      <w:r w:rsidR="008C2D7B">
        <w:t xml:space="preserve"> as granted by either another MCO or FFS</w:t>
      </w:r>
      <w:r w:rsidR="00FC0FF9">
        <w:t>, or (</w:t>
      </w:r>
      <w:r w:rsidR="003C13AB">
        <w:t>2</w:t>
      </w:r>
      <w:r w:rsidR="00FC0FF9">
        <w:t xml:space="preserve">) until the MCO has evaluated and assessed the </w:t>
      </w:r>
      <w:r w:rsidR="00873969">
        <w:t xml:space="preserve">enrollee </w:t>
      </w:r>
      <w:r w:rsidR="00FC0FF9">
        <w:t xml:space="preserve">and issued or denied a new </w:t>
      </w:r>
      <w:r w:rsidR="00010FF1">
        <w:t xml:space="preserve">service </w:t>
      </w:r>
      <w:r w:rsidR="00FC0FF9">
        <w:t>authorization.</w:t>
      </w:r>
    </w:p>
    <w:p w14:paraId="68E4FFD4" w14:textId="02B47165" w:rsidR="009A0060" w:rsidRPr="005C2321" w:rsidRDefault="0087784B" w:rsidP="00257641">
      <w:pPr>
        <w:pStyle w:val="Heading3"/>
      </w:pPr>
      <w:bookmarkStart w:id="154" w:name="_Toc73441808"/>
      <w:bookmarkStart w:id="155" w:name="_Toc8129038"/>
      <w:r>
        <w:t>6</w:t>
      </w:r>
      <w:r w:rsidR="009A0060" w:rsidRPr="00DF1D1C">
        <w:t>.5</w:t>
      </w:r>
      <w:r w:rsidR="009A0060" w:rsidRPr="00DF1D1C">
        <w:tab/>
        <w:t>Rural Option</w:t>
      </w:r>
      <w:bookmarkEnd w:id="154"/>
      <w:bookmarkEnd w:id="155"/>
      <w:r w:rsidR="009A0060" w:rsidRPr="005C2321">
        <w:t xml:space="preserve"> </w:t>
      </w:r>
    </w:p>
    <w:p w14:paraId="34374CB8" w14:textId="3FC47F8D" w:rsidR="00FC71EF" w:rsidRPr="00DF1D1C" w:rsidRDefault="009A0060" w:rsidP="00257641">
      <w:pPr>
        <w:pStyle w:val="normal6"/>
      </w:pPr>
      <w:r w:rsidRPr="00DF1D1C">
        <w:t xml:space="preserve">If the MCO is the single MCO contracted to provide services in a rural county as permitted in 42 CFR 438.52, the MCO </w:t>
      </w:r>
      <w:r w:rsidR="00AE595F">
        <w:t>will</w:t>
      </w:r>
      <w:r w:rsidRPr="00DF1D1C">
        <w:t xml:space="preserve"> permit enrollees to </w:t>
      </w:r>
      <w:r w:rsidR="000533EE" w:rsidRPr="00DF1D1C">
        <w:t xml:space="preserve">choose from at least two </w:t>
      </w:r>
      <w:r w:rsidR="001163D7">
        <w:t xml:space="preserve">(2) </w:t>
      </w:r>
      <w:r w:rsidR="000533EE" w:rsidRPr="00DF1D1C">
        <w:t xml:space="preserve">physicians, and to </w:t>
      </w:r>
      <w:r w:rsidRPr="00DF1D1C">
        <w:t xml:space="preserve">obtain services from </w:t>
      </w:r>
      <w:r w:rsidR="00FF5099" w:rsidRPr="00DF1D1C">
        <w:t>an out-of-network</w:t>
      </w:r>
      <w:r w:rsidRPr="00DF1D1C">
        <w:t xml:space="preserve"> provider </w:t>
      </w:r>
      <w:r w:rsidR="00FC71EF" w:rsidRPr="00DF1D1C">
        <w:t>under any of the following circumstances:</w:t>
      </w:r>
    </w:p>
    <w:p w14:paraId="48870D7A" w14:textId="77777777" w:rsidR="00FC71EF" w:rsidRPr="00DF1D1C" w:rsidRDefault="00FC71EF" w:rsidP="00257641">
      <w:pPr>
        <w:pStyle w:val="bullet1"/>
      </w:pPr>
      <w:r w:rsidRPr="00DF1D1C">
        <w:t>The service or type of provider, in terms of training, experience, and specialization, is not available within the MCO network;</w:t>
      </w:r>
    </w:p>
    <w:p w14:paraId="001CEAF9" w14:textId="32B55F31" w:rsidR="00FC71EF" w:rsidRPr="00DF1D1C" w:rsidRDefault="00FC71EF" w:rsidP="00257641">
      <w:pPr>
        <w:pStyle w:val="bullet1"/>
      </w:pPr>
      <w:r w:rsidRPr="00DF1D1C">
        <w:t>T</w:t>
      </w:r>
      <w:r w:rsidR="009A0060" w:rsidRPr="00DF1D1C">
        <w:t>he enrollee</w:t>
      </w:r>
      <w:r w:rsidR="00FA1C0C" w:rsidRPr="00DF1D1C">
        <w:t>’</w:t>
      </w:r>
      <w:r w:rsidR="009A0060" w:rsidRPr="00DF1D1C">
        <w:t xml:space="preserve">s primary care provider or other provider determines that the </w:t>
      </w:r>
      <w:r w:rsidR="00442E8D">
        <w:t>enrollee</w:t>
      </w:r>
      <w:r w:rsidR="00442E8D" w:rsidRPr="00DF1D1C">
        <w:t xml:space="preserve"> </w:t>
      </w:r>
      <w:r w:rsidR="009A0060" w:rsidRPr="00DF1D1C">
        <w:t xml:space="preserve">needs related services that would subject the </w:t>
      </w:r>
      <w:r w:rsidR="00442E8D">
        <w:t>enrollee</w:t>
      </w:r>
      <w:r w:rsidR="00442E8D" w:rsidRPr="00DF1D1C">
        <w:t xml:space="preserve"> </w:t>
      </w:r>
      <w:r w:rsidR="009A0060" w:rsidRPr="00DF1D1C">
        <w:t>to unnecessary risk if received separately and not all of the related services are available within the network</w:t>
      </w:r>
      <w:r w:rsidRPr="00DF1D1C">
        <w:t xml:space="preserve">; or </w:t>
      </w:r>
    </w:p>
    <w:p w14:paraId="706F0A47" w14:textId="0D927988" w:rsidR="009A0060" w:rsidRPr="00DF1D1C" w:rsidRDefault="00D70FC7" w:rsidP="00257641">
      <w:pPr>
        <w:pStyle w:val="bullet1last"/>
      </w:pPr>
      <w:r>
        <w:lastRenderedPageBreak/>
        <w:t>DHHR</w:t>
      </w:r>
      <w:r w:rsidRPr="00DF1D1C">
        <w:t xml:space="preserve"> </w:t>
      </w:r>
      <w:r w:rsidR="000533EE" w:rsidRPr="00DF1D1C">
        <w:t>determine</w:t>
      </w:r>
      <w:r w:rsidR="00FC71EF" w:rsidRPr="00DF1D1C">
        <w:t>s</w:t>
      </w:r>
      <w:r w:rsidR="000533EE" w:rsidRPr="00DF1D1C">
        <w:t xml:space="preserve"> </w:t>
      </w:r>
      <w:r w:rsidR="00FC71EF" w:rsidRPr="00DF1D1C">
        <w:t>that</w:t>
      </w:r>
      <w:r w:rsidR="000533EE" w:rsidRPr="00DF1D1C">
        <w:t xml:space="preserve"> other circumstances warrant out-of-network treatment.</w:t>
      </w:r>
    </w:p>
    <w:p w14:paraId="6EEA2BFE" w14:textId="7C1E9FDF" w:rsidR="00BC2CD5" w:rsidRPr="00DF1D1C" w:rsidRDefault="00FC71EF" w:rsidP="00257641">
      <w:r w:rsidRPr="00DF1D1C">
        <w:t xml:space="preserve">In addition, enrollees may access an out-of-network network provider that is the main source of a service to the enrollee for the first </w:t>
      </w:r>
      <w:r w:rsidR="00B04C9C">
        <w:t>sixty (</w:t>
      </w:r>
      <w:r w:rsidRPr="00DF1D1C">
        <w:t>60</w:t>
      </w:r>
      <w:r w:rsidR="00B04C9C">
        <w:t>)</w:t>
      </w:r>
      <w:r w:rsidRPr="00DF1D1C">
        <w:t xml:space="preserve"> </w:t>
      </w:r>
      <w:r w:rsidR="00D970E0">
        <w:t xml:space="preserve">calendar </w:t>
      </w:r>
      <w:r w:rsidRPr="00DF1D1C">
        <w:t xml:space="preserve">days of enrollment. </w:t>
      </w:r>
    </w:p>
    <w:p w14:paraId="28A6B493" w14:textId="0C9B6440" w:rsidR="00F219DE" w:rsidRPr="00DF1D1C" w:rsidRDefault="00FC71EF" w:rsidP="00096A5D">
      <w:pPr>
        <w:pStyle w:val="BodyText"/>
      </w:pPr>
      <w:r w:rsidRPr="00DF1D1C">
        <w:t>The provider must be given the opportunity to join the MCO network</w:t>
      </w:r>
      <w:r w:rsidR="00FF5099" w:rsidRPr="00DF1D1C">
        <w:t xml:space="preserve"> under the same terms and conditions as other providers of that type</w:t>
      </w:r>
      <w:r w:rsidR="0078080B" w:rsidRPr="00DF1D1C">
        <w:t xml:space="preserve">. </w:t>
      </w:r>
      <w:r w:rsidRPr="00DF1D1C">
        <w:t xml:space="preserve">If the provider chooses not to join the network, or does not meet the necessary qualifications to join, the </w:t>
      </w:r>
      <w:r w:rsidR="00BC2CD5">
        <w:t xml:space="preserve">TANF or SSI </w:t>
      </w:r>
      <w:r w:rsidRPr="00DF1D1C">
        <w:t xml:space="preserve">enrollee will be transitioned to a participating provider within </w:t>
      </w:r>
      <w:r w:rsidR="000345CF">
        <w:t>sixty (</w:t>
      </w:r>
      <w:r w:rsidRPr="00DF1D1C">
        <w:t>60</w:t>
      </w:r>
      <w:r w:rsidR="000345CF">
        <w:t>)</w:t>
      </w:r>
      <w:r w:rsidRPr="00DF1D1C">
        <w:t xml:space="preserve"> </w:t>
      </w:r>
      <w:r w:rsidR="00D970E0">
        <w:t xml:space="preserve">calendar </w:t>
      </w:r>
      <w:r w:rsidRPr="00DF1D1C">
        <w:t>days</w:t>
      </w:r>
      <w:r w:rsidR="00BC2CD5">
        <w:t xml:space="preserve"> or</w:t>
      </w:r>
      <w:r w:rsidR="000345CF">
        <w:t xml:space="preserve"> ninety</w:t>
      </w:r>
      <w:r w:rsidR="00BC2CD5">
        <w:t xml:space="preserve"> </w:t>
      </w:r>
      <w:r w:rsidR="000345CF">
        <w:t>(</w:t>
      </w:r>
      <w:r w:rsidR="00BC2CD5">
        <w:t>90</w:t>
      </w:r>
      <w:r w:rsidR="000345CF">
        <w:t>)</w:t>
      </w:r>
      <w:r w:rsidR="00BC2CD5">
        <w:t xml:space="preserve"> </w:t>
      </w:r>
      <w:r w:rsidR="00D970E0">
        <w:t xml:space="preserve">calendar </w:t>
      </w:r>
      <w:r w:rsidR="00BC2CD5">
        <w:t>days, respectively,</w:t>
      </w:r>
      <w:r w:rsidR="00FF5099" w:rsidRPr="00DF1D1C">
        <w:t xml:space="preserve"> of enrollment</w:t>
      </w:r>
      <w:r w:rsidRPr="00DF1D1C">
        <w:t>, after being given an opportunity to select a participating provider.</w:t>
      </w:r>
      <w:r w:rsidR="00FA226E" w:rsidRPr="00DF1D1C">
        <w:t xml:space="preserve"> </w:t>
      </w:r>
    </w:p>
    <w:p w14:paraId="36E55D57" w14:textId="1BE47C3C" w:rsidR="009A0060" w:rsidRPr="00DF1D1C" w:rsidRDefault="0087784B" w:rsidP="00257641">
      <w:pPr>
        <w:pStyle w:val="Heading3"/>
      </w:pPr>
      <w:bookmarkStart w:id="156" w:name="_Toc73441810"/>
      <w:bookmarkStart w:id="157" w:name="_Toc8129039"/>
      <w:r>
        <w:t>6</w:t>
      </w:r>
      <w:r w:rsidR="009A0060" w:rsidRPr="00DF1D1C">
        <w:t>.</w:t>
      </w:r>
      <w:r w:rsidR="00C1039F">
        <w:t>6</w:t>
      </w:r>
      <w:r w:rsidR="009A0060" w:rsidRPr="00DF1D1C">
        <w:tab/>
        <w:t>Utilization Management</w:t>
      </w:r>
      <w:bookmarkEnd w:id="156"/>
      <w:bookmarkEnd w:id="157"/>
    </w:p>
    <w:p w14:paraId="183A918C" w14:textId="621DBE85" w:rsidR="009A0060" w:rsidRPr="00DF1D1C" w:rsidRDefault="009A0060" w:rsidP="00257641">
      <w:r w:rsidRPr="00DF1D1C">
        <w:t>The MCO must develop and implement written policies and procedures, reflecting current standards of medical practice, for processing requests for initial authorization of services or requests for continuation of services</w:t>
      </w:r>
      <w:r w:rsidR="0078080B" w:rsidRPr="00DF1D1C">
        <w:t xml:space="preserve">. </w:t>
      </w:r>
      <w:r w:rsidRPr="00DF1D1C">
        <w:t xml:space="preserve">Policies and procedures </w:t>
      </w:r>
      <w:r w:rsidR="00AE595F" w:rsidRPr="00AE595F">
        <w:t xml:space="preserve">must </w:t>
      </w:r>
      <w:r w:rsidRPr="00DF1D1C">
        <w:t xml:space="preserve">satisfy the requirements for standard and expedited authorization of services, authorization criteria, and notice. The MCO must meet </w:t>
      </w:r>
      <w:r w:rsidR="00D70FC7">
        <w:t>DHHR</w:t>
      </w:r>
      <w:r w:rsidRPr="00DF1D1C">
        <w:t>-specified standards for utilization management (service authorization) listed in this contract</w:t>
      </w:r>
      <w:r w:rsidR="0078080B" w:rsidRPr="00DF1D1C">
        <w:t xml:space="preserve">. </w:t>
      </w:r>
    </w:p>
    <w:p w14:paraId="19EE7184" w14:textId="77777777" w:rsidR="00AC271F" w:rsidRPr="00DF1D1C" w:rsidRDefault="00B85336" w:rsidP="00257641">
      <w:r w:rsidRPr="00DF1D1C">
        <w:t>For beneficiaries that have primary insurance coverage from a source other than Medicaid, the MCO must honor coverage and utilization management decisions made by the primary carrier</w:t>
      </w:r>
      <w:r w:rsidR="003B5DC6" w:rsidRPr="00DF1D1C">
        <w:t xml:space="preserve"> for those services in the primary carrier</w:t>
      </w:r>
      <w:r w:rsidR="00FA1C0C" w:rsidRPr="00DF1D1C">
        <w:t>’</w:t>
      </w:r>
      <w:r w:rsidR="003B5DC6" w:rsidRPr="00DF1D1C">
        <w:t>s benefits package</w:t>
      </w:r>
      <w:r w:rsidR="0078080B" w:rsidRPr="00DF1D1C">
        <w:t xml:space="preserve">. </w:t>
      </w:r>
      <w:r w:rsidRPr="00DF1D1C">
        <w:t xml:space="preserve">If the MCO is responsible for </w:t>
      </w:r>
      <w:r w:rsidR="003B5DC6" w:rsidRPr="00DF1D1C">
        <w:t>Medicaid</w:t>
      </w:r>
      <w:r w:rsidR="003920BD" w:rsidRPr="00DF1D1C">
        <w:t xml:space="preserve"> </w:t>
      </w:r>
      <w:r w:rsidRPr="00DF1D1C">
        <w:t>services that are carved out of the primary carrier</w:t>
      </w:r>
      <w:r w:rsidR="00FA1C0C" w:rsidRPr="00DF1D1C">
        <w:t>’</w:t>
      </w:r>
      <w:r w:rsidRPr="00DF1D1C">
        <w:t>s benefit package, the MCO</w:t>
      </w:r>
      <w:r w:rsidR="003B5DC6" w:rsidRPr="00DF1D1C">
        <w:t xml:space="preserve"> has utilization management responsibility for those carved out services</w:t>
      </w:r>
      <w:r w:rsidRPr="00DF1D1C">
        <w:t>.</w:t>
      </w:r>
    </w:p>
    <w:p w14:paraId="6B859DA2" w14:textId="37238F89" w:rsidR="009A0060" w:rsidRPr="00DF1D1C" w:rsidRDefault="0087784B" w:rsidP="00257641">
      <w:pPr>
        <w:pStyle w:val="Heading3"/>
      </w:pPr>
      <w:bookmarkStart w:id="158" w:name="_Toc73441811"/>
      <w:bookmarkStart w:id="159" w:name="_Toc8129040"/>
      <w:r>
        <w:t>6</w:t>
      </w:r>
      <w:r w:rsidR="009A0060" w:rsidRPr="00DF1D1C">
        <w:t>.</w:t>
      </w:r>
      <w:r w:rsidR="00C1039F">
        <w:t>7</w:t>
      </w:r>
      <w:r w:rsidR="009A0060" w:rsidRPr="00DF1D1C">
        <w:tab/>
        <w:t>Practice Guidelines and New Technology</w:t>
      </w:r>
      <w:bookmarkEnd w:id="158"/>
      <w:bookmarkEnd w:id="159"/>
      <w:r w:rsidR="009A0060" w:rsidRPr="00DF1D1C">
        <w:t xml:space="preserve"> </w:t>
      </w:r>
    </w:p>
    <w:p w14:paraId="7FFD3108" w14:textId="77777777" w:rsidR="009A0060" w:rsidRPr="00DF1D1C" w:rsidRDefault="009A0060" w:rsidP="00257641">
      <w:r w:rsidRPr="00DF1D1C">
        <w:t>The MCO must adopt and disseminate practice guidelines that are based on valid and reliable medical evidence or a consensus of health care professionals in the particular field, consider the needs of the enrolled population, are developed in consultation with contracting health care professionals, and are reviewed and updated periodically</w:t>
      </w:r>
      <w:r w:rsidR="0078080B" w:rsidRPr="00DF1D1C">
        <w:t xml:space="preserve">. </w:t>
      </w:r>
      <w:r w:rsidRPr="00DF1D1C">
        <w:t>The guidelines should be disseminated to affected providers and to enrollees and potential enrollees upon request</w:t>
      </w:r>
      <w:r w:rsidR="0078080B" w:rsidRPr="00DF1D1C">
        <w:t xml:space="preserve">. </w:t>
      </w:r>
      <w:r w:rsidRPr="00DF1D1C">
        <w:t xml:space="preserve">The MCO must ensure that decisions with respect to utilization management, enrollee education, coverage of services, and other areas to which the guidelines are applicable are consistent with the guidelines. </w:t>
      </w:r>
    </w:p>
    <w:p w14:paraId="2F4EF060" w14:textId="77777777" w:rsidR="009A0060" w:rsidRPr="00DF1D1C" w:rsidRDefault="009A0060" w:rsidP="00257641">
      <w:r w:rsidRPr="00DF1D1C">
        <w:t xml:space="preserve">The MCO must develop and implement written policies and procedures for evaluating new medical technologies and new uses of existing technologies. </w:t>
      </w:r>
    </w:p>
    <w:p w14:paraId="02685F15" w14:textId="06477DC9" w:rsidR="009A0060" w:rsidRPr="00DF1D1C" w:rsidRDefault="0087784B" w:rsidP="00257641">
      <w:pPr>
        <w:pStyle w:val="Heading3"/>
      </w:pPr>
      <w:bookmarkStart w:id="160" w:name="_Toc73441816"/>
      <w:bookmarkStart w:id="161" w:name="_Toc8129041"/>
      <w:r>
        <w:t>6</w:t>
      </w:r>
      <w:r w:rsidR="009A0060" w:rsidRPr="00DF1D1C">
        <w:t>.</w:t>
      </w:r>
      <w:r w:rsidR="00C1039F">
        <w:t>8</w:t>
      </w:r>
      <w:r w:rsidR="009A0060" w:rsidRPr="00DF1D1C">
        <w:tab/>
        <w:t>Enrollee Medical Records and Communication of Clinical Information</w:t>
      </w:r>
      <w:bookmarkEnd w:id="160"/>
      <w:bookmarkEnd w:id="161"/>
    </w:p>
    <w:p w14:paraId="791451B0" w14:textId="0F8F6CA1" w:rsidR="009A0060" w:rsidRPr="003C6AAD" w:rsidRDefault="009A0060" w:rsidP="00257641">
      <w:r w:rsidRPr="00DF1D1C">
        <w:t xml:space="preserve">The MCO must compile and maintain, in a centralized database, encounter-level data on </w:t>
      </w:r>
      <w:r w:rsidR="00AA2A02">
        <w:t>all</w:t>
      </w:r>
      <w:r w:rsidR="00AA2A02" w:rsidRPr="00DF1D1C">
        <w:t xml:space="preserve"> </w:t>
      </w:r>
      <w:r w:rsidRPr="00DF1D1C">
        <w:t xml:space="preserve">services </w:t>
      </w:r>
      <w:r w:rsidR="00AA2A02">
        <w:t xml:space="preserve">provided under this contract and </w:t>
      </w:r>
      <w:r w:rsidRPr="00DF1D1C">
        <w:t xml:space="preserve">rendered by individual providers to enrollees and submit this information to </w:t>
      </w:r>
      <w:r w:rsidR="00D70FC7">
        <w:t>DHHR</w:t>
      </w:r>
      <w:r w:rsidRPr="00DF1D1C">
        <w:t>. Medical records must also meet the standards specified in this contract.</w:t>
      </w:r>
      <w:r w:rsidR="00C80955">
        <w:t xml:space="preserve"> </w:t>
      </w:r>
      <w:r w:rsidRPr="00DF1D1C">
        <w:t xml:space="preserve">The MCO must implement appropriate policies and procedures to ensure that the MCO and its providers have the information required for effective and continuous patient care and for quality review, and must conduct an ongoing program to monitor compliance with those policies </w:t>
      </w:r>
      <w:r w:rsidRPr="003C6AAD">
        <w:t xml:space="preserve">and procedures. </w:t>
      </w:r>
    </w:p>
    <w:p w14:paraId="1B8EBB76" w14:textId="06DFEFB9" w:rsidR="009A0060" w:rsidRPr="003C6AAD" w:rsidRDefault="009A0060" w:rsidP="00257641">
      <w:r w:rsidRPr="003C6AAD">
        <w:rPr>
          <w:rStyle w:val="StyleBodyTextIndentTimesNewRoman12ptChar"/>
          <w:rFonts w:ascii="Times New Roman" w:hAnsi="Times New Roman"/>
          <w:spacing w:val="0"/>
          <w:sz w:val="24"/>
        </w:rPr>
        <w:lastRenderedPageBreak/>
        <w:t>The MCO must ensure that an initial assessment of each enrollee</w:t>
      </w:r>
      <w:r w:rsidR="00FA1C0C" w:rsidRPr="003C6AAD">
        <w:rPr>
          <w:rStyle w:val="StyleBodyTextIndentTimesNewRoman12ptChar"/>
          <w:rFonts w:ascii="Times New Roman" w:hAnsi="Times New Roman"/>
          <w:spacing w:val="0"/>
          <w:sz w:val="24"/>
        </w:rPr>
        <w:t>’</w:t>
      </w:r>
      <w:r w:rsidRPr="003C6AAD">
        <w:rPr>
          <w:rStyle w:val="StyleBodyTextIndentTimesNewRoman12ptChar"/>
          <w:rFonts w:ascii="Times New Roman" w:hAnsi="Times New Roman"/>
          <w:spacing w:val="0"/>
          <w:sz w:val="24"/>
        </w:rPr>
        <w:t xml:space="preserve">s health care needs is completed within </w:t>
      </w:r>
      <w:r w:rsidR="002E104C" w:rsidRPr="003C6AAD">
        <w:rPr>
          <w:rStyle w:val="StyleBodyTextIndentTimesNewRoman12ptChar"/>
          <w:rFonts w:ascii="Times New Roman" w:hAnsi="Times New Roman"/>
          <w:spacing w:val="0"/>
          <w:sz w:val="24"/>
        </w:rPr>
        <w:t>ninety (</w:t>
      </w:r>
      <w:r w:rsidR="00A1160B" w:rsidRPr="003C6AAD">
        <w:rPr>
          <w:rStyle w:val="StyleBodyTextIndentTimesNewRoman12ptChar"/>
          <w:rFonts w:ascii="Times New Roman" w:hAnsi="Times New Roman"/>
          <w:spacing w:val="0"/>
          <w:sz w:val="24"/>
        </w:rPr>
        <w:t>90</w:t>
      </w:r>
      <w:r w:rsidR="002E104C" w:rsidRPr="003C6AAD">
        <w:rPr>
          <w:rStyle w:val="StyleBodyTextIndentTimesNewRoman12ptChar"/>
          <w:rFonts w:ascii="Times New Roman" w:hAnsi="Times New Roman"/>
          <w:spacing w:val="0"/>
          <w:sz w:val="24"/>
        </w:rPr>
        <w:t>)</w:t>
      </w:r>
      <w:r w:rsidRPr="003C6AAD">
        <w:rPr>
          <w:rStyle w:val="StyleBodyTextIndentTimesNewRoman12ptChar"/>
          <w:rFonts w:ascii="Times New Roman" w:hAnsi="Times New Roman"/>
          <w:spacing w:val="0"/>
          <w:sz w:val="24"/>
        </w:rPr>
        <w:t xml:space="preserve"> </w:t>
      </w:r>
      <w:r w:rsidR="00D970E0" w:rsidRPr="003C6AAD">
        <w:rPr>
          <w:rStyle w:val="StyleBodyTextIndentTimesNewRoman12ptChar"/>
          <w:rFonts w:ascii="Times New Roman" w:hAnsi="Times New Roman"/>
          <w:spacing w:val="0"/>
          <w:sz w:val="24"/>
        </w:rPr>
        <w:t xml:space="preserve">calendar </w:t>
      </w:r>
      <w:r w:rsidRPr="003C6AAD">
        <w:rPr>
          <w:rStyle w:val="StyleBodyTextIndentTimesNewRoman12ptChar"/>
          <w:rFonts w:ascii="Times New Roman" w:hAnsi="Times New Roman"/>
          <w:spacing w:val="0"/>
          <w:sz w:val="24"/>
        </w:rPr>
        <w:t>days of the effective date of enrollment</w:t>
      </w:r>
      <w:r w:rsidR="0078080B" w:rsidRPr="003C6AAD">
        <w:rPr>
          <w:rStyle w:val="StyleBodyTextIndentTimesNewRoman12ptChar"/>
          <w:rFonts w:ascii="Times New Roman" w:hAnsi="Times New Roman"/>
          <w:spacing w:val="0"/>
          <w:sz w:val="24"/>
        </w:rPr>
        <w:t xml:space="preserve">. </w:t>
      </w:r>
      <w:r w:rsidRPr="003C6AAD">
        <w:rPr>
          <w:rStyle w:val="StyleBodyTextIndentTimesNewRoman12ptChar"/>
          <w:rFonts w:ascii="Times New Roman" w:hAnsi="Times New Roman"/>
          <w:spacing w:val="0"/>
          <w:sz w:val="24"/>
        </w:rPr>
        <w:t>The MCO must ensure that each provider furnishing services to enrollees maintains an enrollee health record</w:t>
      </w:r>
      <w:r w:rsidR="0078080B" w:rsidRPr="00AB033C">
        <w:rPr>
          <w:rStyle w:val="StyleBodyTextIndentTimesNewRoman12ptChar"/>
          <w:rFonts w:ascii="Times New Roman" w:hAnsi="Times New Roman"/>
          <w:spacing w:val="0"/>
          <w:sz w:val="24"/>
        </w:rPr>
        <w:t xml:space="preserve">. </w:t>
      </w:r>
      <w:r w:rsidRPr="00AB033C">
        <w:rPr>
          <w:rStyle w:val="StyleBodyTextIndentTimesNewRoman12ptChar"/>
          <w:rFonts w:ascii="Times New Roman" w:hAnsi="Times New Roman"/>
          <w:spacing w:val="0"/>
          <w:sz w:val="24"/>
        </w:rPr>
        <w:t>PCPs must establish and maintain a confidential, centralized medical record for each enrollee that details care received</w:t>
      </w:r>
      <w:r w:rsidR="0078080B" w:rsidRPr="00117461">
        <w:rPr>
          <w:rStyle w:val="StyleBodyTextIndentTimesNewRoman12ptChar"/>
          <w:rFonts w:ascii="Times New Roman" w:hAnsi="Times New Roman"/>
          <w:spacing w:val="0"/>
          <w:sz w:val="24"/>
        </w:rPr>
        <w:t xml:space="preserve">. </w:t>
      </w:r>
      <w:r w:rsidRPr="00117461">
        <w:rPr>
          <w:rStyle w:val="StyleBodyTextIndentTimesNewRoman12ptChar"/>
          <w:rFonts w:ascii="Times New Roman" w:hAnsi="Times New Roman"/>
          <w:spacing w:val="0"/>
          <w:sz w:val="24"/>
        </w:rPr>
        <w:t>The medical record should demonstrate coordination of patient care; for example, relevant medical information from referral sources must be reviewed and entered into enrollees</w:t>
      </w:r>
      <w:r w:rsidR="00FA1C0C" w:rsidRPr="001276A8">
        <w:rPr>
          <w:rStyle w:val="StyleBodyTextIndentTimesNewRoman12ptChar"/>
          <w:rFonts w:ascii="Times New Roman" w:hAnsi="Times New Roman"/>
          <w:spacing w:val="0"/>
          <w:sz w:val="24"/>
        </w:rPr>
        <w:t>’</w:t>
      </w:r>
      <w:r w:rsidRPr="001276A8">
        <w:rPr>
          <w:rStyle w:val="StyleBodyTextIndentTimesNewRoman12ptChar"/>
          <w:rFonts w:ascii="Times New Roman" w:hAnsi="Times New Roman"/>
          <w:spacing w:val="0"/>
          <w:sz w:val="24"/>
        </w:rPr>
        <w:t xml:space="preserve"> medical records</w:t>
      </w:r>
      <w:r w:rsidR="0078080B" w:rsidRPr="004F097D">
        <w:rPr>
          <w:rStyle w:val="StyleBodyTextIndentTimesNewRoman12ptChar"/>
          <w:rFonts w:ascii="Times New Roman" w:hAnsi="Times New Roman"/>
          <w:spacing w:val="0"/>
          <w:sz w:val="24"/>
        </w:rPr>
        <w:t xml:space="preserve">. </w:t>
      </w:r>
      <w:r w:rsidRPr="004F097D">
        <w:rPr>
          <w:rStyle w:val="StyleBodyTextIndentTimesNewRoman12ptChar"/>
          <w:rFonts w:ascii="Times New Roman" w:hAnsi="Times New Roman"/>
          <w:spacing w:val="0"/>
          <w:sz w:val="24"/>
        </w:rPr>
        <w:t xml:space="preserve">Medical records </w:t>
      </w:r>
      <w:r w:rsidR="00AE595F" w:rsidRPr="004F097D">
        <w:t>must</w:t>
      </w:r>
      <w:r w:rsidRPr="004F097D">
        <w:rPr>
          <w:rStyle w:val="StyleBodyTextIndentTimesNewRoman12ptChar"/>
          <w:rFonts w:ascii="Times New Roman" w:hAnsi="Times New Roman"/>
          <w:spacing w:val="0"/>
          <w:sz w:val="24"/>
        </w:rPr>
        <w:t xml:space="preserve"> be maintained in accordance with standards established by the MCO that takes into account professional standards</w:t>
      </w:r>
      <w:r w:rsidR="0078080B" w:rsidRPr="004F097D">
        <w:rPr>
          <w:rStyle w:val="StyleBodyTextIndentTimesNewRoman12ptChar"/>
          <w:rFonts w:ascii="Times New Roman" w:hAnsi="Times New Roman"/>
          <w:spacing w:val="0"/>
          <w:sz w:val="24"/>
        </w:rPr>
        <w:t xml:space="preserve">. </w:t>
      </w:r>
    </w:p>
    <w:p w14:paraId="4DBA6546" w14:textId="77777777" w:rsidR="009A0060" w:rsidRPr="00AB033C" w:rsidRDefault="009A0060" w:rsidP="00257641">
      <w:pPr>
        <w:pStyle w:val="normal6"/>
        <w:rPr>
          <w:szCs w:val="24"/>
        </w:rPr>
      </w:pPr>
      <w:r w:rsidRPr="00AB033C">
        <w:rPr>
          <w:szCs w:val="24"/>
        </w:rPr>
        <w:t>These standards must address health record content and organization, including specifications of basic information to be included in each health record that include at least the following:</w:t>
      </w:r>
    </w:p>
    <w:p w14:paraId="621FA539" w14:textId="32952B6C" w:rsidR="00E83A11" w:rsidRDefault="00E83A11" w:rsidP="00257641">
      <w:pPr>
        <w:pStyle w:val="bullet1"/>
      </w:pPr>
      <w:r w:rsidRPr="00E83A11">
        <w:t>Information needed to conduct utilization review as specified in 42 CFR 456.111 and 42 CFR 438.211;</w:t>
      </w:r>
    </w:p>
    <w:p w14:paraId="02CC0C3E" w14:textId="77777777" w:rsidR="009A0060" w:rsidRPr="007843B2" w:rsidRDefault="009A0060" w:rsidP="00257641">
      <w:pPr>
        <w:pStyle w:val="bullet1"/>
      </w:pPr>
      <w:r w:rsidRPr="003E542D">
        <w:t>Patient identification information: patient</w:t>
      </w:r>
      <w:r w:rsidR="00FA1C0C" w:rsidRPr="003E542D">
        <w:t>’</w:t>
      </w:r>
      <w:r w:rsidRPr="003E542D">
        <w:t xml:space="preserve">s name or patient ID number on each page or electronic file; </w:t>
      </w:r>
      <w:r w:rsidRPr="003E542D">
        <w:tab/>
      </w:r>
    </w:p>
    <w:p w14:paraId="68FE69E2" w14:textId="77777777" w:rsidR="009A0060" w:rsidRPr="003B6C58" w:rsidRDefault="009A0060" w:rsidP="00257641">
      <w:pPr>
        <w:pStyle w:val="bullet1"/>
      </w:pPr>
      <w:r w:rsidRPr="007843B2">
        <w:t xml:space="preserve">Personal/biographical data: age, sex, address, employer, home and work telephone numbers, and </w:t>
      </w:r>
      <w:r w:rsidR="00163641" w:rsidRPr="003B6C58">
        <w:t>marital</w:t>
      </w:r>
      <w:r w:rsidRPr="003B6C58">
        <w:t xml:space="preserve"> status; </w:t>
      </w:r>
    </w:p>
    <w:p w14:paraId="0330E843" w14:textId="77777777" w:rsidR="009A0060" w:rsidRPr="003B6C58" w:rsidRDefault="009A0060" w:rsidP="00257641">
      <w:pPr>
        <w:pStyle w:val="bullet1"/>
      </w:pPr>
      <w:r w:rsidRPr="003B6C58">
        <w:t xml:space="preserve">Entry date; </w:t>
      </w:r>
    </w:p>
    <w:p w14:paraId="064AFEB4" w14:textId="77777777" w:rsidR="009A0060" w:rsidRPr="003B6C58" w:rsidRDefault="009A0060" w:rsidP="00257641">
      <w:pPr>
        <w:pStyle w:val="bullet1"/>
      </w:pPr>
      <w:r w:rsidRPr="003B6C58">
        <w:t xml:space="preserve">Provider identification; </w:t>
      </w:r>
    </w:p>
    <w:p w14:paraId="0619E0E4" w14:textId="77777777" w:rsidR="009A0060" w:rsidRPr="003B6C58" w:rsidRDefault="009A0060" w:rsidP="00257641">
      <w:pPr>
        <w:pStyle w:val="bullet1"/>
      </w:pPr>
      <w:r w:rsidRPr="003B6C58">
        <w:t xml:space="preserve">Allergies: medication allergies and adverse reactions are prominently noted on the record, absence of allergies (no known allergies-NKA) is noted in an easily recognizable location; </w:t>
      </w:r>
    </w:p>
    <w:p w14:paraId="29D5365B" w14:textId="77777777" w:rsidR="009A0060" w:rsidRPr="003B6C58" w:rsidRDefault="009A0060" w:rsidP="00257641">
      <w:pPr>
        <w:pStyle w:val="bullet1"/>
      </w:pPr>
      <w:r w:rsidRPr="003B6C58">
        <w:t xml:space="preserve">Past medical history (for patients seen </w:t>
      </w:r>
      <w:r w:rsidR="001235D4">
        <w:t>three (</w:t>
      </w:r>
      <w:r w:rsidRPr="003B6C58">
        <w:t>3</w:t>
      </w:r>
      <w:r w:rsidR="001235D4">
        <w:t>)</w:t>
      </w:r>
      <w:r w:rsidRPr="003B6C58">
        <w:t xml:space="preserve"> or more times): serious accidents, operations, illnesses, prenatal care and birth (for pediatric patients); </w:t>
      </w:r>
    </w:p>
    <w:p w14:paraId="7392F9BB" w14:textId="77777777" w:rsidR="009A0060" w:rsidRPr="003B6C58" w:rsidRDefault="009A0060" w:rsidP="00257641">
      <w:pPr>
        <w:pStyle w:val="bullet1"/>
      </w:pPr>
      <w:r w:rsidRPr="003B6C58">
        <w:t xml:space="preserve">Immunizations: for pediatric records (ages </w:t>
      </w:r>
      <w:r w:rsidR="001235D4">
        <w:t>twelve (</w:t>
      </w:r>
      <w:r w:rsidRPr="003B6C58">
        <w:t>12</w:t>
      </w:r>
      <w:r w:rsidR="001235D4">
        <w:t>)</w:t>
      </w:r>
      <w:r w:rsidRPr="003B6C58">
        <w:t xml:space="preserve"> and under) there is a completed immunization record or a notation that immunizations are up-to-date, and when subsequent immunizations, if any, are required; </w:t>
      </w:r>
    </w:p>
    <w:p w14:paraId="6883687A" w14:textId="77777777" w:rsidR="009A0060" w:rsidRPr="003B6C58" w:rsidRDefault="009A0060" w:rsidP="00257641">
      <w:pPr>
        <w:pStyle w:val="bullet1"/>
      </w:pPr>
      <w:r w:rsidRPr="003B6C58">
        <w:t>Diagnostic information;</w:t>
      </w:r>
    </w:p>
    <w:p w14:paraId="144BFFBE" w14:textId="77777777" w:rsidR="009A0060" w:rsidRPr="003B6C58" w:rsidRDefault="009A0060" w:rsidP="00257641">
      <w:pPr>
        <w:pStyle w:val="bullet1"/>
      </w:pPr>
      <w:r w:rsidRPr="003B6C58">
        <w:t>Medication information;</w:t>
      </w:r>
    </w:p>
    <w:p w14:paraId="429ED352" w14:textId="04165A7F" w:rsidR="009A0060" w:rsidRPr="003B6C58" w:rsidRDefault="009A0060" w:rsidP="00257641">
      <w:pPr>
        <w:pStyle w:val="bullet1"/>
      </w:pPr>
      <w:r w:rsidRPr="003B6C58">
        <w:t>Identification of current problems: significant illness, medical conditions and health maintenance concerns are identified in the medical record;</w:t>
      </w:r>
      <w:r w:rsidR="00F24820">
        <w:t xml:space="preserve"> </w:t>
      </w:r>
    </w:p>
    <w:p w14:paraId="621DCC93" w14:textId="518B602D" w:rsidR="009A0060" w:rsidRPr="003B6C58" w:rsidRDefault="009A0060" w:rsidP="00257641">
      <w:pPr>
        <w:pStyle w:val="bullet1"/>
      </w:pPr>
      <w:r w:rsidRPr="003B6C58">
        <w:t>Smoking/</w:t>
      </w:r>
      <w:r w:rsidR="0058741D" w:rsidRPr="003B6C58">
        <w:t>ethanol/</w:t>
      </w:r>
      <w:r w:rsidRPr="003B6C58">
        <w:t>substance use: notation concerning cigarette and alcohol use and substance abuse is present (for patients</w:t>
      </w:r>
      <w:r w:rsidR="001235D4">
        <w:t xml:space="preserve"> fourteen</w:t>
      </w:r>
      <w:r w:rsidRPr="003B6C58">
        <w:t xml:space="preserve"> </w:t>
      </w:r>
      <w:r w:rsidR="001235D4">
        <w:t>(</w:t>
      </w:r>
      <w:r w:rsidRPr="003B6C58">
        <w:t>14</w:t>
      </w:r>
      <w:r w:rsidR="001235D4">
        <w:t>)</w:t>
      </w:r>
      <w:r w:rsidRPr="003B6C58">
        <w:t xml:space="preserve"> years and over and seen three</w:t>
      </w:r>
      <w:r w:rsidR="001235D4">
        <w:t xml:space="preserve"> (3)</w:t>
      </w:r>
      <w:r w:rsidRPr="003B6C58">
        <w:t xml:space="preserve"> or more times); </w:t>
      </w:r>
    </w:p>
    <w:p w14:paraId="2C3E10CD" w14:textId="689A7D7F" w:rsidR="009A0060" w:rsidRPr="003B6C58" w:rsidRDefault="009A0060" w:rsidP="00257641">
      <w:pPr>
        <w:pStyle w:val="bullet1"/>
      </w:pPr>
      <w:r w:rsidRPr="003B6C58">
        <w:t>Consultations, referral and specialist reports: notes from consultations, lab, and x-ray reports with the ordering physician</w:t>
      </w:r>
      <w:r w:rsidR="00FA1C0C" w:rsidRPr="003B6C58">
        <w:t>’</w:t>
      </w:r>
      <w:r w:rsidRPr="003B6C58">
        <w:t>s initials or other documentation signifying review,</w:t>
      </w:r>
      <w:r w:rsidR="00F24820">
        <w:t xml:space="preserve"> </w:t>
      </w:r>
      <w:r w:rsidRPr="003B6C58">
        <w:t>explicit notation in the record and follow-up plans for significantly abnormal lab and imaging study results;</w:t>
      </w:r>
    </w:p>
    <w:p w14:paraId="64174370" w14:textId="77777777" w:rsidR="009A0060" w:rsidRPr="003B6C58" w:rsidRDefault="009A0060" w:rsidP="00257641">
      <w:pPr>
        <w:pStyle w:val="bullet1"/>
      </w:pPr>
      <w:r w:rsidRPr="003B6C58">
        <w:t>Emergency care;</w:t>
      </w:r>
    </w:p>
    <w:p w14:paraId="6B831E04" w14:textId="77777777" w:rsidR="009A0060" w:rsidRPr="003B6C58" w:rsidRDefault="009A0060" w:rsidP="00257641">
      <w:pPr>
        <w:pStyle w:val="bullet1"/>
      </w:pPr>
      <w:r w:rsidRPr="003B6C58">
        <w:lastRenderedPageBreak/>
        <w:t xml:space="preserve">Hospital discharge summaries: all hospital admissions which occur while the patient is enrolled in the plan, and prior admissions as necessary; </w:t>
      </w:r>
    </w:p>
    <w:p w14:paraId="202362BC" w14:textId="77777777" w:rsidR="009A0060" w:rsidRPr="003B6C58" w:rsidRDefault="009A0060" w:rsidP="00257641">
      <w:pPr>
        <w:pStyle w:val="bullet1"/>
      </w:pPr>
      <w:r w:rsidRPr="003B6C58">
        <w:t xml:space="preserve">Advance directives: documentation of whether or not the individual has executed an advance directive; </w:t>
      </w:r>
    </w:p>
    <w:p w14:paraId="088F93B4" w14:textId="77777777" w:rsidR="009A0060" w:rsidRPr="00DF1D1C" w:rsidRDefault="009A0060" w:rsidP="00257641">
      <w:pPr>
        <w:pStyle w:val="bullet1"/>
      </w:pPr>
      <w:r w:rsidRPr="003B6C58">
        <w:t>Patient visit data: documentation of individual encounters must provide adequate evidence of, at a minimum:</w:t>
      </w:r>
      <w:r w:rsidRPr="00DF1D1C">
        <w:t xml:space="preserve"> </w:t>
      </w:r>
    </w:p>
    <w:p w14:paraId="072205DC" w14:textId="77777777" w:rsidR="009A0060" w:rsidRPr="00DF1D1C" w:rsidRDefault="009A0060" w:rsidP="00257641">
      <w:pPr>
        <w:pStyle w:val="StyleBodyTextIndentTimesNewRoman12ptLeftAfter6pt"/>
        <w:widowControl/>
        <w:numPr>
          <w:ilvl w:val="3"/>
          <w:numId w:val="199"/>
        </w:numPr>
        <w:tabs>
          <w:tab w:val="clear" w:pos="720"/>
          <w:tab w:val="clear" w:pos="1800"/>
        </w:tabs>
        <w:ind w:left="1260"/>
        <w:rPr>
          <w:spacing w:val="0"/>
        </w:rPr>
      </w:pPr>
      <w:r w:rsidRPr="00DF1D1C">
        <w:rPr>
          <w:spacing w:val="0"/>
        </w:rPr>
        <w:t xml:space="preserve">History and physical examination, including appropriate subjective and objective information is obtained for the presenting complaints; </w:t>
      </w:r>
    </w:p>
    <w:p w14:paraId="3F477581" w14:textId="77777777" w:rsidR="009A0060" w:rsidRPr="00DF1D1C" w:rsidRDefault="009A0060" w:rsidP="00257641">
      <w:pPr>
        <w:pStyle w:val="StyleBodyTextIndentTimesNewRoman12ptLeftAfter6pt"/>
        <w:widowControl/>
        <w:numPr>
          <w:ilvl w:val="3"/>
          <w:numId w:val="199"/>
        </w:numPr>
        <w:tabs>
          <w:tab w:val="clear" w:pos="720"/>
          <w:tab w:val="clear" w:pos="1800"/>
        </w:tabs>
        <w:ind w:left="1260"/>
        <w:rPr>
          <w:spacing w:val="0"/>
        </w:rPr>
      </w:pPr>
      <w:r w:rsidRPr="00DF1D1C">
        <w:rPr>
          <w:spacing w:val="0"/>
        </w:rPr>
        <w:t>Plan of treatment;</w:t>
      </w:r>
    </w:p>
    <w:p w14:paraId="3373B2A0" w14:textId="77777777" w:rsidR="009A0060" w:rsidRPr="00DF1D1C" w:rsidRDefault="009A0060" w:rsidP="00257641">
      <w:pPr>
        <w:pStyle w:val="StyleBodyTextIndentTimesNewRoman12ptLeftAfter6pt"/>
        <w:widowControl/>
        <w:numPr>
          <w:ilvl w:val="3"/>
          <w:numId w:val="199"/>
        </w:numPr>
        <w:tabs>
          <w:tab w:val="clear" w:pos="720"/>
          <w:tab w:val="clear" w:pos="1800"/>
        </w:tabs>
        <w:ind w:left="1260"/>
        <w:rPr>
          <w:spacing w:val="0"/>
        </w:rPr>
      </w:pPr>
      <w:r w:rsidRPr="00DF1D1C">
        <w:rPr>
          <w:spacing w:val="0"/>
        </w:rPr>
        <w:t>Diagnostic tests;</w:t>
      </w:r>
    </w:p>
    <w:p w14:paraId="78987904" w14:textId="77777777" w:rsidR="009A0060" w:rsidRPr="00DF1D1C" w:rsidRDefault="009A0060" w:rsidP="00257641">
      <w:pPr>
        <w:pStyle w:val="StyleBodyTextIndentTimesNewRoman12ptLeftAfter6pt"/>
        <w:widowControl/>
        <w:numPr>
          <w:ilvl w:val="3"/>
          <w:numId w:val="199"/>
        </w:numPr>
        <w:tabs>
          <w:tab w:val="clear" w:pos="720"/>
          <w:tab w:val="clear" w:pos="1800"/>
        </w:tabs>
        <w:ind w:left="1260"/>
        <w:rPr>
          <w:spacing w:val="0"/>
        </w:rPr>
      </w:pPr>
      <w:r w:rsidRPr="00DF1D1C">
        <w:rPr>
          <w:spacing w:val="0"/>
        </w:rPr>
        <w:t>Therapies and other prescribed regimens;</w:t>
      </w:r>
    </w:p>
    <w:p w14:paraId="0C6786F1" w14:textId="6AF58F6A" w:rsidR="009A0060" w:rsidRPr="00DF1D1C" w:rsidRDefault="009A0060" w:rsidP="00257641">
      <w:pPr>
        <w:pStyle w:val="StyleBodyTextIndentTimesNewRoman12ptLeftAfter6pt"/>
        <w:widowControl/>
        <w:numPr>
          <w:ilvl w:val="3"/>
          <w:numId w:val="199"/>
        </w:numPr>
        <w:tabs>
          <w:tab w:val="clear" w:pos="720"/>
          <w:tab w:val="clear" w:pos="1800"/>
        </w:tabs>
        <w:ind w:left="1260"/>
        <w:rPr>
          <w:spacing w:val="0"/>
        </w:rPr>
      </w:pPr>
      <w:r w:rsidRPr="00DF1D1C">
        <w:rPr>
          <w:spacing w:val="0"/>
        </w:rPr>
        <w:t xml:space="preserve">Follow-up, including encounter forms with notations concerning follow-up care, or visits; return times noted in weeks, months or </w:t>
      </w:r>
      <w:r w:rsidR="003C6AAD">
        <w:rPr>
          <w:spacing w:val="0"/>
        </w:rPr>
        <w:t>as needed</w:t>
      </w:r>
      <w:r w:rsidRPr="00DF1D1C">
        <w:rPr>
          <w:spacing w:val="0"/>
        </w:rPr>
        <w:t xml:space="preserve">; and unresolved problems from previous visits are addressed in subsequent visits; </w:t>
      </w:r>
    </w:p>
    <w:p w14:paraId="7AB08205" w14:textId="77777777" w:rsidR="009A0060" w:rsidRPr="00DF1D1C" w:rsidRDefault="009A0060" w:rsidP="00257641">
      <w:pPr>
        <w:pStyle w:val="StyleBodyTextIndentTimesNewRoman12ptLeftAfter6pt"/>
        <w:widowControl/>
        <w:numPr>
          <w:ilvl w:val="3"/>
          <w:numId w:val="199"/>
        </w:numPr>
        <w:tabs>
          <w:tab w:val="clear" w:pos="720"/>
          <w:tab w:val="clear" w:pos="1800"/>
        </w:tabs>
        <w:ind w:left="1260"/>
        <w:rPr>
          <w:spacing w:val="0"/>
        </w:rPr>
      </w:pPr>
      <w:r w:rsidRPr="00DF1D1C">
        <w:rPr>
          <w:spacing w:val="0"/>
        </w:rPr>
        <w:t>Referrals and results thereof; and</w:t>
      </w:r>
    </w:p>
    <w:p w14:paraId="6078FC0A" w14:textId="0C470C4C" w:rsidR="009A0060" w:rsidRPr="00DF1D1C" w:rsidRDefault="009A0060" w:rsidP="00257641">
      <w:pPr>
        <w:pStyle w:val="StyleBodyTextIndentTimesNewRoman12ptLeftAfter6pt"/>
        <w:widowControl/>
        <w:numPr>
          <w:ilvl w:val="3"/>
          <w:numId w:val="199"/>
        </w:numPr>
        <w:tabs>
          <w:tab w:val="clear" w:pos="720"/>
          <w:tab w:val="clear" w:pos="1800"/>
        </w:tabs>
        <w:spacing w:after="240"/>
        <w:ind w:left="1260"/>
        <w:rPr>
          <w:spacing w:val="0"/>
        </w:rPr>
      </w:pPr>
      <w:r w:rsidRPr="00DF1D1C">
        <w:rPr>
          <w:spacing w:val="0"/>
        </w:rPr>
        <w:t>All other aspects of patient care, including ancillary services</w:t>
      </w:r>
      <w:r w:rsidR="00E83A11">
        <w:rPr>
          <w:spacing w:val="0"/>
        </w:rPr>
        <w:t>.</w:t>
      </w:r>
    </w:p>
    <w:p w14:paraId="29947697" w14:textId="254515E5" w:rsidR="009A0060" w:rsidRPr="00DF1D1C" w:rsidRDefault="009A0060" w:rsidP="00257641">
      <w:r w:rsidRPr="00DF1D1C">
        <w:t xml:space="preserve">Medical records </w:t>
      </w:r>
      <w:r w:rsidR="00AE595F" w:rsidRPr="00AE595F">
        <w:t>must</w:t>
      </w:r>
      <w:r w:rsidR="00AE595F" w:rsidRPr="00DF1D1C">
        <w:t xml:space="preserve"> </w:t>
      </w:r>
      <w:r w:rsidRPr="00DF1D1C">
        <w:t>be legible</w:t>
      </w:r>
      <w:r w:rsidR="00FA1C0C" w:rsidRPr="00DF1D1C">
        <w:t>, meaning the</w:t>
      </w:r>
      <w:r w:rsidRPr="00DF1D1C">
        <w:t xml:space="preserve"> record is legible to someone other than the writer</w:t>
      </w:r>
      <w:r w:rsidR="00FA1C0C" w:rsidRPr="00DF1D1C">
        <w:t>. A</w:t>
      </w:r>
      <w:r w:rsidRPr="00DF1D1C">
        <w:t xml:space="preserve">ny record judged illegible by one </w:t>
      </w:r>
      <w:r w:rsidR="00A0302F">
        <w:t xml:space="preserve">(1) </w:t>
      </w:r>
      <w:r w:rsidRPr="00DF1D1C">
        <w:t>physician reviewer should be evaluated by a second reviewer</w:t>
      </w:r>
      <w:r w:rsidR="0078080B" w:rsidRPr="00DF1D1C">
        <w:t xml:space="preserve">. </w:t>
      </w:r>
      <w:r w:rsidRPr="00DF1D1C">
        <w:t>The MCO must have a process to assess and improve the content, legibility, organization, and completeness of enrollee health records</w:t>
      </w:r>
      <w:r w:rsidR="0078080B" w:rsidRPr="00DF1D1C">
        <w:t xml:space="preserve">. </w:t>
      </w:r>
      <w:r w:rsidRPr="00DF1D1C">
        <w:t xml:space="preserve">Enrollee health records must be available and accessible to the MCO and to appropriate state and federal authorities, or their delegates, involved in assessing the quality of care or investigating enrollee grievances or complaints. </w:t>
      </w:r>
    </w:p>
    <w:p w14:paraId="3F964EF4" w14:textId="77777777" w:rsidR="009A0060" w:rsidRPr="00DF1D1C" w:rsidRDefault="009A0060" w:rsidP="00257641">
      <w:r w:rsidRPr="00DF1D1C">
        <w:t xml:space="preserve">The MCO must ensure that there is appropriate and confidential exchange of information among providers, such that a provider making a referral transmits necessary information to the provider receiving the referral, a provider furnishing </w:t>
      </w:r>
      <w:r w:rsidR="006D3093" w:rsidRPr="00DF1D1C">
        <w:t>referral</w:t>
      </w:r>
      <w:r w:rsidRPr="00DF1D1C">
        <w:t xml:space="preserve"> service reports appropriate information to the referring provider, and all providers request information from other treating providers as necessary to provide care</w:t>
      </w:r>
      <w:r w:rsidR="0078080B" w:rsidRPr="00DF1D1C">
        <w:t xml:space="preserve">. </w:t>
      </w:r>
      <w:r w:rsidRPr="00DF1D1C">
        <w:t>When an enrollee chooses a new primary care provider within the network, the enrollee</w:t>
      </w:r>
      <w:r w:rsidR="00FA1C0C" w:rsidRPr="00DF1D1C">
        <w:t>’</w:t>
      </w:r>
      <w:r w:rsidRPr="00DF1D1C">
        <w:t xml:space="preserve">s records are transferred to the new provider in a timely manner that ensures continuity of care. </w:t>
      </w:r>
    </w:p>
    <w:p w14:paraId="045FC727" w14:textId="77777777" w:rsidR="009A0060" w:rsidRPr="00DF1D1C" w:rsidRDefault="009A0060" w:rsidP="00257641">
      <w:r w:rsidRPr="00DF1D1C">
        <w:t xml:space="preserve">The MCO should have policies and procedures for promptly sharing enrollee information with any organization with which the enrollee may subsequently enroll. </w:t>
      </w:r>
    </w:p>
    <w:p w14:paraId="6967D4D8" w14:textId="2D8C00B4" w:rsidR="009A0060" w:rsidRPr="00DF1D1C" w:rsidRDefault="0087784B" w:rsidP="00257641">
      <w:pPr>
        <w:pStyle w:val="Heading3"/>
      </w:pPr>
      <w:bookmarkStart w:id="162" w:name="_Toc73441817"/>
      <w:bookmarkStart w:id="163" w:name="_Toc8129042"/>
      <w:r>
        <w:t>6</w:t>
      </w:r>
      <w:r w:rsidR="009A0060" w:rsidRPr="00DF1D1C">
        <w:t>.</w:t>
      </w:r>
      <w:r w:rsidR="00C1039F">
        <w:t>9</w:t>
      </w:r>
      <w:r w:rsidR="009A0060" w:rsidRPr="00DF1D1C">
        <w:tab/>
        <w:t>Confidentiality</w:t>
      </w:r>
      <w:bookmarkEnd w:id="162"/>
      <w:bookmarkEnd w:id="163"/>
    </w:p>
    <w:p w14:paraId="32E91420" w14:textId="0924C00E" w:rsidR="00E24F4B" w:rsidRDefault="009A0060" w:rsidP="00257641">
      <w:r w:rsidRPr="00DF1D1C">
        <w:t xml:space="preserve">The MCO must have written policies and procedures for </w:t>
      </w:r>
      <w:r w:rsidR="00F133C4">
        <w:t>safeguarding</w:t>
      </w:r>
      <w:r w:rsidR="00F133C4" w:rsidRPr="00DF1D1C">
        <w:t xml:space="preserve"> </w:t>
      </w:r>
      <w:r w:rsidR="00F133C4">
        <w:t xml:space="preserve">and </w:t>
      </w:r>
      <w:r w:rsidRPr="00DF1D1C">
        <w:t>maintaining the confidentiality of data, including medical records/enrollee information and adolescent/STD appointment records</w:t>
      </w:r>
      <w:r w:rsidR="0078080B" w:rsidRPr="00DF1D1C">
        <w:t xml:space="preserve">. </w:t>
      </w:r>
      <w:r w:rsidRPr="00DF1D1C">
        <w:t>The MCO</w:t>
      </w:r>
      <w:r w:rsidR="00FA1C0C" w:rsidRPr="00DF1D1C">
        <w:t>’</w:t>
      </w:r>
      <w:r w:rsidRPr="00DF1D1C">
        <w:t xml:space="preserve">s policies </w:t>
      </w:r>
      <w:r w:rsidR="00F1536F">
        <w:t xml:space="preserve">must </w:t>
      </w:r>
      <w:r w:rsidRPr="00DF1D1C">
        <w:t>be in accordance with the privacy requirements in</w:t>
      </w:r>
      <w:r w:rsidR="00F133C4">
        <w:t>cluding, but not limited to 42 CFR 431.301-307,</w:t>
      </w:r>
      <w:r w:rsidRPr="00DF1D1C">
        <w:t xml:space="preserve"> 45 CFR parts 16</w:t>
      </w:r>
      <w:r w:rsidR="00F1536F">
        <w:t>0</w:t>
      </w:r>
      <w:r w:rsidR="00B01265">
        <w:t>, 162,</w:t>
      </w:r>
      <w:r w:rsidR="00F1536F">
        <w:t xml:space="preserve"> and 164</w:t>
      </w:r>
      <w:r w:rsidR="00B01265">
        <w:t xml:space="preserve"> and with </w:t>
      </w:r>
      <w:r w:rsidR="00B01265" w:rsidRPr="00B01265">
        <w:t>the Federal Information Security Management Act (FISMA)</w:t>
      </w:r>
      <w:r w:rsidR="00F1536F">
        <w:t xml:space="preserve">, upon their effective </w:t>
      </w:r>
      <w:r w:rsidRPr="00DF1D1C">
        <w:t xml:space="preserve">dates, to the extent the requirements are applicable. All enrollee information, medical records, data and data </w:t>
      </w:r>
      <w:r w:rsidRPr="00DF1D1C">
        <w:lastRenderedPageBreak/>
        <w:t>elements collected, maintained or used in the admin</w:t>
      </w:r>
      <w:r w:rsidR="00F1536F">
        <w:t xml:space="preserve">istration of this </w:t>
      </w:r>
      <w:r w:rsidR="009B19C2">
        <w:t xml:space="preserve">Contract </w:t>
      </w:r>
      <w:r w:rsidR="00F1536F">
        <w:t>must</w:t>
      </w:r>
      <w:r w:rsidRPr="00DF1D1C">
        <w:t xml:space="preserve"> be protected by the MCO from unauthorized disclosure. The MCO must provide safeguards that restrict the use or disclosure of information concerning enrollees to purposes directly connected with the administration of this contract</w:t>
      </w:r>
      <w:r w:rsidR="0078080B" w:rsidRPr="00DF1D1C">
        <w:t xml:space="preserve">. </w:t>
      </w:r>
    </w:p>
    <w:p w14:paraId="6665A810" w14:textId="2F5F94AB" w:rsidR="00A0302F" w:rsidRDefault="00E24F4B" w:rsidP="00257641">
      <w:pPr>
        <w:pStyle w:val="Heading4"/>
      </w:pPr>
      <w:r>
        <w:t>6.</w:t>
      </w:r>
      <w:r w:rsidR="00C1039F">
        <w:t>9</w:t>
      </w:r>
      <w:r>
        <w:t xml:space="preserve">.1 </w:t>
      </w:r>
      <w:r w:rsidR="00A0302F" w:rsidRPr="007B0890">
        <w:t>Establishment of Confidentiality Procedures</w:t>
      </w:r>
      <w:r w:rsidR="00A0302F">
        <w:tab/>
      </w:r>
    </w:p>
    <w:p w14:paraId="4F5D4CB7" w14:textId="4575D74F" w:rsidR="009A0060" w:rsidRPr="00DF1D1C" w:rsidRDefault="009A0060" w:rsidP="00257641">
      <w:pPr>
        <w:pStyle w:val="normal6"/>
        <w:rPr>
          <w:snapToGrid w:val="0"/>
        </w:rPr>
      </w:pPr>
      <w:r w:rsidRPr="00DF1D1C">
        <w:rPr>
          <w:snapToGrid w:val="0"/>
        </w:rPr>
        <w:t xml:space="preserve">The MCO must establish </w:t>
      </w:r>
      <w:r w:rsidR="0087784B" w:rsidRPr="00DF1D1C">
        <w:t>confidentiality of data</w:t>
      </w:r>
      <w:r w:rsidR="0087784B" w:rsidRPr="00DF1D1C">
        <w:rPr>
          <w:snapToGrid w:val="0"/>
        </w:rPr>
        <w:t xml:space="preserve"> </w:t>
      </w:r>
      <w:r w:rsidRPr="00DF1D1C">
        <w:rPr>
          <w:snapToGrid w:val="0"/>
        </w:rPr>
        <w:t>procedures:</w:t>
      </w:r>
    </w:p>
    <w:p w14:paraId="4954F80C" w14:textId="77777777" w:rsidR="009A0060" w:rsidRPr="00DF1D1C" w:rsidRDefault="009A0060" w:rsidP="00257641">
      <w:pPr>
        <w:numPr>
          <w:ilvl w:val="0"/>
          <w:numId w:val="33"/>
        </w:numPr>
        <w:tabs>
          <w:tab w:val="clear" w:pos="360"/>
        </w:tabs>
        <w:spacing w:after="120"/>
        <w:ind w:left="720"/>
        <w:rPr>
          <w:snapToGrid w:val="0"/>
        </w:rPr>
      </w:pPr>
      <w:r w:rsidRPr="00DF1D1C">
        <w:rPr>
          <w:snapToGrid w:val="0"/>
        </w:rPr>
        <w:t>To develop and promulgate policies in accordance with Federal and State law establishing who is authorized to receive such information;</w:t>
      </w:r>
    </w:p>
    <w:p w14:paraId="5BBCCFF4" w14:textId="77777777" w:rsidR="009A0060" w:rsidRPr="00DF1D1C" w:rsidRDefault="009A0060" w:rsidP="00257641">
      <w:pPr>
        <w:numPr>
          <w:ilvl w:val="0"/>
          <w:numId w:val="33"/>
        </w:numPr>
        <w:tabs>
          <w:tab w:val="clear" w:pos="360"/>
        </w:tabs>
        <w:spacing w:after="120"/>
        <w:ind w:left="720"/>
        <w:rPr>
          <w:snapToGrid w:val="0"/>
        </w:rPr>
      </w:pPr>
      <w:r w:rsidRPr="00DF1D1C">
        <w:rPr>
          <w:snapToGrid w:val="0"/>
        </w:rPr>
        <w:t>To safeguard the privacy of any information that identifies a particular enrollee by ensuring that: information from the MCO or copies of records may be released only to authorized individuals; unauthorized individuals cannot gain access to or alter patient records; and original medical records must be released only in accordance with Federal or State law, court orders, or subpoenas;</w:t>
      </w:r>
    </w:p>
    <w:p w14:paraId="7582BD8C" w14:textId="77777777" w:rsidR="009A0060" w:rsidRPr="00DF1D1C" w:rsidRDefault="009A0060" w:rsidP="00257641">
      <w:pPr>
        <w:numPr>
          <w:ilvl w:val="0"/>
          <w:numId w:val="33"/>
        </w:numPr>
        <w:tabs>
          <w:tab w:val="clear" w:pos="360"/>
        </w:tabs>
        <w:spacing w:after="120"/>
        <w:ind w:left="720"/>
      </w:pPr>
      <w:r w:rsidRPr="00DF1D1C">
        <w:rPr>
          <w:snapToGrid w:val="0"/>
        </w:rPr>
        <w:t>To address the confidentiality and privacy for minors, subject to applicable Federal and State law;</w:t>
      </w:r>
      <w:r w:rsidR="00FF4BBD" w:rsidRPr="00DF1D1C">
        <w:rPr>
          <w:snapToGrid w:val="0"/>
        </w:rPr>
        <w:t xml:space="preserve"> and</w:t>
      </w:r>
    </w:p>
    <w:p w14:paraId="33AE9201" w14:textId="77777777" w:rsidR="009A0060" w:rsidRPr="00DF1D1C" w:rsidRDefault="009A0060" w:rsidP="00257641">
      <w:pPr>
        <w:numPr>
          <w:ilvl w:val="0"/>
          <w:numId w:val="33"/>
        </w:numPr>
        <w:tabs>
          <w:tab w:val="clear" w:pos="360"/>
        </w:tabs>
        <w:ind w:left="720"/>
      </w:pPr>
      <w:r w:rsidRPr="00DF1D1C">
        <w:rPr>
          <w:snapToGrid w:val="0"/>
        </w:rPr>
        <w:t>To abide by all Federal and State laws regarding confidentiality and disclosure for mental health records, medical records, other health information, and any information about an enrollee.</w:t>
      </w:r>
    </w:p>
    <w:p w14:paraId="148061A1" w14:textId="00D73366" w:rsidR="00A0302F" w:rsidRDefault="00E24F4B" w:rsidP="00257641">
      <w:pPr>
        <w:pStyle w:val="Heading4"/>
      </w:pPr>
      <w:r>
        <w:t>6.</w:t>
      </w:r>
      <w:r w:rsidR="00C1039F">
        <w:t>9</w:t>
      </w:r>
      <w:r>
        <w:t xml:space="preserve">.2 </w:t>
      </w:r>
      <w:r w:rsidR="00A0302F" w:rsidRPr="007B0890">
        <w:t>Maintaining Confidentiality of Medical Records</w:t>
      </w:r>
    </w:p>
    <w:p w14:paraId="4B240ACD" w14:textId="0CED15C0" w:rsidR="009A0060" w:rsidRPr="00DF1D1C" w:rsidRDefault="009A0060" w:rsidP="00257641">
      <w:pPr>
        <w:pStyle w:val="normal6"/>
      </w:pPr>
      <w:r w:rsidRPr="00DF1D1C">
        <w:t>The MCO, its staff, contracted providers, and all contractors that provide cost, quality, or medical appropriateness reviews or coordination of benefits or subrogation must maintain the confidentiality of medical record information and release the information only in the following manner:</w:t>
      </w:r>
    </w:p>
    <w:p w14:paraId="40BF3D87" w14:textId="77777777" w:rsidR="00F96204" w:rsidRPr="00DF1D1C" w:rsidRDefault="009A0060" w:rsidP="00257641">
      <w:pPr>
        <w:numPr>
          <w:ilvl w:val="0"/>
          <w:numId w:val="108"/>
        </w:numPr>
        <w:spacing w:after="120"/>
      </w:pPr>
      <w:r w:rsidRPr="00DF1D1C">
        <w:t xml:space="preserve">All enrollee medical records </w:t>
      </w:r>
      <w:r w:rsidR="00F1536F">
        <w:t>are confidential and may</w:t>
      </w:r>
      <w:r w:rsidRPr="00DF1D1C">
        <w:t xml:space="preserve"> not be released without the written consent of the covered persons or responsible party, except as specified below.</w:t>
      </w:r>
    </w:p>
    <w:p w14:paraId="03A842D5" w14:textId="0DD3B1D2" w:rsidR="00F96204" w:rsidRPr="00DF1D1C" w:rsidRDefault="009A0060" w:rsidP="00257641">
      <w:pPr>
        <w:numPr>
          <w:ilvl w:val="1"/>
          <w:numId w:val="108"/>
        </w:numPr>
        <w:spacing w:after="120"/>
        <w:ind w:left="1260"/>
      </w:pPr>
      <w:r w:rsidRPr="00DF1D1C">
        <w:t xml:space="preserve">Written consent is not required for the transmission of medical record information to physicians, other practitioners, or facilities that are providing services to enrollees under a </w:t>
      </w:r>
      <w:r w:rsidR="00642406">
        <w:t>S</w:t>
      </w:r>
      <w:r w:rsidRPr="00DF1D1C">
        <w:t>ub</w:t>
      </w:r>
      <w:r w:rsidR="00642406">
        <w:t>c</w:t>
      </w:r>
      <w:r w:rsidR="009B19C2">
        <w:t xml:space="preserve">ontract </w:t>
      </w:r>
      <w:r w:rsidRPr="00DF1D1C">
        <w:t xml:space="preserve">with the MCO. This provision also applies to specialty providers who are retained by the MCO to provide services that are infrequently used or are of an unusual nature. This also allows for transfer of information (written or verbal) to </w:t>
      </w:r>
      <w:r w:rsidR="00D70FC7">
        <w:t>DHHR</w:t>
      </w:r>
      <w:r w:rsidR="00D70FC7" w:rsidRPr="00DF1D1C">
        <w:t xml:space="preserve"> </w:t>
      </w:r>
      <w:r w:rsidRPr="00DF1D1C">
        <w:t xml:space="preserve">staff and to </w:t>
      </w:r>
      <w:r w:rsidR="00D70FC7">
        <w:t>DHHR</w:t>
      </w:r>
      <w:r w:rsidR="00D70FC7" w:rsidRPr="00DF1D1C">
        <w:t xml:space="preserve"> </w:t>
      </w:r>
      <w:r w:rsidR="00642406">
        <w:t>S</w:t>
      </w:r>
      <w:r w:rsidRPr="00DF1D1C">
        <w:t xml:space="preserve">ubcontractors. </w:t>
      </w:r>
    </w:p>
    <w:p w14:paraId="6918903C" w14:textId="77777777" w:rsidR="00F96204" w:rsidRPr="00DF1D1C" w:rsidRDefault="009A0060" w:rsidP="00257641">
      <w:pPr>
        <w:numPr>
          <w:ilvl w:val="1"/>
          <w:numId w:val="108"/>
        </w:numPr>
        <w:spacing w:after="120"/>
        <w:ind w:left="1260"/>
      </w:pPr>
      <w:r w:rsidRPr="00DF1D1C">
        <w:t>Written consent is not required for the transmission of medical record information to physicians or facilities providing emergency care, or to the MCO, its staff, contracted providers or its contractors that are providing cost, quality, or medical appropriateness reviews or coordination of benefits or subrogation.</w:t>
      </w:r>
    </w:p>
    <w:p w14:paraId="6E624A1A" w14:textId="77777777" w:rsidR="00F96204" w:rsidRPr="00DF1D1C" w:rsidRDefault="009A0060" w:rsidP="00257641">
      <w:pPr>
        <w:numPr>
          <w:ilvl w:val="1"/>
          <w:numId w:val="108"/>
        </w:numPr>
        <w:spacing w:after="120"/>
        <w:ind w:left="1260"/>
      </w:pPr>
      <w:r w:rsidRPr="00DF1D1C">
        <w:t>Written consent is required for the transmission of the medical record information of a former enrollee to any physician not connected with the MCO, except as set forth in (ii) above.</w:t>
      </w:r>
    </w:p>
    <w:p w14:paraId="4BC1AE65" w14:textId="77777777" w:rsidR="009A0060" w:rsidRPr="00DF1D1C" w:rsidRDefault="009A0060" w:rsidP="00257641">
      <w:pPr>
        <w:numPr>
          <w:ilvl w:val="0"/>
          <w:numId w:val="108"/>
        </w:numPr>
      </w:pPr>
      <w:r w:rsidRPr="00DF1D1C">
        <w:t xml:space="preserve">The extent of medical record information to be released in each instance </w:t>
      </w:r>
      <w:r w:rsidR="00F1536F">
        <w:t>will</w:t>
      </w:r>
      <w:r w:rsidRPr="00DF1D1C">
        <w:t xml:space="preserve"> be based upon tests of medical necessity and a "need to know" basis on the part of the practitioner </w:t>
      </w:r>
      <w:r w:rsidRPr="00DF1D1C">
        <w:lastRenderedPageBreak/>
        <w:t xml:space="preserve">or a facility requesting the information. Medical records maintained by </w:t>
      </w:r>
      <w:r w:rsidR="00642406">
        <w:t>Su</w:t>
      </w:r>
      <w:r w:rsidRPr="00DF1D1C">
        <w:t>bcontractors must meet the above requirements.</w:t>
      </w:r>
    </w:p>
    <w:p w14:paraId="604C48B5" w14:textId="5ADB8A46" w:rsidR="009A0060" w:rsidRPr="00DF1D1C" w:rsidRDefault="00E24F4B" w:rsidP="00257641">
      <w:pPr>
        <w:pStyle w:val="Heading3"/>
      </w:pPr>
      <w:bookmarkStart w:id="164" w:name="_Toc73441818"/>
      <w:bookmarkStart w:id="165" w:name="_Toc8129043"/>
      <w:r>
        <w:t>6</w:t>
      </w:r>
      <w:r w:rsidR="009A0060" w:rsidRPr="00DF1D1C">
        <w:t>.1</w:t>
      </w:r>
      <w:r w:rsidR="00C1039F">
        <w:t>0</w:t>
      </w:r>
      <w:r w:rsidR="009A0060" w:rsidRPr="00DF1D1C">
        <w:tab/>
        <w:t>Reporting Requirements</w:t>
      </w:r>
      <w:bookmarkEnd w:id="164"/>
      <w:bookmarkEnd w:id="165"/>
    </w:p>
    <w:p w14:paraId="698E36CC" w14:textId="33547E71" w:rsidR="009A0060" w:rsidRPr="00DF1D1C" w:rsidRDefault="009A0060" w:rsidP="00257641">
      <w:r w:rsidRPr="00DF1D1C">
        <w:t>The MCO must demonstrate the MCO</w:t>
      </w:r>
      <w:r w:rsidR="00FA1C0C" w:rsidRPr="00DF1D1C">
        <w:t>’</w:t>
      </w:r>
      <w:r w:rsidRPr="00DF1D1C">
        <w:t xml:space="preserve">s ability to provide the services under this </w:t>
      </w:r>
      <w:r w:rsidR="009B19C2">
        <w:t xml:space="preserve">Contract </w:t>
      </w:r>
      <w:r w:rsidRPr="00DF1D1C">
        <w:t>efficiently, effectively, and economically. As part of the MCO</w:t>
      </w:r>
      <w:r w:rsidR="00FA1C0C" w:rsidRPr="00DF1D1C">
        <w:t>’</w:t>
      </w:r>
      <w:r w:rsidRPr="00DF1D1C">
        <w:t>s demonstration of its ability, the MCO must comply with all Department reporting requirements. Such requirements encompass the content of the reports, the format in which they must be transmitted, and the timeframes for submission</w:t>
      </w:r>
      <w:r w:rsidR="0078080B" w:rsidRPr="00DF1D1C">
        <w:t xml:space="preserve">. </w:t>
      </w:r>
      <w:r w:rsidR="00F33B38">
        <w:t>Appendix</w:t>
      </w:r>
      <w:r w:rsidRPr="00DF1D1C">
        <w:t xml:space="preserve"> </w:t>
      </w:r>
      <w:r w:rsidR="00AF588A">
        <w:t>D</w:t>
      </w:r>
      <w:r w:rsidR="008746FD" w:rsidRPr="00DF1D1C">
        <w:t xml:space="preserve"> </w:t>
      </w:r>
      <w:r w:rsidRPr="00DF1D1C">
        <w:t>summarizes reporting requirements and timeframes.</w:t>
      </w:r>
      <w:r w:rsidR="00F7787B">
        <w:t xml:space="preserve"> All MCO reports submitted under this </w:t>
      </w:r>
      <w:r w:rsidR="009B19C2">
        <w:t xml:space="preserve">Contract </w:t>
      </w:r>
      <w:r w:rsidR="00F7787B">
        <w:t xml:space="preserve">must reflect program-related data only unless otherwise requested by the Department. </w:t>
      </w:r>
    </w:p>
    <w:p w14:paraId="0FD9114B" w14:textId="0A2C0E84" w:rsidR="00B32FCA" w:rsidRPr="00DF1D1C" w:rsidRDefault="009A0060" w:rsidP="00257641">
      <w:r w:rsidRPr="00DF1D1C">
        <w:t xml:space="preserve">The MCO must certify data submitted to </w:t>
      </w:r>
      <w:r w:rsidR="00D70FC7">
        <w:t>DHHR</w:t>
      </w:r>
      <w:r w:rsidR="00D70FC7" w:rsidRPr="00DF1D1C">
        <w:t xml:space="preserve"> </w:t>
      </w:r>
      <w:r w:rsidR="009D6DAE" w:rsidRPr="00DF1D1C">
        <w:t xml:space="preserve">and </w:t>
      </w:r>
      <w:r w:rsidR="00B32FCA" w:rsidRPr="00DF1D1C">
        <w:t xml:space="preserve">an authorized agent of </w:t>
      </w:r>
      <w:r w:rsidR="00D70FC7">
        <w:t>DHHR</w:t>
      </w:r>
      <w:r w:rsidRPr="00DF1D1C">
        <w:t xml:space="preserve">, if such data is the basis upon which </w:t>
      </w:r>
      <w:r w:rsidR="00D70FC7">
        <w:t>DHHR</w:t>
      </w:r>
      <w:r w:rsidR="00D70FC7" w:rsidRPr="00DF1D1C">
        <w:t xml:space="preserve"> </w:t>
      </w:r>
      <w:r w:rsidRPr="00DF1D1C">
        <w:t>payments are made to the MCO</w:t>
      </w:r>
      <w:r w:rsidR="0078080B" w:rsidRPr="00DF1D1C">
        <w:t xml:space="preserve">. </w:t>
      </w:r>
      <w:r w:rsidRPr="00DF1D1C">
        <w:t>The data must be certified by the MCO</w:t>
      </w:r>
      <w:r w:rsidR="00FA1C0C" w:rsidRPr="00DF1D1C">
        <w:t>’</w:t>
      </w:r>
      <w:r w:rsidRPr="00DF1D1C">
        <w:t>s Chief Executive Officer (CEO) or Chief Financial Officer (CFO), or an individual who has authority to sign for and who reports directly to the MCO</w:t>
      </w:r>
      <w:r w:rsidR="00FA1C0C" w:rsidRPr="00DF1D1C">
        <w:t>’</w:t>
      </w:r>
      <w:r w:rsidRPr="00DF1D1C">
        <w:t>s CEO or CFO</w:t>
      </w:r>
      <w:r w:rsidR="0078080B" w:rsidRPr="00DF1D1C">
        <w:t xml:space="preserve">. </w:t>
      </w:r>
      <w:r w:rsidRPr="00DF1D1C">
        <w:t xml:space="preserve">The MCO </w:t>
      </w:r>
      <w:r w:rsidR="00196ED9">
        <w:t>must</w:t>
      </w:r>
      <w:r w:rsidRPr="00DF1D1C">
        <w:t xml:space="preserve"> submit the certification concurrently with the certified data</w:t>
      </w:r>
      <w:r w:rsidR="0078080B" w:rsidRPr="00DF1D1C">
        <w:t xml:space="preserve">. </w:t>
      </w:r>
      <w:r w:rsidR="00370043" w:rsidRPr="00370043">
        <w:t xml:space="preserve">The data that must be certified include, but are not limited to, enrollment information, </w:t>
      </w:r>
      <w:r w:rsidR="00E82869">
        <w:t xml:space="preserve">weekly 837 </w:t>
      </w:r>
      <w:r w:rsidR="00370043" w:rsidRPr="00370043">
        <w:t>encounter data</w:t>
      </w:r>
      <w:r w:rsidR="000F688D">
        <w:t xml:space="preserve"> submissions</w:t>
      </w:r>
      <w:r w:rsidR="00370043" w:rsidRPr="00370043">
        <w:t>, and other i</w:t>
      </w:r>
      <w:r w:rsidR="00370043">
        <w:t>nformation required by the Department</w:t>
      </w:r>
      <w:r w:rsidR="00370043" w:rsidRPr="00370043">
        <w:t xml:space="preserve"> and contained in contracts, proposals, and related documents.</w:t>
      </w:r>
      <w:r w:rsidR="00370043">
        <w:t xml:space="preserve"> </w:t>
      </w:r>
    </w:p>
    <w:p w14:paraId="15793447" w14:textId="5735A5E2" w:rsidR="009A0060" w:rsidRPr="00DF1D1C" w:rsidRDefault="00E24F4B" w:rsidP="00257641">
      <w:pPr>
        <w:pStyle w:val="Heading4"/>
      </w:pPr>
      <w:r>
        <w:t>6</w:t>
      </w:r>
      <w:r w:rsidR="00AE5EDC">
        <w:t>.1</w:t>
      </w:r>
      <w:r w:rsidR="00C1039F">
        <w:t>0</w:t>
      </w:r>
      <w:r w:rsidR="00AE5EDC">
        <w:t xml:space="preserve">.1 </w:t>
      </w:r>
      <w:r w:rsidR="009A0060" w:rsidRPr="00DF1D1C">
        <w:t>Quarterly Reports</w:t>
      </w:r>
    </w:p>
    <w:p w14:paraId="65D74CF3" w14:textId="76FC21C3" w:rsidR="00DE6328" w:rsidRDefault="009A0060" w:rsidP="00257641">
      <w:r w:rsidRPr="00DF1D1C">
        <w:t xml:space="preserve">The MCO must provide </w:t>
      </w:r>
      <w:r w:rsidR="00D70FC7">
        <w:t>DHHR</w:t>
      </w:r>
      <w:r w:rsidR="00D70FC7" w:rsidRPr="00DF1D1C">
        <w:t xml:space="preserve"> </w:t>
      </w:r>
      <w:r w:rsidRPr="00DF1D1C">
        <w:t xml:space="preserve">with quarterly reports summarizing provider network, utilization, quality, access, </w:t>
      </w:r>
      <w:r w:rsidR="00932058" w:rsidRPr="00DF1D1C">
        <w:t xml:space="preserve">EPSDT, </w:t>
      </w:r>
      <w:r w:rsidRPr="00DF1D1C">
        <w:t xml:space="preserve">and financial data in formats to be specified by </w:t>
      </w:r>
      <w:r w:rsidR="00D70FC7">
        <w:t>DHHR</w:t>
      </w:r>
      <w:r w:rsidRPr="00DF1D1C">
        <w:t xml:space="preserve">, no later than </w:t>
      </w:r>
      <w:r w:rsidR="00584CCE" w:rsidRPr="007F7744">
        <w:t>the 15</w:t>
      </w:r>
      <w:r w:rsidR="00584CCE" w:rsidRPr="00542D30">
        <w:rPr>
          <w:vertAlign w:val="superscript"/>
        </w:rPr>
        <w:t>th</w:t>
      </w:r>
      <w:r w:rsidR="00584CCE" w:rsidRPr="007F7744">
        <w:t xml:space="preserve"> day of the second month following the end of the reporting period.</w:t>
      </w:r>
      <w:r w:rsidR="00DE6328">
        <w:t xml:space="preserve"> </w:t>
      </w:r>
    </w:p>
    <w:p w14:paraId="0FAFF938" w14:textId="77777777" w:rsidR="00787AD5" w:rsidRDefault="00787AD5" w:rsidP="00257641">
      <w:r>
        <w:t xml:space="preserve">The quarterly report must </w:t>
      </w:r>
      <w:r w:rsidR="0009303D">
        <w:t>provide</w:t>
      </w:r>
      <w:r w:rsidR="00B312EE">
        <w:t xml:space="preserve"> </w:t>
      </w:r>
      <w:r>
        <w:t xml:space="preserve">information on </w:t>
      </w:r>
      <w:r w:rsidR="00EC7DAC">
        <w:t xml:space="preserve">the number of </w:t>
      </w:r>
      <w:r w:rsidR="0094043B">
        <w:t>Medically N</w:t>
      </w:r>
      <w:r w:rsidRPr="00787AD5">
        <w:t>ecessary services contained within the categories of mandatory and optional services listed in Section 190</w:t>
      </w:r>
      <w:r>
        <w:t>5(a) of the Social Security Act</w:t>
      </w:r>
      <w:r w:rsidRPr="00787AD5">
        <w:t xml:space="preserve"> </w:t>
      </w:r>
      <w:r>
        <w:t xml:space="preserve">but not </w:t>
      </w:r>
      <w:r w:rsidRPr="00787AD5">
        <w:t>covered under the State Plan</w:t>
      </w:r>
      <w:r>
        <w:t>.</w:t>
      </w:r>
    </w:p>
    <w:p w14:paraId="6CF8A53E" w14:textId="4029B754" w:rsidR="009A0060" w:rsidRPr="00DF1D1C" w:rsidRDefault="00E24F4B" w:rsidP="00257641">
      <w:pPr>
        <w:pStyle w:val="Heading4"/>
      </w:pPr>
      <w:r>
        <w:t>6</w:t>
      </w:r>
      <w:r w:rsidR="00AE5EDC">
        <w:t>.1</w:t>
      </w:r>
      <w:r w:rsidR="00C1039F">
        <w:t>0</w:t>
      </w:r>
      <w:r w:rsidR="00AE5EDC">
        <w:t xml:space="preserve">.2 </w:t>
      </w:r>
      <w:r w:rsidR="009A0060" w:rsidRPr="00DF1D1C">
        <w:t>Grievance and Appeals Reporting</w:t>
      </w:r>
    </w:p>
    <w:p w14:paraId="19E83BCE" w14:textId="6ACF90F4" w:rsidR="009A0060" w:rsidRPr="00DF1D1C" w:rsidRDefault="009A0060" w:rsidP="00257641">
      <w:pPr>
        <w:pStyle w:val="normal6"/>
      </w:pPr>
      <w:r w:rsidRPr="00DF1D1C">
        <w:t xml:space="preserve">The MCO must provide </w:t>
      </w:r>
      <w:r w:rsidR="00BA7747">
        <w:t>DHHR</w:t>
      </w:r>
      <w:r w:rsidR="00BA7747" w:rsidRPr="00DF1D1C">
        <w:t xml:space="preserve"> </w:t>
      </w:r>
      <w:r w:rsidRPr="00DF1D1C">
        <w:t xml:space="preserve">with quarterly reports documenting the number and types of </w:t>
      </w:r>
      <w:r w:rsidR="00C80955">
        <w:t xml:space="preserve">informal and </w:t>
      </w:r>
      <w:r w:rsidRPr="00DF1D1C">
        <w:t xml:space="preserve">formal grievances and appeals registered by enrollees and providers, and the status or disposition of </w:t>
      </w:r>
      <w:r w:rsidR="0055393D">
        <w:t xml:space="preserve">all </w:t>
      </w:r>
      <w:r w:rsidRPr="00DF1D1C">
        <w:t>grievances and appeals</w:t>
      </w:r>
      <w:r w:rsidR="0078080B" w:rsidRPr="00DF1D1C">
        <w:t xml:space="preserve">. </w:t>
      </w:r>
      <w:r w:rsidRPr="00DF1D1C">
        <w:t>Reports must be submitted no later than</w:t>
      </w:r>
      <w:r w:rsidR="00EB3877" w:rsidRPr="00DF1D1C">
        <w:t xml:space="preserve"> </w:t>
      </w:r>
      <w:r w:rsidR="00EB3877" w:rsidRPr="007F7744">
        <w:t>the 15</w:t>
      </w:r>
      <w:r w:rsidR="00EB3877" w:rsidRPr="005437B9">
        <w:rPr>
          <w:vertAlign w:val="superscript"/>
        </w:rPr>
        <w:t>th</w:t>
      </w:r>
      <w:r w:rsidR="00EB3877" w:rsidRPr="007F7744">
        <w:t xml:space="preserve"> day of the second month following the end of the reporting period</w:t>
      </w:r>
      <w:r w:rsidR="0078080B" w:rsidRPr="00DF1D1C">
        <w:t xml:space="preserve">. </w:t>
      </w:r>
      <w:r w:rsidRPr="00DF1D1C">
        <w:t>At a minimum the</w:t>
      </w:r>
      <w:r w:rsidR="0034731A">
        <w:t xml:space="preserve"> reports</w:t>
      </w:r>
      <w:r w:rsidRPr="00DF1D1C">
        <w:t xml:space="preserve"> must include:</w:t>
      </w:r>
    </w:p>
    <w:p w14:paraId="7D4B001C" w14:textId="77777777" w:rsidR="003C4D9C" w:rsidRPr="00DF1D1C" w:rsidRDefault="009A0060" w:rsidP="00257641">
      <w:pPr>
        <w:pStyle w:val="bullet1"/>
      </w:pPr>
      <w:r w:rsidRPr="00DF1D1C">
        <w:t>Total grievances</w:t>
      </w:r>
      <w:r w:rsidR="007E5C9E">
        <w:t xml:space="preserve"> (informal and formal)</w:t>
      </w:r>
      <w:r w:rsidRPr="00DF1D1C">
        <w:t xml:space="preserve"> </w:t>
      </w:r>
      <w:r w:rsidR="00E12304">
        <w:t xml:space="preserve">and appeals </w:t>
      </w:r>
      <w:r w:rsidRPr="00DF1D1C">
        <w:t>by nature of complaint</w:t>
      </w:r>
      <w:r w:rsidR="003C4D9C" w:rsidRPr="00DF1D1C">
        <w:t xml:space="preserve"> under the following categories:</w:t>
      </w:r>
    </w:p>
    <w:p w14:paraId="41502DCE" w14:textId="77777777" w:rsidR="003C4D9C" w:rsidRPr="00DF1D1C" w:rsidRDefault="003C4D9C" w:rsidP="007C3055">
      <w:pPr>
        <w:pStyle w:val="StyleBodyTextIndentTimesNewRoman12ptLeftAfter6pt"/>
        <w:widowControl/>
        <w:numPr>
          <w:ilvl w:val="4"/>
          <w:numId w:val="200"/>
        </w:numPr>
        <w:tabs>
          <w:tab w:val="clear" w:pos="720"/>
          <w:tab w:val="left" w:pos="810"/>
        </w:tabs>
        <w:spacing w:after="60"/>
        <w:rPr>
          <w:spacing w:val="0"/>
        </w:rPr>
      </w:pPr>
      <w:r w:rsidRPr="00DF1D1C">
        <w:rPr>
          <w:spacing w:val="0"/>
        </w:rPr>
        <w:t xml:space="preserve">Service </w:t>
      </w:r>
      <w:r w:rsidR="00D95AF9">
        <w:rPr>
          <w:spacing w:val="0"/>
        </w:rPr>
        <w:t>denied (e.g., non-covered, not Medically N</w:t>
      </w:r>
      <w:r w:rsidRPr="00DF1D1C">
        <w:rPr>
          <w:spacing w:val="0"/>
        </w:rPr>
        <w:t>ecessary, out-of-area non-participating provider, no referral, referral denied, other);</w:t>
      </w:r>
    </w:p>
    <w:p w14:paraId="3BFA0696" w14:textId="77777777" w:rsidR="003C4D9C" w:rsidRPr="00DF1D1C" w:rsidRDefault="003C4D9C" w:rsidP="007C3055">
      <w:pPr>
        <w:pStyle w:val="StyleBodyTextIndentTimesNewRoman12ptLeftAfter6pt"/>
        <w:widowControl/>
        <w:numPr>
          <w:ilvl w:val="4"/>
          <w:numId w:val="200"/>
        </w:numPr>
        <w:tabs>
          <w:tab w:val="clear" w:pos="720"/>
          <w:tab w:val="left" w:pos="810"/>
        </w:tabs>
        <w:spacing w:after="60"/>
        <w:rPr>
          <w:spacing w:val="0"/>
        </w:rPr>
      </w:pPr>
      <w:r w:rsidRPr="00DF1D1C">
        <w:rPr>
          <w:spacing w:val="0"/>
        </w:rPr>
        <w:t xml:space="preserve">Payment (e.g., disputed amount, timeliness, other); </w:t>
      </w:r>
    </w:p>
    <w:p w14:paraId="01DB7EAA" w14:textId="76707802" w:rsidR="007E5C9E" w:rsidRDefault="003C4D9C" w:rsidP="007C3055">
      <w:pPr>
        <w:pStyle w:val="StyleBodyTextIndentTimesNewRoman12ptLeftAfter6pt"/>
        <w:widowControl/>
        <w:numPr>
          <w:ilvl w:val="4"/>
          <w:numId w:val="200"/>
        </w:numPr>
        <w:tabs>
          <w:tab w:val="clear" w:pos="720"/>
          <w:tab w:val="left" w:pos="810"/>
        </w:tabs>
        <w:spacing w:after="60"/>
        <w:rPr>
          <w:spacing w:val="0"/>
        </w:rPr>
      </w:pPr>
      <w:r w:rsidRPr="00DF1D1C">
        <w:rPr>
          <w:spacing w:val="0"/>
        </w:rPr>
        <w:t>Service complaints (e.g., inability to access a</w:t>
      </w:r>
      <w:r w:rsidR="00873969">
        <w:rPr>
          <w:spacing w:val="0"/>
        </w:rPr>
        <w:t>n</w:t>
      </w:r>
      <w:r w:rsidRPr="00DF1D1C">
        <w:rPr>
          <w:spacing w:val="0"/>
        </w:rPr>
        <w:t xml:space="preserve"> </w:t>
      </w:r>
      <w:r w:rsidR="00873969">
        <w:rPr>
          <w:spacing w:val="0"/>
        </w:rPr>
        <w:t>enrollee</w:t>
      </w:r>
      <w:r w:rsidR="00873969" w:rsidRPr="00DF1D1C">
        <w:rPr>
          <w:spacing w:val="0"/>
        </w:rPr>
        <w:t xml:space="preserve"> </w:t>
      </w:r>
      <w:r w:rsidRPr="00DF1D1C">
        <w:rPr>
          <w:spacing w:val="0"/>
        </w:rPr>
        <w:t xml:space="preserve">service representative and/or medical management staff by phone, </w:t>
      </w:r>
      <w:r w:rsidR="00873969">
        <w:rPr>
          <w:spacing w:val="0"/>
        </w:rPr>
        <w:t>enrollee</w:t>
      </w:r>
      <w:r w:rsidR="00873969" w:rsidRPr="00DF1D1C">
        <w:rPr>
          <w:spacing w:val="0"/>
        </w:rPr>
        <w:t xml:space="preserve">s’ </w:t>
      </w:r>
      <w:r w:rsidRPr="00DF1D1C">
        <w:rPr>
          <w:spacing w:val="0"/>
        </w:rPr>
        <w:t xml:space="preserve">handbooks and evidence of </w:t>
      </w:r>
      <w:r w:rsidR="00163641" w:rsidRPr="00DF1D1C">
        <w:rPr>
          <w:spacing w:val="0"/>
        </w:rPr>
        <w:t>coverage</w:t>
      </w:r>
      <w:r w:rsidRPr="00DF1D1C">
        <w:rPr>
          <w:spacing w:val="0"/>
        </w:rPr>
        <w:t xml:space="preserve"> not sent to the </w:t>
      </w:r>
      <w:r w:rsidR="00442E8D">
        <w:rPr>
          <w:spacing w:val="0"/>
        </w:rPr>
        <w:t>enrollee</w:t>
      </w:r>
      <w:r w:rsidR="00442E8D" w:rsidRPr="00DF1D1C">
        <w:rPr>
          <w:spacing w:val="0"/>
        </w:rPr>
        <w:t xml:space="preserve"> </w:t>
      </w:r>
      <w:r w:rsidRPr="00DF1D1C">
        <w:rPr>
          <w:spacing w:val="0"/>
        </w:rPr>
        <w:t xml:space="preserve">within a </w:t>
      </w:r>
      <w:r w:rsidRPr="00DF1D1C">
        <w:rPr>
          <w:spacing w:val="0"/>
        </w:rPr>
        <w:lastRenderedPageBreak/>
        <w:t>reasonable period of time, misleading or outdated information noted in the MCO</w:t>
      </w:r>
      <w:r w:rsidR="00FA1C0C" w:rsidRPr="00DF1D1C">
        <w:rPr>
          <w:spacing w:val="0"/>
        </w:rPr>
        <w:t>’</w:t>
      </w:r>
      <w:r w:rsidRPr="00DF1D1C">
        <w:rPr>
          <w:spacing w:val="0"/>
        </w:rPr>
        <w:t>s provider directory, other)</w:t>
      </w:r>
      <w:r w:rsidR="007E5C9E">
        <w:rPr>
          <w:spacing w:val="0"/>
        </w:rPr>
        <w:t>; and</w:t>
      </w:r>
    </w:p>
    <w:p w14:paraId="5C96EEE3" w14:textId="77777777" w:rsidR="00FE66EE" w:rsidRPr="00DF1D1C" w:rsidRDefault="007E5C9E" w:rsidP="007C3055">
      <w:pPr>
        <w:pStyle w:val="StyleBodyTextIndentTimesNewRoman12ptLeftAfter6pt"/>
        <w:widowControl/>
        <w:numPr>
          <w:ilvl w:val="4"/>
          <w:numId w:val="200"/>
        </w:numPr>
        <w:tabs>
          <w:tab w:val="clear" w:pos="720"/>
          <w:tab w:val="left" w:pos="810"/>
        </w:tabs>
        <w:rPr>
          <w:spacing w:val="0"/>
        </w:rPr>
      </w:pPr>
      <w:r>
        <w:rPr>
          <w:spacing w:val="0"/>
        </w:rPr>
        <w:t>Quality of care.</w:t>
      </w:r>
    </w:p>
    <w:p w14:paraId="25575DF9" w14:textId="77777777" w:rsidR="00FE66EE" w:rsidRPr="00DF1D1C" w:rsidRDefault="00FE66EE" w:rsidP="00A1283E">
      <w:pPr>
        <w:pStyle w:val="bullet1"/>
      </w:pPr>
      <w:r w:rsidRPr="00DF1D1C">
        <w:t xml:space="preserve">Total number of </w:t>
      </w:r>
      <w:r w:rsidR="00E12304">
        <w:t xml:space="preserve">grievances </w:t>
      </w:r>
      <w:r w:rsidR="007E5C9E">
        <w:t>(</w:t>
      </w:r>
      <w:r w:rsidRPr="00DF1D1C">
        <w:t>informal and formal</w:t>
      </w:r>
      <w:r w:rsidR="007E5C9E">
        <w:t>) and appeals</w:t>
      </w:r>
      <w:r w:rsidRPr="00DF1D1C">
        <w:t xml:space="preserve"> resolved in favor of the enrollee, against the enrollee, withdrawn, referred to formal process (if applicable), and the number remaining open. </w:t>
      </w:r>
    </w:p>
    <w:p w14:paraId="23BCEC54" w14:textId="77777777" w:rsidR="004365C7" w:rsidRDefault="00FE66EE" w:rsidP="00A1283E">
      <w:pPr>
        <w:pStyle w:val="bullet1"/>
      </w:pPr>
      <w:r w:rsidRPr="00DF1D1C">
        <w:t>Total number of informal and formal grievances.</w:t>
      </w:r>
    </w:p>
    <w:p w14:paraId="21C32850" w14:textId="77777777" w:rsidR="00C572C0" w:rsidRDefault="00FE66EE" w:rsidP="00A1283E">
      <w:pPr>
        <w:pStyle w:val="bullet1"/>
      </w:pPr>
      <w:r w:rsidRPr="004365C7">
        <w:t xml:space="preserve">Average, median, longest, and shortest turnaround time for informal and formal </w:t>
      </w:r>
      <w:r w:rsidR="00C572C0" w:rsidRPr="004365C7">
        <w:t>grievances</w:t>
      </w:r>
      <w:r w:rsidR="00C572C0">
        <w:t xml:space="preserve">. </w:t>
      </w:r>
    </w:p>
    <w:p w14:paraId="56EE37B7" w14:textId="539911A6" w:rsidR="00F66F2D" w:rsidRDefault="00C572C0" w:rsidP="00A1283E">
      <w:pPr>
        <w:pStyle w:val="bullet1last"/>
        <w:spacing w:after="120"/>
      </w:pPr>
      <w:r>
        <w:t>Average</w:t>
      </w:r>
      <w:r w:rsidR="00F66F2D">
        <w:t xml:space="preserve"> a</w:t>
      </w:r>
      <w:r w:rsidR="00072BC0" w:rsidRPr="00F66F2D">
        <w:t>ppeals</w:t>
      </w:r>
      <w:r w:rsidR="00B5511E" w:rsidRPr="00F66F2D">
        <w:t xml:space="preserve"> resolution timeframe</w:t>
      </w:r>
      <w:r w:rsidR="00072BC0" w:rsidRPr="00F66F2D">
        <w:t xml:space="preserve"> and </w:t>
      </w:r>
      <w:r w:rsidR="00B129E3" w:rsidRPr="00F66F2D">
        <w:t>percentage of appeals resolved within</w:t>
      </w:r>
      <w:r w:rsidR="00CA642F">
        <w:t xml:space="preserve"> </w:t>
      </w:r>
      <w:r w:rsidR="00436626">
        <w:t xml:space="preserve">thirty (30) </w:t>
      </w:r>
      <w:r w:rsidR="00D970E0">
        <w:t xml:space="preserve">calendar </w:t>
      </w:r>
      <w:r w:rsidR="00B129E3" w:rsidRPr="00F66F2D">
        <w:t>days</w:t>
      </w:r>
      <w:r w:rsidR="00F66F2D" w:rsidRPr="00F66F2D">
        <w:t xml:space="preserve">. </w:t>
      </w:r>
      <w:r w:rsidR="001B7D9A">
        <w:t>T</w:t>
      </w:r>
      <w:r w:rsidR="001B7D9A" w:rsidRPr="00F66F2D">
        <w:t xml:space="preserve">he MCO must provide </w:t>
      </w:r>
      <w:r w:rsidR="001B7D9A">
        <w:t>the</w:t>
      </w:r>
      <w:r w:rsidR="001B7D9A" w:rsidRPr="00F66F2D">
        <w:t xml:space="preserve"> total number of appeals </w:t>
      </w:r>
      <w:r w:rsidR="00F66F2D" w:rsidRPr="00F66F2D">
        <w:t xml:space="preserve">resolved after the </w:t>
      </w:r>
      <w:r w:rsidR="001B7D9A" w:rsidRPr="00F66F2D">
        <w:t xml:space="preserve">required timeframe </w:t>
      </w:r>
      <w:r w:rsidR="001B7D9A">
        <w:t>of</w:t>
      </w:r>
      <w:r w:rsidR="00436626">
        <w:t xml:space="preserve"> thirty (30)</w:t>
      </w:r>
      <w:r w:rsidR="00D970E0">
        <w:t xml:space="preserve"> calendar</w:t>
      </w:r>
      <w:r w:rsidR="00436626">
        <w:t xml:space="preserve"> </w:t>
      </w:r>
      <w:r w:rsidR="00F66F2D" w:rsidRPr="00F66F2D">
        <w:t xml:space="preserve">days and </w:t>
      </w:r>
      <w:r w:rsidR="001B7D9A">
        <w:t>the</w:t>
      </w:r>
      <w:r w:rsidR="00F66F2D" w:rsidRPr="00F66F2D">
        <w:t xml:space="preserve"> reason for</w:t>
      </w:r>
      <w:r w:rsidR="00F66F2D">
        <w:t xml:space="preserve"> the</w:t>
      </w:r>
      <w:r w:rsidR="00BB00FA">
        <w:t xml:space="preserve"> extended resolution time</w:t>
      </w:r>
      <w:r w:rsidR="00B818CB">
        <w:t>.</w:t>
      </w:r>
      <w:r w:rsidR="00F66F2D">
        <w:t xml:space="preserve"> </w:t>
      </w:r>
    </w:p>
    <w:p w14:paraId="7DF03EC0" w14:textId="53B8D0C6" w:rsidR="00C1039F" w:rsidRPr="00DF1D1C" w:rsidRDefault="00C1039F" w:rsidP="00257641">
      <w:pPr>
        <w:pStyle w:val="Heading4"/>
        <w:keepNext w:val="0"/>
        <w:widowControl w:val="0"/>
      </w:pPr>
      <w:r>
        <w:t xml:space="preserve">6.11.3 </w:t>
      </w:r>
      <w:r w:rsidR="00873969">
        <w:t xml:space="preserve">Enrollee </w:t>
      </w:r>
      <w:r>
        <w:t>Change in Cirucumstance Reporting</w:t>
      </w:r>
    </w:p>
    <w:p w14:paraId="710F74C7" w14:textId="77777777" w:rsidR="00C1039F" w:rsidRDefault="00C1039F" w:rsidP="00257641">
      <w:pPr>
        <w:pStyle w:val="normal6"/>
      </w:pPr>
      <w:r>
        <w:t>The MCO</w:t>
      </w:r>
      <w:r w:rsidRPr="00EC0246">
        <w:t xml:space="preserve"> or </w:t>
      </w:r>
      <w:r>
        <w:t xml:space="preserve">its </w:t>
      </w:r>
      <w:r w:rsidRPr="00EC0246">
        <w:t>subcontractor, to the extent that the subcontractor is del</w:t>
      </w:r>
      <w:r>
        <w:t>egated responsibility by the MCO</w:t>
      </w:r>
      <w:r w:rsidRPr="00EC0246">
        <w:t xml:space="preserve"> for coverage of services and payment of claims under the contract be</w:t>
      </w:r>
      <w:r>
        <w:t>tween the state and the MCO</w:t>
      </w:r>
      <w:r w:rsidRPr="00EC0246">
        <w:t xml:space="preserve">, </w:t>
      </w:r>
      <w:r>
        <w:t xml:space="preserve">is required </w:t>
      </w:r>
      <w:r w:rsidRPr="00EC0246">
        <w:t>to implement and maintain procedures for prompt notification to the state when it receives information about changes in an enrollee's circumstances that may affect the enrollee's eligibility including</w:t>
      </w:r>
      <w:r>
        <w:t>:</w:t>
      </w:r>
    </w:p>
    <w:p w14:paraId="78FFF658" w14:textId="77777777" w:rsidR="00C1039F" w:rsidRDefault="00C1039F" w:rsidP="00257641">
      <w:pPr>
        <w:pStyle w:val="bullet1"/>
        <w:tabs>
          <w:tab w:val="clear" w:pos="1440"/>
        </w:tabs>
      </w:pPr>
      <w:r>
        <w:t>C</w:t>
      </w:r>
      <w:r w:rsidRPr="00EC0246">
        <w:t>hanges in</w:t>
      </w:r>
      <w:r>
        <w:t xml:space="preserve"> the enrollee's residence; and</w:t>
      </w:r>
    </w:p>
    <w:p w14:paraId="0E9A7825" w14:textId="77777777" w:rsidR="00C1039F" w:rsidRDefault="00C1039F" w:rsidP="00257641">
      <w:pPr>
        <w:pStyle w:val="bullet1"/>
        <w:spacing w:after="240"/>
      </w:pPr>
      <w:r>
        <w:t xml:space="preserve">The </w:t>
      </w:r>
      <w:r w:rsidRPr="00EC0246">
        <w:t>death of the enrollee.</w:t>
      </w:r>
    </w:p>
    <w:p w14:paraId="0BDC393B" w14:textId="742E1312" w:rsidR="009A0060" w:rsidRPr="00DF1D1C" w:rsidRDefault="008828B4" w:rsidP="00257641">
      <w:pPr>
        <w:pStyle w:val="Heading4"/>
        <w:keepNext w:val="0"/>
        <w:widowControl w:val="0"/>
      </w:pPr>
      <w:r>
        <w:t>6</w:t>
      </w:r>
      <w:r w:rsidR="00AE5EDC">
        <w:t>.11.</w:t>
      </w:r>
      <w:r w:rsidR="00C1039F">
        <w:t>4</w:t>
      </w:r>
      <w:r w:rsidR="00AE5EDC">
        <w:t xml:space="preserve"> </w:t>
      </w:r>
      <w:r w:rsidR="00873969">
        <w:t>Enrollee</w:t>
      </w:r>
      <w:r w:rsidR="00873969" w:rsidRPr="00DF1D1C">
        <w:t xml:space="preserve"> </w:t>
      </w:r>
      <w:r w:rsidR="009A0060" w:rsidRPr="00DF1D1C">
        <w:t>Satisfaction</w:t>
      </w:r>
      <w:r w:rsidR="0076571B" w:rsidRPr="00DF1D1C">
        <w:t xml:space="preserve"> </w:t>
      </w:r>
      <w:r w:rsidR="009A0060" w:rsidRPr="00DF1D1C">
        <w:t>Reporting</w:t>
      </w:r>
    </w:p>
    <w:p w14:paraId="1A8C466E" w14:textId="292A31A3" w:rsidR="00CD1419" w:rsidRPr="00DF1D1C" w:rsidRDefault="009A0060" w:rsidP="00257641">
      <w:r w:rsidRPr="00DF1D1C">
        <w:t xml:space="preserve">The MCO must survey </w:t>
      </w:r>
      <w:r w:rsidR="004B6ECB" w:rsidRPr="00DF1D1C">
        <w:t xml:space="preserve">a sample of </w:t>
      </w:r>
      <w:r w:rsidRPr="00DF1D1C">
        <w:t xml:space="preserve">its </w:t>
      </w:r>
      <w:r w:rsidR="00DB6451" w:rsidRPr="00DF1D1C">
        <w:t xml:space="preserve">adult and child </w:t>
      </w:r>
      <w:r w:rsidR="00873969">
        <w:t>enrollee</w:t>
      </w:r>
      <w:r w:rsidR="00873969" w:rsidRPr="00DF1D1C">
        <w:t xml:space="preserve">s </w:t>
      </w:r>
      <w:r w:rsidRPr="00DF1D1C">
        <w:t xml:space="preserve">at least annually to determine </w:t>
      </w:r>
      <w:r w:rsidR="00873969">
        <w:t xml:space="preserve">enrollee </w:t>
      </w:r>
      <w:r w:rsidRPr="00DF1D1C">
        <w:t>satisfaction</w:t>
      </w:r>
      <w:r w:rsidR="00BF3C39">
        <w:t xml:space="preserve"> </w:t>
      </w:r>
      <w:r w:rsidRPr="00DF1D1C">
        <w:t>with the quality of MCO care and services</w:t>
      </w:r>
      <w:r w:rsidR="0078080B" w:rsidRPr="00DF1D1C">
        <w:t xml:space="preserve">. </w:t>
      </w:r>
      <w:r w:rsidR="0002545C" w:rsidRPr="00DF1D1C">
        <w:t xml:space="preserve">The MCO </w:t>
      </w:r>
      <w:r w:rsidR="0076571B" w:rsidRPr="00DF1D1C">
        <w:t xml:space="preserve">must use the </w:t>
      </w:r>
      <w:r w:rsidR="00C80955">
        <w:t xml:space="preserve">latest available version of the </w:t>
      </w:r>
      <w:r w:rsidR="0076571B" w:rsidRPr="00DF1D1C">
        <w:t>CAHPS survey</w:t>
      </w:r>
      <w:r w:rsidR="006A45C9">
        <w:t>.</w:t>
      </w:r>
      <w:r w:rsidR="00F24820">
        <w:t xml:space="preserve"> </w:t>
      </w:r>
      <w:r w:rsidR="00BE3924">
        <w:t xml:space="preserve">The survey tool should support reporting of the </w:t>
      </w:r>
      <w:r w:rsidR="002C186D">
        <w:t>U.S.</w:t>
      </w:r>
      <w:r w:rsidR="00E63957">
        <w:t xml:space="preserve"> DHHS</w:t>
      </w:r>
      <w:r w:rsidR="002C186D">
        <w:t>’ Core Quality Measures for Adults and Children.</w:t>
      </w:r>
      <w:r w:rsidR="00F24820">
        <w:t xml:space="preserve"> </w:t>
      </w:r>
      <w:r w:rsidR="00FD07E2">
        <w:t>The MCO must</w:t>
      </w:r>
      <w:r w:rsidR="00CA08D3">
        <w:t xml:space="preserve"> </w:t>
      </w:r>
      <w:r w:rsidR="004B0278">
        <w:t xml:space="preserve">use </w:t>
      </w:r>
      <w:r w:rsidR="0031773E">
        <w:t>content or methodology</w:t>
      </w:r>
      <w:r w:rsidR="0069661B">
        <w:t xml:space="preserve"> as directed by </w:t>
      </w:r>
      <w:r w:rsidR="00BA7747">
        <w:t>DHHR</w:t>
      </w:r>
      <w:r w:rsidR="0031773E">
        <w:t>.</w:t>
      </w:r>
      <w:r w:rsidR="00BF3C39" w:rsidRPr="00BF3C39">
        <w:t xml:space="preserve"> </w:t>
      </w:r>
      <w:r w:rsidR="00CD1419">
        <w:t xml:space="preserve">The MCO must submit to </w:t>
      </w:r>
      <w:r w:rsidR="00BA7747">
        <w:t xml:space="preserve">DHHR </w:t>
      </w:r>
      <w:r w:rsidR="00CD1419">
        <w:t xml:space="preserve">a copy of any results submitted to </w:t>
      </w:r>
      <w:r w:rsidR="00282705" w:rsidRPr="000E388D">
        <w:rPr>
          <w:rFonts w:cs="Arial"/>
        </w:rPr>
        <w:t>National Committee for Quality Assurance (</w:t>
      </w:r>
      <w:r w:rsidR="00CD1419">
        <w:t>NCQA</w:t>
      </w:r>
      <w:r w:rsidR="00282705">
        <w:t>)</w:t>
      </w:r>
      <w:r w:rsidR="00CD1419">
        <w:t xml:space="preserve"> within five </w:t>
      </w:r>
      <w:r w:rsidR="00BA7747">
        <w:t xml:space="preserve">(5) </w:t>
      </w:r>
      <w:r w:rsidR="00CD1419">
        <w:t>business days of submission to NCQA.</w:t>
      </w:r>
      <w:r w:rsidR="00F24820">
        <w:t xml:space="preserve"> </w:t>
      </w:r>
    </w:p>
    <w:p w14:paraId="1276B411" w14:textId="3042E3E6" w:rsidR="00F24387" w:rsidRDefault="00CD1419" w:rsidP="00257641">
      <w:r>
        <w:t>A comprehensive analysis of s</w:t>
      </w:r>
      <w:r w:rsidR="00D46605" w:rsidRPr="00DF1D1C">
        <w:t xml:space="preserve">urvey results must be reported to </w:t>
      </w:r>
      <w:r w:rsidR="00BA7747">
        <w:t>DHHR</w:t>
      </w:r>
      <w:r w:rsidR="00BA7747" w:rsidRPr="00DF1D1C">
        <w:t xml:space="preserve"> </w:t>
      </w:r>
      <w:r w:rsidR="00D46605" w:rsidRPr="00DF1D1C">
        <w:t xml:space="preserve">annually, on or before </w:t>
      </w:r>
      <w:r w:rsidR="00241E20">
        <w:t>August</w:t>
      </w:r>
      <w:r w:rsidR="00241E20" w:rsidRPr="00DF1D1C">
        <w:t xml:space="preserve"> </w:t>
      </w:r>
      <w:r w:rsidR="00DC6AFA" w:rsidRPr="00DF1D1C">
        <w:t>15</w:t>
      </w:r>
      <w:r w:rsidR="00190BB7" w:rsidRPr="00542D30">
        <w:rPr>
          <w:vertAlign w:val="superscript"/>
        </w:rPr>
        <w:t>th</w:t>
      </w:r>
      <w:r w:rsidR="0078080B" w:rsidRPr="00DF1D1C">
        <w:t xml:space="preserve">. </w:t>
      </w:r>
      <w:r w:rsidR="004F77D2">
        <w:t xml:space="preserve">The </w:t>
      </w:r>
      <w:r>
        <w:t>analysis</w:t>
      </w:r>
      <w:r w:rsidR="004F77D2">
        <w:t xml:space="preserve"> must include the methodology, overall response rate, an</w:t>
      </w:r>
      <w:r w:rsidR="00A42BF5">
        <w:t xml:space="preserve">d </w:t>
      </w:r>
      <w:r w:rsidR="00693565">
        <w:t xml:space="preserve">results for </w:t>
      </w:r>
      <w:r w:rsidR="004F77D2">
        <w:t>global</w:t>
      </w:r>
      <w:r w:rsidR="00A42BF5">
        <w:t xml:space="preserve"> rating</w:t>
      </w:r>
      <w:r w:rsidR="00693565">
        <w:t>s</w:t>
      </w:r>
      <w:r w:rsidR="004F77D2">
        <w:t>, composite</w:t>
      </w:r>
      <w:r w:rsidR="00A42BF5">
        <w:t xml:space="preserve"> scores, </w:t>
      </w:r>
      <w:r w:rsidR="00693565">
        <w:t xml:space="preserve">item-specific </w:t>
      </w:r>
      <w:r w:rsidR="00A42BF5">
        <w:t>question summary rates</w:t>
      </w:r>
      <w:r w:rsidR="00693565">
        <w:t xml:space="preserve">, </w:t>
      </w:r>
      <w:r w:rsidR="004F77D2">
        <w:t xml:space="preserve">and any other measure specified by </w:t>
      </w:r>
      <w:r w:rsidR="00BA7747">
        <w:t>DHHR</w:t>
      </w:r>
      <w:r w:rsidR="004F77D2">
        <w:t xml:space="preserve">. </w:t>
      </w:r>
      <w:r w:rsidR="00994030">
        <w:t xml:space="preserve">If </w:t>
      </w:r>
      <w:r w:rsidR="00BA7747">
        <w:t xml:space="preserve">DHHR </w:t>
      </w:r>
      <w:r w:rsidR="00994030">
        <w:t>requires any</w:t>
      </w:r>
      <w:r w:rsidR="0017543C">
        <w:t xml:space="preserve"> additional </w:t>
      </w:r>
      <w:r w:rsidR="004F77D2">
        <w:t xml:space="preserve">measures </w:t>
      </w:r>
      <w:r w:rsidR="00241E20">
        <w:t xml:space="preserve">to be reported </w:t>
      </w:r>
      <w:r w:rsidR="008A47FD">
        <w:t>from the</w:t>
      </w:r>
      <w:r w:rsidR="00D168C0">
        <w:t xml:space="preserve"> survey results</w:t>
      </w:r>
      <w:r w:rsidR="00994030">
        <w:t>,</w:t>
      </w:r>
      <w:r w:rsidR="004F77D2">
        <w:t xml:space="preserve"> </w:t>
      </w:r>
      <w:r w:rsidR="00BA7747">
        <w:t xml:space="preserve">DHHR </w:t>
      </w:r>
      <w:r w:rsidR="00D168C0">
        <w:t xml:space="preserve">will </w:t>
      </w:r>
      <w:r w:rsidR="00241E20">
        <w:t>notify the MCO at the time it approves the survey tool</w:t>
      </w:r>
      <w:r w:rsidR="004F77D2">
        <w:t xml:space="preserve">. </w:t>
      </w:r>
    </w:p>
    <w:p w14:paraId="6EE6BC4D" w14:textId="249B9A4C" w:rsidR="00F24387" w:rsidRDefault="00196ED9" w:rsidP="00257641">
      <w:r>
        <w:t xml:space="preserve">The MCO must </w:t>
      </w:r>
      <w:r w:rsidR="0002545C" w:rsidRPr="00DF1D1C">
        <w:t>use survey results to identify and investigate areas of enrollee dissatisfaction, outline action steps to follow-up on the survey findings, and share findings with providers.</w:t>
      </w:r>
      <w:r w:rsidR="00F24387">
        <w:t xml:space="preserve"> Concurrent with submission of the </w:t>
      </w:r>
      <w:r w:rsidR="00CD1419">
        <w:t xml:space="preserve">analysis of </w:t>
      </w:r>
      <w:r w:rsidR="00F24387">
        <w:t>survey results on August 15</w:t>
      </w:r>
      <w:r w:rsidR="00190BB7" w:rsidRPr="00542D30">
        <w:rPr>
          <w:vertAlign w:val="superscript"/>
        </w:rPr>
        <w:t>th</w:t>
      </w:r>
      <w:r w:rsidR="00F24387">
        <w:t xml:space="preserve">, the MCO must submit its action plan to </w:t>
      </w:r>
      <w:r w:rsidR="00BA7747">
        <w:t>DHHR</w:t>
      </w:r>
      <w:r w:rsidR="00F24387">
        <w:t xml:space="preserve">. The action plan must include </w:t>
      </w:r>
      <w:r w:rsidR="00EF09B4">
        <w:t xml:space="preserve">implementation steps, </w:t>
      </w:r>
      <w:r w:rsidR="00F24387">
        <w:t>a timeline for completion</w:t>
      </w:r>
      <w:r w:rsidR="00EF09B4">
        <w:t xml:space="preserve">, and any other elements specified by </w:t>
      </w:r>
      <w:r w:rsidR="00BA7747">
        <w:t>DHHR</w:t>
      </w:r>
      <w:r w:rsidR="00EF09B4">
        <w:t xml:space="preserve">. </w:t>
      </w:r>
      <w:r w:rsidR="0067465A">
        <w:t xml:space="preserve">Along with the action plan, the MCO must submit an evaluation describing the effectiveness of the previous’ years </w:t>
      </w:r>
      <w:r w:rsidR="0067465A">
        <w:lastRenderedPageBreak/>
        <w:t xml:space="preserve">interventions. </w:t>
      </w:r>
      <w:r w:rsidR="00EF09B4">
        <w:t xml:space="preserve">After the first submission, the MCO must submit updates on its progress in implementing the action plan </w:t>
      </w:r>
      <w:r w:rsidR="00776D49">
        <w:t>forty-five (</w:t>
      </w:r>
      <w:r w:rsidR="00EF09B4">
        <w:t>45</w:t>
      </w:r>
      <w:r w:rsidR="00776D49">
        <w:t>)</w:t>
      </w:r>
      <w:r w:rsidR="00EF09B4">
        <w:t xml:space="preserve"> </w:t>
      </w:r>
      <w:r w:rsidR="00D970E0">
        <w:t xml:space="preserve">calendar </w:t>
      </w:r>
      <w:r w:rsidR="00EF09B4">
        <w:t>days after the end of each quarter.</w:t>
      </w:r>
      <w:r w:rsidR="00F24820">
        <w:t xml:space="preserve"> </w:t>
      </w:r>
    </w:p>
    <w:p w14:paraId="24D2C4CB" w14:textId="6C91B94C" w:rsidR="009A0060" w:rsidRPr="00DF1D1C" w:rsidRDefault="008828B4" w:rsidP="00257641">
      <w:pPr>
        <w:pStyle w:val="Heading4"/>
        <w:keepNext w:val="0"/>
        <w:widowControl w:val="0"/>
      </w:pPr>
      <w:r>
        <w:t>6</w:t>
      </w:r>
      <w:r w:rsidR="00AE5EDC">
        <w:t>.11.</w:t>
      </w:r>
      <w:r w:rsidR="00536028">
        <w:t>5</w:t>
      </w:r>
      <w:r w:rsidR="00AE5EDC">
        <w:t xml:space="preserve"> </w:t>
      </w:r>
      <w:r w:rsidR="009A0060" w:rsidRPr="00DF1D1C">
        <w:t>Encounter Reporting</w:t>
      </w:r>
    </w:p>
    <w:p w14:paraId="44D46C19" w14:textId="77777777" w:rsidR="00D16D88" w:rsidRDefault="00196ED9" w:rsidP="00257641">
      <w:r>
        <w:t xml:space="preserve">The </w:t>
      </w:r>
      <w:r w:rsidR="006675B5">
        <w:t xml:space="preserve">submission of </w:t>
      </w:r>
      <w:r>
        <w:t xml:space="preserve">complete and accurate encounter data is a condition of </w:t>
      </w:r>
      <w:r w:rsidR="00D56915">
        <w:t xml:space="preserve">capitation </w:t>
      </w:r>
      <w:r>
        <w:t>payment to the MCO by the Department.</w:t>
      </w:r>
    </w:p>
    <w:p w14:paraId="4B132AE3" w14:textId="52BF08E4" w:rsidR="00190BB7" w:rsidRDefault="009A0060" w:rsidP="00257641">
      <w:r w:rsidRPr="00DF1D1C">
        <w:t>The MCO is responsible for submitting</w:t>
      </w:r>
      <w:r w:rsidR="00C61910">
        <w:t xml:space="preserve"> complete and accurate</w:t>
      </w:r>
      <w:r w:rsidRPr="00DF1D1C">
        <w:t xml:space="preserve"> encounter data for all services rendered that fall within the defined benefit package</w:t>
      </w:r>
      <w:r w:rsidR="0078080B" w:rsidRPr="00DF1D1C">
        <w:t xml:space="preserve">. </w:t>
      </w:r>
      <w:r w:rsidR="008D35A3">
        <w:t xml:space="preserve">The MCO </w:t>
      </w:r>
      <w:r w:rsidR="00867BB7">
        <w:t xml:space="preserve">must </w:t>
      </w:r>
      <w:r w:rsidR="008D35A3">
        <w:t xml:space="preserve">designate one </w:t>
      </w:r>
      <w:r w:rsidR="00867BB7">
        <w:t xml:space="preserve">(1) </w:t>
      </w:r>
      <w:r w:rsidR="008D35A3">
        <w:t xml:space="preserve">individual to work with the Department or its contractors on the submission of encounter data and resolution of any data issues. </w:t>
      </w:r>
    </w:p>
    <w:p w14:paraId="5DF04434" w14:textId="2D7E8628" w:rsidR="00190BB7" w:rsidRDefault="00190BB7" w:rsidP="00257641">
      <w:pPr>
        <w:pStyle w:val="Heading5"/>
      </w:pPr>
      <w:r>
        <w:t>6.11.</w:t>
      </w:r>
      <w:r w:rsidR="00536028">
        <w:t>5</w:t>
      </w:r>
      <w:r>
        <w:t xml:space="preserve">.1 </w:t>
      </w:r>
      <w:r w:rsidRPr="007B0890">
        <w:t>Encounter Data Submission</w:t>
      </w:r>
    </w:p>
    <w:p w14:paraId="77FDB68C" w14:textId="55C4D927" w:rsidR="00190BB7" w:rsidRDefault="00190BB7" w:rsidP="00257641">
      <w:r w:rsidRPr="00DF1D1C">
        <w:t xml:space="preserve">All encounters must be submitted in electronic or magnetic format specified by </w:t>
      </w:r>
      <w:r>
        <w:t>DHHR</w:t>
      </w:r>
      <w:r w:rsidRPr="00DF1D1C">
        <w:t xml:space="preserve">. The format will be consistent with the formats and coding conventions of the CMS 1500 and UB92/UB-04 if and until </w:t>
      </w:r>
      <w:r>
        <w:t>DHHR</w:t>
      </w:r>
      <w:r w:rsidRPr="00DF1D1C">
        <w:t xml:space="preserve"> determines that another standardized form is more appropriate. </w:t>
      </w:r>
      <w:r>
        <w:t>The MCO must</w:t>
      </w:r>
      <w:r w:rsidRPr="00DF1D1C">
        <w:t xml:space="preserve"> attest to the truthfulness, accuracy, and completeness of all encounter data each time data is submitted to </w:t>
      </w:r>
      <w:r>
        <w:t>DHHR</w:t>
      </w:r>
      <w:r w:rsidRPr="00DF1D1C">
        <w:t xml:space="preserve">. Claims certificate is required from each provider submitting data to the MCO. The MCO must require its physicians who provide Medicaid services to have a unique identifier, which should be used in all encounter data submissions. The encounter data set will include at least those data elements as specified by </w:t>
      </w:r>
      <w:r>
        <w:t>DHHR</w:t>
      </w:r>
      <w:r w:rsidRPr="00DF1D1C">
        <w:t xml:space="preserve"> or necessary for CMS to provide data at the frequency and level of detail specified by the Secretary of the federal </w:t>
      </w:r>
      <w:r w:rsidR="00E63957">
        <w:t>DHHS</w:t>
      </w:r>
      <w:r w:rsidRPr="00DF1D1C">
        <w:t>.</w:t>
      </w:r>
    </w:p>
    <w:p w14:paraId="50B71282" w14:textId="77777777" w:rsidR="00190BB7" w:rsidRDefault="00C61910" w:rsidP="00257641">
      <w:r>
        <w:t>Complete an</w:t>
      </w:r>
      <w:r w:rsidR="008920DC">
        <w:t xml:space="preserve">d </w:t>
      </w:r>
      <w:r>
        <w:t>accurate e</w:t>
      </w:r>
      <w:r w:rsidR="009A0060" w:rsidRPr="00DF1D1C">
        <w:t xml:space="preserve">ncounter data must be submitted monthly and no later than </w:t>
      </w:r>
      <w:r w:rsidR="004A3677">
        <w:t>thirty (</w:t>
      </w:r>
      <w:r w:rsidR="009A0060" w:rsidRPr="00DF1D1C">
        <w:t>30</w:t>
      </w:r>
      <w:r w:rsidR="004A3677">
        <w:t>)</w:t>
      </w:r>
      <w:r w:rsidR="009A0060" w:rsidRPr="00DF1D1C">
        <w:t xml:space="preserve"> calendar days after the end of the period in which the</w:t>
      </w:r>
      <w:r w:rsidR="00EE0CE1">
        <w:t xml:space="preserve"> service was paid. </w:t>
      </w:r>
      <w:r w:rsidR="00D16D88">
        <w:t xml:space="preserve">Encounter data </w:t>
      </w:r>
      <w:r w:rsidR="00D16D88" w:rsidRPr="00D16D88">
        <w:t>must follow the format and data elements as</w:t>
      </w:r>
      <w:r w:rsidR="00D16D88">
        <w:t xml:space="preserve"> </w:t>
      </w:r>
      <w:r w:rsidR="00F33B38">
        <w:t xml:space="preserve">required </w:t>
      </w:r>
      <w:r w:rsidR="00F33B38" w:rsidRPr="00D16D88">
        <w:t>by</w:t>
      </w:r>
      <w:r w:rsidR="00D16D88">
        <w:t xml:space="preserve"> </w:t>
      </w:r>
      <w:r w:rsidR="00D16D88" w:rsidRPr="00D16D88">
        <w:t xml:space="preserve">the HIPAA-compliant 837 </w:t>
      </w:r>
      <w:r w:rsidR="00D16D88">
        <w:t>transaction</w:t>
      </w:r>
      <w:r w:rsidR="00FA70A6">
        <w:t xml:space="preserve"> for medical and dental claims</w:t>
      </w:r>
      <w:r w:rsidR="00D16D88">
        <w:t>.</w:t>
      </w:r>
      <w:r w:rsidR="00F24820">
        <w:t xml:space="preserve"> </w:t>
      </w:r>
    </w:p>
    <w:p w14:paraId="2443D872" w14:textId="1A4DE357" w:rsidR="00EE0CE1" w:rsidRDefault="00EE0CE1" w:rsidP="00257641">
      <w:pPr>
        <w:pStyle w:val="normal6"/>
      </w:pPr>
      <w:r w:rsidRPr="00CD10CC">
        <w:t>Along with the encounter data submission, the MCO must submit</w:t>
      </w:r>
      <w:r>
        <w:t>:</w:t>
      </w:r>
    </w:p>
    <w:p w14:paraId="59D34D54" w14:textId="41F5740A" w:rsidR="00EE0CE1" w:rsidRPr="00EA2CAE" w:rsidRDefault="00EE0CE1" w:rsidP="00257641">
      <w:pPr>
        <w:pStyle w:val="bullet1"/>
      </w:pPr>
      <w:r w:rsidRPr="00EA2CAE">
        <w:t>A detailed summary of the file submission to include total claims and dollars by service category;</w:t>
      </w:r>
      <w:r w:rsidR="00F24820">
        <w:t xml:space="preserve"> </w:t>
      </w:r>
    </w:p>
    <w:p w14:paraId="1A4A6709" w14:textId="77777777" w:rsidR="00EE0CE1" w:rsidRPr="00EA2CAE" w:rsidRDefault="00EE0CE1" w:rsidP="00257641">
      <w:pPr>
        <w:pStyle w:val="bullet1"/>
      </w:pPr>
      <w:r w:rsidRPr="00EA2CAE">
        <w:t>A detailed change log to include specifications for any change in the claims processing systems that has an impact of the representation of the data on the monthly encounter files. Examples of such changes include, but are not limited to, correction and adjustment processing, range and domain of extract variables, values of extract variables, and relationships between extract variables; and</w:t>
      </w:r>
    </w:p>
    <w:p w14:paraId="335F7DBE" w14:textId="77777777" w:rsidR="00EE0CE1" w:rsidRPr="00EA2CAE" w:rsidRDefault="00EE0CE1" w:rsidP="00257641">
      <w:pPr>
        <w:pStyle w:val="bullet1last"/>
      </w:pPr>
      <w:r w:rsidRPr="00EA2CAE">
        <w:t>A dictionary containing definitions for all codes contained on the encounter record that are not defined in the public domain. Such variables include but are not limited to, provider specialty, type of service, place of service, and internal procedure codes.</w:t>
      </w:r>
    </w:p>
    <w:p w14:paraId="3917397A" w14:textId="7BCB88F4" w:rsidR="00190BB7" w:rsidRDefault="00190BB7" w:rsidP="00257641">
      <w:pPr>
        <w:pStyle w:val="Heading5"/>
      </w:pPr>
      <w:r>
        <w:t>6.11.</w:t>
      </w:r>
      <w:r w:rsidR="00536028">
        <w:t>5</w:t>
      </w:r>
      <w:r>
        <w:t xml:space="preserve">.2 </w:t>
      </w:r>
      <w:r w:rsidRPr="00D2476E">
        <w:t>Changes to Encounter Data</w:t>
      </w:r>
    </w:p>
    <w:p w14:paraId="3A4877E0" w14:textId="526534EC" w:rsidR="00190BB7" w:rsidRDefault="00190BB7" w:rsidP="00257641">
      <w:r>
        <w:t xml:space="preserve">The MCO will be required to comply with any changes that </w:t>
      </w:r>
      <w:r w:rsidR="00E63957">
        <w:t xml:space="preserve">the Department </w:t>
      </w:r>
      <w:r>
        <w:t xml:space="preserve">intends to implement within sixty (60) calendar days of issuance, unless otherwise agreed to in writing by </w:t>
      </w:r>
      <w:r w:rsidR="00E63957">
        <w:t xml:space="preserve">the Department </w:t>
      </w:r>
      <w:r>
        <w:t>within thirty (30) calendar days of issuance.</w:t>
      </w:r>
    </w:p>
    <w:p w14:paraId="4B04D1FD" w14:textId="5C8D3B53" w:rsidR="00190BB7" w:rsidRDefault="00190BB7" w:rsidP="00257641">
      <w:r w:rsidRPr="00CD10CC">
        <w:lastRenderedPageBreak/>
        <w:t xml:space="preserve">The MCO must provide </w:t>
      </w:r>
      <w:r w:rsidR="00E63957">
        <w:t>the Department</w:t>
      </w:r>
      <w:r w:rsidR="00E63957" w:rsidRPr="00CD10CC">
        <w:t xml:space="preserve"> </w:t>
      </w:r>
      <w:r w:rsidRPr="00CD10CC">
        <w:t xml:space="preserve">with a written notice at least </w:t>
      </w:r>
      <w:r>
        <w:t>ninety (</w:t>
      </w:r>
      <w:r w:rsidRPr="00CD10CC">
        <w:t>90</w:t>
      </w:r>
      <w:r>
        <w:t>)</w:t>
      </w:r>
      <w:r w:rsidRPr="00CD10CC">
        <w:t xml:space="preserve"> </w:t>
      </w:r>
      <w:r>
        <w:t xml:space="preserve">calendar </w:t>
      </w:r>
      <w:r w:rsidRPr="00CD10CC">
        <w:t xml:space="preserve">days prior to </w:t>
      </w:r>
      <w:r>
        <w:t xml:space="preserve">any </w:t>
      </w:r>
      <w:r w:rsidRPr="00CD10CC">
        <w:t xml:space="preserve">system conversions and changes in coding. It must also provide a plan to work with </w:t>
      </w:r>
      <w:r w:rsidR="00E63957">
        <w:t>the Department</w:t>
      </w:r>
      <w:r w:rsidR="00E63957" w:rsidRPr="00CD10CC">
        <w:t xml:space="preserve"> </w:t>
      </w:r>
      <w:r w:rsidRPr="00CD10CC">
        <w:t>to ensure consistency of encounter data.</w:t>
      </w:r>
    </w:p>
    <w:p w14:paraId="685E1721" w14:textId="3129D876" w:rsidR="00190BB7" w:rsidRDefault="00190BB7" w:rsidP="00257641">
      <w:pPr>
        <w:pStyle w:val="Heading5"/>
      </w:pPr>
      <w:r>
        <w:t>6.11.</w:t>
      </w:r>
      <w:r w:rsidR="00536028">
        <w:t>5</w:t>
      </w:r>
      <w:r>
        <w:t xml:space="preserve">.3 </w:t>
      </w:r>
      <w:r w:rsidRPr="00D2476E">
        <w:t>Encounter Data Reconciliation</w:t>
      </w:r>
    </w:p>
    <w:p w14:paraId="7167A1B6" w14:textId="2F11DDB9" w:rsidR="00EE0CE1" w:rsidRPr="00177B64" w:rsidRDefault="00D56915" w:rsidP="00257641">
      <w:r>
        <w:t>The MCO must</w:t>
      </w:r>
      <w:r w:rsidR="00EE0CE1">
        <w:t xml:space="preserve"> reconcile the encounter data submitted to </w:t>
      </w:r>
      <w:r w:rsidR="00BA7747">
        <w:t xml:space="preserve">DHHR </w:t>
      </w:r>
      <w:r w:rsidR="007B3672" w:rsidRPr="007B3672">
        <w:t xml:space="preserve">to the financial data that it reports to </w:t>
      </w:r>
      <w:r w:rsidR="00BA7747">
        <w:t>DHHR</w:t>
      </w:r>
      <w:r w:rsidR="00BA7747" w:rsidRPr="007B3672">
        <w:t xml:space="preserve"> </w:t>
      </w:r>
      <w:r w:rsidR="007B3672" w:rsidRPr="007B3672">
        <w:t>on a quarterly basis.</w:t>
      </w:r>
      <w:r w:rsidR="00EE0CE1">
        <w:t xml:space="preserve"> </w:t>
      </w:r>
      <w:r>
        <w:t>The MCO must</w:t>
      </w:r>
      <w:r w:rsidR="007B3672" w:rsidRPr="00EA2CAE">
        <w:t xml:space="preserve"> submit this reconciliation to </w:t>
      </w:r>
      <w:r w:rsidR="00BA7747">
        <w:t>DHHR</w:t>
      </w:r>
      <w:r w:rsidR="00BA7747" w:rsidRPr="00EA2CAE">
        <w:t xml:space="preserve"> </w:t>
      </w:r>
      <w:r w:rsidR="00B818CB" w:rsidRPr="007F7744">
        <w:t>by the 15</w:t>
      </w:r>
      <w:r w:rsidR="00B818CB" w:rsidRPr="00177B64">
        <w:t>th</w:t>
      </w:r>
      <w:r w:rsidR="00B818CB" w:rsidRPr="007F7744">
        <w:t xml:space="preserve"> day of the second month following the end of the reporting period</w:t>
      </w:r>
      <w:r w:rsidR="007B3672" w:rsidRPr="00EA2CAE">
        <w:t xml:space="preserve">, along with the financial data. </w:t>
      </w:r>
      <w:r w:rsidR="00EE0CE1">
        <w:t xml:space="preserve">The MCO </w:t>
      </w:r>
      <w:r>
        <w:t>must</w:t>
      </w:r>
      <w:r w:rsidR="00EE0CE1">
        <w:t xml:space="preserve"> explain differences of </w:t>
      </w:r>
      <w:r w:rsidR="003C4B4A">
        <w:t>five percent</w:t>
      </w:r>
      <w:r w:rsidR="00EE0CE1">
        <w:t xml:space="preserve"> </w:t>
      </w:r>
      <w:r w:rsidR="00536028">
        <w:t>(5</w:t>
      </w:r>
      <w:r w:rsidR="00AE16B6">
        <w:t>%</w:t>
      </w:r>
      <w:r w:rsidR="00536028">
        <w:t xml:space="preserve">) </w:t>
      </w:r>
      <w:r w:rsidR="00EE0CE1">
        <w:t xml:space="preserve">or higher. </w:t>
      </w:r>
    </w:p>
    <w:p w14:paraId="6089EE57" w14:textId="5B73DF0B" w:rsidR="00190BB7" w:rsidRDefault="00190BB7" w:rsidP="00257641">
      <w:pPr>
        <w:pStyle w:val="Heading5"/>
      </w:pPr>
      <w:r>
        <w:t>6.11.</w:t>
      </w:r>
      <w:r w:rsidR="00536028">
        <w:t>5</w:t>
      </w:r>
      <w:r>
        <w:t xml:space="preserve">.4 </w:t>
      </w:r>
      <w:r w:rsidRPr="00D2476E">
        <w:t>Data Accuracy and Completeness Monitoring Program</w:t>
      </w:r>
    </w:p>
    <w:p w14:paraId="2FB3AC18" w14:textId="77777777" w:rsidR="00EE0CE1" w:rsidRDefault="00EE0CE1" w:rsidP="00257641">
      <w:pPr>
        <w:pStyle w:val="normal6"/>
      </w:pPr>
      <w:r>
        <w:t>The MCO must have a data accuracy and completeness monitoring program in place that:</w:t>
      </w:r>
    </w:p>
    <w:p w14:paraId="1ADDDAA1" w14:textId="133C15B8" w:rsidR="00EE0CE1" w:rsidRPr="00EA2CAE" w:rsidRDefault="00EE0CE1" w:rsidP="00257641">
      <w:pPr>
        <w:pStyle w:val="bullet1"/>
      </w:pPr>
      <w:r w:rsidRPr="00EA2CAE">
        <w:t xml:space="preserve">Demonstrates that all claims and encounters submitted to the MCO by health care providers, including </w:t>
      </w:r>
      <w:r w:rsidR="00642406">
        <w:t>S</w:t>
      </w:r>
      <w:r w:rsidRPr="00EA2CAE">
        <w:t xml:space="preserve">ubcontractors, are submitted accurately and timely as encounters to </w:t>
      </w:r>
      <w:r w:rsidR="00BA7747">
        <w:t>DHHR</w:t>
      </w:r>
      <w:r w:rsidRPr="00EA2CAE">
        <w:t>;</w:t>
      </w:r>
    </w:p>
    <w:p w14:paraId="4C191805" w14:textId="77777777" w:rsidR="00EE0CE1" w:rsidRPr="00EA2CAE" w:rsidRDefault="00EE0CE1" w:rsidP="00257641">
      <w:pPr>
        <w:pStyle w:val="bullet1"/>
      </w:pPr>
      <w:r w:rsidRPr="00EA2CAE">
        <w:t xml:space="preserve">Evaluates health care provider and </w:t>
      </w:r>
      <w:r w:rsidR="00642406">
        <w:t>S</w:t>
      </w:r>
      <w:r w:rsidRPr="00EA2CAE">
        <w:t>ubcontractor compliance with contractual reporting requirements; and</w:t>
      </w:r>
    </w:p>
    <w:p w14:paraId="79BB673B" w14:textId="77777777" w:rsidR="00EE0CE1" w:rsidRPr="00EA2CAE" w:rsidRDefault="00EE0CE1" w:rsidP="00257641">
      <w:pPr>
        <w:pStyle w:val="bullet1last"/>
      </w:pPr>
      <w:r w:rsidRPr="00EA2CAE">
        <w:t>Demonstrates that the MCO has the processes in place to act on the information from the monitoring program and takes appropriate action to ensure full compliance with the encounter reporting requirement.</w:t>
      </w:r>
    </w:p>
    <w:p w14:paraId="25744676" w14:textId="152A6FF3" w:rsidR="00EE0CE1" w:rsidRPr="002F41FF" w:rsidRDefault="00EE0CE1" w:rsidP="00257641">
      <w:r w:rsidRPr="002F41FF">
        <w:t xml:space="preserve">The MCO must submit an annual Data Accuracy and Completeness Plan to </w:t>
      </w:r>
      <w:r w:rsidR="00E63957">
        <w:t>the Department</w:t>
      </w:r>
      <w:r w:rsidR="00E63957" w:rsidRPr="002F41FF">
        <w:t xml:space="preserve"> </w:t>
      </w:r>
      <w:r w:rsidRPr="002F41FF">
        <w:t>for review and approval</w:t>
      </w:r>
      <w:r>
        <w:t xml:space="preserve"> by October 1</w:t>
      </w:r>
      <w:r w:rsidR="00CA6948">
        <w:rPr>
          <w:vertAlign w:val="superscript"/>
        </w:rPr>
        <w:t>st</w:t>
      </w:r>
      <w:r>
        <w:t xml:space="preserve"> for the current fiscal year</w:t>
      </w:r>
      <w:r w:rsidRPr="002F41FF">
        <w:t xml:space="preserve">. This Plan must include </w:t>
      </w:r>
      <w:r>
        <w:t xml:space="preserve">the three </w:t>
      </w:r>
      <w:r w:rsidR="00190BB7">
        <w:t xml:space="preserve">(3) </w:t>
      </w:r>
      <w:r>
        <w:t xml:space="preserve">elements listed above. </w:t>
      </w:r>
      <w:r w:rsidRPr="00CD10CC">
        <w:t xml:space="preserve">Along with this submission, the MCO should submit </w:t>
      </w:r>
      <w:r>
        <w:t>documentation</w:t>
      </w:r>
      <w:r w:rsidRPr="00CD10CC">
        <w:t xml:space="preserve"> of its data file layout.</w:t>
      </w:r>
    </w:p>
    <w:p w14:paraId="5FB685D9" w14:textId="18156F42" w:rsidR="00190BB7" w:rsidRPr="00920847" w:rsidRDefault="00190BB7" w:rsidP="00257641">
      <w:pPr>
        <w:pStyle w:val="Heading5"/>
      </w:pPr>
      <w:r w:rsidRPr="00920847">
        <w:t>6.11.</w:t>
      </w:r>
      <w:r w:rsidR="00536028">
        <w:t>5</w:t>
      </w:r>
      <w:r w:rsidRPr="00920847">
        <w:t>.5 Errors in Submitted Encounter Data</w:t>
      </w:r>
    </w:p>
    <w:p w14:paraId="7A9BAF0E" w14:textId="5A674B98" w:rsidR="00EE0CE1" w:rsidRDefault="00EE0CE1" w:rsidP="00257641">
      <w:r w:rsidRPr="002F41FF">
        <w:t xml:space="preserve">The </w:t>
      </w:r>
      <w:r>
        <w:t>MCO</w:t>
      </w:r>
      <w:r w:rsidRPr="002F41FF">
        <w:t xml:space="preserve"> must provide complete, accurate, and timely</w:t>
      </w:r>
      <w:r>
        <w:t xml:space="preserve"> e</w:t>
      </w:r>
      <w:r w:rsidRPr="002F41FF">
        <w:t xml:space="preserve">ncounter </w:t>
      </w:r>
      <w:r>
        <w:t>d</w:t>
      </w:r>
      <w:r w:rsidRPr="002F41FF">
        <w:t xml:space="preserve">ata to </w:t>
      </w:r>
      <w:r w:rsidR="00BA7747">
        <w:t>DHHR</w:t>
      </w:r>
      <w:r w:rsidRPr="002F41FF">
        <w:t xml:space="preserve">. </w:t>
      </w:r>
      <w:r w:rsidRPr="009C03BF">
        <w:t xml:space="preserve">If previously submitted encounter data is identified with a significant number of errors, the MCO will be required to re-submit corrected encounter data within </w:t>
      </w:r>
      <w:r w:rsidR="004A3677">
        <w:t>thirty (</w:t>
      </w:r>
      <w:r w:rsidRPr="009C03BF">
        <w:t>30</w:t>
      </w:r>
      <w:r w:rsidR="004A3677">
        <w:t>)</w:t>
      </w:r>
      <w:r w:rsidRPr="009C03BF">
        <w:t xml:space="preserve"> </w:t>
      </w:r>
      <w:r w:rsidR="00D970E0">
        <w:t xml:space="preserve">calendar </w:t>
      </w:r>
      <w:r w:rsidRPr="009C03BF">
        <w:t xml:space="preserve">days of notification from </w:t>
      </w:r>
      <w:r w:rsidR="00BA7747">
        <w:t>DHHR</w:t>
      </w:r>
      <w:r w:rsidRPr="009C03BF">
        <w:t>.</w:t>
      </w:r>
      <w:r w:rsidR="009277B1">
        <w:t xml:space="preserve"> If the MCO fails to meet a ninety-five percent </w:t>
      </w:r>
      <w:r w:rsidR="00536028">
        <w:t xml:space="preserve">(95%) </w:t>
      </w:r>
      <w:r w:rsidR="009277B1">
        <w:t>encounter acceptance rate</w:t>
      </w:r>
      <w:r w:rsidR="00CB5E77">
        <w:t xml:space="preserve">, it will be assessed a penalty of $100 for each rejected encounter </w:t>
      </w:r>
      <w:r w:rsidR="00292778">
        <w:t>below</w:t>
      </w:r>
      <w:r w:rsidR="00CB5E77">
        <w:t xml:space="preserve"> the ninety-five percent </w:t>
      </w:r>
      <w:r w:rsidR="00536028">
        <w:t xml:space="preserve">(95%) </w:t>
      </w:r>
      <w:r w:rsidR="00CB5E77">
        <w:t xml:space="preserve">acceptance rate. </w:t>
      </w:r>
    </w:p>
    <w:p w14:paraId="419792D0" w14:textId="47CBF350" w:rsidR="00241E20" w:rsidRDefault="008828B4" w:rsidP="00257641">
      <w:pPr>
        <w:pStyle w:val="Heading4"/>
      </w:pPr>
      <w:r>
        <w:t>6</w:t>
      </w:r>
      <w:r w:rsidR="00AE5EDC">
        <w:t>.11.</w:t>
      </w:r>
      <w:r w:rsidR="00536028">
        <w:t>6</w:t>
      </w:r>
      <w:r w:rsidR="00AE5EDC">
        <w:t xml:space="preserve"> </w:t>
      </w:r>
      <w:r w:rsidR="004F097D" w:rsidRPr="00AA0822">
        <w:rPr>
          <w:lang w:bidi="en-US"/>
        </w:rPr>
        <w:t>Healthcare Effectiveness Data and Information Set</w:t>
      </w:r>
      <w:r w:rsidR="004F097D" w:rsidRPr="00DF1D1C">
        <w:t xml:space="preserve"> </w:t>
      </w:r>
      <w:r w:rsidR="004F097D">
        <w:t>(</w:t>
      </w:r>
      <w:r w:rsidR="00AC5D25" w:rsidRPr="00DF1D1C">
        <w:t>HEDIS</w:t>
      </w:r>
      <w:r w:rsidR="004F097D">
        <w:t>)</w:t>
      </w:r>
      <w:r w:rsidR="00AC5D25" w:rsidRPr="00DF1D1C">
        <w:t xml:space="preserve"> Reporting</w:t>
      </w:r>
      <w:r w:rsidR="00D46605" w:rsidRPr="00DF1D1C">
        <w:t xml:space="preserve"> </w:t>
      </w:r>
    </w:p>
    <w:p w14:paraId="6EE81099" w14:textId="42B11627" w:rsidR="006278E8" w:rsidRDefault="006278E8" w:rsidP="00257641">
      <w:r w:rsidRPr="00241E20">
        <w:t xml:space="preserve">The MCO </w:t>
      </w:r>
      <w:r w:rsidR="00725FA1" w:rsidRPr="00241E20">
        <w:t xml:space="preserve">must report audited HEDIS measures to </w:t>
      </w:r>
      <w:r w:rsidR="00BA7747">
        <w:t>DHHR</w:t>
      </w:r>
      <w:r w:rsidR="00BA7747" w:rsidRPr="00241E20">
        <w:t xml:space="preserve"> </w:t>
      </w:r>
      <w:r w:rsidR="00725FA1" w:rsidRPr="00241E20">
        <w:t>annually by June 15</w:t>
      </w:r>
      <w:r w:rsidR="005563F5" w:rsidRPr="00542D30">
        <w:rPr>
          <w:vertAlign w:val="superscript"/>
        </w:rPr>
        <w:t>th</w:t>
      </w:r>
      <w:r w:rsidR="0078080B" w:rsidRPr="00241E20">
        <w:t xml:space="preserve">. </w:t>
      </w:r>
      <w:r w:rsidR="002512BD">
        <w:t>Once</w:t>
      </w:r>
      <w:r w:rsidR="00725FA1" w:rsidRPr="00241E20">
        <w:t xml:space="preserve"> </w:t>
      </w:r>
      <w:r w:rsidR="00E51083">
        <w:t xml:space="preserve">the </w:t>
      </w:r>
      <w:r w:rsidR="00725FA1" w:rsidRPr="00241E20">
        <w:t>MCO perform</w:t>
      </w:r>
      <w:r w:rsidR="002512BD">
        <w:t>s</w:t>
      </w:r>
      <w:r w:rsidR="00725FA1" w:rsidRPr="00241E20">
        <w:t xml:space="preserve"> </w:t>
      </w:r>
      <w:r w:rsidR="00F74B8C" w:rsidRPr="00241E20">
        <w:t>NCQA’s</w:t>
      </w:r>
      <w:r w:rsidR="00725FA1" w:rsidRPr="00241E20">
        <w:t xml:space="preserve"> HEDIS </w:t>
      </w:r>
      <w:r w:rsidR="00F74B8C" w:rsidRPr="00241E20">
        <w:t xml:space="preserve">Compliance Audit, </w:t>
      </w:r>
      <w:r w:rsidR="00725FA1" w:rsidRPr="00241E20">
        <w:t xml:space="preserve">the audited results </w:t>
      </w:r>
      <w:r w:rsidR="002512BD">
        <w:t xml:space="preserve">must </w:t>
      </w:r>
      <w:r w:rsidR="00725FA1" w:rsidRPr="00241E20">
        <w:t xml:space="preserve">be submitted to </w:t>
      </w:r>
      <w:r w:rsidR="00BA7747">
        <w:t>DHHR</w:t>
      </w:r>
      <w:r w:rsidR="00BA7747" w:rsidRPr="00241E20">
        <w:t xml:space="preserve"> </w:t>
      </w:r>
      <w:r w:rsidR="00725FA1" w:rsidRPr="00241E20">
        <w:t xml:space="preserve">upon </w:t>
      </w:r>
      <w:r w:rsidR="00F74B8C" w:rsidRPr="00241E20">
        <w:t>submission to</w:t>
      </w:r>
      <w:r w:rsidR="00725FA1" w:rsidRPr="00241E20">
        <w:t xml:space="preserve"> NCQA</w:t>
      </w:r>
      <w:r w:rsidR="0078080B" w:rsidRPr="00241E20">
        <w:t xml:space="preserve">. </w:t>
      </w:r>
      <w:r w:rsidR="00BA7747">
        <w:t>DHHR</w:t>
      </w:r>
      <w:r w:rsidR="00BA7747" w:rsidRPr="00241E20">
        <w:t xml:space="preserve"> </w:t>
      </w:r>
      <w:r w:rsidR="0002545C" w:rsidRPr="00241E20">
        <w:t xml:space="preserve">will provide guidance to MCOs regarding which measures </w:t>
      </w:r>
      <w:r w:rsidR="002512BD">
        <w:t>must</w:t>
      </w:r>
      <w:r w:rsidR="002512BD" w:rsidRPr="00241E20">
        <w:t xml:space="preserve"> </w:t>
      </w:r>
      <w:r w:rsidR="0002545C" w:rsidRPr="00241E20">
        <w:t>be reported</w:t>
      </w:r>
      <w:r w:rsidR="00B85336" w:rsidRPr="00241E20">
        <w:t>, according to the current version of HEDIS</w:t>
      </w:r>
      <w:r w:rsidR="0002545C" w:rsidRPr="00241E20">
        <w:t>.</w:t>
      </w:r>
      <w:r w:rsidR="003C5610" w:rsidRPr="00241E20">
        <w:t xml:space="preserve"> </w:t>
      </w:r>
    </w:p>
    <w:p w14:paraId="57D1B205" w14:textId="76422FE2" w:rsidR="002C186D" w:rsidRDefault="008828B4" w:rsidP="00257641">
      <w:pPr>
        <w:pStyle w:val="Heading4"/>
      </w:pPr>
      <w:r>
        <w:t>6</w:t>
      </w:r>
      <w:r w:rsidR="00A322F4">
        <w:t>.11.</w:t>
      </w:r>
      <w:r w:rsidR="00AE16B6">
        <w:t>7</w:t>
      </w:r>
      <w:r w:rsidR="00A322F4">
        <w:t xml:space="preserve"> </w:t>
      </w:r>
      <w:r w:rsidR="002C186D">
        <w:t>National Core Health Care Quality Measures Reporting</w:t>
      </w:r>
    </w:p>
    <w:p w14:paraId="22A74E26" w14:textId="342DD828" w:rsidR="002C186D" w:rsidRDefault="002C186D" w:rsidP="00257641">
      <w:r w:rsidRPr="00373FB7">
        <w:t xml:space="preserve">The Secretary of the </w:t>
      </w:r>
      <w:r w:rsidR="004F097D">
        <w:t>DHHS</w:t>
      </w:r>
      <w:r w:rsidRPr="00373FB7">
        <w:t xml:space="preserve"> has identified a set of core health care quality measures for Medicaid-eligible adults and children enrolled in Medicaid and CHIP. </w:t>
      </w:r>
      <w:r w:rsidR="004A7FA0" w:rsidRPr="00373FB7">
        <w:t xml:space="preserve">The MCO must </w:t>
      </w:r>
      <w:r w:rsidRPr="00373FB7">
        <w:t xml:space="preserve">report annually to </w:t>
      </w:r>
      <w:r w:rsidR="00BA7747">
        <w:t>DHHR</w:t>
      </w:r>
      <w:r w:rsidR="00BA7747" w:rsidRPr="00373FB7">
        <w:t xml:space="preserve"> </w:t>
      </w:r>
      <w:r w:rsidR="004A7FA0" w:rsidRPr="00373FB7">
        <w:t>results for all identified core adult and child quality measures</w:t>
      </w:r>
      <w:r w:rsidR="006675B5">
        <w:t xml:space="preserve"> relevant to the </w:t>
      </w:r>
      <w:r w:rsidR="009B19C2">
        <w:lastRenderedPageBreak/>
        <w:t xml:space="preserve">Contract </w:t>
      </w:r>
      <w:r w:rsidR="006675B5">
        <w:t>covered services</w:t>
      </w:r>
      <w:r w:rsidR="004A7FA0" w:rsidRPr="00373FB7">
        <w:t xml:space="preserve"> following the technical specifications provided by CMS. </w:t>
      </w:r>
      <w:r w:rsidR="00C851E4">
        <w:t>Results for the previous calendar year are due on or before September 1</w:t>
      </w:r>
      <w:r w:rsidR="005563F5" w:rsidRPr="00542D30">
        <w:rPr>
          <w:vertAlign w:val="superscript"/>
        </w:rPr>
        <w:t>st</w:t>
      </w:r>
      <w:r w:rsidR="00C851E4">
        <w:t>. The MCO must use the most recent technical specifications from CMS, available at ww</w:t>
      </w:r>
      <w:r w:rsidR="0062122C">
        <w:t>w</w:t>
      </w:r>
      <w:r w:rsidR="00C851E4">
        <w:t xml:space="preserve">.medicaid.gov, to calculate results. </w:t>
      </w:r>
    </w:p>
    <w:p w14:paraId="076DC39A" w14:textId="5DCA3984" w:rsidR="009A0060" w:rsidRPr="00DF1D1C" w:rsidRDefault="008828B4" w:rsidP="00257641">
      <w:pPr>
        <w:pStyle w:val="Heading4"/>
      </w:pPr>
      <w:r>
        <w:t>6</w:t>
      </w:r>
      <w:r w:rsidR="00A322F4">
        <w:t>.11.</w:t>
      </w:r>
      <w:r w:rsidR="00AE16B6">
        <w:t>8</w:t>
      </w:r>
      <w:r w:rsidR="00A322F4">
        <w:t xml:space="preserve"> </w:t>
      </w:r>
      <w:r w:rsidR="009A0060" w:rsidRPr="00DF1D1C">
        <w:t>Financial Reporting</w:t>
      </w:r>
    </w:p>
    <w:p w14:paraId="18F59C7A" w14:textId="77777777" w:rsidR="00C21742" w:rsidRPr="00A322F4" w:rsidRDefault="009A0060" w:rsidP="00257641">
      <w:pPr>
        <w:pStyle w:val="normal6"/>
      </w:pPr>
      <w:r w:rsidRPr="00DF1D1C">
        <w:t>Regular reporting is necessary to assure the ongoing operation and financial integrity of participating MCOs</w:t>
      </w:r>
      <w:r w:rsidR="0078080B" w:rsidRPr="00DF1D1C">
        <w:t xml:space="preserve">. </w:t>
      </w:r>
      <w:r w:rsidRPr="00DF1D1C">
        <w:t xml:space="preserve">The MCO must provide financial reports as specified </w:t>
      </w:r>
      <w:r w:rsidR="006F328B">
        <w:t>by this Contract</w:t>
      </w:r>
      <w:r w:rsidR="0078080B" w:rsidRPr="00DF1D1C">
        <w:t xml:space="preserve">. </w:t>
      </w:r>
      <w:r w:rsidR="00C21742" w:rsidRPr="00DF1D1C">
        <w:t xml:space="preserve">Plans that are in a particularly weak financial position may be required to report more frequently. </w:t>
      </w:r>
    </w:p>
    <w:p w14:paraId="2180AA45" w14:textId="49A783EA" w:rsidR="009A0060" w:rsidRPr="00A322F4" w:rsidRDefault="009A0060" w:rsidP="00257641">
      <w:pPr>
        <w:pStyle w:val="StyleAfter12pt"/>
        <w:numPr>
          <w:ilvl w:val="0"/>
          <w:numId w:val="74"/>
        </w:numPr>
        <w:tabs>
          <w:tab w:val="clear" w:pos="540"/>
        </w:tabs>
        <w:spacing w:after="120"/>
        <w:ind w:left="720"/>
      </w:pPr>
      <w:r w:rsidRPr="00A322F4">
        <w:rPr>
          <w:i/>
        </w:rPr>
        <w:t>Annual Financial Statements:</w:t>
      </w:r>
      <w:r w:rsidRPr="00A322F4">
        <w:t xml:space="preserve"> Annually, on or before June 1</w:t>
      </w:r>
      <w:r w:rsidR="005563F5" w:rsidRPr="00542D30">
        <w:rPr>
          <w:vertAlign w:val="superscript"/>
        </w:rPr>
        <w:t>st</w:t>
      </w:r>
      <w:r w:rsidRPr="00A322F4">
        <w:t>, the MCO must submit audited financial statements.</w:t>
      </w:r>
    </w:p>
    <w:p w14:paraId="6010EA83" w14:textId="77777777" w:rsidR="00C21742" w:rsidRDefault="006F328B" w:rsidP="00257641">
      <w:pPr>
        <w:pStyle w:val="StyleAfter12pt"/>
        <w:numPr>
          <w:ilvl w:val="0"/>
          <w:numId w:val="74"/>
        </w:numPr>
        <w:tabs>
          <w:tab w:val="clear" w:pos="540"/>
        </w:tabs>
        <w:ind w:left="720"/>
      </w:pPr>
      <w:r w:rsidRPr="00A322F4">
        <w:t xml:space="preserve"> </w:t>
      </w:r>
      <w:r w:rsidRPr="00A322F4">
        <w:rPr>
          <w:i/>
        </w:rPr>
        <w:t>West Virginia Offices of the Insurance Commissioner (OIC)</w:t>
      </w:r>
      <w:r w:rsidR="009A0060" w:rsidRPr="00A322F4">
        <w:rPr>
          <w:i/>
        </w:rPr>
        <w:t>:</w:t>
      </w:r>
      <w:r w:rsidR="009A0060" w:rsidRPr="00DF1D1C">
        <w:rPr>
          <w:i/>
        </w:rPr>
        <w:t xml:space="preserve"> </w:t>
      </w:r>
      <w:r w:rsidR="009A0060" w:rsidRPr="00DF1D1C">
        <w:t xml:space="preserve">The MCO must submit copies of its quarterly and annual </w:t>
      </w:r>
      <w:r>
        <w:t>OIC</w:t>
      </w:r>
      <w:r w:rsidR="009A0060" w:rsidRPr="00DF1D1C">
        <w:t xml:space="preserve"> reports, as well as any revisions thereto</w:t>
      </w:r>
      <w:r w:rsidR="0078080B" w:rsidRPr="00DF1D1C">
        <w:t xml:space="preserve">. </w:t>
      </w:r>
      <w:r w:rsidR="009A0060" w:rsidRPr="00DF1D1C">
        <w:t xml:space="preserve">The MCO must include </w:t>
      </w:r>
      <w:r>
        <w:t xml:space="preserve">applicable OIC </w:t>
      </w:r>
      <w:r w:rsidR="009A0060" w:rsidRPr="00DF1D1C">
        <w:t>reports on the solvency of its intermediaries</w:t>
      </w:r>
      <w:r w:rsidR="0078080B" w:rsidRPr="00DF1D1C">
        <w:t xml:space="preserve">. </w:t>
      </w:r>
      <w:r w:rsidR="009A0060" w:rsidRPr="00DF1D1C">
        <w:t xml:space="preserve">These reports are due on the same due dates for reporting to the </w:t>
      </w:r>
      <w:r>
        <w:t>OIC</w:t>
      </w:r>
      <w:r w:rsidR="0078080B" w:rsidRPr="00DF1D1C">
        <w:t xml:space="preserve">. </w:t>
      </w:r>
      <w:r w:rsidR="004D1B2D" w:rsidRPr="00DF1D1C">
        <w:t xml:space="preserve">Any revisions to a quarterly and/or annual </w:t>
      </w:r>
      <w:r>
        <w:t>OIC</w:t>
      </w:r>
      <w:r w:rsidR="004D1B2D" w:rsidRPr="00DF1D1C">
        <w:t xml:space="preserve"> report must be submitted on the same day on which </w:t>
      </w:r>
      <w:r w:rsidR="00B01586" w:rsidRPr="00DF1D1C">
        <w:t xml:space="preserve">the report </w:t>
      </w:r>
      <w:r w:rsidR="004D1B2D" w:rsidRPr="00DF1D1C">
        <w:t xml:space="preserve">is submitted to the </w:t>
      </w:r>
      <w:r>
        <w:t>OIC</w:t>
      </w:r>
      <w:r w:rsidR="0078080B" w:rsidRPr="00DF1D1C">
        <w:t xml:space="preserve">. </w:t>
      </w:r>
    </w:p>
    <w:p w14:paraId="04018E71" w14:textId="7B625A9F" w:rsidR="005006D0" w:rsidRPr="005006D0" w:rsidRDefault="005006D0" w:rsidP="00257641">
      <w:r>
        <w:t>The MCO must comply with all other financial reporting requirements as outlined in Article III</w:t>
      </w:r>
      <w:r w:rsidRPr="00CF0469">
        <w:t>,</w:t>
      </w:r>
      <w:r w:rsidR="00CF0469">
        <w:t xml:space="preserve"> </w:t>
      </w:r>
      <w:r w:rsidR="00CF0469" w:rsidRPr="00CF0469">
        <w:t>Section</w:t>
      </w:r>
      <w:r w:rsidR="00CF0469">
        <w:t xml:space="preserve"> </w:t>
      </w:r>
      <w:r w:rsidR="004262F9">
        <w:t>8</w:t>
      </w:r>
      <w:r w:rsidR="00CF0469">
        <w:t>.</w:t>
      </w:r>
      <w:r>
        <w:t xml:space="preserve"> </w:t>
      </w:r>
    </w:p>
    <w:p w14:paraId="4AC23947" w14:textId="320D65A1" w:rsidR="00B76E4C" w:rsidRPr="00DF1D1C" w:rsidRDefault="008828B4" w:rsidP="00257641">
      <w:pPr>
        <w:pStyle w:val="Heading4"/>
      </w:pPr>
      <w:r>
        <w:t>6</w:t>
      </w:r>
      <w:r w:rsidR="004F37D6">
        <w:t>.11.</w:t>
      </w:r>
      <w:r w:rsidR="00AE16B6">
        <w:t>9</w:t>
      </w:r>
      <w:r w:rsidR="004F37D6">
        <w:t xml:space="preserve"> </w:t>
      </w:r>
      <w:r w:rsidR="00B76E4C">
        <w:t>Provider Network Reporting</w:t>
      </w:r>
    </w:p>
    <w:p w14:paraId="181C236D" w14:textId="491B911A" w:rsidR="004F37D6" w:rsidRDefault="00B76E4C" w:rsidP="00257641">
      <w:r>
        <w:t xml:space="preserve">The MCO must comply with reporting requirements </w:t>
      </w:r>
      <w:r w:rsidR="00DB26F8">
        <w:t xml:space="preserve">required to assess </w:t>
      </w:r>
      <w:r w:rsidR="00AB3957">
        <w:t>compliance</w:t>
      </w:r>
      <w:r>
        <w:t xml:space="preserve"> with network standards in a format and frequency to be specified by </w:t>
      </w:r>
      <w:r w:rsidR="00BA7747">
        <w:t>DHHR</w:t>
      </w:r>
      <w:r>
        <w:t>.</w:t>
      </w:r>
    </w:p>
    <w:p w14:paraId="0A87BCC8" w14:textId="4700A1D0" w:rsidR="00103DC0" w:rsidRPr="00DF1D1C" w:rsidRDefault="008828B4" w:rsidP="00257641">
      <w:pPr>
        <w:pStyle w:val="Heading4"/>
      </w:pPr>
      <w:r>
        <w:t>6</w:t>
      </w:r>
      <w:r w:rsidR="00E631FD">
        <w:t>.11.</w:t>
      </w:r>
      <w:r w:rsidR="00AE16B6">
        <w:t>10</w:t>
      </w:r>
      <w:r w:rsidR="00103DC0">
        <w:t xml:space="preserve"> </w:t>
      </w:r>
      <w:r w:rsidR="00103DC0" w:rsidRPr="00DF1D1C">
        <w:t>Reporting of Required Reportable Diseases</w:t>
      </w:r>
    </w:p>
    <w:p w14:paraId="1461F044" w14:textId="77777777" w:rsidR="00103DC0" w:rsidRPr="00DF1D1C" w:rsidRDefault="00103DC0" w:rsidP="00257641">
      <w:pPr>
        <w:pStyle w:val="normal6"/>
      </w:pPr>
      <w:r w:rsidRPr="00DF1D1C">
        <w:t>Health care providers are required to report certain diseases by state law. This is to allow for both disease surveillance and appropriate case investigation/public follow-up. The MCO may be responsible for 1) further screening, diagnosis and treatment of identified cases enrolled in the MCO as necessary to protect the public’s health, or 2) screening, diagnosis and treatment of case contacts who are enrolled in the MCO. Detailed infectious disease reporting requirements can be obtained from the Bureau for Public Health within the Department of Health and Human Resources. The three primary types of diseases that must be reported are:</w:t>
      </w:r>
    </w:p>
    <w:p w14:paraId="0C4B2F9B" w14:textId="77777777" w:rsidR="00103DC0" w:rsidRPr="00DF1D1C" w:rsidRDefault="00103DC0" w:rsidP="00257641">
      <w:pPr>
        <w:pStyle w:val="StyleAfter12pt"/>
        <w:numPr>
          <w:ilvl w:val="0"/>
          <w:numId w:val="150"/>
        </w:numPr>
        <w:spacing w:after="120"/>
      </w:pPr>
      <w:r w:rsidRPr="00DF1D1C">
        <w:rPr>
          <w:i/>
        </w:rPr>
        <w:t xml:space="preserve">Division of Surveillance and Disease Control, Sexually Transmitted Disease Program. </w:t>
      </w:r>
      <w:r w:rsidRPr="00DF1D1C">
        <w:t>According to WV Statute Chapter 16-4-6 and Legislative Rules Title 64, Series 7, sexually transmitted diseases (STDs) are required to be reported for disease surveillance purposes and for appropriate case investigation and follow-up. For contact notification, the MCO must refer case information to the Division of Surveillance and Disease Control. The Division has an established program for notifying partners of persons with infectious conditions. This includes follow-up of contacts to individuals with HIV and AIDS. Once notified, contacts who are enrollees of an MCO may be referred back to the MCO for appropriate screening and treatment, if necessary.</w:t>
      </w:r>
    </w:p>
    <w:p w14:paraId="3B6E0B0D" w14:textId="77777777" w:rsidR="00103DC0" w:rsidRPr="00DF1D1C" w:rsidRDefault="00103DC0" w:rsidP="00257641">
      <w:pPr>
        <w:pStyle w:val="StyleAfter12pt"/>
        <w:numPr>
          <w:ilvl w:val="0"/>
          <w:numId w:val="150"/>
        </w:numPr>
        <w:spacing w:after="120"/>
      </w:pPr>
      <w:r w:rsidRPr="00DF1D1C">
        <w:rPr>
          <w:i/>
        </w:rPr>
        <w:t xml:space="preserve">Division of Surveillance and Disease Control, Tuberculosis Program. </w:t>
      </w:r>
      <w:r w:rsidRPr="00DF1D1C">
        <w:t xml:space="preserve">As per WV Statute Chapter 26-5A-4 and WV Regulations 16-25-3, individuals with diseases caused by M. </w:t>
      </w:r>
      <w:r w:rsidRPr="00DF1D1C">
        <w:lastRenderedPageBreak/>
        <w:t>tuberculosis must be reported to the WV Bureau for Public Health, DSDC, TB Program for appropriate identification, screening, treatment and treatment monitoring of their contacts.</w:t>
      </w:r>
    </w:p>
    <w:p w14:paraId="07AABEFA" w14:textId="77777777" w:rsidR="00103DC0" w:rsidRPr="00DF1D1C" w:rsidRDefault="00103DC0" w:rsidP="00257641">
      <w:pPr>
        <w:pStyle w:val="StyleAfter12pt"/>
        <w:numPr>
          <w:ilvl w:val="0"/>
          <w:numId w:val="150"/>
        </w:numPr>
        <w:ind w:left="547"/>
      </w:pPr>
      <w:r w:rsidRPr="00DF1D1C">
        <w:rPr>
          <w:i/>
        </w:rPr>
        <w:t xml:space="preserve">Division of Surveillance and Disease Control, Communicable Disease Program. </w:t>
      </w:r>
      <w:r w:rsidRPr="00DF1D1C">
        <w:t>As per WV Legislative Rules Title 6-4, Series 7, cases of communicable disease noted as reportable in West Virginia must be reported to the local health departments in the appropriate time frame and method outlined in legislative rules. This both provides for disease surveillance and allows appropriate public health action to be undertaken—patient education and instruction to prevent further spread, contact identification and treatment, environmental investigation, outbreak identification and investigation, etc. (Note: Per legislative rule, reports of category IV diseases [including HIV and AIDS] are submitted directly to the state health department, not to local jurisdictions.)</w:t>
      </w:r>
    </w:p>
    <w:p w14:paraId="3C6D3AB6" w14:textId="5B028C28" w:rsidR="00103DC0" w:rsidRPr="00DF1D1C" w:rsidRDefault="00103DC0" w:rsidP="00257641">
      <w:r>
        <w:t>The MCO must</w:t>
      </w:r>
      <w:r w:rsidRPr="00DF1D1C">
        <w:t xml:space="preserve"> submit yearly statements to </w:t>
      </w:r>
      <w:r w:rsidR="00BA7747">
        <w:t>DHHR</w:t>
      </w:r>
      <w:r w:rsidRPr="00DF1D1C">
        <w:t>, by October 1</w:t>
      </w:r>
      <w:r w:rsidR="005563F5" w:rsidRPr="00542D30">
        <w:rPr>
          <w:vertAlign w:val="superscript"/>
        </w:rPr>
        <w:t>st</w:t>
      </w:r>
      <w:r w:rsidRPr="00DF1D1C">
        <w:t>, attesting that it has provided written notification to all participating providers on their responsibility to and procedures for reporting the three primary types of diseases listed above to the State.</w:t>
      </w:r>
    </w:p>
    <w:p w14:paraId="4572334E" w14:textId="7E4C779C" w:rsidR="009A0060" w:rsidRPr="00DF1D1C" w:rsidRDefault="008828B4" w:rsidP="00257641">
      <w:pPr>
        <w:pStyle w:val="Heading4"/>
      </w:pPr>
      <w:r>
        <w:t>6</w:t>
      </w:r>
      <w:r w:rsidR="000150C0">
        <w:t>.11.1</w:t>
      </w:r>
      <w:r w:rsidR="00AE16B6">
        <w:t>1</w:t>
      </w:r>
      <w:r w:rsidR="00103DC0">
        <w:t xml:space="preserve"> </w:t>
      </w:r>
      <w:r w:rsidR="009A0060" w:rsidRPr="00DF1D1C">
        <w:t>Federal Reporting Requirements</w:t>
      </w:r>
    </w:p>
    <w:p w14:paraId="49271359" w14:textId="0AC38B21" w:rsidR="009A0060" w:rsidRPr="00DF1D1C" w:rsidRDefault="009A0060" w:rsidP="00257641">
      <w:pPr>
        <w:pStyle w:val="normal6"/>
      </w:pPr>
      <w:r w:rsidRPr="00DF1D1C">
        <w:t xml:space="preserve">The MCO </w:t>
      </w:r>
      <w:r w:rsidR="00196ED9">
        <w:t xml:space="preserve">must </w:t>
      </w:r>
      <w:r w:rsidRPr="00DF1D1C">
        <w:t xml:space="preserve">comply with the following Federal reporting and compliance requirements for the services listed below, and </w:t>
      </w:r>
      <w:r w:rsidR="00196ED9">
        <w:t xml:space="preserve">must </w:t>
      </w:r>
      <w:r w:rsidRPr="00DF1D1C">
        <w:t xml:space="preserve">submit applicable reports to </w:t>
      </w:r>
      <w:r w:rsidR="00BA7747">
        <w:t>DHHR</w:t>
      </w:r>
      <w:r w:rsidRPr="00DF1D1C">
        <w:t>. (See Medicaid Physician Provider Manual for state requirements and procedures):</w:t>
      </w:r>
    </w:p>
    <w:p w14:paraId="7B1E1944" w14:textId="77777777" w:rsidR="009A0060" w:rsidRPr="00DF1D1C" w:rsidRDefault="009A0060" w:rsidP="00257641">
      <w:pPr>
        <w:pStyle w:val="bullet1"/>
      </w:pPr>
      <w:r w:rsidRPr="00DF1D1C">
        <w:t xml:space="preserve">Abortions </w:t>
      </w:r>
      <w:r w:rsidR="00196ED9">
        <w:t>must</w:t>
      </w:r>
      <w:r w:rsidRPr="00DF1D1C">
        <w:t xml:space="preserve"> comply with the requirements of 42 CFR 441. Subpart E – Abortions. This includes completion of the information form, Certification Regarding Abortion. </w:t>
      </w:r>
    </w:p>
    <w:p w14:paraId="4CBC4109" w14:textId="77777777" w:rsidR="009A0060" w:rsidRPr="00DF1D1C" w:rsidRDefault="009A0060" w:rsidP="00257641">
      <w:pPr>
        <w:pStyle w:val="bullet1"/>
      </w:pPr>
      <w:r w:rsidRPr="00DF1D1C">
        <w:t xml:space="preserve">Hysterectomies and sterilizations </w:t>
      </w:r>
      <w:r w:rsidR="00196ED9">
        <w:t>must</w:t>
      </w:r>
      <w:r w:rsidRPr="00DF1D1C">
        <w:t xml:space="preserve"> comply with </w:t>
      </w:r>
      <w:bookmarkStart w:id="166" w:name="OLE_LINK5"/>
      <w:bookmarkStart w:id="167" w:name="OLE_LINK6"/>
      <w:r w:rsidRPr="00DF1D1C">
        <w:t>42 CFR 441. Subpart F –Sterilizations</w:t>
      </w:r>
      <w:bookmarkEnd w:id="166"/>
      <w:bookmarkEnd w:id="167"/>
      <w:r w:rsidRPr="00DF1D1C">
        <w:t xml:space="preserve">. This includes completion of the consent form. </w:t>
      </w:r>
    </w:p>
    <w:p w14:paraId="6D17CF82" w14:textId="77777777" w:rsidR="009A0060" w:rsidRPr="00DF1D1C" w:rsidRDefault="009A0060" w:rsidP="00257641">
      <w:pPr>
        <w:pStyle w:val="bullet1last"/>
      </w:pPr>
      <w:r w:rsidRPr="00DF1D1C">
        <w:t>EP</w:t>
      </w:r>
      <w:r w:rsidR="00196ED9">
        <w:t>SDT services and reporting must</w:t>
      </w:r>
      <w:r w:rsidRPr="00DF1D1C">
        <w:t xml:space="preserve"> comply with 42 CFR 441 Subpart B – Early and Periodic </w:t>
      </w:r>
      <w:r w:rsidRPr="00B07A43">
        <w:t>S</w:t>
      </w:r>
      <w:r w:rsidRPr="00DF1D1C">
        <w:t>creening, Diagnosis, and Treatment.</w:t>
      </w:r>
    </w:p>
    <w:p w14:paraId="458094E1" w14:textId="00CE9F51" w:rsidR="00866D77" w:rsidRPr="00DF1D1C" w:rsidRDefault="00866D77" w:rsidP="00257641">
      <w:r w:rsidRPr="00DF1D1C">
        <w:t xml:space="preserve">MCOs </w:t>
      </w:r>
      <w:r w:rsidR="00196ED9">
        <w:t>must</w:t>
      </w:r>
      <w:r w:rsidRPr="00DF1D1C">
        <w:t xml:space="preserve"> submit yearly statements to </w:t>
      </w:r>
      <w:r w:rsidR="00BA7747">
        <w:t>DHHR</w:t>
      </w:r>
      <w:r w:rsidR="00BA7747" w:rsidRPr="00DF1D1C">
        <w:t xml:space="preserve"> </w:t>
      </w:r>
      <w:r w:rsidRPr="00DF1D1C">
        <w:t>each year by October 1</w:t>
      </w:r>
      <w:r w:rsidR="005563F5" w:rsidRPr="00542D30">
        <w:rPr>
          <w:vertAlign w:val="superscript"/>
        </w:rPr>
        <w:t>st</w:t>
      </w:r>
      <w:r w:rsidRPr="00DF1D1C">
        <w:t xml:space="preserve"> attesting</w:t>
      </w:r>
      <w:r w:rsidR="00B32E8D" w:rsidRPr="00DF1D1C">
        <w:t xml:space="preserve"> it has provided written notification to all participating providers on their responsibility to and procedures for reporting the three </w:t>
      </w:r>
      <w:r w:rsidR="00FD1D21">
        <w:t xml:space="preserve">(3) </w:t>
      </w:r>
      <w:r w:rsidR="00B32E8D" w:rsidRPr="00DF1D1C">
        <w:t>primary types of diseases listed above to the State.</w:t>
      </w:r>
    </w:p>
    <w:p w14:paraId="70DC4FE1" w14:textId="56958DB6" w:rsidR="004C7B61" w:rsidRPr="00DF1D1C" w:rsidRDefault="008828B4" w:rsidP="00257641">
      <w:pPr>
        <w:pStyle w:val="Heading4"/>
      </w:pPr>
      <w:r>
        <w:t>6</w:t>
      </w:r>
      <w:r w:rsidR="000150C0">
        <w:t>.11.1</w:t>
      </w:r>
      <w:r w:rsidR="00681457">
        <w:t>2</w:t>
      </w:r>
      <w:r w:rsidR="00103DC0">
        <w:t xml:space="preserve"> </w:t>
      </w:r>
      <w:r w:rsidR="004C7B61" w:rsidRPr="00DF1D1C">
        <w:t>Annual Report</w:t>
      </w:r>
    </w:p>
    <w:p w14:paraId="4EF16A44" w14:textId="05C4E208" w:rsidR="004C7B61" w:rsidRPr="00DF1D1C" w:rsidRDefault="00196ED9" w:rsidP="00257641">
      <w:r>
        <w:t>The MCO must</w:t>
      </w:r>
      <w:r w:rsidR="004C7B61" w:rsidRPr="00DF1D1C">
        <w:t xml:space="preserve"> submit its annual report </w:t>
      </w:r>
      <w:r w:rsidR="00356156">
        <w:t xml:space="preserve">for the prior calendar year </w:t>
      </w:r>
      <w:r w:rsidR="004C7B61" w:rsidRPr="00DF1D1C">
        <w:t xml:space="preserve">to </w:t>
      </w:r>
      <w:r w:rsidR="00BA7747">
        <w:t xml:space="preserve">DHHR </w:t>
      </w:r>
      <w:r w:rsidR="00F03452">
        <w:t>by April 1</w:t>
      </w:r>
      <w:r w:rsidR="00755F3B" w:rsidRPr="00542D30">
        <w:rPr>
          <w:vertAlign w:val="superscript"/>
        </w:rPr>
        <w:t>st</w:t>
      </w:r>
      <w:r w:rsidR="00F03452">
        <w:t xml:space="preserve">. </w:t>
      </w:r>
      <w:r w:rsidR="00356156">
        <w:t xml:space="preserve">The MCO’s first annual report under this contract will be due April 1, 2021. </w:t>
      </w:r>
      <w:r w:rsidR="00057D1B" w:rsidRPr="00DF1D1C">
        <w:t>The MCO must also make copies of the annual report available</w:t>
      </w:r>
      <w:r w:rsidR="004844B9">
        <w:t xml:space="preserve"> on its website and </w:t>
      </w:r>
      <w:r w:rsidR="00057D1B" w:rsidRPr="00DF1D1C">
        <w:t xml:space="preserve">to its </w:t>
      </w:r>
      <w:r w:rsidR="00FD1D21">
        <w:t>enrollee</w:t>
      </w:r>
      <w:r w:rsidR="00FD1D21" w:rsidRPr="00DF1D1C">
        <w:t xml:space="preserve">s </w:t>
      </w:r>
      <w:r w:rsidR="00057D1B" w:rsidRPr="00DF1D1C">
        <w:t>upon request.</w:t>
      </w:r>
    </w:p>
    <w:p w14:paraId="1E86928A" w14:textId="426A6AA4" w:rsidR="002128D7" w:rsidRDefault="008828B4" w:rsidP="00257641">
      <w:pPr>
        <w:pStyle w:val="Heading4"/>
      </w:pPr>
      <w:r>
        <w:t>6</w:t>
      </w:r>
      <w:r w:rsidR="000150C0">
        <w:t>.11.1</w:t>
      </w:r>
      <w:r w:rsidR="00681457">
        <w:t>3</w:t>
      </w:r>
      <w:r w:rsidR="00103DC0">
        <w:t xml:space="preserve"> </w:t>
      </w:r>
      <w:r w:rsidR="002128D7" w:rsidRPr="00E310D1">
        <w:t>Data Necessary for Drug Rebate Collection</w:t>
      </w:r>
    </w:p>
    <w:p w14:paraId="2BB077D3" w14:textId="0789E229" w:rsidR="002128D7" w:rsidRDefault="004D58CC" w:rsidP="00257641">
      <w:r>
        <w:t xml:space="preserve">For </w:t>
      </w:r>
      <w:r w:rsidR="00681457">
        <w:t>provider</w:t>
      </w:r>
      <w:r>
        <w:t>-administered drugs provided under managed care, t</w:t>
      </w:r>
      <w:r w:rsidR="00AA668D">
        <w:t xml:space="preserve">he </w:t>
      </w:r>
      <w:r w:rsidR="00196ED9">
        <w:t xml:space="preserve">MCO must </w:t>
      </w:r>
      <w:r w:rsidR="002128D7">
        <w:t xml:space="preserve">submit to </w:t>
      </w:r>
      <w:r w:rsidR="00BA7747">
        <w:t xml:space="preserve">DHHR </w:t>
      </w:r>
      <w:r w:rsidR="002128D7">
        <w:t xml:space="preserve">the drug utilization data necessary for the collection of drug rebates in formats to be specified by </w:t>
      </w:r>
      <w:r w:rsidR="00BA7747">
        <w:t xml:space="preserve">DHHR </w:t>
      </w:r>
      <w:r w:rsidR="002128D7">
        <w:t xml:space="preserve">no later than </w:t>
      </w:r>
      <w:r w:rsidR="00223AF6">
        <w:t>fifteen</w:t>
      </w:r>
      <w:r w:rsidR="00D970E0">
        <w:t xml:space="preserve"> (15</w:t>
      </w:r>
      <w:r w:rsidR="00223AF6">
        <w:t>)</w:t>
      </w:r>
      <w:r w:rsidR="002128D7">
        <w:t xml:space="preserve"> </w:t>
      </w:r>
      <w:r w:rsidR="00D970E0">
        <w:t xml:space="preserve">calendar </w:t>
      </w:r>
      <w:r w:rsidR="002128D7">
        <w:t xml:space="preserve">days following the end of </w:t>
      </w:r>
      <w:r w:rsidR="00C0469D">
        <w:t>each</w:t>
      </w:r>
      <w:r w:rsidR="002128D7">
        <w:t xml:space="preserve"> month.</w:t>
      </w:r>
      <w:r w:rsidR="00F953E7">
        <w:t xml:space="preserve"> The MCO must resolve any disputes related to the data within </w:t>
      </w:r>
      <w:r w:rsidR="00223AF6">
        <w:t>sixty</w:t>
      </w:r>
      <w:r w:rsidR="00D970E0">
        <w:t xml:space="preserve"> (60</w:t>
      </w:r>
      <w:r w:rsidR="00223AF6">
        <w:t xml:space="preserve">) </w:t>
      </w:r>
      <w:r w:rsidR="00D970E0">
        <w:t xml:space="preserve">calendar </w:t>
      </w:r>
      <w:r w:rsidR="00F953E7">
        <w:t xml:space="preserve">days from notification of </w:t>
      </w:r>
      <w:r w:rsidR="00BA7747">
        <w:t>DHHR</w:t>
      </w:r>
      <w:r w:rsidR="00F953E7">
        <w:t>.</w:t>
      </w:r>
      <w:r w:rsidR="00BA5718">
        <w:t xml:space="preserve"> The MCO must designate a single point of contact to coordinate rebate submissions and any disputes.</w:t>
      </w:r>
    </w:p>
    <w:p w14:paraId="325C25D8" w14:textId="77777777" w:rsidR="00681457" w:rsidRDefault="00681457" w:rsidP="00257641">
      <w:pPr>
        <w:pStyle w:val="normal6"/>
      </w:pPr>
      <w:r>
        <w:lastRenderedPageBreak/>
        <w:t>The data must include, but is not limited to the following for each provider-administered drug claim:</w:t>
      </w:r>
    </w:p>
    <w:p w14:paraId="14249AB3" w14:textId="77777777" w:rsidR="00681457" w:rsidRDefault="00681457" w:rsidP="00A1283E">
      <w:pPr>
        <w:pStyle w:val="bullet1"/>
        <w:tabs>
          <w:tab w:val="clear" w:pos="1440"/>
        </w:tabs>
        <w:spacing w:after="60"/>
      </w:pPr>
      <w:r>
        <w:t xml:space="preserve">a </w:t>
      </w:r>
      <w:r w:rsidRPr="009E01A0">
        <w:t xml:space="preserve">HCPCS code, </w:t>
      </w:r>
    </w:p>
    <w:p w14:paraId="5B4F8697" w14:textId="77777777" w:rsidR="00681457" w:rsidRDefault="00681457" w:rsidP="00A1283E">
      <w:pPr>
        <w:pStyle w:val="bullet1"/>
        <w:tabs>
          <w:tab w:val="clear" w:pos="1440"/>
        </w:tabs>
        <w:spacing w:after="60"/>
      </w:pPr>
      <w:r>
        <w:t xml:space="preserve">an </w:t>
      </w:r>
      <w:r w:rsidRPr="009E01A0">
        <w:t xml:space="preserve">NDC number, </w:t>
      </w:r>
    </w:p>
    <w:p w14:paraId="14EB263A" w14:textId="77777777" w:rsidR="00681457" w:rsidRDefault="00681457" w:rsidP="00A1283E">
      <w:pPr>
        <w:pStyle w:val="bullet1"/>
        <w:tabs>
          <w:tab w:val="clear" w:pos="1440"/>
        </w:tabs>
        <w:spacing w:after="60"/>
      </w:pPr>
      <w:r w:rsidRPr="009E01A0">
        <w:t xml:space="preserve">the </w:t>
      </w:r>
      <w:r>
        <w:t>NDC unit of measure, and</w:t>
      </w:r>
    </w:p>
    <w:p w14:paraId="1C262A9B" w14:textId="77777777" w:rsidR="00681457" w:rsidRDefault="00681457" w:rsidP="00257641">
      <w:pPr>
        <w:pStyle w:val="bullet1"/>
        <w:spacing w:after="240"/>
      </w:pPr>
      <w:r w:rsidRPr="009E01A0">
        <w:t>the NDC quantity</w:t>
      </w:r>
      <w:r>
        <w:t>.</w:t>
      </w:r>
    </w:p>
    <w:p w14:paraId="2BF19C44" w14:textId="3378158D" w:rsidR="00244726" w:rsidRDefault="00244726" w:rsidP="00257641">
      <w:r>
        <w:t xml:space="preserve">The turnaround time on the resolution of an incorrect monthly data file must be submitted within </w:t>
      </w:r>
      <w:r w:rsidR="00F91F18">
        <w:t>fifteen</w:t>
      </w:r>
      <w:r w:rsidR="00D970E0">
        <w:t xml:space="preserve"> (15</w:t>
      </w:r>
      <w:r w:rsidR="00F91F18">
        <w:t>)</w:t>
      </w:r>
      <w:r w:rsidR="00D970E0">
        <w:t xml:space="preserve"> calendar</w:t>
      </w:r>
      <w:r>
        <w:t xml:space="preserve"> day</w:t>
      </w:r>
      <w:r w:rsidR="00D8470C">
        <w:t>s.</w:t>
      </w:r>
      <w:r w:rsidR="00F24820">
        <w:t xml:space="preserve"> </w:t>
      </w:r>
      <w:r w:rsidR="00D8470C">
        <w:t xml:space="preserve">The Department </w:t>
      </w:r>
      <w:r w:rsidR="000150C0">
        <w:t>will</w:t>
      </w:r>
      <w:r w:rsidR="00D8470C">
        <w:t xml:space="preserve"> return any rejected encounters to the MCO for correction and resubmission.</w:t>
      </w:r>
      <w:r w:rsidR="00F24820">
        <w:t xml:space="preserve"> </w:t>
      </w:r>
      <w:r w:rsidR="00D8470C">
        <w:t xml:space="preserve">The rejected encounters are to be resolved </w:t>
      </w:r>
      <w:r w:rsidR="003F33FE">
        <w:t xml:space="preserve">by the MCO </w:t>
      </w:r>
      <w:r w:rsidR="00D8470C">
        <w:t xml:space="preserve">within </w:t>
      </w:r>
      <w:r w:rsidR="00F91F18">
        <w:t>sixty</w:t>
      </w:r>
      <w:r w:rsidR="00D970E0">
        <w:t xml:space="preserve"> (60</w:t>
      </w:r>
      <w:r w:rsidR="00F91F18">
        <w:t>)</w:t>
      </w:r>
      <w:r w:rsidR="00D970E0">
        <w:t xml:space="preserve"> calendar</w:t>
      </w:r>
      <w:r w:rsidR="00F91F18">
        <w:t xml:space="preserve"> </w:t>
      </w:r>
      <w:r w:rsidR="00D8470C">
        <w:t xml:space="preserve">days from the date of notification by </w:t>
      </w:r>
      <w:r w:rsidR="00BA7747">
        <w:t xml:space="preserve">DHHR </w:t>
      </w:r>
      <w:r w:rsidR="00D8470C">
        <w:t xml:space="preserve">or its designee. </w:t>
      </w:r>
    </w:p>
    <w:p w14:paraId="6F04A289" w14:textId="7FB2E1A8" w:rsidR="00D8470C" w:rsidRDefault="00D8470C" w:rsidP="00257641">
      <w:r>
        <w:t xml:space="preserve">Each pharmacy and medical encounter </w:t>
      </w:r>
      <w:r w:rsidR="00F91F18">
        <w:t>must</w:t>
      </w:r>
      <w:r>
        <w:t xml:space="preserve"> include a 340B indicator, supplied by the provider at the time of billing, verifying whether or not a 340B drug was dispensed/administered to the Medicaid </w:t>
      </w:r>
      <w:r w:rsidR="00FD1D21">
        <w:t>enrollee</w:t>
      </w:r>
      <w:r>
        <w:t xml:space="preserve">. </w:t>
      </w:r>
      <w:r w:rsidR="0037228A">
        <w:t xml:space="preserve">The MCO </w:t>
      </w:r>
      <w:r w:rsidR="00867BB7">
        <w:t xml:space="preserve">must </w:t>
      </w:r>
      <w:r w:rsidR="0037228A">
        <w:t>report this information using a stand</w:t>
      </w:r>
      <w:r w:rsidR="00A43346">
        <w:t>ardized template supplied by the Department</w:t>
      </w:r>
      <w:r w:rsidR="0037228A">
        <w:t>. The MCO must validate their</w:t>
      </w:r>
      <w:r w:rsidR="00A43346">
        <w:t xml:space="preserve"> 340B drug costs claim data by confirming that drug costs for 340B prescribed drugs do not exceed non-340B costs for the same drug and provide quarterly attestation that the verification has been completed. </w:t>
      </w:r>
    </w:p>
    <w:p w14:paraId="74DDC993" w14:textId="0C87F63A" w:rsidR="006502D7" w:rsidRDefault="006502D7" w:rsidP="00257641">
      <w:r>
        <w:t xml:space="preserve">The MCO is required to use the most current Medicaid crosswalk provided by the Bureau for processing </w:t>
      </w:r>
      <w:r w:rsidR="00AB033C" w:rsidRPr="00AB033C">
        <w:t>Healthcare Common Procedure Coding System (</w:t>
      </w:r>
      <w:r>
        <w:t>HCPCS</w:t>
      </w:r>
      <w:r w:rsidR="00AB033C">
        <w:t>)</w:t>
      </w:r>
      <w:r>
        <w:t xml:space="preserve"> claims.</w:t>
      </w:r>
      <w:r w:rsidR="00F24820">
        <w:t xml:space="preserve"> </w:t>
      </w:r>
      <w:r>
        <w:t xml:space="preserve">The crosswalk must be loaded into the vendor’s claims processing system within </w:t>
      </w:r>
      <w:r w:rsidR="000B6368">
        <w:t xml:space="preserve">thirty </w:t>
      </w:r>
      <w:r>
        <w:t>(</w:t>
      </w:r>
      <w:r w:rsidR="008676B0">
        <w:t>30</w:t>
      </w:r>
      <w:r w:rsidR="000B6368">
        <w:t>)</w:t>
      </w:r>
      <w:r>
        <w:t xml:space="preserve"> </w:t>
      </w:r>
      <w:r w:rsidR="00D970E0">
        <w:t xml:space="preserve">calendar </w:t>
      </w:r>
      <w:r>
        <w:t>days of receipt for claims processing. If NDC on the submitted encounters do not align with the crosswalk, the claim</w:t>
      </w:r>
      <w:r w:rsidR="000B6368">
        <w:t xml:space="preserve"> line</w:t>
      </w:r>
      <w:r>
        <w:t xml:space="preserve"> </w:t>
      </w:r>
      <w:r w:rsidR="00867BB7">
        <w:t xml:space="preserve">must </w:t>
      </w:r>
      <w:r>
        <w:t>be rejected by the MCO and returned to the provider for correction.</w:t>
      </w:r>
      <w:r w:rsidR="00F24820">
        <w:t xml:space="preserve"> </w:t>
      </w:r>
      <w:r>
        <w:t xml:space="preserve">The vendor must use and complete the specified file format for submitting HCPCS encounters for the </w:t>
      </w:r>
      <w:r w:rsidR="00755F3B">
        <w:t xml:space="preserve">Department </w:t>
      </w:r>
      <w:r>
        <w:t xml:space="preserve">for rebate processing. </w:t>
      </w:r>
    </w:p>
    <w:p w14:paraId="1FDC46B3" w14:textId="50580CCD" w:rsidR="002128D7" w:rsidRPr="00DF1D1C" w:rsidRDefault="008828B4" w:rsidP="00257641">
      <w:pPr>
        <w:pStyle w:val="StyleHeading4After0pt"/>
      </w:pPr>
      <w:r>
        <w:t>6</w:t>
      </w:r>
      <w:r w:rsidR="00103DC0">
        <w:t>.11.1</w:t>
      </w:r>
      <w:r w:rsidR="00681457">
        <w:t>4</w:t>
      </w:r>
      <w:r w:rsidR="00103DC0">
        <w:t xml:space="preserve"> </w:t>
      </w:r>
      <w:r w:rsidR="002128D7">
        <w:t>Provider-Preventable Conditions</w:t>
      </w:r>
    </w:p>
    <w:p w14:paraId="60910E47" w14:textId="4A4E0858" w:rsidR="002128D7" w:rsidRDefault="002128D7" w:rsidP="00257641">
      <w:r>
        <w:t xml:space="preserve">The MCO must comply with any reporting requirements mandated by CMS to document the occurrences of provider-preventable conditions in the Medicaid program. The format and frequency will be specified by </w:t>
      </w:r>
      <w:r w:rsidR="00BA7747">
        <w:t>DHHR</w:t>
      </w:r>
      <w:r>
        <w:t>.</w:t>
      </w:r>
    </w:p>
    <w:p w14:paraId="37DD9E0C" w14:textId="5CEFE9BD" w:rsidR="009A0060" w:rsidRPr="00A17103" w:rsidRDefault="008828B4" w:rsidP="00257641">
      <w:pPr>
        <w:pStyle w:val="Heading4"/>
      </w:pPr>
      <w:r w:rsidRPr="00A17103">
        <w:t>6</w:t>
      </w:r>
      <w:r w:rsidR="00103DC0" w:rsidRPr="00A17103">
        <w:t>.11.1</w:t>
      </w:r>
      <w:r w:rsidR="00681457">
        <w:t>5</w:t>
      </w:r>
      <w:r w:rsidR="00103DC0" w:rsidRPr="00A17103">
        <w:t xml:space="preserve"> </w:t>
      </w:r>
      <w:r w:rsidR="009A0060" w:rsidRPr="00A17103">
        <w:t>Other Reporting Requirements</w:t>
      </w:r>
    </w:p>
    <w:p w14:paraId="4C050D8C" w14:textId="3AF59173" w:rsidR="009A0060" w:rsidRDefault="00AA668D" w:rsidP="00257641">
      <w:r>
        <w:t>The</w:t>
      </w:r>
      <w:r w:rsidR="00FA1C0C" w:rsidRPr="00DF1D1C">
        <w:t xml:space="preserve"> MCO</w:t>
      </w:r>
      <w:r w:rsidR="00196ED9">
        <w:t xml:space="preserve"> must</w:t>
      </w:r>
      <w:r w:rsidR="009A0060" w:rsidRPr="00DF1D1C">
        <w:t xml:space="preserve"> submit to </w:t>
      </w:r>
      <w:r w:rsidR="00BA7747">
        <w:t>DHHR</w:t>
      </w:r>
      <w:r w:rsidR="00BA7747" w:rsidRPr="00DF1D1C">
        <w:t xml:space="preserve"> </w:t>
      </w:r>
      <w:r w:rsidR="00033164">
        <w:t xml:space="preserve">all </w:t>
      </w:r>
      <w:r w:rsidR="009A0060" w:rsidRPr="00DF1D1C">
        <w:t xml:space="preserve">Medicare and private accreditation review reports, findings, and other results from the previous three </w:t>
      </w:r>
      <w:r w:rsidR="00755F3B">
        <w:t xml:space="preserve">(3) </w:t>
      </w:r>
      <w:r w:rsidR="009A0060" w:rsidRPr="00DF1D1C">
        <w:t>year period, upon request</w:t>
      </w:r>
      <w:r w:rsidR="0078080B" w:rsidRPr="00DF1D1C">
        <w:t xml:space="preserve">. </w:t>
      </w:r>
    </w:p>
    <w:p w14:paraId="78E58FDE" w14:textId="79D9CCE1" w:rsidR="002128D7" w:rsidRDefault="002128D7" w:rsidP="00257641">
      <w:r>
        <w:t>The MCO must comply with any</w:t>
      </w:r>
      <w:r w:rsidR="00B95F0C">
        <w:t xml:space="preserve"> </w:t>
      </w:r>
      <w:r w:rsidR="00C0469D">
        <w:t>additional</w:t>
      </w:r>
      <w:r>
        <w:t xml:space="preserve"> reporting requirements mandated by CMS</w:t>
      </w:r>
      <w:r w:rsidR="00C0469D">
        <w:t xml:space="preserve"> during the course of this contract</w:t>
      </w:r>
      <w:r>
        <w:t xml:space="preserve">. </w:t>
      </w:r>
      <w:r w:rsidR="00BA7747">
        <w:t xml:space="preserve">DHHR </w:t>
      </w:r>
      <w:r>
        <w:t>will provide additional guidance on specific layouts and frequency.</w:t>
      </w:r>
    </w:p>
    <w:p w14:paraId="19CD39F4" w14:textId="5F42D05C" w:rsidR="009570F7" w:rsidRDefault="000453DE" w:rsidP="00257641">
      <w:r>
        <w:t xml:space="preserve">The MCO must submit to </w:t>
      </w:r>
      <w:r w:rsidR="00BA7747">
        <w:t xml:space="preserve">DHHR </w:t>
      </w:r>
      <w:r>
        <w:t xml:space="preserve">a monthly report on the number of </w:t>
      </w:r>
      <w:r w:rsidR="00FD1D21">
        <w:t xml:space="preserve">enrollees </w:t>
      </w:r>
      <w:r>
        <w:t xml:space="preserve">under </w:t>
      </w:r>
      <w:r w:rsidR="00704A30">
        <w:t>age</w:t>
      </w:r>
      <w:r w:rsidR="003B074A">
        <w:t xml:space="preserve"> twenty-one</w:t>
      </w:r>
      <w:r w:rsidR="00704A30">
        <w:t xml:space="preserve"> </w:t>
      </w:r>
      <w:r w:rsidR="003B074A">
        <w:t>(</w:t>
      </w:r>
      <w:r>
        <w:t>21</w:t>
      </w:r>
      <w:r w:rsidR="003B074A">
        <w:t>)</w:t>
      </w:r>
      <w:r>
        <w:t xml:space="preserve"> </w:t>
      </w:r>
      <w:r w:rsidR="00FD4A35">
        <w:t>receiv</w:t>
      </w:r>
      <w:r w:rsidR="005012CB">
        <w:t>ing</w:t>
      </w:r>
      <w:r w:rsidR="00FD4A35">
        <w:t xml:space="preserve"> </w:t>
      </w:r>
      <w:r w:rsidRPr="000453DE">
        <w:t>Psychiatric Residential Treatment Facility</w:t>
      </w:r>
      <w:r>
        <w:t xml:space="preserve"> (</w:t>
      </w:r>
      <w:r w:rsidR="00745DC5">
        <w:t>PRTF</w:t>
      </w:r>
      <w:r>
        <w:t>)</w:t>
      </w:r>
      <w:r w:rsidR="004F4128">
        <w:t xml:space="preserve"> </w:t>
      </w:r>
      <w:r w:rsidR="00704A30">
        <w:t xml:space="preserve">services </w:t>
      </w:r>
      <w:r w:rsidR="00DD7CEF">
        <w:t xml:space="preserve">from </w:t>
      </w:r>
      <w:r w:rsidR="00FD4A35">
        <w:t>in-state and out-of-state</w:t>
      </w:r>
      <w:r w:rsidR="00DD7CEF">
        <w:t xml:space="preserve"> providers</w:t>
      </w:r>
      <w:r w:rsidR="00FD4A35">
        <w:t xml:space="preserve">. </w:t>
      </w:r>
    </w:p>
    <w:p w14:paraId="7134F451" w14:textId="4A841C94" w:rsidR="009A0060" w:rsidRPr="009D3205" w:rsidRDefault="0050055A" w:rsidP="007610FD">
      <w:pPr>
        <w:pStyle w:val="Heading2"/>
        <w:numPr>
          <w:ilvl w:val="0"/>
          <w:numId w:val="10"/>
        </w:numPr>
      </w:pPr>
      <w:bookmarkStart w:id="168" w:name="_Toc8129044"/>
      <w:r w:rsidRPr="009D3205">
        <w:lastRenderedPageBreak/>
        <w:t xml:space="preserve">QUALITY ASSESSMENT AND PERFORMANCE IMPROVEMENT </w:t>
      </w:r>
      <w:r w:rsidR="00AB033C">
        <w:t xml:space="preserve">(QAPI) </w:t>
      </w:r>
      <w:r w:rsidRPr="009D3205">
        <w:t>PROGRAM</w:t>
      </w:r>
      <w:bookmarkEnd w:id="168"/>
      <w:r w:rsidRPr="009D3205">
        <w:t xml:space="preserve"> </w:t>
      </w:r>
    </w:p>
    <w:p w14:paraId="178DCDDA" w14:textId="77777777" w:rsidR="009A0060" w:rsidRPr="00DF1D1C" w:rsidRDefault="009A0060" w:rsidP="00257641">
      <w:pPr>
        <w:pStyle w:val="normal6"/>
      </w:pPr>
      <w:r w:rsidRPr="00DF1D1C">
        <w:t>The MCO must develop and implement written policies for an ongoing quality assessment and performance improvement program (QAPI) for the services it furnishes to enrollees</w:t>
      </w:r>
      <w:r w:rsidR="0078080B" w:rsidRPr="00DF1D1C">
        <w:t xml:space="preserve">. </w:t>
      </w:r>
      <w:r w:rsidR="00890D6B">
        <w:t>The QAPI must</w:t>
      </w:r>
      <w:r w:rsidRPr="00DF1D1C">
        <w:t xml:space="preserve"> include several distinct, but interrelated comprehensive strategies and must be designed to achieve, through ongoing measurements and intervention, significant improvement in clinical and nonclinical areas of care that are expected to have a favorable effect on health outcomes and enrollee satisfaction</w:t>
      </w:r>
      <w:r w:rsidR="0078080B" w:rsidRPr="00DF1D1C">
        <w:t xml:space="preserve">. </w:t>
      </w:r>
      <w:r w:rsidRPr="00DF1D1C">
        <w:t>Such improvements must be sustained over time</w:t>
      </w:r>
      <w:r w:rsidR="0078080B" w:rsidRPr="00DF1D1C">
        <w:t xml:space="preserve">. </w:t>
      </w:r>
      <w:r w:rsidRPr="00DF1D1C">
        <w:t>QAPI strategies should include:</w:t>
      </w:r>
    </w:p>
    <w:p w14:paraId="361ED294" w14:textId="77777777" w:rsidR="009A0060" w:rsidRPr="00DF1D1C" w:rsidRDefault="009A0060" w:rsidP="00257641">
      <w:pPr>
        <w:pStyle w:val="bullet1"/>
      </w:pPr>
      <w:r w:rsidRPr="00DF1D1C">
        <w:t>Annual measurement of performance in specified areas (e.g., immunization rates) and achievement of performance targets;</w:t>
      </w:r>
    </w:p>
    <w:p w14:paraId="57813BF3" w14:textId="77777777" w:rsidR="009A0060" w:rsidRPr="00DF1D1C" w:rsidRDefault="009A0060" w:rsidP="00257641">
      <w:pPr>
        <w:pStyle w:val="bullet1"/>
      </w:pPr>
      <w:r w:rsidRPr="00DF1D1C">
        <w:t>Multi-year performance improvement projects addressing clinical and non-clinical areas;</w:t>
      </w:r>
    </w:p>
    <w:p w14:paraId="13E5BE5C" w14:textId="6FD295C2" w:rsidR="009A0060" w:rsidRPr="00DF1D1C" w:rsidRDefault="009A0060" w:rsidP="00257641">
      <w:pPr>
        <w:pStyle w:val="bullet1"/>
      </w:pPr>
      <w:r w:rsidRPr="00DF1D1C">
        <w:t>An approach for addressing systematic problems</w:t>
      </w:r>
      <w:r w:rsidR="00AB033C">
        <w:t xml:space="preserve"> and critical incidents</w:t>
      </w:r>
      <w:r w:rsidRPr="00DF1D1C">
        <w:t>;</w:t>
      </w:r>
    </w:p>
    <w:p w14:paraId="6FC4842B" w14:textId="77777777" w:rsidR="009A0060" w:rsidRPr="00DF1D1C" w:rsidRDefault="009A0060" w:rsidP="00257641">
      <w:pPr>
        <w:pStyle w:val="bullet1"/>
      </w:pPr>
      <w:r w:rsidRPr="00DF1D1C">
        <w:t>The development and usage of a sufficient health information system; and</w:t>
      </w:r>
    </w:p>
    <w:p w14:paraId="610F6107" w14:textId="77777777" w:rsidR="009A0060" w:rsidRPr="00DF1D1C" w:rsidRDefault="009A0060" w:rsidP="00257641">
      <w:pPr>
        <w:pStyle w:val="bullet1last"/>
      </w:pPr>
      <w:r w:rsidRPr="00DF1D1C">
        <w:t>Proper administration of quality assessment and performance improvement activities.</w:t>
      </w:r>
    </w:p>
    <w:p w14:paraId="260A29AE" w14:textId="526A62FB" w:rsidR="009A0060" w:rsidRPr="00DF1D1C" w:rsidRDefault="009A0060" w:rsidP="00257641">
      <w:r w:rsidRPr="00DF1D1C">
        <w:t xml:space="preserve">The MCO must submit performance measurement data to </w:t>
      </w:r>
      <w:r w:rsidR="00BA7747">
        <w:t>DHHR</w:t>
      </w:r>
      <w:r w:rsidR="00BA7747" w:rsidRPr="00DF1D1C">
        <w:t xml:space="preserve"> </w:t>
      </w:r>
      <w:r w:rsidRPr="00DF1D1C">
        <w:t xml:space="preserve">as required by </w:t>
      </w:r>
      <w:r w:rsidR="00BA7747">
        <w:t>DHHR</w:t>
      </w:r>
      <w:r w:rsidR="0078080B" w:rsidRPr="00DF1D1C">
        <w:t xml:space="preserve">. </w:t>
      </w:r>
      <w:r w:rsidRPr="00DF1D1C">
        <w:t>The QAPI must include mechanisms to detect both underutilization and overutilization of services, and to assess the quality and appropriateness of care provided to enrollees with special health care needs</w:t>
      </w:r>
      <w:r w:rsidR="0078080B" w:rsidRPr="00DF1D1C">
        <w:t xml:space="preserve">. </w:t>
      </w:r>
      <w:r w:rsidRPr="00DF1D1C">
        <w:t xml:space="preserve">The MCO must report on the status and results of projects </w:t>
      </w:r>
      <w:r w:rsidR="007D53C0">
        <w:t>annually</w:t>
      </w:r>
      <w:r w:rsidR="0078080B" w:rsidRPr="00DF1D1C">
        <w:t xml:space="preserve">. </w:t>
      </w:r>
      <w:r w:rsidRPr="00DF1D1C">
        <w:t>Projects must be completed within a reasonable timeframe</w:t>
      </w:r>
      <w:r w:rsidR="0078080B" w:rsidRPr="00DF1D1C">
        <w:t xml:space="preserve">. </w:t>
      </w:r>
      <w:r w:rsidRPr="00DF1D1C">
        <w:t>The basic elements of the MCO</w:t>
      </w:r>
      <w:r w:rsidR="00FA1C0C" w:rsidRPr="00DF1D1C">
        <w:t>’</w:t>
      </w:r>
      <w:r w:rsidRPr="00DF1D1C">
        <w:t>s QAPI must comply with the requirements set forth in this contract</w:t>
      </w:r>
      <w:r w:rsidR="0078080B" w:rsidRPr="00DF1D1C">
        <w:t xml:space="preserve">. </w:t>
      </w:r>
    </w:p>
    <w:p w14:paraId="6EEDAD68" w14:textId="587D9E62" w:rsidR="009A0060" w:rsidRPr="00DF1D1C" w:rsidRDefault="009A0060" w:rsidP="00257641">
      <w:r w:rsidRPr="00DF1D1C">
        <w:t xml:space="preserve">The MCO must also cooperate with </w:t>
      </w:r>
      <w:r w:rsidR="00BA7747">
        <w:t>DHHR</w:t>
      </w:r>
      <w:r w:rsidR="00BA7747" w:rsidRPr="00DF1D1C">
        <w:t xml:space="preserve"> </w:t>
      </w:r>
      <w:r w:rsidRPr="00DF1D1C">
        <w:t>initiatives aimed at assessing and improving program performance</w:t>
      </w:r>
      <w:r w:rsidR="0078080B" w:rsidRPr="00DF1D1C">
        <w:t xml:space="preserve">. </w:t>
      </w:r>
      <w:r w:rsidRPr="00DF1D1C">
        <w:t xml:space="preserve">These initiatives can include regular reporting to the State and an annual external quality review consisting of </w:t>
      </w:r>
      <w:r w:rsidR="00453957" w:rsidRPr="00DF1D1C">
        <w:t>an</w:t>
      </w:r>
      <w:r w:rsidRPr="00DF1D1C">
        <w:t xml:space="preserve"> on-</w:t>
      </w:r>
      <w:r w:rsidR="00FA1C0C" w:rsidRPr="00DF1D1C">
        <w:t>site systems performance review</w:t>
      </w:r>
      <w:r w:rsidRPr="00DF1D1C">
        <w:t xml:space="preserve"> of quality outcomes, timeliness of, and access to services covered under this contract</w:t>
      </w:r>
      <w:r w:rsidR="0078080B" w:rsidRPr="00DF1D1C">
        <w:t xml:space="preserve">. </w:t>
      </w:r>
      <w:r w:rsidRPr="00DF1D1C">
        <w:t xml:space="preserve">The MCO must make every effort to comply with external quality reviews that will be implemented by an organization contracted by </w:t>
      </w:r>
      <w:r w:rsidR="00BA7747">
        <w:t>DHHR</w:t>
      </w:r>
      <w:r w:rsidRPr="00DF1D1C">
        <w:t>. This may include participating in the design of the external review, collecting medical records and other data, and/or making data available to the external quality review organization.</w:t>
      </w:r>
    </w:p>
    <w:p w14:paraId="2F226DA3" w14:textId="46A5F330" w:rsidR="009A0060" w:rsidRPr="00DF1D1C" w:rsidRDefault="008828B4" w:rsidP="00257641">
      <w:pPr>
        <w:pStyle w:val="Heading3"/>
      </w:pPr>
      <w:bookmarkStart w:id="169" w:name="_Toc73441820"/>
      <w:bookmarkStart w:id="170" w:name="_Toc8129045"/>
      <w:r>
        <w:t>7</w:t>
      </w:r>
      <w:r w:rsidR="009A0060" w:rsidRPr="00DF1D1C">
        <w:t>.1</w:t>
      </w:r>
      <w:r w:rsidR="009A0060" w:rsidRPr="00DF1D1C">
        <w:tab/>
        <w:t>Required Levels of Performance</w:t>
      </w:r>
      <w:bookmarkEnd w:id="169"/>
      <w:bookmarkEnd w:id="170"/>
    </w:p>
    <w:p w14:paraId="56D4CD9F" w14:textId="79DF1C30" w:rsidR="001B7D9A" w:rsidRDefault="00AA668D" w:rsidP="00257641">
      <w:r>
        <w:t xml:space="preserve">The </w:t>
      </w:r>
      <w:r w:rsidR="009A0060" w:rsidRPr="00DF1D1C">
        <w:t>MCO must meet certain required</w:t>
      </w:r>
      <w:r w:rsidR="003E1770">
        <w:t xml:space="preserve"> standards</w:t>
      </w:r>
      <w:r w:rsidR="009A0060" w:rsidRPr="00DF1D1C">
        <w:t xml:space="preserve"> of performance when providing health care and related services to </w:t>
      </w:r>
      <w:r w:rsidR="00D40265" w:rsidRPr="00DF1D1C">
        <w:t>Medicaid managed care</w:t>
      </w:r>
      <w:r w:rsidR="009A0060" w:rsidRPr="00DF1D1C">
        <w:t xml:space="preserve"> enrollees. </w:t>
      </w:r>
      <w:r>
        <w:t>The</w:t>
      </w:r>
      <w:r w:rsidR="009A0060" w:rsidRPr="00DF1D1C">
        <w:t xml:space="preserve"> MCO must meet </w:t>
      </w:r>
      <w:r w:rsidR="003E1770">
        <w:t>all</w:t>
      </w:r>
      <w:r w:rsidR="003E1770" w:rsidRPr="00DF1D1C">
        <w:t xml:space="preserve"> </w:t>
      </w:r>
      <w:r w:rsidR="009A0060" w:rsidRPr="00DF1D1C">
        <w:t xml:space="preserve">goals for performance improvement on specific measures that may be established by </w:t>
      </w:r>
      <w:r w:rsidR="00BA7747">
        <w:t>DHHR</w:t>
      </w:r>
      <w:r w:rsidR="0078080B" w:rsidRPr="00DF1D1C">
        <w:t xml:space="preserve">. </w:t>
      </w:r>
      <w:r w:rsidR="009A0060" w:rsidRPr="00DF1D1C">
        <w:t xml:space="preserve">These minimum performance </w:t>
      </w:r>
      <w:r w:rsidR="003E1770">
        <w:t>standards</w:t>
      </w:r>
      <w:r w:rsidR="003E1770" w:rsidRPr="00DF1D1C">
        <w:t xml:space="preserve"> </w:t>
      </w:r>
      <w:r w:rsidR="009A0060" w:rsidRPr="00DF1D1C">
        <w:t xml:space="preserve">will be established by examining historical performance </w:t>
      </w:r>
      <w:r w:rsidR="003E1770">
        <w:t>standards</w:t>
      </w:r>
      <w:r w:rsidR="003E1770" w:rsidRPr="00DF1D1C">
        <w:t xml:space="preserve"> </w:t>
      </w:r>
      <w:r w:rsidR="009A0060" w:rsidRPr="00DF1D1C">
        <w:t>as well as benchmarks (best practices) of other health plans and delivery systems</w:t>
      </w:r>
      <w:r w:rsidR="0078080B" w:rsidRPr="00DF1D1C">
        <w:t xml:space="preserve">. </w:t>
      </w:r>
      <w:r w:rsidR="009A0060" w:rsidRPr="00DF1D1C">
        <w:t xml:space="preserve">Performance </w:t>
      </w:r>
      <w:r w:rsidR="003E1770">
        <w:t>standards</w:t>
      </w:r>
      <w:r w:rsidR="003E1770" w:rsidRPr="00DF1D1C">
        <w:t xml:space="preserve"> </w:t>
      </w:r>
      <w:r w:rsidR="009A0060" w:rsidRPr="00DF1D1C">
        <w:t xml:space="preserve">for each quality review period will be provided to the MCOs by </w:t>
      </w:r>
      <w:r w:rsidR="00BA7747">
        <w:t>DHHR</w:t>
      </w:r>
      <w:r w:rsidR="009A0060" w:rsidRPr="00DF1D1C">
        <w:t>.</w:t>
      </w:r>
    </w:p>
    <w:p w14:paraId="3CE12A93" w14:textId="062C739E" w:rsidR="009A0060" w:rsidRPr="00DF1D1C" w:rsidRDefault="008828B4" w:rsidP="00257641">
      <w:pPr>
        <w:pStyle w:val="Heading3"/>
      </w:pPr>
      <w:bookmarkStart w:id="171" w:name="_Toc73441821"/>
      <w:bookmarkStart w:id="172" w:name="_Toc8129046"/>
      <w:bookmarkStart w:id="173" w:name="OLE_LINK7"/>
      <w:bookmarkStart w:id="174" w:name="OLE_LINK10"/>
      <w:r>
        <w:lastRenderedPageBreak/>
        <w:t>7</w:t>
      </w:r>
      <w:r w:rsidR="004672FB">
        <w:t>.</w:t>
      </w:r>
      <w:r w:rsidR="00B61BF9">
        <w:t>2</w:t>
      </w:r>
      <w:r w:rsidR="009A0060" w:rsidRPr="00DF1D1C">
        <w:tab/>
        <w:t>Performance Improvement Projects</w:t>
      </w:r>
      <w:bookmarkEnd w:id="171"/>
      <w:r w:rsidR="00117461">
        <w:t xml:space="preserve"> (PIPs)</w:t>
      </w:r>
      <w:bookmarkEnd w:id="172"/>
    </w:p>
    <w:p w14:paraId="252B0CC4" w14:textId="08107E5C" w:rsidR="009A0060" w:rsidRPr="00DF1D1C" w:rsidRDefault="00AA668D" w:rsidP="00257641">
      <w:r>
        <w:t>The</w:t>
      </w:r>
      <w:r w:rsidR="009A0060" w:rsidRPr="00DF1D1C">
        <w:t xml:space="preserve"> MCO must develop and maintain written descriptions of its performance improvement program, including the identification of individual(s) responsible for the program</w:t>
      </w:r>
      <w:r w:rsidR="0078080B" w:rsidRPr="00DF1D1C">
        <w:t xml:space="preserve">. </w:t>
      </w:r>
      <w:r>
        <w:t xml:space="preserve">The </w:t>
      </w:r>
      <w:r w:rsidR="009A0060" w:rsidRPr="00DF1D1C">
        <w:t>MCO must conduct performance improvement projects</w:t>
      </w:r>
      <w:r w:rsidR="00117461">
        <w:t xml:space="preserve"> (PIPs)</w:t>
      </w:r>
      <w:r w:rsidR="009A0060" w:rsidRPr="00DF1D1C">
        <w:t xml:space="preserve"> that are designed to achieve, through ongoing measurement and intervention, significant improvement sustained over time in significant aspects of clinical care and non-clinical services that can be expected to have a beneficial effect on health outcomes and enrollee satisfaction</w:t>
      </w:r>
      <w:r w:rsidR="0078080B" w:rsidRPr="00DF1D1C">
        <w:t xml:space="preserve">. </w:t>
      </w:r>
      <w:r w:rsidR="00117461">
        <w:t>PIP</w:t>
      </w:r>
      <w:r w:rsidR="009A0060" w:rsidRPr="00DF1D1C">
        <w:t>s must measure performance using objective quality indicators, implement system interventions to achieve quality improvements, evaluate the effectiveness of the interventions, and plan and initiate activities for increasing or sustaining improvements</w:t>
      </w:r>
      <w:r w:rsidR="0078080B" w:rsidRPr="00DF1D1C">
        <w:t xml:space="preserve">. </w:t>
      </w:r>
    </w:p>
    <w:p w14:paraId="7F9579FD" w14:textId="77777777" w:rsidR="009A0060" w:rsidRPr="00DF1D1C" w:rsidRDefault="009A0060" w:rsidP="00257641">
      <w:r w:rsidRPr="00DF1D1C">
        <w:t>An individual project involves selecting an aspect of clinical care or non-clinical services to be studied; specifying quality indicators to measure performance; collecting baseline data; identifying and implementing appropriate system interventions to improve performance; and repeating data collections to assess the continuing effect of interventions</w:t>
      </w:r>
      <w:r w:rsidR="0078080B" w:rsidRPr="00DF1D1C">
        <w:t xml:space="preserve">. </w:t>
      </w:r>
    </w:p>
    <w:p w14:paraId="2475E75B" w14:textId="03A61A88" w:rsidR="009A0060" w:rsidRPr="00DF1D1C" w:rsidRDefault="008828B4" w:rsidP="00A1283E">
      <w:pPr>
        <w:pStyle w:val="Heading4"/>
      </w:pPr>
      <w:r>
        <w:t>7</w:t>
      </w:r>
      <w:r w:rsidR="00AE5EDC">
        <w:t>.</w:t>
      </w:r>
      <w:r w:rsidR="00B61BF9">
        <w:t>2</w:t>
      </w:r>
      <w:r w:rsidR="00AE5EDC">
        <w:t xml:space="preserve">.1 </w:t>
      </w:r>
      <w:r w:rsidR="009A0060" w:rsidRPr="00DF1D1C">
        <w:t>Areas of Focus</w:t>
      </w:r>
    </w:p>
    <w:p w14:paraId="5A395F0E" w14:textId="77777777" w:rsidR="009A0060" w:rsidRPr="00DF1D1C" w:rsidRDefault="009A0060" w:rsidP="00A1283E">
      <w:pPr>
        <w:pStyle w:val="normal6"/>
        <w:keepNext/>
      </w:pPr>
      <w:r w:rsidRPr="00DF1D1C">
        <w:t>Clinical focus areas include:</w:t>
      </w:r>
    </w:p>
    <w:p w14:paraId="6600837C" w14:textId="77777777" w:rsidR="009A0060" w:rsidRPr="00DF1D1C" w:rsidRDefault="009A0060" w:rsidP="00A1283E">
      <w:pPr>
        <w:pStyle w:val="bullet1"/>
        <w:keepNext/>
      </w:pPr>
      <w:r w:rsidRPr="00DF1D1C">
        <w:t>Primary, secondary, and/or tertiary prevention of acute conditions;</w:t>
      </w:r>
    </w:p>
    <w:p w14:paraId="3CC11F5D" w14:textId="77777777" w:rsidR="009A0060" w:rsidRPr="00DF1D1C" w:rsidRDefault="009A0060" w:rsidP="00257641">
      <w:pPr>
        <w:pStyle w:val="bullet1"/>
      </w:pPr>
      <w:r w:rsidRPr="00DF1D1C">
        <w:t>Primary, secondary, and/or tertiary prevention of chronic conditions;</w:t>
      </w:r>
    </w:p>
    <w:p w14:paraId="57DCFB2A" w14:textId="77777777" w:rsidR="009A0060" w:rsidRPr="00DF1D1C" w:rsidRDefault="009A0060" w:rsidP="00257641">
      <w:pPr>
        <w:pStyle w:val="bullet1"/>
      </w:pPr>
      <w:r w:rsidRPr="00DF1D1C">
        <w:t>Care of acute conditions;</w:t>
      </w:r>
    </w:p>
    <w:p w14:paraId="539C65EE" w14:textId="77777777" w:rsidR="009A0060" w:rsidRPr="00DF1D1C" w:rsidRDefault="009A0060" w:rsidP="00257641">
      <w:pPr>
        <w:pStyle w:val="bullet1"/>
      </w:pPr>
      <w:r w:rsidRPr="00DF1D1C">
        <w:t>Care of chronic conditions;</w:t>
      </w:r>
    </w:p>
    <w:p w14:paraId="31FF35FA" w14:textId="77777777" w:rsidR="009A0060" w:rsidRPr="00DF1D1C" w:rsidRDefault="009A0060" w:rsidP="00257641">
      <w:pPr>
        <w:pStyle w:val="bullet1"/>
      </w:pPr>
      <w:r w:rsidRPr="00DF1D1C">
        <w:t>High-volume services;</w:t>
      </w:r>
    </w:p>
    <w:p w14:paraId="26C67B7C" w14:textId="77777777" w:rsidR="009A0060" w:rsidRPr="00DF1D1C" w:rsidRDefault="009A0060" w:rsidP="00257641">
      <w:pPr>
        <w:pStyle w:val="bullet1"/>
      </w:pPr>
      <w:r w:rsidRPr="00DF1D1C">
        <w:t>High-risk services; and</w:t>
      </w:r>
    </w:p>
    <w:p w14:paraId="277BF859" w14:textId="77777777" w:rsidR="009A0060" w:rsidRPr="00DF1D1C" w:rsidRDefault="009A0060" w:rsidP="00257641">
      <w:pPr>
        <w:pStyle w:val="bullet1last"/>
      </w:pPr>
      <w:r w:rsidRPr="00DF1D1C">
        <w:t>Continuity and coordination of care.</w:t>
      </w:r>
    </w:p>
    <w:p w14:paraId="59F33FED" w14:textId="77777777" w:rsidR="00F06AD2" w:rsidRPr="00DF1D1C" w:rsidRDefault="009A0060" w:rsidP="00257641">
      <w:pPr>
        <w:pStyle w:val="normal6"/>
      </w:pPr>
      <w:r w:rsidRPr="00DF1D1C">
        <w:t>Non-clinical focus areas include:</w:t>
      </w:r>
    </w:p>
    <w:p w14:paraId="63E85FE1" w14:textId="77777777" w:rsidR="009A0060" w:rsidRPr="00DF1D1C" w:rsidRDefault="009A0060" w:rsidP="00257641">
      <w:pPr>
        <w:pStyle w:val="bullet1"/>
      </w:pPr>
      <w:r w:rsidRPr="00DF1D1C">
        <w:t>Availability, accessibility, and cultural competency of services;</w:t>
      </w:r>
    </w:p>
    <w:p w14:paraId="64B33372" w14:textId="77777777" w:rsidR="009A0060" w:rsidRPr="00DF1D1C" w:rsidRDefault="009A0060" w:rsidP="00257641">
      <w:pPr>
        <w:pStyle w:val="bullet1"/>
      </w:pPr>
      <w:r w:rsidRPr="00DF1D1C">
        <w:t>Interpersonal aspects of care, e.g., quality of provider/patient encounters;</w:t>
      </w:r>
    </w:p>
    <w:p w14:paraId="782058E5" w14:textId="77777777" w:rsidR="00962C67" w:rsidRDefault="009A0060" w:rsidP="00257641">
      <w:pPr>
        <w:pStyle w:val="bullet1"/>
      </w:pPr>
      <w:r w:rsidRPr="00DF1D1C">
        <w:t xml:space="preserve">Appeals, grievances, and other complaints; </w:t>
      </w:r>
    </w:p>
    <w:p w14:paraId="49C98E28" w14:textId="295E4C16" w:rsidR="009A0060" w:rsidRPr="00DF1D1C" w:rsidRDefault="00962C67" w:rsidP="00257641">
      <w:pPr>
        <w:pStyle w:val="bullet1"/>
      </w:pPr>
      <w:r>
        <w:t xml:space="preserve">Critical Incidents Reporting; </w:t>
      </w:r>
      <w:r w:rsidR="009A0060" w:rsidRPr="00DF1D1C">
        <w:t xml:space="preserve">and </w:t>
      </w:r>
    </w:p>
    <w:p w14:paraId="545F6407" w14:textId="77777777" w:rsidR="009A0060" w:rsidRDefault="009A0060" w:rsidP="00257641">
      <w:pPr>
        <w:pStyle w:val="bullet1last"/>
      </w:pPr>
      <w:r w:rsidRPr="00DF1D1C">
        <w:t>Effectiveness of communications with enrollees.</w:t>
      </w:r>
    </w:p>
    <w:p w14:paraId="6A8D5607" w14:textId="165485B0" w:rsidR="009A0060" w:rsidRPr="00A17103" w:rsidRDefault="008828B4" w:rsidP="00257641">
      <w:pPr>
        <w:pStyle w:val="Heading4"/>
      </w:pPr>
      <w:r w:rsidRPr="00A17103">
        <w:t>7</w:t>
      </w:r>
      <w:r w:rsidR="00AE5EDC" w:rsidRPr="00A17103">
        <w:t>.</w:t>
      </w:r>
      <w:r w:rsidR="00B61BF9" w:rsidRPr="00A17103">
        <w:t>2</w:t>
      </w:r>
      <w:r w:rsidR="00AE5EDC" w:rsidRPr="00A17103">
        <w:t xml:space="preserve">.2 </w:t>
      </w:r>
      <w:r w:rsidR="009A0060" w:rsidRPr="00A17103">
        <w:t>Projects</w:t>
      </w:r>
    </w:p>
    <w:bookmarkEnd w:id="173"/>
    <w:bookmarkEnd w:id="174"/>
    <w:p w14:paraId="4B2A438D" w14:textId="19860215" w:rsidR="009A0060" w:rsidRPr="00117461" w:rsidRDefault="00AA668D" w:rsidP="00257641">
      <w:pPr>
        <w:rPr>
          <w:rStyle w:val="StyleBodyTextIndentTimesNewRoman12ptChar"/>
          <w:rFonts w:ascii="Times New Roman" w:hAnsi="Times New Roman"/>
          <w:spacing w:val="0"/>
          <w:sz w:val="24"/>
        </w:rPr>
      </w:pPr>
      <w:r w:rsidRPr="00117461">
        <w:rPr>
          <w:rStyle w:val="StyleBodyTextIndentTimesNewRoman12ptChar"/>
          <w:rFonts w:ascii="Times New Roman" w:hAnsi="Times New Roman"/>
          <w:spacing w:val="0"/>
          <w:sz w:val="24"/>
        </w:rPr>
        <w:t>The</w:t>
      </w:r>
      <w:r w:rsidR="002C380A" w:rsidRPr="00117461">
        <w:rPr>
          <w:rStyle w:val="StyleBodyTextIndentTimesNewRoman12ptChar"/>
          <w:rFonts w:ascii="Times New Roman" w:hAnsi="Times New Roman"/>
          <w:spacing w:val="0"/>
          <w:sz w:val="24"/>
        </w:rPr>
        <w:t xml:space="preserve"> </w:t>
      </w:r>
      <w:r w:rsidR="009A0060" w:rsidRPr="00117461">
        <w:rPr>
          <w:rStyle w:val="StyleBodyTextIndentTimesNewRoman12ptChar"/>
          <w:rFonts w:ascii="Times New Roman" w:hAnsi="Times New Roman"/>
          <w:spacing w:val="0"/>
          <w:sz w:val="24"/>
        </w:rPr>
        <w:t>MCO must initiate</w:t>
      </w:r>
      <w:r w:rsidR="009A0060" w:rsidRPr="00117461">
        <w:rPr>
          <w:rStyle w:val="FootnoteReference"/>
        </w:rPr>
        <w:footnoteReference w:id="16"/>
      </w:r>
      <w:r w:rsidR="009A0060" w:rsidRPr="00117461">
        <w:rPr>
          <w:rStyle w:val="StyleBodyTextIndentTimesNewRoman12ptChar"/>
          <w:rFonts w:ascii="Times New Roman" w:hAnsi="Times New Roman"/>
          <w:spacing w:val="0"/>
          <w:sz w:val="24"/>
        </w:rPr>
        <w:t xml:space="preserve"> </w:t>
      </w:r>
      <w:r w:rsidR="002C380A" w:rsidRPr="00117461">
        <w:rPr>
          <w:rStyle w:val="StyleBodyTextIndentTimesNewRoman12ptChar"/>
          <w:rFonts w:ascii="Times New Roman" w:hAnsi="Times New Roman"/>
          <w:spacing w:val="0"/>
          <w:sz w:val="24"/>
        </w:rPr>
        <w:t xml:space="preserve">and maintain performance improvement projects that address </w:t>
      </w:r>
      <w:r w:rsidR="009A0060" w:rsidRPr="00117461">
        <w:rPr>
          <w:rStyle w:val="StyleBodyTextIndentTimesNewRoman12ptChar"/>
          <w:rFonts w:ascii="Times New Roman" w:hAnsi="Times New Roman"/>
          <w:spacing w:val="0"/>
          <w:sz w:val="24"/>
        </w:rPr>
        <w:t>the focus areas specified above</w:t>
      </w:r>
      <w:r w:rsidR="0078080B" w:rsidRPr="00117461">
        <w:rPr>
          <w:rStyle w:val="StyleBodyTextIndentTimesNewRoman12ptChar"/>
          <w:rFonts w:ascii="Times New Roman" w:hAnsi="Times New Roman"/>
          <w:spacing w:val="0"/>
          <w:sz w:val="24"/>
        </w:rPr>
        <w:t xml:space="preserve">. </w:t>
      </w:r>
      <w:r w:rsidR="00D11A73" w:rsidRPr="00117461">
        <w:rPr>
          <w:rStyle w:val="StyleBodyTextIndentTimesNewRoman12ptChar"/>
          <w:rFonts w:ascii="Times New Roman" w:hAnsi="Times New Roman"/>
          <w:spacing w:val="0"/>
          <w:sz w:val="24"/>
        </w:rPr>
        <w:t xml:space="preserve">The MCO must maintain at least </w:t>
      </w:r>
      <w:r w:rsidR="00DF64FD" w:rsidRPr="00117461">
        <w:rPr>
          <w:rStyle w:val="StyleBodyTextIndentTimesNewRoman12ptChar"/>
          <w:rFonts w:ascii="Times New Roman" w:hAnsi="Times New Roman"/>
          <w:spacing w:val="0"/>
          <w:sz w:val="24"/>
        </w:rPr>
        <w:t>three</w:t>
      </w:r>
      <w:r w:rsidR="00A05E34" w:rsidRPr="00117461">
        <w:rPr>
          <w:rStyle w:val="StyleBodyTextIndentTimesNewRoman12ptChar"/>
          <w:rFonts w:ascii="Times New Roman" w:hAnsi="Times New Roman"/>
          <w:spacing w:val="0"/>
          <w:sz w:val="24"/>
        </w:rPr>
        <w:t xml:space="preserve"> </w:t>
      </w:r>
      <w:r w:rsidR="00D11A73" w:rsidRPr="00117461">
        <w:rPr>
          <w:rStyle w:val="StyleBodyTextIndentTimesNewRoman12ptChar"/>
          <w:rFonts w:ascii="Times New Roman" w:hAnsi="Times New Roman"/>
          <w:spacing w:val="0"/>
          <w:sz w:val="24"/>
        </w:rPr>
        <w:t>projects at a time.</w:t>
      </w:r>
      <w:r w:rsidR="00A50F88" w:rsidRPr="00117461">
        <w:rPr>
          <w:rStyle w:val="StyleBodyTextIndentTimesNewRoman12ptChar"/>
          <w:rFonts w:ascii="Times New Roman" w:hAnsi="Times New Roman"/>
          <w:spacing w:val="0"/>
          <w:sz w:val="24"/>
        </w:rPr>
        <w:t xml:space="preserve"> </w:t>
      </w:r>
      <w:r w:rsidR="00D11A73" w:rsidRPr="00117461">
        <w:rPr>
          <w:rStyle w:val="StyleBodyTextIndentTimesNewRoman12ptChar"/>
          <w:rFonts w:ascii="Times New Roman" w:hAnsi="Times New Roman"/>
          <w:spacing w:val="0"/>
          <w:sz w:val="24"/>
        </w:rPr>
        <w:t xml:space="preserve">The performance </w:t>
      </w:r>
      <w:r w:rsidR="00D11A73" w:rsidRPr="00117461">
        <w:rPr>
          <w:rStyle w:val="StyleBodyTextIndentTimesNewRoman12ptChar"/>
          <w:rFonts w:ascii="Times New Roman" w:hAnsi="Times New Roman"/>
          <w:spacing w:val="0"/>
          <w:sz w:val="24"/>
        </w:rPr>
        <w:lastRenderedPageBreak/>
        <w:t xml:space="preserve">improvement projects may be selected </w:t>
      </w:r>
      <w:r w:rsidR="009A0060" w:rsidRPr="001276A8">
        <w:rPr>
          <w:rStyle w:val="StyleBodyTextIndentTimesNewRoman12ptChar"/>
          <w:rFonts w:ascii="Times New Roman" w:hAnsi="Times New Roman"/>
          <w:spacing w:val="0"/>
          <w:sz w:val="24"/>
        </w:rPr>
        <w:t xml:space="preserve">by </w:t>
      </w:r>
      <w:r w:rsidR="004F57EE" w:rsidRPr="001276A8">
        <w:rPr>
          <w:rStyle w:val="StyleBodyTextIndentTimesNewRoman12ptChar"/>
          <w:rFonts w:ascii="Times New Roman" w:hAnsi="Times New Roman"/>
          <w:spacing w:val="0"/>
          <w:sz w:val="24"/>
        </w:rPr>
        <w:t xml:space="preserve">DHHR </w:t>
      </w:r>
      <w:r w:rsidR="00F61F0E" w:rsidRPr="001276A8">
        <w:rPr>
          <w:rStyle w:val="StyleBodyTextIndentTimesNewRoman12ptChar"/>
          <w:rFonts w:ascii="Times New Roman" w:hAnsi="Times New Roman"/>
          <w:spacing w:val="0"/>
          <w:sz w:val="24"/>
        </w:rPr>
        <w:t>or required by CMS</w:t>
      </w:r>
      <w:r w:rsidR="0078080B" w:rsidRPr="001276A8">
        <w:rPr>
          <w:rStyle w:val="StyleBodyTextIndentTimesNewRoman12ptChar"/>
          <w:rFonts w:ascii="Times New Roman" w:hAnsi="Times New Roman"/>
          <w:noProof w:val="0"/>
          <w:spacing w:val="0"/>
          <w:sz w:val="24"/>
        </w:rPr>
        <w:t>.</w:t>
      </w:r>
      <w:r w:rsidR="0078080B" w:rsidRPr="001276A8">
        <w:rPr>
          <w:rStyle w:val="StyleBodyTextIndentTimesNewRoman12ptChar"/>
          <w:rFonts w:ascii="Times New Roman" w:hAnsi="Times New Roman"/>
          <w:spacing w:val="0"/>
          <w:sz w:val="24"/>
        </w:rPr>
        <w:t xml:space="preserve"> </w:t>
      </w:r>
      <w:r w:rsidR="00D11A73" w:rsidRPr="001276A8">
        <w:rPr>
          <w:rStyle w:val="StyleBodyTextIndentTimesNewRoman12ptChar"/>
          <w:rFonts w:ascii="Times New Roman" w:hAnsi="Times New Roman"/>
          <w:spacing w:val="0"/>
          <w:sz w:val="24"/>
        </w:rPr>
        <w:t xml:space="preserve">In cases where </w:t>
      </w:r>
      <w:r w:rsidR="004F57EE" w:rsidRPr="001276A8">
        <w:rPr>
          <w:rStyle w:val="StyleBodyTextIndentTimesNewRoman12ptChar"/>
          <w:rFonts w:ascii="Times New Roman" w:hAnsi="Times New Roman"/>
          <w:spacing w:val="0"/>
          <w:sz w:val="24"/>
        </w:rPr>
        <w:t xml:space="preserve">DHHR </w:t>
      </w:r>
      <w:r w:rsidR="00D11A73" w:rsidRPr="004F097D">
        <w:rPr>
          <w:rStyle w:val="StyleBodyTextIndentTimesNewRoman12ptChar"/>
          <w:rFonts w:ascii="Times New Roman" w:hAnsi="Times New Roman"/>
          <w:spacing w:val="0"/>
          <w:sz w:val="24"/>
        </w:rPr>
        <w:t xml:space="preserve">does not specify a project focus, </w:t>
      </w:r>
      <w:r w:rsidRPr="00005E7A">
        <w:rPr>
          <w:rStyle w:val="StyleBodyTextIndentTimesNewRoman12ptChar"/>
          <w:rFonts w:ascii="Times New Roman" w:hAnsi="Times New Roman"/>
          <w:spacing w:val="0"/>
          <w:sz w:val="24"/>
        </w:rPr>
        <w:t>the</w:t>
      </w:r>
      <w:r w:rsidR="00D11A73" w:rsidRPr="00005E7A">
        <w:rPr>
          <w:rStyle w:val="StyleBodyTextIndentTimesNewRoman12ptChar"/>
          <w:rFonts w:ascii="Times New Roman" w:hAnsi="Times New Roman"/>
          <w:spacing w:val="0"/>
          <w:sz w:val="24"/>
        </w:rPr>
        <w:t xml:space="preserve"> MCO</w:t>
      </w:r>
      <w:r w:rsidR="00A82D3B" w:rsidRPr="00005E7A">
        <w:rPr>
          <w:rStyle w:val="StyleBodyTextIndentTimesNewRoman12ptChar"/>
          <w:rFonts w:ascii="Times New Roman" w:hAnsi="Times New Roman"/>
          <w:spacing w:val="0"/>
          <w:sz w:val="24"/>
        </w:rPr>
        <w:t xml:space="preserve"> </w:t>
      </w:r>
      <w:r w:rsidR="00D11A73" w:rsidRPr="00005E7A">
        <w:rPr>
          <w:rStyle w:val="StyleBodyTextIndentTimesNewRoman12ptChar"/>
          <w:rFonts w:ascii="Times New Roman" w:hAnsi="Times New Roman"/>
          <w:spacing w:val="0"/>
          <w:sz w:val="24"/>
        </w:rPr>
        <w:t xml:space="preserve">may select a specific topic within one of the identified focused areas. Project proposals must be approved by </w:t>
      </w:r>
      <w:r w:rsidR="004F57EE" w:rsidRPr="00233688">
        <w:rPr>
          <w:rStyle w:val="StyleBodyTextIndentTimesNewRoman12ptChar"/>
          <w:rFonts w:ascii="Times New Roman" w:hAnsi="Times New Roman"/>
          <w:spacing w:val="0"/>
          <w:sz w:val="24"/>
        </w:rPr>
        <w:t xml:space="preserve">DHHR </w:t>
      </w:r>
      <w:r w:rsidR="00D11A73" w:rsidRPr="00233688">
        <w:rPr>
          <w:rStyle w:val="StyleBodyTextIndentTimesNewRoman12ptChar"/>
          <w:rFonts w:ascii="Times New Roman" w:hAnsi="Times New Roman"/>
          <w:spacing w:val="0"/>
          <w:sz w:val="24"/>
        </w:rPr>
        <w:t xml:space="preserve">and the EQRO prior to project initiation. </w:t>
      </w:r>
    </w:p>
    <w:p w14:paraId="2F6E5F7A" w14:textId="77777777" w:rsidR="009A0060" w:rsidRPr="00F81A4A" w:rsidRDefault="009A0060" w:rsidP="00257641">
      <w:r w:rsidRPr="00F81A4A">
        <w:t>The topics should be identified through continuous data collection and analysis; systematically selected and prioritized to achieve the greatest practical benefit for enrollees; and reflect the prevalence of a condition among, or need for a specific service by, the MCO</w:t>
      </w:r>
      <w:r w:rsidR="00FA1C0C" w:rsidRPr="00F81A4A">
        <w:t>’</w:t>
      </w:r>
      <w:r w:rsidRPr="00F81A4A">
        <w:t>s enrollees based on enrollee demographic characteristics, health risks, and any other special needs.</w:t>
      </w:r>
    </w:p>
    <w:p w14:paraId="38518A56" w14:textId="420AC0DC" w:rsidR="00D11A73" w:rsidRDefault="009A0060" w:rsidP="00257641">
      <w:r w:rsidRPr="00F81A4A">
        <w:t>The MCO must use one or more quality indicators to assess its performance</w:t>
      </w:r>
      <w:r w:rsidR="0078080B" w:rsidRPr="00F81A4A">
        <w:t xml:space="preserve">. </w:t>
      </w:r>
      <w:r w:rsidRPr="00F81A4A">
        <w:t>The quality indicators must be objective, clearly and unambiguously defined, and based on current clinical knowledge or health services research</w:t>
      </w:r>
      <w:r w:rsidR="0078080B" w:rsidRPr="00F81A4A">
        <w:t xml:space="preserve">. </w:t>
      </w:r>
      <w:r w:rsidRPr="00F81A4A">
        <w:t xml:space="preserve">Indicators should measure changes in health status, functional status, enrollee satisfaction, or valid proxies of these outcomes. </w:t>
      </w:r>
      <w:r w:rsidR="00A82D3B" w:rsidRPr="00F81A4A">
        <w:t>The</w:t>
      </w:r>
      <w:r w:rsidRPr="00F81A4A">
        <w:t xml:space="preserve"> MCO will assess its performance on its selected indicators by collecting and analyzing reliable data on an on-going basis. The MCO must establish a baseline measure of its performance on each indicator,</w:t>
      </w:r>
      <w:r w:rsidRPr="00DF1D1C">
        <w:t xml:space="preserve"> measure changes in performance, and continue measurement for at least one year after a desired level of performance is achieved</w:t>
      </w:r>
      <w:r w:rsidR="0078080B" w:rsidRPr="00DF1D1C">
        <w:t xml:space="preserve">. </w:t>
      </w:r>
      <w:r w:rsidRPr="00024D0E">
        <w:t xml:space="preserve">The MCO </w:t>
      </w:r>
      <w:r w:rsidR="00CF0FC5">
        <w:t>must</w:t>
      </w:r>
      <w:r w:rsidRPr="00024D0E">
        <w:t xml:space="preserve"> annually submit performance measurement data to </w:t>
      </w:r>
      <w:r w:rsidR="004F57EE">
        <w:t>DHHR</w:t>
      </w:r>
      <w:r w:rsidR="004F57EE" w:rsidRPr="00024D0E">
        <w:t xml:space="preserve"> </w:t>
      </w:r>
      <w:r w:rsidRPr="00024D0E">
        <w:t xml:space="preserve">using </w:t>
      </w:r>
      <w:r w:rsidR="004F57EE">
        <w:t>DHHR</w:t>
      </w:r>
      <w:r w:rsidRPr="00024D0E">
        <w:t>-determined standard measures, including performance measures that may be developed by CMS</w:t>
      </w:r>
      <w:r w:rsidR="0078080B" w:rsidRPr="00024D0E">
        <w:t>.</w:t>
      </w:r>
      <w:r w:rsidR="0078080B" w:rsidRPr="00DF1D1C">
        <w:t xml:space="preserve"> </w:t>
      </w:r>
    </w:p>
    <w:p w14:paraId="2B34D5DE" w14:textId="77777777" w:rsidR="009A0060" w:rsidRPr="00DF1D1C" w:rsidRDefault="009A0060" w:rsidP="00257641">
      <w:r w:rsidRPr="00DF1D1C">
        <w:t>If sampling is used, the MCO</w:t>
      </w:r>
      <w:r w:rsidR="00FA1C0C" w:rsidRPr="00DF1D1C">
        <w:t>’</w:t>
      </w:r>
      <w:r w:rsidRPr="00DF1D1C">
        <w:t xml:space="preserve">s sampling methodology must ensure that the data collected validly reflect the performance of all providers whose activities are the subject of the indicator; and the care given to the entire population (including special populations with complex care needs) to which the indicator is relevant. </w:t>
      </w:r>
    </w:p>
    <w:p w14:paraId="24FD6A36" w14:textId="77777777" w:rsidR="009A0060" w:rsidRPr="00DF1D1C" w:rsidRDefault="009A0060" w:rsidP="00257641">
      <w:r w:rsidRPr="00DF1D1C">
        <w:t>The MCO must also demonstrate that its interventions result in meaningful improvement in its performance as evidenced in repeat measurements of the quality indicators specified for each performance improvement project undertaken by the MCO</w:t>
      </w:r>
      <w:r w:rsidR="0078080B" w:rsidRPr="00DF1D1C">
        <w:t xml:space="preserve">. </w:t>
      </w:r>
      <w:r w:rsidR="00A82D3B">
        <w:t>The</w:t>
      </w:r>
      <w:r w:rsidRPr="00DF1D1C">
        <w:t xml:space="preserve"> </w:t>
      </w:r>
      <w:r w:rsidR="00C80955">
        <w:t>MCO</w:t>
      </w:r>
      <w:r w:rsidR="00C80955" w:rsidRPr="00DF1D1C">
        <w:t xml:space="preserve"> </w:t>
      </w:r>
      <w:r w:rsidRPr="00DF1D1C">
        <w:t>must show that the performance improvement project is working effectively to reach defined quality goals by showing that an improvement occurred; is likely to result in a better outcome for the enrolled population; is attributable to the strength, duration and quality of the MCOs action(s), and not to "confounders" such as chance; and impacts high-volume, high-risk, and/or high-cost conditions or services.</w:t>
      </w:r>
    </w:p>
    <w:p w14:paraId="28E054D0" w14:textId="7BCC46CA" w:rsidR="009A0060" w:rsidRDefault="00D11A73" w:rsidP="00257641">
      <w:r>
        <w:t>Performance improvement projects are deemed successful and may terminate once sustained improvement is achieved.</w:t>
      </w:r>
      <w:r w:rsidR="009A0060" w:rsidRPr="00DF1D1C">
        <w:t xml:space="preserve"> Sustained improvement is </w:t>
      </w:r>
      <w:r>
        <w:t xml:space="preserve">acknowledged through the </w:t>
      </w:r>
      <w:r w:rsidRPr="00DF1D1C">
        <w:t>document</w:t>
      </w:r>
      <w:r>
        <w:t xml:space="preserve">ation and maintenance of improved indicator performance. After improvement is achieved, it must be maintained </w:t>
      </w:r>
      <w:r w:rsidR="009A0060" w:rsidRPr="00DF1D1C">
        <w:t>for at least one year.</w:t>
      </w:r>
      <w:r>
        <w:t xml:space="preserve"> </w:t>
      </w:r>
      <w:r w:rsidR="00DF64FD" w:rsidRPr="002373D1">
        <w:t xml:space="preserve">The MCO must submit a </w:t>
      </w:r>
      <w:r w:rsidR="00AC350C">
        <w:t>CAP</w:t>
      </w:r>
      <w:r w:rsidR="00DF64FD" w:rsidRPr="002373D1">
        <w:t xml:space="preserve"> that addresses deficiencies identified in any measurement data.</w:t>
      </w:r>
    </w:p>
    <w:p w14:paraId="41227612" w14:textId="66C4BC80" w:rsidR="009A0060" w:rsidRPr="00DF1D1C" w:rsidRDefault="009A0060" w:rsidP="00257641">
      <w:r w:rsidRPr="00DF1D1C">
        <w:t xml:space="preserve">Each performance improvement project must </w:t>
      </w:r>
      <w:r w:rsidR="00024D0E">
        <w:t xml:space="preserve">demonstrate effort to achieve meaningful improvement and </w:t>
      </w:r>
      <w:r w:rsidRPr="00DF1D1C">
        <w:t xml:space="preserve">be </w:t>
      </w:r>
      <w:r w:rsidR="00DC6AFA" w:rsidRPr="00DF1D1C">
        <w:t>completed in</w:t>
      </w:r>
      <w:r w:rsidRPr="00DF1D1C">
        <w:t xml:space="preserve"> a reasonable time period, as determined by </w:t>
      </w:r>
      <w:r w:rsidR="004F57EE">
        <w:t>DHHR</w:t>
      </w:r>
      <w:r w:rsidR="00024D0E">
        <w:t xml:space="preserve">. Project </w:t>
      </w:r>
      <w:r w:rsidR="00024D0E">
        <w:lastRenderedPageBreak/>
        <w:t>reports must</w:t>
      </w:r>
      <w:r w:rsidR="00DC6AFA" w:rsidRPr="00DF1D1C">
        <w:t xml:space="preserve"> be reported by </w:t>
      </w:r>
      <w:r w:rsidR="004C7A29" w:rsidRPr="00DF1D1C">
        <w:t>July 15</w:t>
      </w:r>
      <w:r w:rsidR="00755F3B" w:rsidRPr="00542D30">
        <w:rPr>
          <w:vertAlign w:val="superscript"/>
        </w:rPr>
        <w:t>th</w:t>
      </w:r>
      <w:r w:rsidR="00DC6AFA" w:rsidRPr="00DF1D1C">
        <w:t xml:space="preserve"> </w:t>
      </w:r>
      <w:r w:rsidRPr="00DF1D1C">
        <w:t>in order to facilitate the use of resulting data in producing annual information on quality of care.</w:t>
      </w:r>
      <w:r w:rsidR="00A05E34">
        <w:t xml:space="preserve"> </w:t>
      </w:r>
      <w:r w:rsidR="00CF2D00">
        <w:t xml:space="preserve">The </w:t>
      </w:r>
      <w:r w:rsidR="00A05E34" w:rsidRPr="00A05E34">
        <w:t xml:space="preserve">MCO is required to submit a performance improvement projects progress report </w:t>
      </w:r>
      <w:r w:rsidR="00776D49">
        <w:t>forty-five (</w:t>
      </w:r>
      <w:r w:rsidR="00A05E34" w:rsidRPr="00A05E34">
        <w:t>45</w:t>
      </w:r>
      <w:r w:rsidR="00776D49">
        <w:t>)</w:t>
      </w:r>
      <w:r w:rsidR="00A05E34" w:rsidRPr="00A05E34">
        <w:t xml:space="preserve"> </w:t>
      </w:r>
      <w:r w:rsidR="00D970E0">
        <w:t xml:space="preserve">calendar </w:t>
      </w:r>
      <w:r w:rsidR="00A05E34" w:rsidRPr="00A05E34">
        <w:t xml:space="preserve">days after the end of each quarter. The report must follow the </w:t>
      </w:r>
      <w:r w:rsidR="004F57EE">
        <w:t>DHHR</w:t>
      </w:r>
      <w:r w:rsidR="00A05E34" w:rsidRPr="00A05E34">
        <w:t>-approved format.</w:t>
      </w:r>
    </w:p>
    <w:p w14:paraId="62186774" w14:textId="6FE7721F" w:rsidR="009A0060" w:rsidRPr="00DF1D1C" w:rsidRDefault="008828B4" w:rsidP="00257641">
      <w:pPr>
        <w:pStyle w:val="Heading3"/>
        <w:rPr>
          <w:rStyle w:val="StyleTimesNewRoman12pt"/>
        </w:rPr>
      </w:pPr>
      <w:bookmarkStart w:id="175" w:name="_Toc73441822"/>
      <w:bookmarkStart w:id="176" w:name="_Toc8129047"/>
      <w:r>
        <w:t>7</w:t>
      </w:r>
      <w:r w:rsidR="009A0060" w:rsidRPr="00DF1D1C">
        <w:t>.</w:t>
      </w:r>
      <w:r w:rsidR="00B61BF9">
        <w:t>3</w:t>
      </w:r>
      <w:r w:rsidR="009A0060" w:rsidRPr="00DF1D1C">
        <w:tab/>
        <w:t>Systemic Problems</w:t>
      </w:r>
      <w:bookmarkEnd w:id="175"/>
      <w:bookmarkEnd w:id="176"/>
    </w:p>
    <w:p w14:paraId="5D45C1F4" w14:textId="16823012" w:rsidR="009A0060" w:rsidRPr="00DF1D1C" w:rsidRDefault="00A82D3B" w:rsidP="00257641">
      <w:pPr>
        <w:pStyle w:val="normal6"/>
      </w:pPr>
      <w:r>
        <w:t>The</w:t>
      </w:r>
      <w:r w:rsidR="009A0060" w:rsidRPr="00DF1D1C">
        <w:t xml:space="preserve"> MCO must correct significant systemic problems that come to its attention through internal surveillance, complaints, or other mechanisms (such as notice from </w:t>
      </w:r>
      <w:r w:rsidR="004F57EE">
        <w:t>DHHR</w:t>
      </w:r>
      <w:r w:rsidR="009A0060" w:rsidRPr="00DF1D1C">
        <w:t>)</w:t>
      </w:r>
      <w:r w:rsidR="0078080B" w:rsidRPr="00DF1D1C">
        <w:t xml:space="preserve">. </w:t>
      </w:r>
      <w:r w:rsidR="009A0060" w:rsidRPr="00DF1D1C">
        <w:t>The MCO must have written procedures for taking appropriate remedial action whenever inappropriate or substandard services are furnished, or services that should have been furnished were not</w:t>
      </w:r>
      <w:r w:rsidR="0078080B" w:rsidRPr="00DF1D1C">
        <w:t xml:space="preserve">. </w:t>
      </w:r>
      <w:r w:rsidR="009A0060" w:rsidRPr="00DF1D1C">
        <w:t xml:space="preserve">These written remedial/corrective action procedures should include: </w:t>
      </w:r>
    </w:p>
    <w:p w14:paraId="582E8E4C" w14:textId="77777777" w:rsidR="009A0060" w:rsidRPr="00DF1D1C" w:rsidRDefault="009A0060" w:rsidP="00257641">
      <w:pPr>
        <w:pStyle w:val="bullet1"/>
      </w:pPr>
      <w:r w:rsidRPr="00DF1D1C">
        <w:t>Specification of the types of problems requiring remedial/corrective action;</w:t>
      </w:r>
    </w:p>
    <w:p w14:paraId="0D15DF97" w14:textId="77777777" w:rsidR="009A0060" w:rsidRPr="00DF1D1C" w:rsidRDefault="009A0060" w:rsidP="00257641">
      <w:pPr>
        <w:pStyle w:val="bullet1"/>
      </w:pPr>
      <w:r w:rsidRPr="00DF1D1C">
        <w:t>Specification of the person(s) or body responsible for making the final determinations regarding quality problems;</w:t>
      </w:r>
    </w:p>
    <w:p w14:paraId="1B2F5F80" w14:textId="77777777" w:rsidR="009A0060" w:rsidRPr="00DF1D1C" w:rsidRDefault="009A0060" w:rsidP="00257641">
      <w:pPr>
        <w:pStyle w:val="bullet1"/>
      </w:pPr>
      <w:r w:rsidRPr="00DF1D1C">
        <w:t>Specific actions to be taken;</w:t>
      </w:r>
    </w:p>
    <w:p w14:paraId="036F7B75" w14:textId="77777777" w:rsidR="009A0060" w:rsidRPr="00DF1D1C" w:rsidRDefault="009A0060" w:rsidP="00257641">
      <w:pPr>
        <w:pStyle w:val="bullet1"/>
      </w:pPr>
      <w:r w:rsidRPr="00DF1D1C">
        <w:t>Provision of feedback to appropriate health professionals, providers and staff;</w:t>
      </w:r>
    </w:p>
    <w:p w14:paraId="66DFF5B1" w14:textId="77777777" w:rsidR="009A0060" w:rsidRPr="00DF1D1C" w:rsidRDefault="009A0060" w:rsidP="00257641">
      <w:pPr>
        <w:pStyle w:val="bullet1"/>
      </w:pPr>
      <w:r w:rsidRPr="00DF1D1C">
        <w:t xml:space="preserve">The schedule and accountability for implementing corrective actions; </w:t>
      </w:r>
    </w:p>
    <w:p w14:paraId="38E17E5D" w14:textId="77777777" w:rsidR="00C660A1" w:rsidRDefault="009A0060" w:rsidP="00257641">
      <w:pPr>
        <w:pStyle w:val="bullet1"/>
      </w:pPr>
      <w:r w:rsidRPr="00DF1D1C">
        <w:t>The approach to modify the corrective action if improvements do not occur; and</w:t>
      </w:r>
    </w:p>
    <w:p w14:paraId="3DB98150" w14:textId="77777777" w:rsidR="009A0060" w:rsidRPr="00DF1D1C" w:rsidRDefault="009A0060" w:rsidP="00257641">
      <w:pPr>
        <w:pStyle w:val="bullet1last"/>
      </w:pPr>
      <w:r w:rsidRPr="00DF1D1C">
        <w:t xml:space="preserve">Procedures for terminating the affiliation with the physician, or other health professional or provider. </w:t>
      </w:r>
    </w:p>
    <w:p w14:paraId="10A2B780" w14:textId="75FA0970" w:rsidR="009A0060" w:rsidRPr="00DF1D1C" w:rsidRDefault="00024CC2" w:rsidP="00257641">
      <w:r>
        <w:t xml:space="preserve">The MCO must prepare a CAP within </w:t>
      </w:r>
      <w:r w:rsidR="00695762">
        <w:t>thirty (</w:t>
      </w:r>
      <w:r>
        <w:t>30</w:t>
      </w:r>
      <w:r w:rsidR="00695762">
        <w:t>)</w:t>
      </w:r>
      <w:r>
        <w:t xml:space="preserve"> </w:t>
      </w:r>
      <w:r w:rsidR="00D970E0">
        <w:t xml:space="preserve">calendar </w:t>
      </w:r>
      <w:r>
        <w:t xml:space="preserve">days of identification to correct any significant systemic problems. </w:t>
      </w:r>
      <w:r w:rsidR="009A0060" w:rsidRPr="00DF1D1C">
        <w:t>As actions are taken to improve care, the MCO must monitor and evaluate these corrective actions to assure that appropriate changes have been made, and track changes in practice patterns. The MCO must conduct follow-up on identified issues to ensure that actions for improvement have been effective.</w:t>
      </w:r>
    </w:p>
    <w:p w14:paraId="4D667062" w14:textId="2140391C" w:rsidR="009A0060" w:rsidRPr="00DF1D1C" w:rsidRDefault="009A0060" w:rsidP="00257641">
      <w:r w:rsidRPr="00DF1D1C">
        <w:t xml:space="preserve">Information resulting from QAPI activities </w:t>
      </w:r>
      <w:r w:rsidR="00890D6B">
        <w:t xml:space="preserve">will </w:t>
      </w:r>
      <w:r w:rsidRPr="00DF1D1C">
        <w:t>be used in recredentialing, re</w:t>
      </w:r>
      <w:r w:rsidR="00AB0C0F">
        <w:t>-</w:t>
      </w:r>
      <w:r w:rsidRPr="00DF1D1C">
        <w:t>contracting, and/or annual performance evaluation</w:t>
      </w:r>
      <w:r w:rsidR="0078080B" w:rsidRPr="00DF1D1C">
        <w:t xml:space="preserve">. </w:t>
      </w:r>
      <w:r w:rsidRPr="00DF1D1C">
        <w:t xml:space="preserve">QAPI activities </w:t>
      </w:r>
      <w:r w:rsidR="00890D6B">
        <w:t xml:space="preserve">must </w:t>
      </w:r>
      <w:r w:rsidRPr="00DF1D1C">
        <w:t>be coordinated with other performance monitoring activities, including utilization management, risk management, and resolution and monitoring of enrollee complaints and grievances</w:t>
      </w:r>
      <w:r w:rsidR="0078080B" w:rsidRPr="00DF1D1C">
        <w:t xml:space="preserve">. </w:t>
      </w:r>
      <w:r w:rsidRPr="00DF1D1C">
        <w:t xml:space="preserve">QAPI activities </w:t>
      </w:r>
      <w:r w:rsidR="00890D6B">
        <w:t>will</w:t>
      </w:r>
      <w:r w:rsidRPr="00DF1D1C">
        <w:t xml:space="preserve"> be linked to other management functions of the MCO, such as network changes, benefits redesign, medical management systems, practice feedback to providers, </w:t>
      </w:r>
      <w:r w:rsidR="007911CC">
        <w:t xml:space="preserve">and </w:t>
      </w:r>
      <w:r w:rsidRPr="00DF1D1C">
        <w:t xml:space="preserve">patient education and </w:t>
      </w:r>
      <w:r w:rsidR="00FD1D21">
        <w:t>enrollee</w:t>
      </w:r>
      <w:r w:rsidR="00FD1D21" w:rsidRPr="00DF1D1C">
        <w:t xml:space="preserve"> </w:t>
      </w:r>
      <w:r w:rsidRPr="00DF1D1C">
        <w:t xml:space="preserve">services. </w:t>
      </w:r>
    </w:p>
    <w:p w14:paraId="6DF232FF" w14:textId="2B26E367" w:rsidR="009A0060" w:rsidRPr="00A92736" w:rsidRDefault="008828B4" w:rsidP="00257641">
      <w:pPr>
        <w:pStyle w:val="Heading3"/>
        <w:rPr>
          <w:rStyle w:val="StyleTimesNewRoman12pt"/>
          <w:rFonts w:ascii="Arial" w:hAnsi="Arial"/>
        </w:rPr>
      </w:pPr>
      <w:bookmarkStart w:id="177" w:name="_Toc73441823"/>
      <w:bookmarkStart w:id="178" w:name="_Toc8129048"/>
      <w:r>
        <w:t>7</w:t>
      </w:r>
      <w:r w:rsidR="009A0060" w:rsidRPr="00203416">
        <w:t>.</w:t>
      </w:r>
      <w:r w:rsidR="00B61BF9" w:rsidRPr="00203416">
        <w:t>4</w:t>
      </w:r>
      <w:r w:rsidR="009A0060" w:rsidRPr="00203416">
        <w:tab/>
        <w:t>Health Information System</w:t>
      </w:r>
      <w:bookmarkEnd w:id="177"/>
      <w:bookmarkEnd w:id="178"/>
    </w:p>
    <w:p w14:paraId="7F9B40D7" w14:textId="7E8686F3" w:rsidR="00AA5521" w:rsidRDefault="00A82D3B" w:rsidP="00257641">
      <w:r>
        <w:t>The</w:t>
      </w:r>
      <w:r w:rsidR="009A0060" w:rsidRPr="00DF1D1C">
        <w:t xml:space="preserve"> MCO must maintain a health information system that collects, integrates, analyzes, and reports data necessary to implement its QAPI program</w:t>
      </w:r>
      <w:r w:rsidR="0078080B" w:rsidRPr="00DF1D1C">
        <w:t xml:space="preserve">. </w:t>
      </w:r>
      <w:r w:rsidR="009A0060" w:rsidRPr="00DF1D1C">
        <w:t>This includes data on enrollee and provider characteristics, as well as on services furnished to enrollees as needed to guide the selection of performance improvement project topics, and to meet the data collection requirements for these projects, as specified above</w:t>
      </w:r>
      <w:r w:rsidR="0078080B" w:rsidRPr="00DF1D1C">
        <w:t xml:space="preserve">. </w:t>
      </w:r>
      <w:r w:rsidR="00916B33">
        <w:t xml:space="preserve">The MCO’s health information system must accept the MAID generated by </w:t>
      </w:r>
      <w:r w:rsidR="004F57EE">
        <w:t xml:space="preserve">DHHR </w:t>
      </w:r>
      <w:r w:rsidR="00916B33">
        <w:t xml:space="preserve">for all </w:t>
      </w:r>
      <w:r w:rsidR="00FD1D21">
        <w:t xml:space="preserve">enrollees </w:t>
      </w:r>
      <w:r w:rsidR="00DA5947">
        <w:t>for data collection and billing purposes</w:t>
      </w:r>
      <w:r w:rsidR="00916B33">
        <w:t xml:space="preserve">. </w:t>
      </w:r>
      <w:r w:rsidR="009A0060" w:rsidRPr="00DF1D1C">
        <w:t xml:space="preserve">The health information system must also provide information including, but not limited to, </w:t>
      </w:r>
      <w:r w:rsidR="009A0060" w:rsidRPr="00DF1D1C">
        <w:lastRenderedPageBreak/>
        <w:t xml:space="preserve">utilization, </w:t>
      </w:r>
      <w:r w:rsidR="00640358">
        <w:t xml:space="preserve">claims, </w:t>
      </w:r>
      <w:r w:rsidR="009A0060" w:rsidRPr="00DF1D1C">
        <w:t>grievances and appeals, and disenrollment for reasons other than the loss of Medicaid eligibility</w:t>
      </w:r>
      <w:r w:rsidR="0078080B" w:rsidRPr="00DF1D1C">
        <w:t>.</w:t>
      </w:r>
      <w:r w:rsidR="00BC19AC">
        <w:t xml:space="preserve"> </w:t>
      </w:r>
      <w:r w:rsidR="009A0060" w:rsidRPr="00DF1D1C">
        <w:t>The MCO must ensure that information and data received from providers are accurate, timely, and complete</w:t>
      </w:r>
      <w:r w:rsidR="00966C56" w:rsidRPr="00DF1D1C">
        <w:t xml:space="preserve"> by</w:t>
      </w:r>
      <w:r w:rsidR="009A0060" w:rsidRPr="00DF1D1C">
        <w:t xml:space="preserve"> routinely reviewing reported data for accuracy, completeness, logic, and consistency, and by collecting service data in standardized formats to the extent feasible and appropriate</w:t>
      </w:r>
      <w:r w:rsidR="0078080B" w:rsidRPr="00DF1D1C">
        <w:t xml:space="preserve">. </w:t>
      </w:r>
      <w:r w:rsidR="009A0060" w:rsidRPr="00DF1D1C">
        <w:t xml:space="preserve">The MCO must make all collected data available to </w:t>
      </w:r>
      <w:r w:rsidR="004F57EE">
        <w:t>DHHR</w:t>
      </w:r>
      <w:r w:rsidR="004F57EE" w:rsidRPr="00DF1D1C">
        <w:t xml:space="preserve"> </w:t>
      </w:r>
      <w:r w:rsidR="009A0060" w:rsidRPr="00DF1D1C">
        <w:t>and upon request, to CMS</w:t>
      </w:r>
      <w:r w:rsidR="00BC19AC">
        <w:t xml:space="preserve"> in compliance with Section 6504(a) of the </w:t>
      </w:r>
      <w:r w:rsidR="004F57EE">
        <w:t>ACA</w:t>
      </w:r>
      <w:r w:rsidR="009A0060" w:rsidRPr="00DF1D1C">
        <w:t>.</w:t>
      </w:r>
      <w:r w:rsidR="006671C0">
        <w:t xml:space="preserve"> </w:t>
      </w:r>
    </w:p>
    <w:p w14:paraId="02138101" w14:textId="7705E23E" w:rsidR="00D74139" w:rsidRPr="00DF1D1C" w:rsidRDefault="008828B4" w:rsidP="00257641">
      <w:pPr>
        <w:pStyle w:val="Heading3"/>
        <w:rPr>
          <w:rStyle w:val="StyleTimesNewRoman12pt"/>
        </w:rPr>
      </w:pPr>
      <w:bookmarkStart w:id="179" w:name="_Toc8129049"/>
      <w:bookmarkStart w:id="180" w:name="_Toc73441824"/>
      <w:r>
        <w:t>7</w:t>
      </w:r>
      <w:r w:rsidR="00D74139" w:rsidRPr="00DF1D1C">
        <w:t>.</w:t>
      </w:r>
      <w:r w:rsidR="00B61BF9">
        <w:t>5</w:t>
      </w:r>
      <w:r w:rsidR="00D74139" w:rsidRPr="00DF1D1C">
        <w:tab/>
      </w:r>
      <w:r w:rsidR="00D74139">
        <w:t>Administration of the QAPI Program</w:t>
      </w:r>
      <w:bookmarkEnd w:id="179"/>
    </w:p>
    <w:bookmarkEnd w:id="180"/>
    <w:p w14:paraId="4148B172" w14:textId="77777777" w:rsidR="009A0060" w:rsidRDefault="00A82D3B" w:rsidP="00257641">
      <w:r>
        <w:t>The</w:t>
      </w:r>
      <w:r w:rsidR="009A0060" w:rsidRPr="00DF1D1C">
        <w:t xml:space="preserve"> MCO</w:t>
      </w:r>
      <w:r w:rsidR="00FA1C0C" w:rsidRPr="00DF1D1C">
        <w:t>’</w:t>
      </w:r>
      <w:r w:rsidR="009A0060" w:rsidRPr="00DF1D1C">
        <w:t>s QAPI program must be administered through clear and appropriate administrative arrangements</w:t>
      </w:r>
      <w:r w:rsidR="003470CF" w:rsidRPr="003470CF">
        <w:t xml:space="preserve"> consistent with the Medicaid requirements of 42 CFR §438.240.</w:t>
      </w:r>
      <w:r w:rsidR="0078080B" w:rsidRPr="00DF1D1C">
        <w:t xml:space="preserve"> </w:t>
      </w:r>
      <w:r w:rsidR="009A0060" w:rsidRPr="00DF1D1C">
        <w:t>The MCO must ensure that sufficient resources and staff with necessary education, experience, or training are available to implement the QAPI.</w:t>
      </w:r>
    </w:p>
    <w:p w14:paraId="1CCC3118" w14:textId="70A4F924" w:rsidR="004F1AF0" w:rsidRPr="00994942" w:rsidRDefault="008828B4" w:rsidP="00257641">
      <w:pPr>
        <w:pStyle w:val="Heading4"/>
      </w:pPr>
      <w:r>
        <w:t>7</w:t>
      </w:r>
      <w:r w:rsidR="00A93639">
        <w:t>.</w:t>
      </w:r>
      <w:r w:rsidR="00B61BF9">
        <w:t>5</w:t>
      </w:r>
      <w:r w:rsidR="00A93639">
        <w:t xml:space="preserve">.1 </w:t>
      </w:r>
      <w:r w:rsidR="00B61486" w:rsidRPr="00994942">
        <w:t>Written QAPI Program Plan Description</w:t>
      </w:r>
    </w:p>
    <w:p w14:paraId="6084258E" w14:textId="4D00D80F" w:rsidR="00B61486" w:rsidRDefault="00B61486" w:rsidP="00257641">
      <w:r w:rsidRPr="00B61486">
        <w:t xml:space="preserve">The MCO must have a written plan describing its QAPI program, including how the MCO will accomplish the activities required by this </w:t>
      </w:r>
      <w:r w:rsidR="00FE1124">
        <w:t>S</w:t>
      </w:r>
      <w:r w:rsidRPr="00B61486">
        <w:t xml:space="preserve">ection. The QAPI program plan at a minimum must specify clinical or health services delivery areas to be studied that represent the population served by the MCO in terms of age groups, disease categories, and special risk status. The QAPI program plan must </w:t>
      </w:r>
      <w:r w:rsidR="00FE1124">
        <w:t xml:space="preserve">describe </w:t>
      </w:r>
      <w:r w:rsidRPr="00B61486">
        <w:t xml:space="preserve">the </w:t>
      </w:r>
      <w:r w:rsidR="00D37F93">
        <w:t xml:space="preserve">MCO’s </w:t>
      </w:r>
      <w:r w:rsidR="00FE1124">
        <w:t xml:space="preserve">Performance Improvement Projects </w:t>
      </w:r>
      <w:r w:rsidRPr="00B61486">
        <w:t xml:space="preserve">and </w:t>
      </w:r>
      <w:r w:rsidR="00FE1124">
        <w:t xml:space="preserve">any </w:t>
      </w:r>
      <w:r w:rsidRPr="00B61486">
        <w:t xml:space="preserve">other </w:t>
      </w:r>
      <w:r w:rsidR="00B629F7">
        <w:t xml:space="preserve">quality </w:t>
      </w:r>
      <w:r w:rsidRPr="00B61486">
        <w:t xml:space="preserve">activities </w:t>
      </w:r>
      <w:r w:rsidR="00D37F93">
        <w:t xml:space="preserve">that </w:t>
      </w:r>
      <w:r w:rsidR="00FE1124">
        <w:t xml:space="preserve">will </w:t>
      </w:r>
      <w:r w:rsidRPr="00B61486">
        <w:t xml:space="preserve">be undertaken over a prescribed </w:t>
      </w:r>
      <w:r w:rsidR="00FE1124">
        <w:t xml:space="preserve">time </w:t>
      </w:r>
      <w:r w:rsidRPr="00B61486">
        <w:t>period</w:t>
      </w:r>
      <w:r w:rsidR="00FE1124">
        <w:t xml:space="preserve">. The QAPI program plan must </w:t>
      </w:r>
      <w:r w:rsidRPr="00B61486">
        <w:t xml:space="preserve">clearly identify the individuals responsible for the activities. </w:t>
      </w:r>
      <w:r w:rsidR="00FE1124">
        <w:t xml:space="preserve">Any additional MCO quality activities </w:t>
      </w:r>
      <w:r w:rsidRPr="00B61486">
        <w:t>must use quality indicators that are measurable, objective, and based on current knowledge and clinical experience.</w:t>
      </w:r>
      <w:r w:rsidR="00F24820">
        <w:t xml:space="preserve"> </w:t>
      </w:r>
      <w:r w:rsidRPr="00B61486">
        <w:t>The QAPI program plan must define a methodology and frequency of data collection that assures appropriate and sufficient monitoring to detect need for changes in the QAPI program plan.</w:t>
      </w:r>
    </w:p>
    <w:p w14:paraId="48A1AF7F" w14:textId="03F6C0BC" w:rsidR="009A0060" w:rsidRPr="00DF1D1C" w:rsidRDefault="008828B4" w:rsidP="00257641">
      <w:pPr>
        <w:pStyle w:val="Heading4"/>
      </w:pPr>
      <w:r>
        <w:t>7</w:t>
      </w:r>
      <w:r w:rsidR="00A93639">
        <w:t>.</w:t>
      </w:r>
      <w:r w:rsidR="00B61BF9">
        <w:t>5</w:t>
      </w:r>
      <w:r w:rsidR="00A93639">
        <w:t xml:space="preserve">.2 </w:t>
      </w:r>
      <w:r w:rsidR="009A0060" w:rsidRPr="00DF1D1C">
        <w:t>Policymaking Body</w:t>
      </w:r>
    </w:p>
    <w:p w14:paraId="7DD67F16" w14:textId="77777777" w:rsidR="009A0060" w:rsidRPr="00DF1D1C" w:rsidRDefault="009A0060" w:rsidP="00257641">
      <w:r w:rsidRPr="00DF1D1C">
        <w:t>A policymaking body, defined as the governing body of the MCO or a committee of senior executives that exercises general oversight over the MCO</w:t>
      </w:r>
      <w:r w:rsidR="00FA1C0C" w:rsidRPr="00DF1D1C">
        <w:t>’</w:t>
      </w:r>
      <w:r w:rsidRPr="00DF1D1C">
        <w:t>s management, policies, and personnel, must oversee and be accountable for the QAPI program</w:t>
      </w:r>
      <w:r w:rsidR="0078080B" w:rsidRPr="00DF1D1C">
        <w:t xml:space="preserve">. </w:t>
      </w:r>
      <w:r w:rsidRPr="00DF1D1C">
        <w:t>The policymaking body must approve any changes in the QAPI program description and approve the annual work plan</w:t>
      </w:r>
      <w:r w:rsidR="0078080B" w:rsidRPr="00DF1D1C">
        <w:t xml:space="preserve">. </w:t>
      </w:r>
      <w:r w:rsidRPr="00DF1D1C">
        <w:t>The policymaking body must receive and review periodic reports on QAPI activities, as well as the annual evaluation, and take action on any resulting recommendations.</w:t>
      </w:r>
    </w:p>
    <w:p w14:paraId="28D67B09" w14:textId="2C4C9A14" w:rsidR="009A0060" w:rsidRPr="00DF1D1C" w:rsidRDefault="008828B4" w:rsidP="00257641">
      <w:pPr>
        <w:pStyle w:val="Heading4"/>
      </w:pPr>
      <w:r>
        <w:t>7</w:t>
      </w:r>
      <w:r w:rsidR="00A93639">
        <w:t>.</w:t>
      </w:r>
      <w:r w:rsidR="00B61BF9">
        <w:t>5</w:t>
      </w:r>
      <w:r w:rsidR="00A93639">
        <w:t xml:space="preserve">.3 </w:t>
      </w:r>
      <w:r w:rsidR="009A0060" w:rsidRPr="00DF1D1C">
        <w:t>QAPI Committee</w:t>
      </w:r>
    </w:p>
    <w:p w14:paraId="473ACE7A" w14:textId="77777777" w:rsidR="009A0060" w:rsidRPr="00DF1D1C" w:rsidRDefault="009A0060" w:rsidP="00257641">
      <w:r w:rsidRPr="00DF1D1C">
        <w:t>A designated senior official must be responsible for the functioning of the QAPI program</w:t>
      </w:r>
      <w:r w:rsidR="0078080B" w:rsidRPr="00DF1D1C">
        <w:t xml:space="preserve">. </w:t>
      </w:r>
      <w:r w:rsidRPr="00DF1D1C">
        <w:t xml:space="preserve">If the responsible official is not the </w:t>
      </w:r>
      <w:r w:rsidR="00FA1C0C" w:rsidRPr="00DF1D1C">
        <w:t>Chief Medical Officer</w:t>
      </w:r>
      <w:r w:rsidRPr="00DF1D1C">
        <w:t xml:space="preserve">, the MCO must show, through the QAPI program description or other documentation, that the </w:t>
      </w:r>
      <w:r w:rsidR="00FA1C0C" w:rsidRPr="00DF1D1C">
        <w:t>Chief Medical Officer</w:t>
      </w:r>
      <w:r w:rsidRPr="00DF1D1C">
        <w:t xml:space="preserve"> has substantial involvement in QAPI activities</w:t>
      </w:r>
      <w:r w:rsidR="0078080B" w:rsidRPr="00DF1D1C">
        <w:t xml:space="preserve">. </w:t>
      </w:r>
      <w:r w:rsidRPr="00DF1D1C">
        <w:t>The MCO</w:t>
      </w:r>
      <w:r w:rsidR="00FA1C0C" w:rsidRPr="00DF1D1C">
        <w:t>’</w:t>
      </w:r>
      <w:r w:rsidR="00890D6B">
        <w:t>s QAPI committee must</w:t>
      </w:r>
      <w:r w:rsidRPr="00DF1D1C">
        <w:t xml:space="preserve"> meet at least quarterly to oversee QAPI activities and review of the process followed in the provision of health services</w:t>
      </w:r>
      <w:r w:rsidR="0078080B" w:rsidRPr="00DF1D1C">
        <w:t xml:space="preserve">. </w:t>
      </w:r>
      <w:r w:rsidRPr="00DF1D1C">
        <w:t xml:space="preserve">Providers </w:t>
      </w:r>
      <w:r w:rsidR="00890D6B">
        <w:t xml:space="preserve">must </w:t>
      </w:r>
      <w:r w:rsidRPr="00DF1D1C">
        <w:t>be kept informed about the written QAPI program</w:t>
      </w:r>
      <w:r w:rsidR="0078080B" w:rsidRPr="00DF1D1C">
        <w:t xml:space="preserve">. </w:t>
      </w:r>
      <w:r w:rsidRPr="00DF1D1C">
        <w:t xml:space="preserve">Contemporaneous records </w:t>
      </w:r>
      <w:r w:rsidR="00890D6B">
        <w:t>must</w:t>
      </w:r>
      <w:r w:rsidRPr="00DF1D1C">
        <w:t xml:space="preserve"> document the committee</w:t>
      </w:r>
      <w:r w:rsidR="00FA1C0C" w:rsidRPr="00DF1D1C">
        <w:t>’</w:t>
      </w:r>
      <w:r w:rsidRPr="00DF1D1C">
        <w:t>s activities, findings, recommendations, and actions</w:t>
      </w:r>
      <w:r w:rsidR="0078080B" w:rsidRPr="00DF1D1C">
        <w:t xml:space="preserve">. </w:t>
      </w:r>
      <w:r w:rsidRPr="00DF1D1C">
        <w:t xml:space="preserve">The QAPI committee </w:t>
      </w:r>
      <w:r w:rsidR="00890D6B">
        <w:t xml:space="preserve">will </w:t>
      </w:r>
      <w:r w:rsidRPr="00DF1D1C">
        <w:t>report to the QAPI Policy committee on a scheduled basis on activities, findings, recommendations, and actions</w:t>
      </w:r>
      <w:r w:rsidR="0078080B" w:rsidRPr="00DF1D1C">
        <w:t xml:space="preserve">. </w:t>
      </w:r>
      <w:r w:rsidRPr="00DF1D1C">
        <w:t xml:space="preserve">Membership on the QAPI committee </w:t>
      </w:r>
      <w:r w:rsidR="00890D6B">
        <w:t>must</w:t>
      </w:r>
      <w:r w:rsidRPr="00DF1D1C">
        <w:t xml:space="preserve"> include MCO employed or affiliated providers representative of the composition of the MCO providers</w:t>
      </w:r>
      <w:r w:rsidR="0078080B" w:rsidRPr="00DF1D1C">
        <w:t xml:space="preserve">. </w:t>
      </w:r>
      <w:r w:rsidRPr="00DF1D1C">
        <w:t>If affiliated providers are not represented on the MCO</w:t>
      </w:r>
      <w:r w:rsidR="00FA1C0C" w:rsidRPr="00DF1D1C">
        <w:t>’</w:t>
      </w:r>
      <w:r w:rsidRPr="00DF1D1C">
        <w:t xml:space="preserve">s QAPI committee or other core </w:t>
      </w:r>
      <w:r w:rsidRPr="00DF1D1C">
        <w:lastRenderedPageBreak/>
        <w:t>coordinating structure, there must be a clinical subcommittee or other advisory group to assure that clinicians actively participate in key activities</w:t>
      </w:r>
      <w:r w:rsidR="0078080B" w:rsidRPr="00DF1D1C">
        <w:t xml:space="preserve">. </w:t>
      </w:r>
    </w:p>
    <w:p w14:paraId="360FFFBA" w14:textId="11BFCA6F" w:rsidR="009A0060" w:rsidRPr="00DF1D1C" w:rsidRDefault="008828B4" w:rsidP="00257641">
      <w:pPr>
        <w:pStyle w:val="Heading4"/>
      </w:pPr>
      <w:r>
        <w:t>7</w:t>
      </w:r>
      <w:r w:rsidR="00A93639">
        <w:t>.</w:t>
      </w:r>
      <w:r w:rsidR="00B61BF9">
        <w:t>5</w:t>
      </w:r>
      <w:r w:rsidR="00A93639">
        <w:t xml:space="preserve">.4 </w:t>
      </w:r>
      <w:r w:rsidR="009A0060" w:rsidRPr="00DF1D1C">
        <w:t>Other QAPI Participants</w:t>
      </w:r>
    </w:p>
    <w:p w14:paraId="1ED26182" w14:textId="77777777" w:rsidR="009A0060" w:rsidRPr="00DF1D1C" w:rsidRDefault="009A0060" w:rsidP="00257641">
      <w:r w:rsidRPr="00DF1D1C">
        <w:t>Employed or affiliated providers and consumers must actively participate in the QAPI program</w:t>
      </w:r>
      <w:r w:rsidR="0078080B" w:rsidRPr="00DF1D1C">
        <w:t xml:space="preserve">. </w:t>
      </w:r>
      <w:r w:rsidRPr="00DF1D1C">
        <w:t>All contracts with providers must require participation in QAPI activities, including provision of access to medical records, and cooperation with data collection activities</w:t>
      </w:r>
      <w:r w:rsidR="0078080B" w:rsidRPr="00DF1D1C">
        <w:t xml:space="preserve">. </w:t>
      </w:r>
      <w:r w:rsidRPr="00DF1D1C">
        <w:t>Consumer involvement should be sought from the outset of the MCO</w:t>
      </w:r>
      <w:r w:rsidR="00FA1C0C" w:rsidRPr="00DF1D1C">
        <w:t>’</w:t>
      </w:r>
      <w:r w:rsidRPr="00DF1D1C">
        <w:t>s QAPI program planning.</w:t>
      </w:r>
    </w:p>
    <w:p w14:paraId="07F37107" w14:textId="05C5BDA6" w:rsidR="009A0060" w:rsidRPr="00DF1D1C" w:rsidRDefault="008828B4" w:rsidP="00257641">
      <w:pPr>
        <w:pStyle w:val="Heading4"/>
      </w:pPr>
      <w:r>
        <w:t>7</w:t>
      </w:r>
      <w:r w:rsidR="00A93639">
        <w:t>.</w:t>
      </w:r>
      <w:r w:rsidR="00B61BF9">
        <w:t>5</w:t>
      </w:r>
      <w:r w:rsidR="00A93639">
        <w:t xml:space="preserve">.5 </w:t>
      </w:r>
      <w:r w:rsidR="009A0060" w:rsidRPr="00DF1D1C">
        <w:t>QAPI Communications</w:t>
      </w:r>
    </w:p>
    <w:p w14:paraId="2143C0E2" w14:textId="09F403BA" w:rsidR="009A0060" w:rsidRPr="00DF1D1C" w:rsidRDefault="009A0060" w:rsidP="00257641">
      <w:pPr>
        <w:pStyle w:val="normal6"/>
      </w:pPr>
      <w:r w:rsidRPr="00DF1D1C">
        <w:t xml:space="preserve">The MCO must establish procedures for formal and ongoing communication and collaboration among the policymaking body and other functional </w:t>
      </w:r>
      <w:r w:rsidRPr="00CA3472">
        <w:t>areas</w:t>
      </w:r>
      <w:r w:rsidRPr="00DF1D1C">
        <w:t xml:space="preserve"> of the MCO (e.g., health services management and </w:t>
      </w:r>
      <w:r w:rsidR="00FD1D21">
        <w:t>enrollee</w:t>
      </w:r>
      <w:r w:rsidR="00FD1D21" w:rsidRPr="00DF1D1C">
        <w:t xml:space="preserve"> </w:t>
      </w:r>
      <w:r w:rsidRPr="00DF1D1C">
        <w:t>services), especially with respect to:</w:t>
      </w:r>
    </w:p>
    <w:p w14:paraId="3F4B5F70" w14:textId="77777777" w:rsidR="009A0060" w:rsidRPr="00DF1D1C" w:rsidRDefault="009A0060" w:rsidP="00257641">
      <w:pPr>
        <w:pStyle w:val="bullet1"/>
      </w:pPr>
      <w:r w:rsidRPr="00DF1D1C">
        <w:t>Resolving enrollee issues;</w:t>
      </w:r>
    </w:p>
    <w:p w14:paraId="49993483" w14:textId="77777777" w:rsidR="009A0060" w:rsidRPr="00DF1D1C" w:rsidRDefault="009A0060" w:rsidP="00257641">
      <w:pPr>
        <w:pStyle w:val="bullet1"/>
      </w:pPr>
      <w:r w:rsidRPr="00DF1D1C">
        <w:t>Authorizing service;</w:t>
      </w:r>
    </w:p>
    <w:p w14:paraId="158063DA" w14:textId="77777777" w:rsidR="009A0060" w:rsidRPr="00DF1D1C" w:rsidRDefault="009A0060" w:rsidP="00257641">
      <w:pPr>
        <w:pStyle w:val="bullet1"/>
      </w:pPr>
      <w:r w:rsidRPr="00DF1D1C">
        <w:t xml:space="preserve">Developing practice guidelines; </w:t>
      </w:r>
    </w:p>
    <w:p w14:paraId="79836900" w14:textId="77777777" w:rsidR="009A0060" w:rsidRPr="00DF1D1C" w:rsidRDefault="009A0060" w:rsidP="00257641">
      <w:pPr>
        <w:pStyle w:val="bullet1"/>
      </w:pPr>
      <w:r w:rsidRPr="00DF1D1C">
        <w:t>Recredentialing practitioners; and</w:t>
      </w:r>
    </w:p>
    <w:p w14:paraId="416017CA" w14:textId="77777777" w:rsidR="009A0060" w:rsidRPr="00DF1D1C" w:rsidRDefault="009A0060" w:rsidP="00257641">
      <w:pPr>
        <w:pStyle w:val="bullet1last"/>
      </w:pPr>
      <w:r w:rsidRPr="00DF1D1C">
        <w:t xml:space="preserve">Providing feedback to providers and plan staff regarding performance and enrollee satisfaction surveys. </w:t>
      </w:r>
    </w:p>
    <w:p w14:paraId="1E7D84B7" w14:textId="0E093B0F" w:rsidR="009A0060" w:rsidRPr="00DF1D1C" w:rsidRDefault="008828B4" w:rsidP="00257641">
      <w:pPr>
        <w:pStyle w:val="Heading4"/>
      </w:pPr>
      <w:r>
        <w:t>7</w:t>
      </w:r>
      <w:r w:rsidR="00A93639">
        <w:t>.</w:t>
      </w:r>
      <w:r w:rsidR="00B61BF9">
        <w:t>5</w:t>
      </w:r>
      <w:r w:rsidR="00A93639">
        <w:t>.</w:t>
      </w:r>
      <w:r w:rsidR="00126753">
        <w:t xml:space="preserve">6 </w:t>
      </w:r>
      <w:r w:rsidR="009A0060" w:rsidRPr="00DF1D1C">
        <w:t>Annual Evaluation</w:t>
      </w:r>
    </w:p>
    <w:p w14:paraId="50591C46" w14:textId="132B794E" w:rsidR="009A0060" w:rsidRDefault="009A0060" w:rsidP="00257641">
      <w:r w:rsidRPr="00DF1D1C">
        <w:t>The MCO must formally evaluate, at least annually, the effectiveness of the QAPI program strategy, and make necessary changes</w:t>
      </w:r>
      <w:r w:rsidR="0078080B" w:rsidRPr="00DF1D1C">
        <w:t xml:space="preserve">. </w:t>
      </w:r>
      <w:r w:rsidRPr="00DF1D1C">
        <w:t>This annual evaluation must assess both progress in implementing the QAPI strategy and the extent to which the strategy is promoting the development of an effective QAPI program</w:t>
      </w:r>
      <w:r w:rsidR="0078080B" w:rsidRPr="00DF1D1C">
        <w:t xml:space="preserve">. </w:t>
      </w:r>
      <w:r w:rsidRPr="00DF1D1C">
        <w:t>The evaluation should assess whether activities in the MCO</w:t>
      </w:r>
      <w:r w:rsidR="00FA1C0C" w:rsidRPr="00DF1D1C">
        <w:t>’</w:t>
      </w:r>
      <w:r w:rsidRPr="00DF1D1C">
        <w:t>s work plan are being completed on a timely basis or whether commitment of additional resources is necessary</w:t>
      </w:r>
      <w:r w:rsidR="0078080B" w:rsidRPr="00DF1D1C">
        <w:t xml:space="preserve">. </w:t>
      </w:r>
      <w:r w:rsidRPr="00DF1D1C">
        <w:t>The final report should also include any recommendations for needed changes in program strategy or administration</w:t>
      </w:r>
      <w:r w:rsidR="0078080B" w:rsidRPr="00DF1D1C">
        <w:t xml:space="preserve">. </w:t>
      </w:r>
      <w:r w:rsidRPr="00DF1D1C">
        <w:t>These recommendations must be forwarded to and considered by the policymaking body of the MCO.</w:t>
      </w:r>
      <w:r w:rsidR="00255BDB">
        <w:t xml:space="preserve"> The MCO </w:t>
      </w:r>
      <w:r w:rsidR="00E809B6">
        <w:t>must</w:t>
      </w:r>
      <w:r w:rsidR="00255BDB">
        <w:t xml:space="preserve"> submit to </w:t>
      </w:r>
      <w:r w:rsidR="004F57EE">
        <w:t xml:space="preserve">DHHR </w:t>
      </w:r>
      <w:r w:rsidR="00255BDB">
        <w:t>a written evaluation of its QAPI program strategy by June 15</w:t>
      </w:r>
      <w:r w:rsidR="004658AC" w:rsidRPr="00542D30">
        <w:rPr>
          <w:vertAlign w:val="superscript"/>
        </w:rPr>
        <w:t>th</w:t>
      </w:r>
      <w:r w:rsidR="00255BDB">
        <w:t xml:space="preserve"> of each year.</w:t>
      </w:r>
      <w:r w:rsidR="00F24820">
        <w:t xml:space="preserve"> </w:t>
      </w:r>
    </w:p>
    <w:p w14:paraId="059E8153" w14:textId="1964F548" w:rsidR="00213406" w:rsidRDefault="008828B4" w:rsidP="00257641">
      <w:pPr>
        <w:pStyle w:val="Heading3"/>
      </w:pPr>
      <w:bookmarkStart w:id="181" w:name="_Toc8129050"/>
      <w:r>
        <w:t>7</w:t>
      </w:r>
      <w:r w:rsidR="00213406">
        <w:t>.</w:t>
      </w:r>
      <w:r w:rsidR="00B61BF9">
        <w:t>6</w:t>
      </w:r>
      <w:r w:rsidR="00B07A43">
        <w:tab/>
      </w:r>
      <w:r w:rsidR="00213406">
        <w:t>MCO Accreditation</w:t>
      </w:r>
      <w:bookmarkEnd w:id="181"/>
    </w:p>
    <w:p w14:paraId="2CD4031A" w14:textId="22C0DD6A" w:rsidR="00AA668D" w:rsidRPr="00A50F88" w:rsidRDefault="00B63508" w:rsidP="00257641">
      <w:r w:rsidRPr="00213406">
        <w:t xml:space="preserve">The MCO must </w:t>
      </w:r>
      <w:r>
        <w:t xml:space="preserve">achieve </w:t>
      </w:r>
      <w:r w:rsidR="008D2F4A">
        <w:t xml:space="preserve">or maintain </w:t>
      </w:r>
      <w:r>
        <w:t xml:space="preserve">accreditation from the </w:t>
      </w:r>
      <w:r w:rsidRPr="000E388D">
        <w:rPr>
          <w:rFonts w:cs="Arial"/>
        </w:rPr>
        <w:t xml:space="preserve">NCQA </w:t>
      </w:r>
      <w:r w:rsidRPr="00C6373F">
        <w:t xml:space="preserve">for </w:t>
      </w:r>
      <w:r>
        <w:t>their</w:t>
      </w:r>
      <w:r w:rsidRPr="00C6373F">
        <w:t xml:space="preserve"> Medicaid lines of business</w:t>
      </w:r>
      <w:r>
        <w:t xml:space="preserve"> by </w:t>
      </w:r>
      <w:r w:rsidR="008D2F4A">
        <w:t xml:space="preserve">the beginning of each </w:t>
      </w:r>
      <w:r w:rsidR="009B19C2">
        <w:t xml:space="preserve">Contract </w:t>
      </w:r>
      <w:r w:rsidR="008D2F4A">
        <w:t xml:space="preserve">year. </w:t>
      </w:r>
      <w:r w:rsidR="0054040C">
        <w:t xml:space="preserve">The </w:t>
      </w:r>
      <w:r w:rsidRPr="000351E0">
        <w:rPr>
          <w:szCs w:val="22"/>
        </w:rPr>
        <w:t xml:space="preserve">MCO must keep current </w:t>
      </w:r>
      <w:r w:rsidRPr="00C80322">
        <w:rPr>
          <w:szCs w:val="22"/>
        </w:rPr>
        <w:t>accreditation</w:t>
      </w:r>
      <w:r>
        <w:t xml:space="preserve"> from the </w:t>
      </w:r>
      <w:r>
        <w:rPr>
          <w:rFonts w:cs="Arial"/>
        </w:rPr>
        <w:t>NCQA</w:t>
      </w:r>
      <w:r w:rsidRPr="000E388D">
        <w:rPr>
          <w:rFonts w:cs="Arial"/>
        </w:rPr>
        <w:t xml:space="preserve"> </w:t>
      </w:r>
      <w:r w:rsidRPr="00C6373F">
        <w:t xml:space="preserve">for </w:t>
      </w:r>
      <w:r>
        <w:t>their</w:t>
      </w:r>
      <w:r w:rsidRPr="00C6373F">
        <w:t xml:space="preserve"> Medicaid lines of business</w:t>
      </w:r>
      <w:r>
        <w:t xml:space="preserve">. </w:t>
      </w:r>
      <w:r w:rsidR="00AA668D" w:rsidRPr="002373D1">
        <w:t xml:space="preserve">The MCO must provide </w:t>
      </w:r>
      <w:r w:rsidR="004F57EE">
        <w:t>DHHR</w:t>
      </w:r>
      <w:r w:rsidR="004F57EE" w:rsidRPr="002373D1">
        <w:t xml:space="preserve"> </w:t>
      </w:r>
      <w:r w:rsidR="00AA668D" w:rsidRPr="002373D1">
        <w:t>with the accreditation status reports indicating the MCO evaluation option, evaluation measures, evaluation results</w:t>
      </w:r>
      <w:r w:rsidR="001A33E1" w:rsidRPr="002373D1">
        <w:t>,</w:t>
      </w:r>
      <w:r w:rsidR="00AA668D" w:rsidRPr="002373D1">
        <w:t xml:space="preserve"> and evaluation length. The accreditation reports must be submitted upon completion of each accreditation survey.</w:t>
      </w:r>
      <w:r w:rsidR="003150A4">
        <w:t xml:space="preserve"> </w:t>
      </w:r>
    </w:p>
    <w:p w14:paraId="5C87CDE4" w14:textId="22E6B5A0" w:rsidR="00213406" w:rsidRDefault="00AA668D" w:rsidP="00257641">
      <w:r w:rsidRPr="002373D1">
        <w:t xml:space="preserve">Any new MCO entering into this </w:t>
      </w:r>
      <w:r w:rsidR="009B19C2">
        <w:t xml:space="preserve">Contract </w:t>
      </w:r>
      <w:r w:rsidRPr="002373D1">
        <w:t>after July 1, 2013</w:t>
      </w:r>
      <w:r w:rsidR="001A33E1" w:rsidRPr="002373D1">
        <w:t>,</w:t>
      </w:r>
      <w:r w:rsidRPr="002373D1">
        <w:t xml:space="preserve"> must apply for accreditation with NQCA no later than nine </w:t>
      </w:r>
      <w:r w:rsidR="004658AC">
        <w:t xml:space="preserve">(9) </w:t>
      </w:r>
      <w:r w:rsidRPr="002373D1">
        <w:t xml:space="preserve">months </w:t>
      </w:r>
      <w:r w:rsidR="001A33E1" w:rsidRPr="002373D1">
        <w:t>from</w:t>
      </w:r>
      <w:r w:rsidRPr="002373D1">
        <w:t xml:space="preserve"> its operational start date in West Virginia. Any new MCO entering into this </w:t>
      </w:r>
      <w:r w:rsidR="009B19C2">
        <w:t xml:space="preserve">Contract </w:t>
      </w:r>
      <w:r w:rsidRPr="002373D1">
        <w:t>after July 1, 2013</w:t>
      </w:r>
      <w:r w:rsidR="00F85A1C" w:rsidRPr="002373D1">
        <w:t>,</w:t>
      </w:r>
      <w:r w:rsidRPr="002373D1">
        <w:t xml:space="preserve"> must become accredited with NQCA within two </w:t>
      </w:r>
      <w:r w:rsidR="004658AC">
        <w:t xml:space="preserve">(2) </w:t>
      </w:r>
      <w:r w:rsidRPr="002373D1">
        <w:t xml:space="preserve">years of its operational start date in West Virginia. The MCO must provide </w:t>
      </w:r>
      <w:r w:rsidR="004F57EE">
        <w:t>DHHR</w:t>
      </w:r>
      <w:r w:rsidR="004F57EE" w:rsidRPr="002373D1">
        <w:t xml:space="preserve"> </w:t>
      </w:r>
      <w:r w:rsidRPr="002373D1">
        <w:t xml:space="preserve">with </w:t>
      </w:r>
      <w:r w:rsidRPr="002373D1">
        <w:lastRenderedPageBreak/>
        <w:t>the accreditation status reports indicating the MCO evaluation option, evaluation measures, evaluation results</w:t>
      </w:r>
      <w:r w:rsidR="00F85A1C" w:rsidRPr="002373D1">
        <w:t>,</w:t>
      </w:r>
      <w:r w:rsidRPr="002373D1">
        <w:t xml:space="preserve"> and evaluation length. The accreditation reports must be submitted upon completion of each accreditation survey.</w:t>
      </w:r>
    </w:p>
    <w:p w14:paraId="60F28EAD" w14:textId="2687F35B" w:rsidR="00183D18" w:rsidRPr="00183D18" w:rsidRDefault="008828B4" w:rsidP="00257641">
      <w:pPr>
        <w:pStyle w:val="Heading3"/>
      </w:pPr>
      <w:bookmarkStart w:id="182" w:name="_Toc8129051"/>
      <w:r>
        <w:t>7</w:t>
      </w:r>
      <w:r w:rsidR="00183D18">
        <w:t>.</w:t>
      </w:r>
      <w:r w:rsidR="00B61BF9">
        <w:t>7</w:t>
      </w:r>
      <w:r w:rsidR="00183D18">
        <w:t xml:space="preserve"> </w:t>
      </w:r>
      <w:r w:rsidR="00183D18">
        <w:tab/>
        <w:t>Performance Profiling</w:t>
      </w:r>
      <w:bookmarkEnd w:id="182"/>
    </w:p>
    <w:p w14:paraId="54585D6F" w14:textId="77777777" w:rsidR="00183D18" w:rsidRDefault="00183D18" w:rsidP="00257641">
      <w:r>
        <w:t xml:space="preserve">The Department may </w:t>
      </w:r>
      <w:r w:rsidR="00D76A8B">
        <w:t xml:space="preserve">publish information about MCO performance </w:t>
      </w:r>
      <w:r w:rsidRPr="00183D18">
        <w:t>on a regular</w:t>
      </w:r>
      <w:r>
        <w:t xml:space="preserve"> </w:t>
      </w:r>
      <w:r w:rsidR="00D76A8B">
        <w:t xml:space="preserve">basis, identifying </w:t>
      </w:r>
      <w:r w:rsidR="00C8270F">
        <w:t xml:space="preserve">the </w:t>
      </w:r>
      <w:r w:rsidRPr="00183D18">
        <w:t>MCO’s</w:t>
      </w:r>
      <w:r w:rsidR="00D76A8B">
        <w:t xml:space="preserve"> performance indicators</w:t>
      </w:r>
      <w:r w:rsidRPr="00183D18">
        <w:t>, and comparing that performance to other MCOs and</w:t>
      </w:r>
      <w:r>
        <w:t xml:space="preserve"> </w:t>
      </w:r>
      <w:r w:rsidRPr="00183D18">
        <w:t xml:space="preserve">to </w:t>
      </w:r>
      <w:r>
        <w:t>other external standards and/or b</w:t>
      </w:r>
      <w:r w:rsidRPr="00183D18">
        <w:t xml:space="preserve">enchmarks. </w:t>
      </w:r>
      <w:r w:rsidR="0090350B" w:rsidRPr="0090350B">
        <w:t>Th</w:t>
      </w:r>
      <w:r w:rsidR="0090350B">
        <w:t>e Department will allow the MCO</w:t>
      </w:r>
      <w:r w:rsidR="0090350B" w:rsidRPr="0090350B">
        <w:t xml:space="preserve"> opportunity to review </w:t>
      </w:r>
      <w:r w:rsidR="0090350B">
        <w:t>its</w:t>
      </w:r>
      <w:r w:rsidR="0090350B" w:rsidRPr="0090350B">
        <w:t xml:space="preserve"> data for accuracy </w:t>
      </w:r>
      <w:r w:rsidR="0090350B">
        <w:t>and</w:t>
      </w:r>
      <w:r w:rsidR="00027BE2">
        <w:t>/or</w:t>
      </w:r>
      <w:r w:rsidR="0090350B">
        <w:t xml:space="preserve"> validity </w:t>
      </w:r>
      <w:r w:rsidR="0090350B" w:rsidRPr="0090350B">
        <w:t>prior to publication.</w:t>
      </w:r>
    </w:p>
    <w:p w14:paraId="2B39F21D" w14:textId="1F6E2C9B" w:rsidR="00537EBA" w:rsidRDefault="00537EBA" w:rsidP="00257641">
      <w:pPr>
        <w:pStyle w:val="Heading3"/>
        <w:numPr>
          <w:ilvl w:val="1"/>
          <w:numId w:val="10"/>
        </w:numPr>
      </w:pPr>
      <w:bookmarkStart w:id="183" w:name="_Toc8129052"/>
      <w:r>
        <w:t>Quality Withhold</w:t>
      </w:r>
      <w:r w:rsidR="00E433C4">
        <w:t xml:space="preserve"> Program</w:t>
      </w:r>
      <w:bookmarkEnd w:id="183"/>
      <w:r>
        <w:t xml:space="preserve"> </w:t>
      </w:r>
    </w:p>
    <w:p w14:paraId="7B356C31" w14:textId="5BC663F4" w:rsidR="00727FEB" w:rsidRPr="0030674C" w:rsidRDefault="0086482C" w:rsidP="00257641">
      <w:r>
        <w:t>Beginning under the second year of the contract, July 1, 2020, the State shall establish a quality withhold program that establishes quality metrics that align with the Department’s goals as outlined under WV Code Chapter 49; requirements of the Department of Justice; and other HEDIS and CAHPS measures as selected by the Department.</w:t>
      </w:r>
      <w:r w:rsidR="003150A4">
        <w:t xml:space="preserve"> </w:t>
      </w:r>
    </w:p>
    <w:p w14:paraId="4B849E91" w14:textId="76BE675D" w:rsidR="00727FEB" w:rsidRPr="0030674C" w:rsidRDefault="00727FEB" w:rsidP="00257641">
      <w:r w:rsidRPr="0030674C">
        <w:t xml:space="preserve">On an annual basis, the Department or its designee will evaluate whether the MCO has demonstrated that it has fully met the performance measures for which the MCO is at risk. The Department or its designee will determine the extent to which the MCO has the met performance measures by assessing each MCO’s report relative to performance targets for the corresponding </w:t>
      </w:r>
      <w:r w:rsidR="0086482C">
        <w:t>baseline</w:t>
      </w:r>
      <w:r w:rsidR="0086482C" w:rsidRPr="0030674C">
        <w:t xml:space="preserve"> </w:t>
      </w:r>
      <w:r w:rsidRPr="0030674C">
        <w:t xml:space="preserve">year. If the MCO does meet some or all of the performance measures, the Department will issue a portion or entire sum of the withheld capitation as a lump sum payment to be paid no later than November of each corresponding year. </w:t>
      </w:r>
    </w:p>
    <w:p w14:paraId="5D055C51" w14:textId="6E438783" w:rsidR="009A0060" w:rsidRPr="00482733" w:rsidRDefault="00262289" w:rsidP="007610FD">
      <w:pPr>
        <w:pStyle w:val="Heading2"/>
      </w:pPr>
      <w:bookmarkStart w:id="184" w:name="_Toc73441825"/>
      <w:bookmarkStart w:id="185" w:name="_Toc8129053"/>
      <w:r>
        <w:t xml:space="preserve">8. </w:t>
      </w:r>
      <w:r w:rsidR="009A0060" w:rsidRPr="00482733">
        <w:t>FINANCIAL REQUIREMENTS &amp; PAYMENT PROVISIONS</w:t>
      </w:r>
      <w:bookmarkEnd w:id="184"/>
      <w:bookmarkEnd w:id="185"/>
    </w:p>
    <w:p w14:paraId="31B365F8" w14:textId="177852D4" w:rsidR="009A0060" w:rsidRPr="00DF1D1C" w:rsidRDefault="008828B4" w:rsidP="00257641">
      <w:pPr>
        <w:pStyle w:val="Heading3"/>
      </w:pPr>
      <w:bookmarkStart w:id="186" w:name="_Toc73441826"/>
      <w:bookmarkStart w:id="187" w:name="_Toc8129054"/>
      <w:r>
        <w:t>8</w:t>
      </w:r>
      <w:r w:rsidR="009A0060" w:rsidRPr="00DF1D1C">
        <w:t>.1</w:t>
      </w:r>
      <w:r w:rsidR="009A0060" w:rsidRPr="00DF1D1C">
        <w:tab/>
        <w:t>Solvency Requirements</w:t>
      </w:r>
      <w:bookmarkEnd w:id="186"/>
      <w:bookmarkEnd w:id="187"/>
    </w:p>
    <w:p w14:paraId="4A5BAD11" w14:textId="5B3BFDE5" w:rsidR="009A0060" w:rsidRPr="00DF1D1C" w:rsidRDefault="009A0060" w:rsidP="00257641">
      <w:r w:rsidRPr="00DF1D1C">
        <w:t xml:space="preserve">The MCO must make provisions against the risk of insolvency and assure that neither enrollees nor </w:t>
      </w:r>
      <w:r w:rsidR="004F57EE">
        <w:t>DHHR</w:t>
      </w:r>
      <w:r w:rsidR="004F57EE" w:rsidRPr="00DF1D1C">
        <w:t xml:space="preserve"> </w:t>
      </w:r>
      <w:r w:rsidRPr="00DF1D1C">
        <w:t>are held liable for debts in the event of the MCO</w:t>
      </w:r>
      <w:r w:rsidR="00FA1C0C" w:rsidRPr="00DF1D1C">
        <w:t>’</w:t>
      </w:r>
      <w:r w:rsidRPr="00DF1D1C">
        <w:t xml:space="preserve">s insolvency or the insolvency of any </w:t>
      </w:r>
      <w:r w:rsidR="00642406">
        <w:t>S</w:t>
      </w:r>
      <w:r w:rsidRPr="00DF1D1C">
        <w:t>ubcontractors.</w:t>
      </w:r>
      <w:r w:rsidR="00370003">
        <w:t xml:space="preserve"> </w:t>
      </w:r>
      <w:r w:rsidRPr="00DF1D1C">
        <w:t>The MCO must demonstrate adequate initial capital reserves and ongoing reserve contributions in accordance with the Insurance Commissioner</w:t>
      </w:r>
      <w:r w:rsidR="00FA1C0C" w:rsidRPr="00DF1D1C">
        <w:t>’</w:t>
      </w:r>
      <w:r w:rsidRPr="00DF1D1C">
        <w:t xml:space="preserve">s requirements. The MCO must provide financial data to </w:t>
      </w:r>
      <w:r w:rsidR="004F57EE">
        <w:t>DHHR</w:t>
      </w:r>
      <w:r w:rsidR="004F57EE" w:rsidRPr="00DF1D1C">
        <w:t xml:space="preserve"> </w:t>
      </w:r>
      <w:r w:rsidRPr="00DF1D1C">
        <w:t xml:space="preserve">in accordance with </w:t>
      </w:r>
      <w:r w:rsidR="004F57EE">
        <w:t>DHHR</w:t>
      </w:r>
      <w:r w:rsidR="004F57EE" w:rsidRPr="00DF1D1C">
        <w:t xml:space="preserve">’ </w:t>
      </w:r>
      <w:r w:rsidRPr="00DF1D1C">
        <w:t>required formats and timing.</w:t>
      </w:r>
    </w:p>
    <w:p w14:paraId="3A0B3413" w14:textId="77777777" w:rsidR="009A0060" w:rsidRPr="00DF1D1C" w:rsidRDefault="009A0060" w:rsidP="00257641">
      <w:pPr>
        <w:pStyle w:val="normal6"/>
      </w:pPr>
      <w:r w:rsidRPr="00DF1D1C">
        <w:t>The MCO must maintain a fiscally sound operation as demonstrated by the following:</w:t>
      </w:r>
    </w:p>
    <w:p w14:paraId="5AD9A101" w14:textId="77777777" w:rsidR="009A0060" w:rsidRPr="00DF1D1C" w:rsidRDefault="009A0060" w:rsidP="00257641">
      <w:pPr>
        <w:numPr>
          <w:ilvl w:val="0"/>
          <w:numId w:val="36"/>
        </w:numPr>
        <w:tabs>
          <w:tab w:val="clear" w:pos="360"/>
        </w:tabs>
        <w:spacing w:after="120"/>
        <w:ind w:left="720"/>
      </w:pPr>
      <w:r w:rsidRPr="00DF1D1C">
        <w:t>Maintaining adequate liquidity to meet all obligations as they become due for services performed under the provider agreement.</w:t>
      </w:r>
    </w:p>
    <w:p w14:paraId="6A0296FA" w14:textId="278826D7" w:rsidR="009A0060" w:rsidRPr="00DF1D1C" w:rsidRDefault="009A0060" w:rsidP="00257641">
      <w:pPr>
        <w:numPr>
          <w:ilvl w:val="0"/>
          <w:numId w:val="36"/>
        </w:numPr>
        <w:tabs>
          <w:tab w:val="clear" w:pos="360"/>
        </w:tabs>
        <w:spacing w:after="120"/>
        <w:ind w:left="720"/>
      </w:pPr>
      <w:r w:rsidRPr="00DF1D1C">
        <w:t>Maintaining a positive net worth in every annual reporting period as evidenced by total assets being greater than total liabilities based on the MCO</w:t>
      </w:r>
      <w:r w:rsidR="00FA1C0C" w:rsidRPr="00DF1D1C">
        <w:t>’</w:t>
      </w:r>
      <w:r w:rsidRPr="00DF1D1C">
        <w:t>s annual audited financial statement</w:t>
      </w:r>
      <w:r w:rsidR="0078080B" w:rsidRPr="00DF1D1C">
        <w:t xml:space="preserve">. </w:t>
      </w:r>
      <w:r w:rsidRPr="00DF1D1C">
        <w:t xml:space="preserve">If the MCO fails to maintain a positive net worth, the MCO must submit a financial plan for </w:t>
      </w:r>
      <w:r w:rsidR="004F57EE">
        <w:t>DHHR</w:t>
      </w:r>
      <w:r w:rsidR="004F57EE" w:rsidRPr="00DF1D1C">
        <w:t xml:space="preserve"> </w:t>
      </w:r>
      <w:r w:rsidRPr="00DF1D1C">
        <w:t>approval outlining how the MCO will achieve a positive net worth by the next annual reporting period.</w:t>
      </w:r>
    </w:p>
    <w:p w14:paraId="0066D914" w14:textId="2D46C81E" w:rsidR="009A0060" w:rsidRPr="00DF1D1C" w:rsidRDefault="009A0060" w:rsidP="00257641">
      <w:pPr>
        <w:numPr>
          <w:ilvl w:val="0"/>
          <w:numId w:val="36"/>
        </w:numPr>
        <w:tabs>
          <w:tab w:val="clear" w:pos="360"/>
        </w:tabs>
        <w:ind w:left="720"/>
      </w:pPr>
      <w:r w:rsidRPr="00DF1D1C">
        <w:t>Maintaining a net operating surplus in every annual reporting period based on the annual audited financial statement</w:t>
      </w:r>
      <w:r w:rsidR="0078080B" w:rsidRPr="00DF1D1C">
        <w:t xml:space="preserve">. </w:t>
      </w:r>
      <w:r w:rsidRPr="00DF1D1C">
        <w:t xml:space="preserve">If the MCO fails to earn a net operating surplus, the MCO must submit a financial plan for </w:t>
      </w:r>
      <w:r w:rsidR="004F57EE">
        <w:t>DHHR</w:t>
      </w:r>
      <w:r w:rsidR="004F57EE" w:rsidRPr="00DF1D1C">
        <w:t xml:space="preserve"> </w:t>
      </w:r>
      <w:r w:rsidRPr="00DF1D1C">
        <w:t xml:space="preserve">approval outlining how the MCO will achieve a </w:t>
      </w:r>
      <w:r w:rsidRPr="00DF1D1C">
        <w:lastRenderedPageBreak/>
        <w:t>net operating surplus within available financial resources by the end of the next annual reporting period.</w:t>
      </w:r>
    </w:p>
    <w:p w14:paraId="04A28918" w14:textId="77777777" w:rsidR="009A0060" w:rsidRPr="00DF1D1C" w:rsidRDefault="009A0060" w:rsidP="00257641">
      <w:r w:rsidRPr="00DF1D1C">
        <w:t>If insolvency insurance protection is carried as a rider to an existing reinsurance policy, the conditions of the coverage must not exclude the MCO</w:t>
      </w:r>
      <w:r w:rsidR="00FA1C0C" w:rsidRPr="00DF1D1C">
        <w:t>’</w:t>
      </w:r>
      <w:r w:rsidRPr="00DF1D1C">
        <w:t>s Medicaid line of business.</w:t>
      </w:r>
    </w:p>
    <w:p w14:paraId="6A72135E" w14:textId="0F7801B7" w:rsidR="009A0060" w:rsidRPr="00DF1D1C" w:rsidRDefault="009A0060" w:rsidP="00257641">
      <w:r w:rsidRPr="00DF1D1C">
        <w:t xml:space="preserve">The MCO must notify </w:t>
      </w:r>
      <w:r w:rsidR="004F57EE">
        <w:t>DHHR</w:t>
      </w:r>
      <w:r w:rsidR="004F57EE" w:rsidRPr="00DF1D1C">
        <w:t xml:space="preserve"> </w:t>
      </w:r>
      <w:r w:rsidRPr="00DF1D1C">
        <w:t xml:space="preserve">in writing within </w:t>
      </w:r>
      <w:r w:rsidR="00F82388">
        <w:t>sixty (</w:t>
      </w:r>
      <w:r w:rsidRPr="00DF1D1C">
        <w:t>60</w:t>
      </w:r>
      <w:r w:rsidR="00F82388">
        <w:t>)</w:t>
      </w:r>
      <w:r w:rsidR="004F57EE">
        <w:t xml:space="preserve"> calendar</w:t>
      </w:r>
      <w:r w:rsidRPr="00DF1D1C">
        <w:t xml:space="preserve"> days if any changes are made to the MCO</w:t>
      </w:r>
      <w:r w:rsidR="00FA1C0C" w:rsidRPr="00DF1D1C">
        <w:t>’</w:t>
      </w:r>
      <w:r w:rsidRPr="00DF1D1C">
        <w:t>s insolvency protection arrangement.</w:t>
      </w:r>
    </w:p>
    <w:p w14:paraId="355DE775" w14:textId="09E682A8" w:rsidR="009A0060" w:rsidRDefault="009A0060" w:rsidP="00257641">
      <w:r w:rsidRPr="00DF1D1C">
        <w:t>The MCO must obtain adequate reinsurance, or establish a restricted fund balance for the purpose of self-insurance for financial risks accepted as part of this contract</w:t>
      </w:r>
      <w:r w:rsidR="0078080B" w:rsidRPr="00DF1D1C">
        <w:t xml:space="preserve">. </w:t>
      </w:r>
      <w:r w:rsidRPr="00DF1D1C">
        <w:t xml:space="preserve">Reinsurance arrangements are subject to approval by </w:t>
      </w:r>
      <w:r w:rsidR="004F57EE">
        <w:t>DHHR</w:t>
      </w:r>
      <w:r w:rsidRPr="00DF1D1C">
        <w:t>.</w:t>
      </w:r>
    </w:p>
    <w:p w14:paraId="0BD5308F" w14:textId="7ACDFE8C" w:rsidR="009A0060" w:rsidRDefault="008828B4" w:rsidP="00257641">
      <w:pPr>
        <w:pStyle w:val="Heading3"/>
      </w:pPr>
      <w:bookmarkStart w:id="188" w:name="_Toc73441827"/>
      <w:bookmarkStart w:id="189" w:name="_Toc8129055"/>
      <w:r>
        <w:t>8</w:t>
      </w:r>
      <w:r w:rsidR="009A0060" w:rsidRPr="00DF1D1C">
        <w:t>.2</w:t>
      </w:r>
      <w:r w:rsidR="009A0060" w:rsidRPr="00DF1D1C">
        <w:tab/>
        <w:t>Capitation Payments to MCOs</w:t>
      </w:r>
      <w:bookmarkEnd w:id="188"/>
      <w:bookmarkEnd w:id="189"/>
    </w:p>
    <w:p w14:paraId="0CB48271" w14:textId="3F65E986" w:rsidR="003D0A0E" w:rsidRPr="00DF1D1C" w:rsidRDefault="008828B4" w:rsidP="00257641">
      <w:pPr>
        <w:pStyle w:val="Heading4"/>
      </w:pPr>
      <w:r>
        <w:t>8</w:t>
      </w:r>
      <w:r w:rsidR="00365A1E">
        <w:t xml:space="preserve">.2.1 </w:t>
      </w:r>
      <w:r w:rsidR="00BA7881" w:rsidRPr="00BA7881">
        <w:t>Ti</w:t>
      </w:r>
      <w:r w:rsidR="00BA7881">
        <w:t>me and Manner of Payment</w:t>
      </w:r>
    </w:p>
    <w:p w14:paraId="03FCEE23" w14:textId="67B5C32C" w:rsidR="009A0060" w:rsidRPr="00DF1D1C" w:rsidRDefault="009A0060" w:rsidP="00257641">
      <w:r w:rsidRPr="00DF1D1C">
        <w:t xml:space="preserve">The MCO will be “at risk” for the services listed in </w:t>
      </w:r>
      <w:r w:rsidR="009B19C2">
        <w:t xml:space="preserve">Contract </w:t>
      </w:r>
      <w:r w:rsidR="00F33B38">
        <w:t>Appendix</w:t>
      </w:r>
      <w:r w:rsidRPr="00DF1D1C">
        <w:t xml:space="preserve"> A (Description of Covered and Excluded Services)</w:t>
      </w:r>
      <w:r w:rsidRPr="00DF1D1C">
        <w:rPr>
          <w:b/>
        </w:rPr>
        <w:t xml:space="preserve"> </w:t>
      </w:r>
      <w:r w:rsidRPr="00DF1D1C">
        <w:t>through a capitation payment system</w:t>
      </w:r>
      <w:r w:rsidR="0078080B" w:rsidRPr="00DF1D1C">
        <w:t xml:space="preserve">. </w:t>
      </w:r>
      <w:r w:rsidRPr="00DF1D1C">
        <w:t xml:space="preserve">The MCO will be paid a fixed rate PMPM </w:t>
      </w:r>
      <w:r w:rsidR="00AF588A">
        <w:t xml:space="preserve">for covered services </w:t>
      </w:r>
      <w:r w:rsidRPr="00DF1D1C">
        <w:t xml:space="preserve">and will not be permitted to collect any additional premiums from enrollees. </w:t>
      </w:r>
      <w:r w:rsidR="00AF588A">
        <w:t xml:space="preserve">The MCO shall also receive a </w:t>
      </w:r>
      <w:r w:rsidR="00431D99">
        <w:t>monthly</w:t>
      </w:r>
      <w:r w:rsidR="00AF588A">
        <w:t xml:space="preserve"> payment for SNS administration that will be separate from the capitation received for medical services. </w:t>
      </w:r>
      <w:r w:rsidR="009B19C2">
        <w:t xml:space="preserve">Contract </w:t>
      </w:r>
      <w:r w:rsidR="00F33B38">
        <w:t>Appendix</w:t>
      </w:r>
      <w:r w:rsidRPr="00DF1D1C">
        <w:t xml:space="preserve"> B contains a listing of</w:t>
      </w:r>
      <w:r w:rsidR="004F57EE">
        <w:t xml:space="preserve"> </w:t>
      </w:r>
      <w:r w:rsidRPr="00DF1D1C">
        <w:t xml:space="preserve">capitation </w:t>
      </w:r>
      <w:r w:rsidR="00472BC7" w:rsidRPr="00DF1D1C">
        <w:t>rates</w:t>
      </w:r>
      <w:r w:rsidR="003D0A0E">
        <w:t>. T</w:t>
      </w:r>
      <w:r w:rsidR="009D1A45">
        <w:t>he Department</w:t>
      </w:r>
      <w:r w:rsidRPr="00DF1D1C">
        <w:t xml:space="preserve"> will automatically make capitation payments to the MCOs each month based on membership. </w:t>
      </w:r>
      <w:r w:rsidR="009D1A45">
        <w:t xml:space="preserve">The Department </w:t>
      </w:r>
      <w:r w:rsidRPr="00DF1D1C">
        <w:t>expects to process payments on the 16</w:t>
      </w:r>
      <w:r w:rsidRPr="00DF1D1C">
        <w:rPr>
          <w:vertAlign w:val="superscript"/>
        </w:rPr>
        <w:t>th</w:t>
      </w:r>
      <w:r w:rsidRPr="00DF1D1C">
        <w:t xml:space="preserve"> and make capitation payments on the 20</w:t>
      </w:r>
      <w:r w:rsidRPr="00DF1D1C">
        <w:rPr>
          <w:vertAlign w:val="superscript"/>
        </w:rPr>
        <w:t>th</w:t>
      </w:r>
      <w:r w:rsidRPr="00DF1D1C">
        <w:t xml:space="preserve"> of each month</w:t>
      </w:r>
      <w:r w:rsidR="0078080B" w:rsidRPr="00DF1D1C">
        <w:t xml:space="preserve">. </w:t>
      </w:r>
      <w:r w:rsidRPr="00DF1D1C">
        <w:t>MCOs will be required to submit a quarterly invoice to reconcile any differences between the capitation payments mad</w:t>
      </w:r>
      <w:r w:rsidR="003D0A0E">
        <w:t>e by the Department</w:t>
      </w:r>
      <w:r w:rsidRPr="00DF1D1C">
        <w:t xml:space="preserve"> and actual membership.</w:t>
      </w:r>
    </w:p>
    <w:p w14:paraId="19487A53" w14:textId="323CED26" w:rsidR="009A0060" w:rsidRPr="00DF1D1C" w:rsidRDefault="009D1A45" w:rsidP="00257641">
      <w:r>
        <w:t>The Department</w:t>
      </w:r>
      <w:r w:rsidR="009A0060" w:rsidRPr="00DF1D1C">
        <w:t xml:space="preserve"> is unable to provide a guarantee of payment</w:t>
      </w:r>
      <w:r w:rsidR="0078080B" w:rsidRPr="00DF1D1C">
        <w:t xml:space="preserve">. </w:t>
      </w:r>
      <w:r w:rsidR="009A0060" w:rsidRPr="00DF1D1C">
        <w:t xml:space="preserve">The </w:t>
      </w:r>
      <w:r w:rsidR="009B19C2">
        <w:t xml:space="preserve">Contract </w:t>
      </w:r>
      <w:r w:rsidR="009A0060" w:rsidRPr="00DF1D1C">
        <w:t xml:space="preserve">includes a provision that allows MCOs to terminate the </w:t>
      </w:r>
      <w:r w:rsidR="009B19C2">
        <w:t xml:space="preserve">Contract </w:t>
      </w:r>
      <w:r w:rsidR="009A0060" w:rsidRPr="00DF1D1C">
        <w:t xml:space="preserve">for non-payment upon </w:t>
      </w:r>
      <w:r w:rsidR="00D970E0">
        <w:t xml:space="preserve">a </w:t>
      </w:r>
      <w:r w:rsidR="00F82388">
        <w:t>sixty (</w:t>
      </w:r>
      <w:r w:rsidR="009A0060" w:rsidRPr="00DF1D1C">
        <w:t>60</w:t>
      </w:r>
      <w:r w:rsidR="00F82388">
        <w:t>)</w:t>
      </w:r>
      <w:r w:rsidR="009A0060" w:rsidRPr="00DF1D1C">
        <w:t xml:space="preserve"> day written notice. </w:t>
      </w:r>
      <w:r w:rsidR="003D0A0E">
        <w:t>The Department</w:t>
      </w:r>
      <w:r w:rsidR="009A0060" w:rsidRPr="00DF1D1C">
        <w:t xml:space="preserve"> must then remedy the conditions contained in the notice within </w:t>
      </w:r>
      <w:r w:rsidR="00695762">
        <w:t>thirty (</w:t>
      </w:r>
      <w:r w:rsidR="009A0060" w:rsidRPr="00DF1D1C">
        <w:t>30</w:t>
      </w:r>
      <w:r w:rsidR="00695762">
        <w:t>)</w:t>
      </w:r>
      <w:r w:rsidR="009A0060" w:rsidRPr="00DF1D1C">
        <w:t xml:space="preserve"> </w:t>
      </w:r>
      <w:r w:rsidR="00D970E0">
        <w:t xml:space="preserve">calendar </w:t>
      </w:r>
      <w:r w:rsidR="009A0060" w:rsidRPr="00DF1D1C">
        <w:t>days following the notice of termination or the MCO may terminate the contract.</w:t>
      </w:r>
    </w:p>
    <w:p w14:paraId="79827B8F" w14:textId="77777777" w:rsidR="002D2E2F" w:rsidRDefault="002D2E2F" w:rsidP="00257641">
      <w:r>
        <w:t>The MCO must report to the Department within sixty (60) calendar days when it has identified the capitation payments or other payments in excess of amounts specified in the contract.</w:t>
      </w:r>
    </w:p>
    <w:p w14:paraId="0C89922E" w14:textId="776CD9C4" w:rsidR="009A0060" w:rsidRPr="00DF1D1C" w:rsidRDefault="009A0060" w:rsidP="00257641">
      <w:pPr>
        <w:pStyle w:val="normal6"/>
      </w:pPr>
      <w:r w:rsidRPr="00DF1D1C">
        <w:t xml:space="preserve">All capitation payments are for a full month and not pro-rated. The enrollment date of an enrollee will always be on the first day of the month (with the exception of newborns), and the termination date of a </w:t>
      </w:r>
      <w:r w:rsidR="00FD1D21">
        <w:t>enrollee</w:t>
      </w:r>
      <w:r w:rsidR="00FD1D21" w:rsidRPr="00DF1D1C">
        <w:t xml:space="preserve">’s </w:t>
      </w:r>
      <w:r w:rsidRPr="00DF1D1C">
        <w:t>enrollment will always be the last day of the month</w:t>
      </w:r>
      <w:r w:rsidR="0078080B" w:rsidRPr="00DF1D1C">
        <w:t xml:space="preserve">. </w:t>
      </w:r>
      <w:r w:rsidRPr="00DF1D1C">
        <w:t>Capitation payments for the following special cases will be made as described below.</w:t>
      </w:r>
    </w:p>
    <w:p w14:paraId="14B9A1E4" w14:textId="74C6C6DC" w:rsidR="009A0060" w:rsidRPr="00DF1D1C" w:rsidRDefault="009A0060" w:rsidP="00257641">
      <w:pPr>
        <w:pStyle w:val="bullet1"/>
      </w:pPr>
      <w:r w:rsidRPr="00DF1D1C">
        <w:rPr>
          <w:b/>
        </w:rPr>
        <w:t>Individuals who age into a different rate cell during the month:</w:t>
      </w:r>
      <w:r w:rsidR="00F24820">
        <w:t xml:space="preserve"> </w:t>
      </w:r>
      <w:r w:rsidRPr="00DF1D1C">
        <w:t>The age of an individual on the first of the month is used to determine the capitation rate cell for the whole month</w:t>
      </w:r>
      <w:r w:rsidR="0078080B" w:rsidRPr="00DF1D1C">
        <w:t xml:space="preserve">. </w:t>
      </w:r>
      <w:r w:rsidRPr="00DF1D1C">
        <w:t>If a person has a birthday in the middle of the month, the appropriate cell change will go into effect the following month.</w:t>
      </w:r>
    </w:p>
    <w:p w14:paraId="30845DA1" w14:textId="08C7ED3F" w:rsidR="009A0060" w:rsidRPr="00DF1D1C" w:rsidRDefault="009A0060" w:rsidP="00257641">
      <w:pPr>
        <w:pStyle w:val="bullet1"/>
      </w:pPr>
      <w:r w:rsidRPr="00DF1D1C">
        <w:rPr>
          <w:b/>
        </w:rPr>
        <w:t>Individuals who die during the month:</w:t>
      </w:r>
      <w:r w:rsidR="00F24820">
        <w:t xml:space="preserve"> </w:t>
      </w:r>
      <w:r w:rsidRPr="00DF1D1C">
        <w:t xml:space="preserve">Should an enrollee die during the month, the MCO must inform </w:t>
      </w:r>
      <w:r w:rsidR="003D0A0E">
        <w:t>Department</w:t>
      </w:r>
      <w:r w:rsidRPr="00DF1D1C">
        <w:t xml:space="preserve"> immediately</w:t>
      </w:r>
      <w:r w:rsidR="0078080B" w:rsidRPr="00DF1D1C">
        <w:t xml:space="preserve">. </w:t>
      </w:r>
      <w:r w:rsidRPr="00DF1D1C">
        <w:t xml:space="preserve">The MCO will receive a capitation payment for that entire month. </w:t>
      </w:r>
      <w:r w:rsidR="00762301" w:rsidRPr="00DF1D1C">
        <w:t>Any c</w:t>
      </w:r>
      <w:r w:rsidRPr="00DF1D1C">
        <w:t xml:space="preserve">apitation payments </w:t>
      </w:r>
      <w:r w:rsidR="00762301" w:rsidRPr="00DF1D1C">
        <w:t>paid following the month of the enrollee</w:t>
      </w:r>
      <w:r w:rsidR="00FA1C0C" w:rsidRPr="00DF1D1C">
        <w:t>’</w:t>
      </w:r>
      <w:r w:rsidR="00762301" w:rsidRPr="00DF1D1C">
        <w:t xml:space="preserve">s death </w:t>
      </w:r>
      <w:r w:rsidRPr="00DF1D1C">
        <w:t>will be recovered from the MCO.</w:t>
      </w:r>
    </w:p>
    <w:p w14:paraId="6108ACFF" w14:textId="25EB1F0E" w:rsidR="002A141E" w:rsidRDefault="009A0060" w:rsidP="00257641">
      <w:pPr>
        <w:pStyle w:val="bullet1last"/>
      </w:pPr>
      <w:r w:rsidRPr="00DF1D1C">
        <w:rPr>
          <w:b/>
        </w:rPr>
        <w:lastRenderedPageBreak/>
        <w:t xml:space="preserve">Individuals who are institutionalized for more than </w:t>
      </w:r>
      <w:r w:rsidR="00722535">
        <w:rPr>
          <w:b/>
        </w:rPr>
        <w:t>thirty (</w:t>
      </w:r>
      <w:r w:rsidRPr="00DF1D1C">
        <w:rPr>
          <w:b/>
        </w:rPr>
        <w:t>30</w:t>
      </w:r>
      <w:r w:rsidR="00722535">
        <w:rPr>
          <w:b/>
        </w:rPr>
        <w:t>)</w:t>
      </w:r>
      <w:r w:rsidRPr="00DF1D1C">
        <w:rPr>
          <w:b/>
        </w:rPr>
        <w:t xml:space="preserve"> </w:t>
      </w:r>
      <w:r w:rsidR="00D970E0">
        <w:rPr>
          <w:b/>
        </w:rPr>
        <w:t xml:space="preserve">calendar </w:t>
      </w:r>
      <w:r w:rsidRPr="00DF1D1C">
        <w:rPr>
          <w:b/>
        </w:rPr>
        <w:t>days:</w:t>
      </w:r>
      <w:r w:rsidR="00F24820">
        <w:t xml:space="preserve"> </w:t>
      </w:r>
      <w:r w:rsidRPr="00DF1D1C">
        <w:t>If a</w:t>
      </w:r>
      <w:r w:rsidR="00AB1793">
        <w:t>n</w:t>
      </w:r>
      <w:r w:rsidRPr="00DF1D1C">
        <w:t xml:space="preserve"> </w:t>
      </w:r>
      <w:r w:rsidR="00AB1793">
        <w:t>enrollee</w:t>
      </w:r>
      <w:r w:rsidR="00AB1793" w:rsidRPr="00DF1D1C">
        <w:t xml:space="preserve"> </w:t>
      </w:r>
      <w:r w:rsidRPr="00DF1D1C">
        <w:t>has been in a nursing facility</w:t>
      </w:r>
      <w:r w:rsidR="00E137FC">
        <w:t xml:space="preserve"> or</w:t>
      </w:r>
      <w:r w:rsidR="00E137FC" w:rsidRPr="00DF1D1C">
        <w:t xml:space="preserve"> </w:t>
      </w:r>
      <w:r w:rsidRPr="00DF1D1C">
        <w:t xml:space="preserve">state institution for </w:t>
      </w:r>
      <w:r w:rsidR="00722535">
        <w:t>thirty (</w:t>
      </w:r>
      <w:r w:rsidRPr="00DF1D1C">
        <w:t>30</w:t>
      </w:r>
      <w:r w:rsidR="00722535">
        <w:t xml:space="preserve">) </w:t>
      </w:r>
      <w:r w:rsidRPr="00DF1D1C">
        <w:t xml:space="preserve">consecutive </w:t>
      </w:r>
      <w:r w:rsidR="00D970E0">
        <w:t xml:space="preserve">calendar </w:t>
      </w:r>
      <w:r w:rsidRPr="00DF1D1C">
        <w:t xml:space="preserve">days, the MCO must inform </w:t>
      </w:r>
      <w:r w:rsidR="003D0A0E">
        <w:t>the Department</w:t>
      </w:r>
      <w:r w:rsidRPr="00DF1D1C">
        <w:t xml:space="preserve"> immediately. The MCO will receive a capitation payment for that entire month</w:t>
      </w:r>
      <w:r w:rsidR="0078080B" w:rsidRPr="00DF1D1C">
        <w:t xml:space="preserve">. </w:t>
      </w:r>
      <w:r w:rsidRPr="00DF1D1C">
        <w:t xml:space="preserve">For the remainder of that month, the MCO will be responsible for all medical costs </w:t>
      </w:r>
      <w:r w:rsidR="00B54304" w:rsidRPr="00DF1D1C">
        <w:t xml:space="preserve">not included in the bundled payment paid to the facility </w:t>
      </w:r>
      <w:r w:rsidRPr="00DF1D1C">
        <w:t xml:space="preserve">(which will be paid by </w:t>
      </w:r>
      <w:r w:rsidR="003D0A0E">
        <w:t>the Department</w:t>
      </w:r>
      <w:r w:rsidRPr="00DF1D1C">
        <w:t>).</w:t>
      </w:r>
      <w:bookmarkStart w:id="190" w:name="_Toc73441828"/>
    </w:p>
    <w:p w14:paraId="3ACF061E" w14:textId="54CB38E7" w:rsidR="002D2E2F" w:rsidRDefault="002D2E2F" w:rsidP="00257641">
      <w:pPr>
        <w:pStyle w:val="Heading4"/>
      </w:pPr>
      <w:r>
        <w:t>8.2.2 Risk Adjustment</w:t>
      </w:r>
    </w:p>
    <w:p w14:paraId="332A8BD5" w14:textId="3F2E5419" w:rsidR="002D2E2F" w:rsidRDefault="002D2E2F" w:rsidP="00257641">
      <w:r>
        <w:t>The Department</w:t>
      </w:r>
      <w:r w:rsidR="00ED282F" w:rsidRPr="00ED282F">
        <w:t>, in its sole discretion,</w:t>
      </w:r>
      <w:r>
        <w:t xml:space="preserve"> may implement a Risk Adjustment methodology in accordance with 42 CFR §438.5. </w:t>
      </w:r>
    </w:p>
    <w:p w14:paraId="5E7368C4" w14:textId="0243498B" w:rsidR="002D2E2F" w:rsidRDefault="002D2E2F" w:rsidP="00257641">
      <w:r>
        <w:t>If Risk Adjustment is applied prospectively or retrospectively, the Department must select a Risk Adjustment methodology that uses generally accepted models and must apply it in a budget neutral manner, consistent with generally accepted actuarial principles and practices, across all MCOs in the program to calculate adjustments to the payments as necessary.</w:t>
      </w:r>
    </w:p>
    <w:p w14:paraId="686B9E46" w14:textId="16EFD890" w:rsidR="00AE3AD9" w:rsidRDefault="00AE3AD9" w:rsidP="00257641">
      <w:r>
        <w:t xml:space="preserve">For purposes of this contract, the State shall reimburse the MCO eigthy percent (80%) of costs incurred that exceed one-hundred percent (100%) MLR for those services meeting the reporting defintion as outlined in </w:t>
      </w:r>
      <w:r w:rsidR="00C2136A">
        <w:t xml:space="preserve">Article III, </w:t>
      </w:r>
      <w:r>
        <w:t>Section 8.3.</w:t>
      </w:r>
    </w:p>
    <w:p w14:paraId="7F9FAA68" w14:textId="66628A1E" w:rsidR="002A141E" w:rsidRDefault="008828B4" w:rsidP="00257641">
      <w:pPr>
        <w:pStyle w:val="Heading3"/>
      </w:pPr>
      <w:bookmarkStart w:id="191" w:name="_Toc8129056"/>
      <w:r>
        <w:t>8</w:t>
      </w:r>
      <w:r w:rsidR="002A141E">
        <w:t xml:space="preserve">.3 </w:t>
      </w:r>
      <w:r w:rsidR="002A141E">
        <w:tab/>
      </w:r>
      <w:r w:rsidR="00D75575">
        <w:t xml:space="preserve">Medicaid </w:t>
      </w:r>
      <w:r w:rsidR="002A141E">
        <w:t>Medical Loss Ratio</w:t>
      </w:r>
      <w:r w:rsidR="004658AC">
        <w:t xml:space="preserve"> (MLR)</w:t>
      </w:r>
      <w:bookmarkEnd w:id="191"/>
    </w:p>
    <w:p w14:paraId="2B594FD1" w14:textId="0E57FA9E" w:rsidR="00180926" w:rsidRDefault="002D2E2F" w:rsidP="00257641">
      <w:r w:rsidRPr="002D2E2F">
        <w:t xml:space="preserve">The MCO is required to calculate and report Medical Loss Ratio (MLR) for each fiscal reporting year, consistent with MLR standards as outlined in 42 CFR 438.8(a). </w:t>
      </w:r>
      <w:r w:rsidR="008C1B78">
        <w:t>The</w:t>
      </w:r>
      <w:r w:rsidR="00893743" w:rsidRPr="00F81A4A">
        <w:t xml:space="preserve"> MCO is required to maintain a MLR of </w:t>
      </w:r>
      <w:r w:rsidR="00262B2D">
        <w:t xml:space="preserve">at </w:t>
      </w:r>
      <w:r w:rsidR="007E4794">
        <w:t xml:space="preserve">least </w:t>
      </w:r>
      <w:r w:rsidR="00893743" w:rsidRPr="00F81A4A">
        <w:t>eighty</w:t>
      </w:r>
      <w:r w:rsidR="004658AC">
        <w:t>-</w:t>
      </w:r>
      <w:r w:rsidR="00893743" w:rsidRPr="00F81A4A">
        <w:t>five</w:t>
      </w:r>
      <w:r w:rsidR="007E4794">
        <w:t xml:space="preserve"> </w:t>
      </w:r>
      <w:r w:rsidR="00893743" w:rsidRPr="00F81A4A">
        <w:t>percent</w:t>
      </w:r>
      <w:r>
        <w:t xml:space="preserve"> (85%)</w:t>
      </w:r>
      <w:r w:rsidR="00893743" w:rsidRPr="00F81A4A">
        <w:t xml:space="preserve"> during the </w:t>
      </w:r>
      <w:r w:rsidR="004D76EF">
        <w:t xml:space="preserve">fiscal </w:t>
      </w:r>
      <w:r w:rsidR="00D7342C">
        <w:t xml:space="preserve">year </w:t>
      </w:r>
      <w:r w:rsidR="00893743" w:rsidRPr="00F81A4A">
        <w:t>reporting period</w:t>
      </w:r>
      <w:r w:rsidR="008C1B78">
        <w:t xml:space="preserve"> for</w:t>
      </w:r>
      <w:r w:rsidR="00722108">
        <w:t xml:space="preserve"> the </w:t>
      </w:r>
      <w:r w:rsidR="00C60FBB">
        <w:t xml:space="preserve">entire </w:t>
      </w:r>
      <w:r w:rsidR="00722108">
        <w:t>Medicaid population</w:t>
      </w:r>
      <w:r w:rsidR="00893743" w:rsidRPr="00F81A4A">
        <w:t xml:space="preserve">. The MLR </w:t>
      </w:r>
      <w:r w:rsidR="006F7270">
        <w:t xml:space="preserve">will be calculated </w:t>
      </w:r>
      <w:r w:rsidR="00101C51">
        <w:t xml:space="preserve">by the </w:t>
      </w:r>
      <w:r w:rsidR="00C63B05">
        <w:t xml:space="preserve">MCO </w:t>
      </w:r>
      <w:r w:rsidR="00893743" w:rsidRPr="00F81A4A">
        <w:t>using the</w:t>
      </w:r>
      <w:r w:rsidR="000508E3">
        <w:t xml:space="preserve"> methodology as described in </w:t>
      </w:r>
      <w:r w:rsidR="00F33B38">
        <w:t>Appendix</w:t>
      </w:r>
      <w:r w:rsidR="00387ED6">
        <w:t xml:space="preserve"> </w:t>
      </w:r>
      <w:r w:rsidR="00AF588A">
        <w:t>G</w:t>
      </w:r>
      <w:r w:rsidR="000508E3">
        <w:t xml:space="preserve"> of this Contract</w:t>
      </w:r>
      <w:r w:rsidR="00437747">
        <w:t>.</w:t>
      </w:r>
      <w:r w:rsidR="00F24820">
        <w:t xml:space="preserve"> </w:t>
      </w:r>
    </w:p>
    <w:p w14:paraId="2C020E2E" w14:textId="60363259" w:rsidR="004E5AC8" w:rsidRDefault="004E5AC8" w:rsidP="00257641">
      <w:pPr>
        <w:pStyle w:val="normal6"/>
      </w:pPr>
      <w:r>
        <w:t xml:space="preserve">The MCO must submit an annual </w:t>
      </w:r>
      <w:r w:rsidR="00C8502E">
        <w:t xml:space="preserve">combined </w:t>
      </w:r>
      <w:r>
        <w:t>MLR report</w:t>
      </w:r>
      <w:r w:rsidR="00BE7FBF">
        <w:t xml:space="preserve"> </w:t>
      </w:r>
      <w:r w:rsidR="00C8502E">
        <w:t>that will be used for rebating purp</w:t>
      </w:r>
      <w:r w:rsidR="00722108">
        <w:t>oses in addition to separate detail broken out</w:t>
      </w:r>
      <w:r w:rsidR="00C8502E">
        <w:t xml:space="preserve"> </w:t>
      </w:r>
      <w:r w:rsidR="00BE7FBF">
        <w:t xml:space="preserve">for </w:t>
      </w:r>
      <w:r w:rsidR="00722108">
        <w:t xml:space="preserve">the population </w:t>
      </w:r>
      <w:r>
        <w:t xml:space="preserve">in accordance with Appendix </w:t>
      </w:r>
      <w:r w:rsidR="00AF588A">
        <w:t>G</w:t>
      </w:r>
      <w:r>
        <w:t xml:space="preserve"> of this Contract that includes at least the following:</w:t>
      </w:r>
    </w:p>
    <w:p w14:paraId="3AF8890B" w14:textId="3C47D369" w:rsidR="004E5AC8" w:rsidRDefault="004E5AC8" w:rsidP="00257641">
      <w:pPr>
        <w:pStyle w:val="bullet1"/>
      </w:pPr>
      <w:r>
        <w:t>Total incurred claims</w:t>
      </w:r>
    </w:p>
    <w:p w14:paraId="2A8624B5" w14:textId="78C11F71" w:rsidR="00B95371" w:rsidRDefault="00B95371" w:rsidP="00257641">
      <w:pPr>
        <w:pStyle w:val="bullet1"/>
      </w:pPr>
      <w:r>
        <w:t>Payments made under the Directed Payments Program</w:t>
      </w:r>
      <w:r w:rsidR="002D2E2F">
        <w:t xml:space="preserve"> as approved by CMS</w:t>
      </w:r>
    </w:p>
    <w:p w14:paraId="6E45026D" w14:textId="1A366DF4" w:rsidR="004E5AC8" w:rsidRDefault="004E5AC8" w:rsidP="00257641">
      <w:pPr>
        <w:pStyle w:val="bullet1"/>
      </w:pPr>
      <w:r>
        <w:t>Expenditures on quality improvement activities</w:t>
      </w:r>
    </w:p>
    <w:p w14:paraId="50C72380" w14:textId="619AFB0B" w:rsidR="004E5AC8" w:rsidRDefault="004E5AC8" w:rsidP="00257641">
      <w:pPr>
        <w:pStyle w:val="bullet1"/>
      </w:pPr>
      <w:r>
        <w:t>Expenditures related to activities necessary to comply with program integrity requirements under this Contract</w:t>
      </w:r>
    </w:p>
    <w:p w14:paraId="44ED607A" w14:textId="3524F984" w:rsidR="004E5AC8" w:rsidRDefault="004E5AC8" w:rsidP="00257641">
      <w:pPr>
        <w:pStyle w:val="bullet1"/>
      </w:pPr>
      <w:r>
        <w:t>Non-claims costs</w:t>
      </w:r>
    </w:p>
    <w:p w14:paraId="05408323" w14:textId="034C2FF7" w:rsidR="004E5AC8" w:rsidRDefault="004E5AC8" w:rsidP="00257641">
      <w:pPr>
        <w:pStyle w:val="bullet1"/>
      </w:pPr>
      <w:r>
        <w:t>Premium revenue</w:t>
      </w:r>
    </w:p>
    <w:p w14:paraId="16F37BDB" w14:textId="20706D78" w:rsidR="004E5AC8" w:rsidRDefault="004E5AC8" w:rsidP="00257641">
      <w:pPr>
        <w:pStyle w:val="bullet1"/>
      </w:pPr>
      <w:r>
        <w:t>Taxes</w:t>
      </w:r>
    </w:p>
    <w:p w14:paraId="4AEDD0CF" w14:textId="0D69F9D0" w:rsidR="004E5AC8" w:rsidRDefault="004E5AC8" w:rsidP="00257641">
      <w:pPr>
        <w:pStyle w:val="bullet1"/>
      </w:pPr>
      <w:r>
        <w:t>Licensing fees</w:t>
      </w:r>
    </w:p>
    <w:p w14:paraId="4EC56E05" w14:textId="076FC8D6" w:rsidR="004E5AC8" w:rsidRDefault="004E5AC8" w:rsidP="00257641">
      <w:pPr>
        <w:pStyle w:val="bullet1"/>
      </w:pPr>
      <w:r>
        <w:t>Regulatory fees</w:t>
      </w:r>
    </w:p>
    <w:p w14:paraId="6678753C" w14:textId="04D105E7" w:rsidR="004E5AC8" w:rsidRDefault="004E5AC8" w:rsidP="00257641">
      <w:pPr>
        <w:pStyle w:val="bullet1"/>
      </w:pPr>
      <w:r>
        <w:lastRenderedPageBreak/>
        <w:t>Methodology(ies) used for allocation of expenses</w:t>
      </w:r>
    </w:p>
    <w:p w14:paraId="61DC28FC" w14:textId="0836F85B" w:rsidR="004E5AC8" w:rsidRDefault="004E5AC8" w:rsidP="00257641">
      <w:pPr>
        <w:pStyle w:val="bullet1"/>
      </w:pPr>
      <w:r>
        <w:t>Any credibility adjustment applied</w:t>
      </w:r>
    </w:p>
    <w:p w14:paraId="554D0EA0" w14:textId="484D3932" w:rsidR="004E5AC8" w:rsidRDefault="004E5AC8" w:rsidP="00257641">
      <w:pPr>
        <w:pStyle w:val="bullet1"/>
      </w:pPr>
      <w:r>
        <w:t>MLR calculated by the MCO</w:t>
      </w:r>
    </w:p>
    <w:p w14:paraId="49D9EC5B" w14:textId="6E94080B" w:rsidR="004E5AC8" w:rsidRDefault="004E5AC8" w:rsidP="00257641">
      <w:pPr>
        <w:pStyle w:val="bullet1"/>
      </w:pPr>
      <w:r>
        <w:t>If applicable, any remittance owed to the Department</w:t>
      </w:r>
    </w:p>
    <w:p w14:paraId="3B754FBD" w14:textId="1AB85548" w:rsidR="00573880" w:rsidRDefault="00573880" w:rsidP="00257641">
      <w:pPr>
        <w:pStyle w:val="bullet1"/>
      </w:pPr>
      <w:r>
        <w:t>A comparison of the information reported with the MCO’s annual audited financial report</w:t>
      </w:r>
    </w:p>
    <w:p w14:paraId="37DCD848" w14:textId="6E42841A" w:rsidR="00573880" w:rsidRDefault="00573880" w:rsidP="00257641">
      <w:pPr>
        <w:pStyle w:val="bullet1"/>
      </w:pPr>
      <w:r>
        <w:t>Description of the aggregation method used to calculate total incurred claims</w:t>
      </w:r>
    </w:p>
    <w:p w14:paraId="2CAC5E1C" w14:textId="48131076" w:rsidR="00573880" w:rsidRPr="00F81A4A" w:rsidRDefault="00573880" w:rsidP="00257641">
      <w:pPr>
        <w:pStyle w:val="bullet1last"/>
      </w:pPr>
      <w:r>
        <w:t xml:space="preserve">Total </w:t>
      </w:r>
      <w:r w:rsidR="00AB1793">
        <w:t xml:space="preserve">enrollee </w:t>
      </w:r>
      <w:r>
        <w:t>months</w:t>
      </w:r>
    </w:p>
    <w:p w14:paraId="6C3B5353" w14:textId="5212D6F6" w:rsidR="004E5AC8" w:rsidRDefault="000B6368" w:rsidP="00257641">
      <w:r>
        <w:t>A</w:t>
      </w:r>
      <w:r w:rsidR="005166A3">
        <w:t xml:space="preserve"> </w:t>
      </w:r>
      <w:r w:rsidR="00C8502E">
        <w:t xml:space="preserve">combined </w:t>
      </w:r>
      <w:r w:rsidR="00FD2F8A" w:rsidRPr="00CA4626">
        <w:t>MLR percentage</w:t>
      </w:r>
      <w:r w:rsidR="00C8502E">
        <w:t xml:space="preserve"> of</w:t>
      </w:r>
      <w:r w:rsidR="00FD2F8A" w:rsidRPr="00CA4626">
        <w:t xml:space="preserve"> less than eighty-five percent </w:t>
      </w:r>
      <w:r w:rsidR="002D2E2F" w:rsidRPr="00CA4626">
        <w:t>(85</w:t>
      </w:r>
      <w:r w:rsidR="002D2E2F">
        <w:t>%</w:t>
      </w:r>
      <w:r w:rsidR="002D2E2F" w:rsidRPr="00CA4626">
        <w:t xml:space="preserve">) </w:t>
      </w:r>
      <w:r w:rsidR="002D2E2F">
        <w:t xml:space="preserve">must be one hundred </w:t>
      </w:r>
      <w:r w:rsidR="002D2E2F" w:rsidRPr="00CA4626">
        <w:t>percent</w:t>
      </w:r>
      <w:r w:rsidR="002D2E2F">
        <w:t xml:space="preserve"> (100%) </w:t>
      </w:r>
      <w:r w:rsidR="00FD2F8A" w:rsidRPr="00CA4626">
        <w:t>reimbursable to the State. The MCO is responsible for a fifty</w:t>
      </w:r>
      <w:r w:rsidR="00CA4626">
        <w:t xml:space="preserve"> </w:t>
      </w:r>
      <w:r w:rsidR="002D2E2F">
        <w:t xml:space="preserve">percent </w:t>
      </w:r>
      <w:r w:rsidR="00FD2F8A" w:rsidRPr="00CA4626">
        <w:t>(50</w:t>
      </w:r>
      <w:r w:rsidR="002D2E2F">
        <w:t>%</w:t>
      </w:r>
      <w:r w:rsidR="00FD2F8A" w:rsidRPr="00CA4626">
        <w:t xml:space="preserve">) share of any MLR less than eighty-eight </w:t>
      </w:r>
      <w:r w:rsidR="002D2E2F">
        <w:t xml:space="preserve">percent </w:t>
      </w:r>
      <w:r w:rsidR="00FD2F8A" w:rsidRPr="00CA4626">
        <w:t>(88</w:t>
      </w:r>
      <w:r w:rsidR="002D2E2F">
        <w:t>%</w:t>
      </w:r>
      <w:r w:rsidR="00FD2F8A" w:rsidRPr="00CA4626">
        <w:t>) but greater than eighty-five percent</w:t>
      </w:r>
      <w:r w:rsidR="002D2E2F">
        <w:t xml:space="preserve"> </w:t>
      </w:r>
      <w:r w:rsidR="002D2E2F" w:rsidRPr="00CA4626">
        <w:t>(85</w:t>
      </w:r>
      <w:r w:rsidR="002D2E2F">
        <w:t>%</w:t>
      </w:r>
      <w:r w:rsidR="002D2E2F" w:rsidRPr="00CA4626">
        <w:t>)</w:t>
      </w:r>
      <w:r w:rsidR="00FD2F8A" w:rsidRPr="00CA4626">
        <w:t>.</w:t>
      </w:r>
      <w:r w:rsidR="00F24820">
        <w:t xml:space="preserve"> </w:t>
      </w:r>
    </w:p>
    <w:p w14:paraId="484874B1" w14:textId="5D4D06AB" w:rsidR="000B57EC" w:rsidRPr="000B57EC" w:rsidRDefault="008828B4" w:rsidP="00257641">
      <w:pPr>
        <w:pStyle w:val="Heading3"/>
      </w:pPr>
      <w:bookmarkStart w:id="192" w:name="_Toc8129057"/>
      <w:r>
        <w:t>8</w:t>
      </w:r>
      <w:r w:rsidR="000B57EC" w:rsidRPr="000B57EC">
        <w:t xml:space="preserve">.4 </w:t>
      </w:r>
      <w:r w:rsidR="000B57EC" w:rsidRPr="000B57EC">
        <w:tab/>
        <w:t>Health Insurer Fee</w:t>
      </w:r>
      <w:bookmarkEnd w:id="192"/>
    </w:p>
    <w:p w14:paraId="1EB18B1C" w14:textId="458C439F" w:rsidR="00597E31" w:rsidRPr="00F81A4A" w:rsidRDefault="00597E31" w:rsidP="00257641">
      <w:r w:rsidRPr="00597E31">
        <w:t xml:space="preserve">The ACA) Health Insurer Fee (HIF) and resulting income tax non-deductibility will be accounted for through an administrative allowance included in the capitation payment. The percentage allowance was calculated based on </w:t>
      </w:r>
      <w:r w:rsidR="00087C5B">
        <w:t>the anticipated</w:t>
      </w:r>
      <w:r w:rsidRPr="00597E31">
        <w:t xml:space="preserve"> liability</w:t>
      </w:r>
      <w:r w:rsidR="00087C5B">
        <w:t xml:space="preserve"> for the </w:t>
      </w:r>
      <w:r w:rsidR="00AB0C0F">
        <w:t>C</w:t>
      </w:r>
      <w:r w:rsidR="00087C5B">
        <w:t>ontract period</w:t>
      </w:r>
      <w:r w:rsidRPr="00597E31">
        <w:t>. Once each MCO’s final liability is known, the State will reconcile that to the amount paid through the capitation payments.</w:t>
      </w:r>
      <w:r w:rsidR="00F24820">
        <w:t xml:space="preserve"> </w:t>
      </w:r>
      <w:r w:rsidRPr="00597E31">
        <w:t>If the amount paid is less than the liability amount, an increase will be made to future capitation payments.</w:t>
      </w:r>
      <w:r w:rsidR="00F24820">
        <w:t xml:space="preserve"> </w:t>
      </w:r>
      <w:r w:rsidRPr="00597E31">
        <w:t>If the amount paid is greater than the liability amount, a decrease will be made to future capitation amounts.</w:t>
      </w:r>
    </w:p>
    <w:p w14:paraId="1C327EBA" w14:textId="7275135C" w:rsidR="001A6476" w:rsidRPr="00DF1D1C" w:rsidRDefault="008828B4" w:rsidP="00257641">
      <w:pPr>
        <w:pStyle w:val="Heading3"/>
      </w:pPr>
      <w:bookmarkStart w:id="193" w:name="_Toc410827274"/>
      <w:bookmarkStart w:id="194" w:name="_Toc8129058"/>
      <w:bookmarkEnd w:id="190"/>
      <w:r>
        <w:t>8</w:t>
      </w:r>
      <w:r w:rsidR="001A6476" w:rsidRPr="00DF1D1C">
        <w:t>.</w:t>
      </w:r>
      <w:r w:rsidR="00D00EE0">
        <w:t>5</w:t>
      </w:r>
      <w:r w:rsidR="001A6476" w:rsidRPr="00DF1D1C">
        <w:tab/>
        <w:t>Third Party Liability</w:t>
      </w:r>
      <w:bookmarkEnd w:id="193"/>
      <w:r w:rsidR="004658AC">
        <w:t xml:space="preserve"> (TPL)</w:t>
      </w:r>
      <w:bookmarkEnd w:id="194"/>
    </w:p>
    <w:p w14:paraId="583458F8" w14:textId="1C73F6C7" w:rsidR="001A6476" w:rsidRPr="00DF1D1C" w:rsidRDefault="001A6476" w:rsidP="00257641">
      <w:r w:rsidRPr="00DF1D1C">
        <w:t xml:space="preserve">Under Section 1902(a)(25) of the Social Security Act, </w:t>
      </w:r>
      <w:r w:rsidR="004F57EE">
        <w:t>DHHR</w:t>
      </w:r>
      <w:r w:rsidR="004F57EE" w:rsidRPr="00DF1D1C">
        <w:t xml:space="preserve"> </w:t>
      </w:r>
      <w:r w:rsidRPr="00DF1D1C">
        <w:t>is required to take all reasonable measures to identify legally liable third parties and treat third party as a resource of the Medicaid beneficiary.</w:t>
      </w:r>
      <w:r>
        <w:t xml:space="preserve"> The MCO must comply with W. Va. C.S.R. §9-5-11</w:t>
      </w:r>
      <w:r w:rsidR="00ED282F">
        <w:t>, as well as all applicable state and federal statutes, regulations and case law</w:t>
      </w:r>
      <w:r>
        <w:t xml:space="preserve"> when identifying and collecting third party payments.</w:t>
      </w:r>
    </w:p>
    <w:p w14:paraId="5C47FD73" w14:textId="0BF9396F" w:rsidR="004658AC" w:rsidRPr="00F934F9" w:rsidRDefault="001A6476" w:rsidP="00257641">
      <w:r w:rsidRPr="00DF1D1C">
        <w:t xml:space="preserve">The MCO </w:t>
      </w:r>
      <w:r w:rsidR="00EF04B4">
        <w:t>must</w:t>
      </w:r>
      <w:r w:rsidR="00EF04B4" w:rsidRPr="00DF1D1C">
        <w:t xml:space="preserve"> </w:t>
      </w:r>
      <w:r w:rsidR="006B1671">
        <w:t>pursue</w:t>
      </w:r>
      <w:r w:rsidR="006B1671" w:rsidRPr="00DF1D1C">
        <w:t xml:space="preserve"> </w:t>
      </w:r>
      <w:r w:rsidRPr="00DF1D1C">
        <w:t xml:space="preserve">and require its </w:t>
      </w:r>
      <w:r w:rsidR="00642406">
        <w:t>S</w:t>
      </w:r>
      <w:r w:rsidRPr="00DF1D1C">
        <w:t xml:space="preserve">ubcontractors to utilize or pursue, when available, covered medical and hospital services or payments for Medicaid managed care enrollees available from other public or private sources, including Medicare. This responsibility includes accident and trauma cases that occur while a Medicaid beneficiary is enrolled in the MCO. </w:t>
      </w:r>
      <w:r w:rsidR="004658AC" w:rsidRPr="00A424A3">
        <w:t>I</w:t>
      </w:r>
      <w:r w:rsidR="004658AC">
        <w:t xml:space="preserve">f there is no established liable third party at the time of service, but later a third party is identified as liable for the claim, the MCO should seek to recover the payment. This may occur when the Medicaid beneficiary requires medical services in casualty/tort, medical malpractice, Worker’s Compensation, or other cases where the third party’s liability is not determined before medical care is provided. It may also occur when the MCO learns of the existence of health insurance coverage after medical care is provided. </w:t>
      </w:r>
      <w:r w:rsidR="004658AC" w:rsidRPr="00A424A3">
        <w:t>The MCO or its Subcontractor should first seek recovery from the liable third party.</w:t>
      </w:r>
      <w:r w:rsidR="004658AC" w:rsidRPr="00042BE5">
        <w:t xml:space="preserve"> If that is not feasible (for example, </w:t>
      </w:r>
      <w:r w:rsidR="004658AC">
        <w:t xml:space="preserve">with </w:t>
      </w:r>
      <w:r w:rsidR="004658AC" w:rsidRPr="00042BE5">
        <w:t>Medicare), it may be necessary to recoup the payment from the provider and ask the provider to rebill correctly.</w:t>
      </w:r>
    </w:p>
    <w:p w14:paraId="6B461329" w14:textId="2A356A2E" w:rsidR="001A6476" w:rsidRPr="00DF1D1C" w:rsidRDefault="001A6476" w:rsidP="00257641">
      <w:r w:rsidRPr="00DF1D1C">
        <w:lastRenderedPageBreak/>
        <w:t xml:space="preserve">The MCO will retain all funds collected as part of this activity. The MCO must review service information to determine that all third party payment sources are identified and payment is pursued. </w:t>
      </w:r>
    </w:p>
    <w:p w14:paraId="7A59E967" w14:textId="7B7382ED" w:rsidR="00AC1AF2" w:rsidRPr="00DF1D1C" w:rsidRDefault="000136B2" w:rsidP="00257641">
      <w:r w:rsidRPr="00DF1D1C">
        <w:t>As part of this requirement, the State has determined that the MCO has the sole and exclusive responsibility and right to pursue, collect, and retain third party payment for services covered in the Medicaid managed care benefit package</w:t>
      </w:r>
      <w:r w:rsidR="0078080B" w:rsidRPr="00DF1D1C">
        <w:t xml:space="preserve">. </w:t>
      </w:r>
      <w:r w:rsidRPr="00DF1D1C">
        <w:t>MCO capitation payment rates are set accordingly</w:t>
      </w:r>
      <w:r w:rsidR="0078080B" w:rsidRPr="00DF1D1C">
        <w:t xml:space="preserve">. </w:t>
      </w:r>
      <w:r w:rsidR="00AC1AF2" w:rsidRPr="00DF1D1C">
        <w:t xml:space="preserve">If the MCO determines that it will not pursue a </w:t>
      </w:r>
      <w:r w:rsidR="00055EC6" w:rsidRPr="00DF1D1C">
        <w:t>Third Party Liability</w:t>
      </w:r>
      <w:r w:rsidR="00055EC6">
        <w:t xml:space="preserve"> (</w:t>
      </w:r>
      <w:r w:rsidR="00AC1AF2" w:rsidRPr="00DF1D1C">
        <w:t>TPL</w:t>
      </w:r>
      <w:r w:rsidR="00055EC6">
        <w:t>)</w:t>
      </w:r>
      <w:r w:rsidR="00AC1AF2" w:rsidRPr="00DF1D1C">
        <w:t xml:space="preserve"> case that is known to the MCO, the MCO must notify </w:t>
      </w:r>
      <w:r w:rsidR="004F57EE">
        <w:t>DHHR</w:t>
      </w:r>
      <w:r w:rsidR="004F57EE" w:rsidRPr="00DF1D1C">
        <w:t xml:space="preserve"> </w:t>
      </w:r>
      <w:r w:rsidR="004C15E5">
        <w:t>on t</w:t>
      </w:r>
      <w:r w:rsidR="004C15E5" w:rsidRPr="004C15E5">
        <w:t>he 15</w:t>
      </w:r>
      <w:r w:rsidR="004C15E5" w:rsidRPr="00542D30">
        <w:rPr>
          <w:vertAlign w:val="superscript"/>
        </w:rPr>
        <w:t>th</w:t>
      </w:r>
      <w:r w:rsidR="004C15E5" w:rsidRPr="004C15E5">
        <w:t xml:space="preserve"> of each month </w:t>
      </w:r>
      <w:r w:rsidR="00AC1AF2" w:rsidRPr="00DF1D1C">
        <w:t xml:space="preserve">by submitting </w:t>
      </w:r>
      <w:r w:rsidRPr="00DF1D1C">
        <w:t xml:space="preserve">an electronic file, in a format to be specified by </w:t>
      </w:r>
      <w:r w:rsidR="004F57EE">
        <w:t>DHHR</w:t>
      </w:r>
      <w:r w:rsidRPr="00DF1D1C">
        <w:t xml:space="preserve">, </w:t>
      </w:r>
      <w:r w:rsidR="00AC1AF2" w:rsidRPr="00DF1D1C">
        <w:t>listing these identified</w:t>
      </w:r>
      <w:r w:rsidR="00967588" w:rsidRPr="00DF1D1C">
        <w:t xml:space="preserve"> TPL cases</w:t>
      </w:r>
      <w:r w:rsidR="0078080B" w:rsidRPr="00DF1D1C">
        <w:t xml:space="preserve">. </w:t>
      </w:r>
      <w:r w:rsidR="00AC1AF2" w:rsidRPr="00DF1D1C">
        <w:t xml:space="preserve">For these cases, </w:t>
      </w:r>
      <w:r w:rsidR="004F57EE">
        <w:t>DHHR</w:t>
      </w:r>
      <w:r w:rsidR="004F57EE" w:rsidRPr="00DF1D1C">
        <w:t xml:space="preserve"> </w:t>
      </w:r>
      <w:r w:rsidR="00AC1AF2" w:rsidRPr="00DF1D1C">
        <w:t>o</w:t>
      </w:r>
      <w:r w:rsidR="00967588" w:rsidRPr="00DF1D1C">
        <w:t>r its contractor will have the s</w:t>
      </w:r>
      <w:r w:rsidR="00AC1AF2" w:rsidRPr="00DF1D1C">
        <w:t xml:space="preserve">ole and exclusive right to pursue, collect, and retain recoveries of these third party payments. </w:t>
      </w:r>
    </w:p>
    <w:p w14:paraId="665C08A1" w14:textId="11845117" w:rsidR="000136B2" w:rsidRPr="00DF1D1C" w:rsidRDefault="000136B2" w:rsidP="00096A5D">
      <w:pPr>
        <w:pStyle w:val="BodyText"/>
      </w:pPr>
      <w:r w:rsidRPr="00DF1D1C">
        <w:t>The MCO must also report TPL information</w:t>
      </w:r>
      <w:r w:rsidR="005E05F0" w:rsidRPr="00DF1D1C">
        <w:t xml:space="preserve"> in a file format to be specified by </w:t>
      </w:r>
      <w:r w:rsidR="004F57EE">
        <w:t>DHHR</w:t>
      </w:r>
      <w:r w:rsidRPr="00DF1D1C">
        <w:t>, including status updates on any cases ide</w:t>
      </w:r>
      <w:r w:rsidRPr="00CA3472">
        <w:t>n</w:t>
      </w:r>
      <w:r w:rsidRPr="00DF1D1C">
        <w:t xml:space="preserve">tified for pursuit to </w:t>
      </w:r>
      <w:r w:rsidR="004F57EE">
        <w:t>DHHR</w:t>
      </w:r>
      <w:r w:rsidR="004F57EE" w:rsidRPr="00DF1D1C">
        <w:t xml:space="preserve"> </w:t>
      </w:r>
      <w:r w:rsidRPr="00DF1D1C">
        <w:t xml:space="preserve">on a </w:t>
      </w:r>
      <w:r w:rsidR="005E05F0" w:rsidRPr="00DF1D1C">
        <w:t xml:space="preserve">monthly </w:t>
      </w:r>
      <w:r w:rsidRPr="00DF1D1C">
        <w:t>basis.</w:t>
      </w:r>
      <w:r w:rsidR="006B19C8">
        <w:t xml:space="preserve"> </w:t>
      </w:r>
      <w:r w:rsidR="004672FB">
        <w:t xml:space="preserve">The MCO must </w:t>
      </w:r>
      <w:r w:rsidRPr="00DF1D1C">
        <w:t xml:space="preserve">contact </w:t>
      </w:r>
      <w:r w:rsidR="004F57EE">
        <w:t>DHHR</w:t>
      </w:r>
      <w:r w:rsidR="004F57EE" w:rsidRPr="00DF1D1C">
        <w:t xml:space="preserve"> </w:t>
      </w:r>
      <w:r w:rsidRPr="00DF1D1C">
        <w:t xml:space="preserve">if it becomes aware that an enrollee has become eligible for Medicare while on Medicaid. It </w:t>
      </w:r>
      <w:r w:rsidR="004672FB">
        <w:t>must</w:t>
      </w:r>
      <w:r w:rsidRPr="00DF1D1C">
        <w:t xml:space="preserve"> also notify </w:t>
      </w:r>
      <w:r w:rsidR="004F57EE">
        <w:t>DHHR</w:t>
      </w:r>
      <w:r w:rsidR="004F57EE" w:rsidRPr="00DF1D1C">
        <w:t xml:space="preserve"> </w:t>
      </w:r>
      <w:r w:rsidRPr="00DF1D1C">
        <w:t>as it becomes aware of other insurance coverage.</w:t>
      </w:r>
    </w:p>
    <w:p w14:paraId="73C3FE33" w14:textId="77777777" w:rsidR="009A0060" w:rsidRDefault="009A0060" w:rsidP="00257641">
      <w:r w:rsidRPr="00DF1D1C">
        <w:t>Confidentiality of the information will be maintained as required by federal regulations, 42 CFR 431 Subpart F and 42 CFR Part 2.</w:t>
      </w:r>
    </w:p>
    <w:p w14:paraId="3F23D934" w14:textId="46E8FD2C" w:rsidR="004658AC" w:rsidRDefault="004658AC" w:rsidP="00257641">
      <w:pPr>
        <w:pStyle w:val="Heading4"/>
      </w:pPr>
      <w:r>
        <w:t xml:space="preserve">8.5.1 </w:t>
      </w:r>
      <w:r w:rsidRPr="0095773A">
        <w:t>Pay and Chase</w:t>
      </w:r>
    </w:p>
    <w:p w14:paraId="4AB63B81" w14:textId="77777777" w:rsidR="004658AC" w:rsidRDefault="004658AC" w:rsidP="00257641">
      <w:pPr>
        <w:pStyle w:val="normal6"/>
        <w:rPr>
          <w:rFonts w:ascii="Calibri" w:hAnsi="Calibri"/>
          <w:noProof w:val="0"/>
        </w:rPr>
      </w:pPr>
      <w:r>
        <w:t xml:space="preserve">Even when TPL has been identified, the </w:t>
      </w:r>
      <w:r w:rsidRPr="00A17103">
        <w:t>MCO</w:t>
      </w:r>
      <w:r>
        <w:t xml:space="preserve"> must pay the claim and then seek payment from TPL in the following scenarios or for the following services:</w:t>
      </w:r>
    </w:p>
    <w:p w14:paraId="4C159CCE" w14:textId="77777777" w:rsidR="004658AC" w:rsidRDefault="004658AC" w:rsidP="00257641">
      <w:pPr>
        <w:pStyle w:val="bullet1"/>
        <w:tabs>
          <w:tab w:val="clear" w:pos="1440"/>
        </w:tabs>
      </w:pPr>
      <w:r>
        <w:rPr>
          <w:b/>
          <w:bCs/>
        </w:rPr>
        <w:t xml:space="preserve">Medical Support Enforcement – </w:t>
      </w:r>
      <w:r>
        <w:t>if the claim is for a service provided to an individual on whose behalf child support enforcement is being carried out if: 1) the third party coverage is through an absent parent; and 2) the provider certifies that, if the provider has billed a third party, the provider has waited thirty (30) calendar days from the date of service without receiving payment before billing Medicaid. This requirement is intended to protect the custodial parent and the dependent children from having to pursue the non-custodial parent, his/her employer, or insurer for third party liability</w:t>
      </w:r>
    </w:p>
    <w:p w14:paraId="742D559D" w14:textId="77777777" w:rsidR="004658AC" w:rsidRDefault="004658AC" w:rsidP="00257641">
      <w:pPr>
        <w:pStyle w:val="bullet1"/>
        <w:tabs>
          <w:tab w:val="clear" w:pos="1440"/>
        </w:tabs>
      </w:pPr>
      <w:r>
        <w:rPr>
          <w:b/>
          <w:bCs/>
        </w:rPr>
        <w:t xml:space="preserve">Prenatal and Preventive Pediatric Services – </w:t>
      </w:r>
      <w:r>
        <w:t>for claims for prenatal care and preventive pediatric services (including immunizations and EPSDT screenings and preventive services).</w:t>
      </w:r>
    </w:p>
    <w:p w14:paraId="0A3A4C85" w14:textId="77777777" w:rsidR="004658AC" w:rsidRDefault="004658AC" w:rsidP="00257641">
      <w:pPr>
        <w:pStyle w:val="bullet1"/>
        <w:tabs>
          <w:tab w:val="clear" w:pos="1440"/>
        </w:tabs>
      </w:pPr>
      <w:r>
        <w:rPr>
          <w:b/>
          <w:bCs/>
        </w:rPr>
        <w:t xml:space="preserve">Labor &amp; Delivery and Postpartum Care – </w:t>
      </w:r>
      <w:r>
        <w:t>for claims for labor and delivery and postpartum care (but not for inpatient hospital costs associated with labor and delivery).</w:t>
      </w:r>
    </w:p>
    <w:p w14:paraId="79962DC1" w14:textId="4E101E52" w:rsidR="004658AC" w:rsidRPr="00BC3DAD" w:rsidRDefault="004658AC" w:rsidP="00257641">
      <w:pPr>
        <w:pStyle w:val="bullet1last"/>
      </w:pPr>
      <w:r w:rsidRPr="00BC3DAD">
        <w:rPr>
          <w:b/>
        </w:rPr>
        <w:t xml:space="preserve">Right from the </w:t>
      </w:r>
      <w:r w:rsidRPr="00A17103">
        <w:rPr>
          <w:b/>
        </w:rPr>
        <w:t xml:space="preserve">Start </w:t>
      </w:r>
      <w:r w:rsidRPr="00885529">
        <w:rPr>
          <w:b/>
        </w:rPr>
        <w:t>(RFTS)</w:t>
      </w:r>
      <w:r w:rsidRPr="00BC3DAD">
        <w:rPr>
          <w:b/>
        </w:rPr>
        <w:t xml:space="preserve"> – </w:t>
      </w:r>
      <w:r w:rsidRPr="00885529">
        <w:t>for claims for RFTS services</w:t>
      </w:r>
      <w:r w:rsidR="003150A4">
        <w:t xml:space="preserve"> </w:t>
      </w:r>
    </w:p>
    <w:p w14:paraId="40FBD214" w14:textId="1C27984E" w:rsidR="009A0060" w:rsidRPr="00DF1D1C" w:rsidRDefault="008828B4" w:rsidP="00257641">
      <w:pPr>
        <w:pStyle w:val="Heading3"/>
      </w:pPr>
      <w:bookmarkStart w:id="195" w:name="_Toc73441829"/>
      <w:bookmarkStart w:id="196" w:name="_Toc8129059"/>
      <w:r>
        <w:t>8</w:t>
      </w:r>
      <w:r w:rsidR="009A0060" w:rsidRPr="00DF1D1C">
        <w:t>.</w:t>
      </w:r>
      <w:r w:rsidR="00D00EE0">
        <w:t>6</w:t>
      </w:r>
      <w:r w:rsidR="009A0060" w:rsidRPr="00DF1D1C">
        <w:tab/>
        <w:t>Special Payment Arrangements</w:t>
      </w:r>
      <w:bookmarkEnd w:id="195"/>
      <w:bookmarkEnd w:id="196"/>
    </w:p>
    <w:p w14:paraId="17B7244E" w14:textId="7FB69463" w:rsidR="009A0060" w:rsidRPr="00DF1D1C" w:rsidRDefault="008828B4" w:rsidP="00257641">
      <w:pPr>
        <w:pStyle w:val="Heading4"/>
      </w:pPr>
      <w:r>
        <w:t>8</w:t>
      </w:r>
      <w:r w:rsidR="00C05BA0">
        <w:t>.</w:t>
      </w:r>
      <w:r w:rsidR="00D00EE0">
        <w:t>6</w:t>
      </w:r>
      <w:r w:rsidR="00C26903">
        <w:t xml:space="preserve">.1 </w:t>
      </w:r>
      <w:r w:rsidR="00E137FC">
        <w:t>Responsibility for Inpatient Care</w:t>
      </w:r>
    </w:p>
    <w:p w14:paraId="67F89269" w14:textId="52A2CBAB" w:rsidR="00E137FC" w:rsidRPr="00F81A4A" w:rsidRDefault="00905C57" w:rsidP="00257641">
      <w:pPr>
        <w:pStyle w:val="normal6"/>
      </w:pPr>
      <w:r>
        <w:t>Medical c</w:t>
      </w:r>
      <w:r w:rsidR="00E137FC" w:rsidRPr="00F81A4A">
        <w:t xml:space="preserve">overage of services at an inpatient care facility </w:t>
      </w:r>
      <w:r w:rsidR="00226292">
        <w:t xml:space="preserve">charges </w:t>
      </w:r>
      <w:r w:rsidR="00E137FC" w:rsidRPr="00F81A4A">
        <w:t xml:space="preserve">is considered to be the responsibility of the entity that the enrollee was enrolled under at the time of the initial </w:t>
      </w:r>
      <w:r w:rsidR="00ED282F">
        <w:t xml:space="preserve">inpatient </w:t>
      </w:r>
      <w:r w:rsidR="00ED282F">
        <w:lastRenderedPageBreak/>
        <w:t xml:space="preserve">facility </w:t>
      </w:r>
      <w:r w:rsidR="00E137FC" w:rsidRPr="00F81A4A">
        <w:t xml:space="preserve">admission (e.g., MCO, </w:t>
      </w:r>
      <w:r w:rsidR="004F57EE">
        <w:t>DHHR</w:t>
      </w:r>
      <w:r w:rsidR="00E137FC" w:rsidRPr="00F81A4A">
        <w:t xml:space="preserve">). Responsibility for </w:t>
      </w:r>
      <w:r w:rsidR="0063568A">
        <w:t xml:space="preserve">medical </w:t>
      </w:r>
      <w:r w:rsidR="00E137FC" w:rsidRPr="00F81A4A">
        <w:t>inpatient care will be assigned accordingly in the following circumstances:</w:t>
      </w:r>
    </w:p>
    <w:p w14:paraId="4615AA53" w14:textId="7A516CA0" w:rsidR="009A0060" w:rsidRPr="00F81A4A" w:rsidRDefault="00E137FC" w:rsidP="00257641">
      <w:pPr>
        <w:pStyle w:val="bullet1"/>
      </w:pPr>
      <w:r w:rsidRPr="00F81A4A">
        <w:rPr>
          <w:b/>
        </w:rPr>
        <w:t>Disenrollment:</w:t>
      </w:r>
      <w:r w:rsidRPr="00F81A4A">
        <w:t xml:space="preserve"> </w:t>
      </w:r>
      <w:r w:rsidR="00FA4AF6" w:rsidRPr="00F81A4A">
        <w:t xml:space="preserve">For </w:t>
      </w:r>
      <w:r w:rsidR="00EA4BB2" w:rsidRPr="00F81A4A">
        <w:t xml:space="preserve">the </w:t>
      </w:r>
      <w:r w:rsidR="00FA4AF6" w:rsidRPr="00F81A4A">
        <w:t xml:space="preserve">MCO </w:t>
      </w:r>
      <w:r w:rsidR="00B10051">
        <w:t>enrollee</w:t>
      </w:r>
      <w:r w:rsidR="00B10051" w:rsidRPr="00F81A4A">
        <w:t xml:space="preserve"> </w:t>
      </w:r>
      <w:r w:rsidR="00FA4AF6" w:rsidRPr="00F81A4A">
        <w:t>receiving inpatient care at the time of disenrollment</w:t>
      </w:r>
      <w:r w:rsidR="00EA4BB2" w:rsidRPr="00F81A4A">
        <w:t xml:space="preserve"> from managed care</w:t>
      </w:r>
      <w:r w:rsidR="00FA4AF6" w:rsidRPr="00F81A4A">
        <w:t xml:space="preserve">, </w:t>
      </w:r>
      <w:r w:rsidR="000B5169" w:rsidRPr="00F81A4A">
        <w:t xml:space="preserve">coverage of inpatient facility charges (including charges at a transfer facility, if the </w:t>
      </w:r>
      <w:r w:rsidR="00B10051">
        <w:t>enrollee</w:t>
      </w:r>
      <w:r w:rsidR="00B10051" w:rsidRPr="00F81A4A">
        <w:t xml:space="preserve"> </w:t>
      </w:r>
      <w:r w:rsidR="000B5169" w:rsidRPr="00F81A4A">
        <w:t xml:space="preserve">is transferred during the </w:t>
      </w:r>
      <w:r w:rsidR="00AB7BE2">
        <w:t>stay</w:t>
      </w:r>
      <w:r w:rsidR="00A36517" w:rsidRPr="00F81A4A">
        <w:t>,</w:t>
      </w:r>
      <w:r w:rsidR="00A7169A" w:rsidRPr="00F81A4A">
        <w:t xml:space="preserve"> or within a facility</w:t>
      </w:r>
      <w:r w:rsidR="000B5169" w:rsidRPr="00F81A4A">
        <w:t xml:space="preserve">) provided after the effective date of disenrollment will be the responsibility of the MCO until the </w:t>
      </w:r>
      <w:r w:rsidR="00B10051">
        <w:t>enrollee</w:t>
      </w:r>
      <w:r w:rsidR="00B10051" w:rsidRPr="00F81A4A">
        <w:t xml:space="preserve"> </w:t>
      </w:r>
      <w:r w:rsidR="000B5169" w:rsidRPr="00F81A4A">
        <w:t xml:space="preserve">is discharged. Coverage </w:t>
      </w:r>
      <w:r w:rsidR="00472DDB">
        <w:t xml:space="preserve">of </w:t>
      </w:r>
      <w:r w:rsidR="000B5169" w:rsidRPr="00F81A4A">
        <w:t xml:space="preserve">all other </w:t>
      </w:r>
      <w:r w:rsidR="00071A27" w:rsidRPr="00F81A4A">
        <w:t>covered services</w:t>
      </w:r>
      <w:r w:rsidR="00226292">
        <w:t xml:space="preserve"> (including, but not limited to emergency transportation, professional fees during the inpatient stay and outpatient care) </w:t>
      </w:r>
      <w:r w:rsidR="00071A27" w:rsidRPr="00F81A4A">
        <w:t xml:space="preserve">provided </w:t>
      </w:r>
      <w:r w:rsidR="000B5169" w:rsidRPr="00F81A4A">
        <w:t xml:space="preserve">during the inpatient stay will be the responsibility of </w:t>
      </w:r>
      <w:r w:rsidR="004F57EE">
        <w:t>DHHR</w:t>
      </w:r>
      <w:r w:rsidR="004F57EE" w:rsidRPr="00F81A4A">
        <w:t xml:space="preserve"> </w:t>
      </w:r>
      <w:r w:rsidR="000B5169" w:rsidRPr="00F81A4A">
        <w:t>as of the effective date of disenrollment</w:t>
      </w:r>
      <w:r w:rsidR="00071A27" w:rsidRPr="00F81A4A">
        <w:t xml:space="preserve"> from </w:t>
      </w:r>
      <w:r w:rsidR="00A36517" w:rsidRPr="00F81A4A">
        <w:t>the</w:t>
      </w:r>
      <w:r w:rsidR="00071A27" w:rsidRPr="00F81A4A">
        <w:t xml:space="preserve"> MCO</w:t>
      </w:r>
      <w:r w:rsidR="000B5169" w:rsidRPr="00F81A4A">
        <w:t>.</w:t>
      </w:r>
      <w:r w:rsidR="00F24820">
        <w:t xml:space="preserve"> </w:t>
      </w:r>
      <w:r w:rsidR="009A0060" w:rsidRPr="00F81A4A">
        <w:t>In the c</w:t>
      </w:r>
      <w:r w:rsidR="004672FB" w:rsidRPr="00F81A4A">
        <w:t>ase of insolvency, the MCO must</w:t>
      </w:r>
      <w:r w:rsidR="009A0060" w:rsidRPr="00F81A4A">
        <w:t xml:space="preserve"> cover continuation of services to </w:t>
      </w:r>
      <w:r w:rsidR="00B10051">
        <w:t>enrollee</w:t>
      </w:r>
      <w:r w:rsidR="00B10051" w:rsidRPr="00F81A4A">
        <w:t xml:space="preserve">s </w:t>
      </w:r>
      <w:r w:rsidR="009A0060" w:rsidRPr="00F81A4A">
        <w:t>for duration of period for which payment has been made, as well as for inpatient admissions up until discharge.</w:t>
      </w:r>
    </w:p>
    <w:p w14:paraId="4834065F" w14:textId="770EA542" w:rsidR="0025089A" w:rsidRPr="00F81A4A" w:rsidRDefault="00E137FC" w:rsidP="00257641">
      <w:pPr>
        <w:pStyle w:val="bullet1"/>
      </w:pPr>
      <w:r w:rsidRPr="00F81A4A">
        <w:rPr>
          <w:b/>
        </w:rPr>
        <w:t>MCO Transfer:</w:t>
      </w:r>
      <w:r w:rsidRPr="00F81A4A">
        <w:t xml:space="preserve"> </w:t>
      </w:r>
      <w:r w:rsidR="00FA4AF6" w:rsidRPr="00F81A4A">
        <w:t xml:space="preserve">For </w:t>
      </w:r>
      <w:r w:rsidR="0047670B" w:rsidRPr="00F81A4A">
        <w:t xml:space="preserve">the </w:t>
      </w:r>
      <w:r w:rsidR="00FA4AF6" w:rsidRPr="00F81A4A">
        <w:t xml:space="preserve">MCO </w:t>
      </w:r>
      <w:r w:rsidR="00B10051">
        <w:t>enrollee</w:t>
      </w:r>
      <w:r w:rsidR="00B10051" w:rsidRPr="00F81A4A">
        <w:t xml:space="preserve"> </w:t>
      </w:r>
      <w:r w:rsidR="00FA4AF6" w:rsidRPr="00F81A4A">
        <w:t xml:space="preserve">receiving inpatient care at the time of transfer to another MCO, coverage of </w:t>
      </w:r>
      <w:r w:rsidR="001632A1" w:rsidRPr="00F81A4A">
        <w:t xml:space="preserve">inpatient facility charges </w:t>
      </w:r>
      <w:r w:rsidR="002C0089" w:rsidRPr="00F81A4A">
        <w:t xml:space="preserve">(including charges at a transfer facility, if the </w:t>
      </w:r>
      <w:r w:rsidR="00B10051">
        <w:t>enrollee</w:t>
      </w:r>
      <w:r w:rsidR="00B10051" w:rsidRPr="00F81A4A">
        <w:t xml:space="preserve"> </w:t>
      </w:r>
      <w:r w:rsidR="002C0089" w:rsidRPr="00F81A4A">
        <w:t xml:space="preserve">is transferred during the stay) </w:t>
      </w:r>
      <w:r w:rsidR="00FA4AF6" w:rsidRPr="00F81A4A">
        <w:t xml:space="preserve">provided after the effective date of </w:t>
      </w:r>
      <w:r w:rsidR="002C0089" w:rsidRPr="00F81A4A">
        <w:t xml:space="preserve">transfer between the MCOs </w:t>
      </w:r>
      <w:r w:rsidR="00FA4AF6" w:rsidRPr="00F81A4A">
        <w:t xml:space="preserve">will be the responsibility of the MCO </w:t>
      </w:r>
      <w:r w:rsidR="0025089A" w:rsidRPr="00F81A4A">
        <w:t xml:space="preserve">in which the </w:t>
      </w:r>
      <w:r w:rsidR="00B10051">
        <w:t>enrollee</w:t>
      </w:r>
      <w:r w:rsidR="00B10051" w:rsidRPr="00F81A4A">
        <w:t xml:space="preserve"> </w:t>
      </w:r>
      <w:r w:rsidR="0025089A" w:rsidRPr="00F81A4A">
        <w:t xml:space="preserve">was enrolled at the time of the admission, until the patient is discharged from the </w:t>
      </w:r>
      <w:r w:rsidR="002C0089" w:rsidRPr="00F81A4A">
        <w:t xml:space="preserve">inpatient </w:t>
      </w:r>
      <w:r w:rsidR="0025089A" w:rsidRPr="00F81A4A">
        <w:t xml:space="preserve">facility. Coverage of </w:t>
      </w:r>
      <w:r w:rsidR="00EE039C">
        <w:t xml:space="preserve">all other services (including, but not limited to emergency transportation, professional fees during the inpatient stay and outpatient care) </w:t>
      </w:r>
      <w:r w:rsidR="0025089A" w:rsidRPr="00F81A4A">
        <w:t xml:space="preserve">will be the responsibility of the MCO </w:t>
      </w:r>
      <w:r w:rsidR="00FA4AF6" w:rsidRPr="00F81A4A">
        <w:t>that</w:t>
      </w:r>
      <w:r w:rsidR="0025089A" w:rsidRPr="00F81A4A">
        <w:t xml:space="preserve"> the </w:t>
      </w:r>
      <w:r w:rsidR="00B10051">
        <w:t>enrollee</w:t>
      </w:r>
      <w:r w:rsidR="00B10051" w:rsidRPr="00F81A4A">
        <w:t xml:space="preserve"> </w:t>
      </w:r>
      <w:r w:rsidR="0025089A" w:rsidRPr="00F81A4A">
        <w:t>transfers to</w:t>
      </w:r>
      <w:r w:rsidR="00FA4AF6" w:rsidRPr="00F81A4A">
        <w:t>,</w:t>
      </w:r>
      <w:r w:rsidR="0025089A" w:rsidRPr="00F81A4A">
        <w:t xml:space="preserve"> as of the effective date of the enrollment</w:t>
      </w:r>
      <w:r w:rsidR="0047670B" w:rsidRPr="00F81A4A">
        <w:t xml:space="preserve"> into another MCO</w:t>
      </w:r>
      <w:r w:rsidR="0025089A" w:rsidRPr="00F81A4A">
        <w:t>.</w:t>
      </w:r>
    </w:p>
    <w:p w14:paraId="0EE54AA6" w14:textId="07E6D781" w:rsidR="00E137FC" w:rsidRDefault="00E137FC" w:rsidP="00257641">
      <w:pPr>
        <w:pStyle w:val="bullet1last"/>
      </w:pPr>
      <w:r w:rsidRPr="00F81A4A">
        <w:rPr>
          <w:b/>
        </w:rPr>
        <w:t>Inpatient Transfer:</w:t>
      </w:r>
      <w:r w:rsidRPr="00F81A4A">
        <w:t xml:space="preserve"> For </w:t>
      </w:r>
      <w:r w:rsidR="00C00281" w:rsidRPr="00F81A4A">
        <w:t xml:space="preserve">the </w:t>
      </w:r>
      <w:r w:rsidR="00BC75DC">
        <w:t xml:space="preserve">prospective </w:t>
      </w:r>
      <w:r w:rsidR="001F117E">
        <w:t>enrollee</w:t>
      </w:r>
      <w:r w:rsidRPr="00F81A4A">
        <w:t xml:space="preserve"> </w:t>
      </w:r>
      <w:r w:rsidR="00EE039C" w:rsidRPr="00F81A4A">
        <w:t>receivi</w:t>
      </w:r>
      <w:r w:rsidR="00EE039C">
        <w:t>ng</w:t>
      </w:r>
      <w:r w:rsidRPr="00F81A4A">
        <w:t xml:space="preserve"> inpatient care at the time of enrollment </w:t>
      </w:r>
      <w:r w:rsidR="00C00281" w:rsidRPr="00F81A4A">
        <w:t xml:space="preserve">into the MCO </w:t>
      </w:r>
      <w:r w:rsidRPr="00F81A4A">
        <w:t>and who transfer</w:t>
      </w:r>
      <w:r w:rsidR="001D6F28" w:rsidRPr="00F81A4A">
        <w:t>s</w:t>
      </w:r>
      <w:r w:rsidRPr="00F81A4A">
        <w:t xml:space="preserve"> inpatient facilities as part of the same admission, coverage of </w:t>
      </w:r>
      <w:r w:rsidR="00BC75DC">
        <w:t xml:space="preserve">inpatient facility charges </w:t>
      </w:r>
      <w:r w:rsidRPr="00F81A4A">
        <w:t xml:space="preserve">provided after the effective date of </w:t>
      </w:r>
      <w:r w:rsidR="001D6F28" w:rsidRPr="00F81A4A">
        <w:t xml:space="preserve">the MCO </w:t>
      </w:r>
      <w:r w:rsidRPr="00F81A4A">
        <w:t xml:space="preserve">enrollment will be the responsibility of </w:t>
      </w:r>
      <w:r w:rsidR="004F57EE">
        <w:t>DHHR</w:t>
      </w:r>
      <w:r w:rsidRPr="00F81A4A">
        <w:t xml:space="preserve">. If a </w:t>
      </w:r>
      <w:r w:rsidR="00B10051">
        <w:t>enrollee</w:t>
      </w:r>
      <w:r w:rsidR="00B10051" w:rsidRPr="00F81A4A">
        <w:t xml:space="preserve"> </w:t>
      </w:r>
      <w:r w:rsidRPr="00F81A4A">
        <w:t xml:space="preserve">is discharged and admitted to another inpatient facility, coverage of </w:t>
      </w:r>
      <w:r w:rsidR="001D6F28" w:rsidRPr="00F81A4A">
        <w:t xml:space="preserve">all </w:t>
      </w:r>
      <w:r w:rsidRPr="00F81A4A">
        <w:t xml:space="preserve">services provided at the inpatient care facility will be the responsibility of the MCO. </w:t>
      </w:r>
    </w:p>
    <w:p w14:paraId="0D6D7782" w14:textId="43537658" w:rsidR="002A0FC2" w:rsidRDefault="002A0FC2" w:rsidP="00257641">
      <w:r>
        <w:t xml:space="preserve">When a MCO </w:t>
      </w:r>
      <w:r w:rsidR="00B10051">
        <w:t xml:space="preserve">enrollee </w:t>
      </w:r>
      <w:r>
        <w:t>under the age of</w:t>
      </w:r>
      <w:r w:rsidR="00850884">
        <w:t xml:space="preserve"> twenty-one</w:t>
      </w:r>
      <w:r>
        <w:t xml:space="preserve"> </w:t>
      </w:r>
      <w:r w:rsidR="00850884">
        <w:t>(</w:t>
      </w:r>
      <w:r>
        <w:t>21</w:t>
      </w:r>
      <w:r w:rsidR="00850884">
        <w:t>)</w:t>
      </w:r>
      <w:r>
        <w:t xml:space="preserve"> is admitted to an inpatient facility and taken into the Department’s custody during the same month, the MCO will assume liability for all services provided for as long as the </w:t>
      </w:r>
      <w:r w:rsidR="00B10051">
        <w:t xml:space="preserve">enrollee </w:t>
      </w:r>
      <w:r>
        <w:t>remains on the MCO’s enrollment roster and the MCO receives a capitation payment. During this time, the MCO must continue to provide all care coordination and service authorizations.</w:t>
      </w:r>
    </w:p>
    <w:p w14:paraId="3B8E685B" w14:textId="073B8093" w:rsidR="00FD2876" w:rsidRPr="00F81A4A" w:rsidRDefault="00FD2876" w:rsidP="00257641">
      <w:r>
        <w:t>Article III,</w:t>
      </w:r>
      <w:r w:rsidR="00011C7B">
        <w:t xml:space="preserve"> Section</w:t>
      </w:r>
      <w:r>
        <w:t xml:space="preserve"> </w:t>
      </w:r>
      <w:r w:rsidR="002B68CD">
        <w:t>8</w:t>
      </w:r>
      <w:r>
        <w:t>.</w:t>
      </w:r>
      <w:r w:rsidR="00BB3288">
        <w:t>6</w:t>
      </w:r>
      <w:r w:rsidR="002A0FC2">
        <w:t>.1</w:t>
      </w:r>
      <w:r w:rsidRPr="00FD2876">
        <w:t>, Responsibility for Inpatient Care, does not apply to behavioral inpatient and residential care services.</w:t>
      </w:r>
    </w:p>
    <w:p w14:paraId="61463263" w14:textId="7207E55F" w:rsidR="002C254E" w:rsidRPr="009B2B56" w:rsidRDefault="0042638E" w:rsidP="00257641">
      <w:pPr>
        <w:pStyle w:val="Heading4"/>
        <w:rPr>
          <w:noProof w:val="0"/>
        </w:rPr>
      </w:pPr>
      <w:r>
        <w:rPr>
          <w:noProof w:val="0"/>
        </w:rPr>
        <w:t>8</w:t>
      </w:r>
      <w:r w:rsidR="00155CFB">
        <w:rPr>
          <w:noProof w:val="0"/>
        </w:rPr>
        <w:t>.</w:t>
      </w:r>
      <w:r w:rsidR="00D00EE0">
        <w:rPr>
          <w:noProof w:val="0"/>
        </w:rPr>
        <w:t>6</w:t>
      </w:r>
      <w:r w:rsidR="00591CCC">
        <w:rPr>
          <w:noProof w:val="0"/>
        </w:rPr>
        <w:t>.</w:t>
      </w:r>
      <w:r w:rsidR="00C26903">
        <w:rPr>
          <w:noProof w:val="0"/>
        </w:rPr>
        <w:t xml:space="preserve">2 </w:t>
      </w:r>
      <w:r w:rsidR="0047670B" w:rsidRPr="009B2B56">
        <w:rPr>
          <w:noProof w:val="0"/>
        </w:rPr>
        <w:t>Loss of Medicaid E</w:t>
      </w:r>
      <w:r w:rsidR="00EA4BB2" w:rsidRPr="009B2B56">
        <w:rPr>
          <w:noProof w:val="0"/>
        </w:rPr>
        <w:t>ligibility</w:t>
      </w:r>
    </w:p>
    <w:p w14:paraId="5D07FD2B" w14:textId="73EFDF90" w:rsidR="002C254E" w:rsidRDefault="00A4242C" w:rsidP="00257641">
      <w:r w:rsidRPr="00F81A4A">
        <w:t xml:space="preserve">The MCO is not responsible for the inpatient facility </w:t>
      </w:r>
      <w:r w:rsidR="00854429" w:rsidRPr="00F81A4A">
        <w:t xml:space="preserve">charges </w:t>
      </w:r>
      <w:r w:rsidRPr="00F81A4A">
        <w:t xml:space="preserve">for a </w:t>
      </w:r>
      <w:r w:rsidR="00B10051">
        <w:t>enrollee</w:t>
      </w:r>
      <w:r w:rsidR="00B10051" w:rsidRPr="00F81A4A">
        <w:t xml:space="preserve"> </w:t>
      </w:r>
      <w:r w:rsidRPr="00F81A4A">
        <w:t xml:space="preserve">who is no longer eligible for Medicaid coverage </w:t>
      </w:r>
      <w:r w:rsidR="00854429" w:rsidRPr="00F81A4A">
        <w:t>as of</w:t>
      </w:r>
      <w:r w:rsidRPr="00F81A4A">
        <w:t xml:space="preserve"> the first of the month following the </w:t>
      </w:r>
      <w:r w:rsidR="00F6555A">
        <w:t xml:space="preserve">loss of </w:t>
      </w:r>
      <w:r w:rsidR="00854429" w:rsidRPr="00F81A4A">
        <w:t xml:space="preserve">Medicaid </w:t>
      </w:r>
      <w:r w:rsidR="00F6555A">
        <w:t>coverage</w:t>
      </w:r>
      <w:r w:rsidRPr="00F81A4A">
        <w:t xml:space="preserve">. </w:t>
      </w:r>
    </w:p>
    <w:p w14:paraId="16884878" w14:textId="33F75E81" w:rsidR="009A0060" w:rsidRPr="00DF1D1C" w:rsidRDefault="0042638E" w:rsidP="00257641">
      <w:pPr>
        <w:pStyle w:val="Heading4"/>
        <w:rPr>
          <w:noProof w:val="0"/>
        </w:rPr>
      </w:pPr>
      <w:r>
        <w:rPr>
          <w:noProof w:val="0"/>
        </w:rPr>
        <w:lastRenderedPageBreak/>
        <w:t>8</w:t>
      </w:r>
      <w:r w:rsidR="00C05BA0">
        <w:rPr>
          <w:noProof w:val="0"/>
        </w:rPr>
        <w:t>.</w:t>
      </w:r>
      <w:r w:rsidR="00D00EE0">
        <w:rPr>
          <w:noProof w:val="0"/>
        </w:rPr>
        <w:t>6</w:t>
      </w:r>
      <w:r w:rsidR="00C26903">
        <w:rPr>
          <w:noProof w:val="0"/>
        </w:rPr>
        <w:t xml:space="preserve">.3 </w:t>
      </w:r>
      <w:r w:rsidR="009A0060" w:rsidRPr="00DF1D1C">
        <w:rPr>
          <w:noProof w:val="0"/>
        </w:rPr>
        <w:t>Excluded Providers</w:t>
      </w:r>
    </w:p>
    <w:p w14:paraId="0550E203" w14:textId="77777777" w:rsidR="009A0060" w:rsidRPr="00F81A4A" w:rsidRDefault="00D27364" w:rsidP="00257641">
      <w:r>
        <w:t xml:space="preserve"> </w:t>
      </w:r>
      <w:r w:rsidR="00446DA2">
        <w:t xml:space="preserve">In accordance with 42 CFR </w:t>
      </w:r>
      <w:r w:rsidR="00446DA2" w:rsidRPr="00B740F3">
        <w:t>1001.1901(c)(5)</w:t>
      </w:r>
      <w:r w:rsidR="00446DA2">
        <w:t>, p</w:t>
      </w:r>
      <w:r w:rsidR="00B740F3" w:rsidRPr="00F81A4A">
        <w:t>ayment under Medicaid is not</w:t>
      </w:r>
      <w:r w:rsidR="009A0060" w:rsidRPr="00F81A4A">
        <w:t xml:space="preserve"> available for excluded providers except for emergency </w:t>
      </w:r>
      <w:r w:rsidR="00F1536F" w:rsidRPr="00F81A4A">
        <w:t xml:space="preserve">medical </w:t>
      </w:r>
      <w:r w:rsidR="009A0060" w:rsidRPr="00F81A4A">
        <w:t>services</w:t>
      </w:r>
      <w:r w:rsidR="00B740F3" w:rsidRPr="00F81A4A">
        <w:t xml:space="preserve"> or items</w:t>
      </w:r>
      <w:r w:rsidR="009A0060" w:rsidRPr="00F81A4A">
        <w:t>.</w:t>
      </w:r>
      <w:r w:rsidR="00F1536F" w:rsidRPr="00F81A4A">
        <w:t xml:space="preserve"> To be payable, a claim for such emergency items or services must be accompanied by a sworn statement of the person furnishing the items or services specifying the nature of the emergency and why the items or services could not have been furnished by an individual or entity eligible to furnish or order such items or services.</w:t>
      </w:r>
      <w:r w:rsidR="00B740F3" w:rsidRPr="00F81A4A">
        <w:t xml:space="preserve"> No claim for emergency items or services will be payable if such items or services were provided by an excluded provider who, through an employment, contractual or any other arrangement, routinely provides emergency health care items or services.</w:t>
      </w:r>
    </w:p>
    <w:p w14:paraId="0AFB4C55" w14:textId="33F15168" w:rsidR="00F1536F" w:rsidRPr="00DF1D1C" w:rsidRDefault="0042638E" w:rsidP="00257641">
      <w:pPr>
        <w:pStyle w:val="Heading4"/>
      </w:pPr>
      <w:r>
        <w:t>8</w:t>
      </w:r>
      <w:r w:rsidR="00C05BA0">
        <w:t>.</w:t>
      </w:r>
      <w:r w:rsidR="00D00EE0">
        <w:t>6</w:t>
      </w:r>
      <w:r w:rsidR="00C26903">
        <w:t xml:space="preserve">.4 </w:t>
      </w:r>
      <w:r w:rsidR="00F1536F" w:rsidRPr="00DF1D1C">
        <w:t>Maternity</w:t>
      </w:r>
      <w:r w:rsidR="001755B8">
        <w:t xml:space="preserve"> Kick Payments </w:t>
      </w:r>
    </w:p>
    <w:p w14:paraId="65AC180B" w14:textId="4BCCD4C1" w:rsidR="00F1536F" w:rsidRDefault="004F57EE" w:rsidP="00257641">
      <w:r>
        <w:t>DHHR</w:t>
      </w:r>
      <w:r w:rsidRPr="00DF1D1C">
        <w:t xml:space="preserve"> </w:t>
      </w:r>
      <w:r w:rsidR="00F1536F" w:rsidRPr="00DF1D1C">
        <w:t xml:space="preserve">may provide special payments for certain maternity services, as outlined in </w:t>
      </w:r>
      <w:r w:rsidR="009B19C2">
        <w:t xml:space="preserve">Contract </w:t>
      </w:r>
      <w:r w:rsidR="00F33B38">
        <w:t>Appendix</w:t>
      </w:r>
      <w:r w:rsidR="00F1536F" w:rsidRPr="00DF1D1C">
        <w:t xml:space="preserve"> B, Capitation Rates. </w:t>
      </w:r>
    </w:p>
    <w:p w14:paraId="68A07F85" w14:textId="24904BC1" w:rsidR="00E23063" w:rsidRDefault="0042638E" w:rsidP="00257641">
      <w:pPr>
        <w:pStyle w:val="Heading4"/>
      </w:pPr>
      <w:bookmarkStart w:id="197" w:name="_Toc73441830"/>
      <w:r>
        <w:t>8</w:t>
      </w:r>
      <w:r w:rsidR="00E23063">
        <w:t>.6.</w:t>
      </w:r>
      <w:r w:rsidR="005043DD">
        <w:t>5</w:t>
      </w:r>
      <w:r w:rsidR="00E23063">
        <w:t xml:space="preserve"> Payments to Durable Medical Equipment </w:t>
      </w:r>
      <w:r w:rsidR="006B1671">
        <w:t xml:space="preserve">(DME) </w:t>
      </w:r>
      <w:r w:rsidR="00E23063">
        <w:t>Providers</w:t>
      </w:r>
    </w:p>
    <w:p w14:paraId="1C49F335" w14:textId="756175BF" w:rsidR="00E23063" w:rsidRPr="00E23063" w:rsidRDefault="00E23063" w:rsidP="00257641">
      <w:r>
        <w:t xml:space="preserve">The </w:t>
      </w:r>
      <w:r w:rsidRPr="002A170F">
        <w:t xml:space="preserve">MCO must reimburse at least </w:t>
      </w:r>
      <w:r>
        <w:t xml:space="preserve">one hundred </w:t>
      </w:r>
      <w:r w:rsidRPr="002A170F">
        <w:t xml:space="preserve">percent </w:t>
      </w:r>
      <w:r w:rsidR="006B1671">
        <w:t>(</w:t>
      </w:r>
      <w:r w:rsidR="006B1671" w:rsidRPr="002A170F">
        <w:t>100</w:t>
      </w:r>
      <w:r w:rsidR="006B1671">
        <w:t>%)</w:t>
      </w:r>
      <w:r w:rsidR="006B1671" w:rsidRPr="002A170F">
        <w:t xml:space="preserve"> </w:t>
      </w:r>
      <w:r w:rsidRPr="002A170F">
        <w:t xml:space="preserve">of the current </w:t>
      </w:r>
      <w:r w:rsidR="006B1671">
        <w:t>FFS</w:t>
      </w:r>
      <w:r w:rsidRPr="002A170F">
        <w:t xml:space="preserve"> Medicaid fee schedule to in-network </w:t>
      </w:r>
      <w:r>
        <w:t xml:space="preserve">durable medical equipment </w:t>
      </w:r>
      <w:r w:rsidR="006B1671">
        <w:t xml:space="preserve">(DME) </w:t>
      </w:r>
      <w:r w:rsidRPr="002A170F">
        <w:t>provide</w:t>
      </w:r>
      <w:r>
        <w:t>rs</w:t>
      </w:r>
      <w:r w:rsidRPr="002A170F">
        <w:t xml:space="preserve">, unless such provider agreed to an alternative payment schedule. The Department will notify the MCO of any changes in the </w:t>
      </w:r>
      <w:r w:rsidR="006B1671">
        <w:t>FFS</w:t>
      </w:r>
      <w:r w:rsidRPr="002A170F">
        <w:t xml:space="preserve"> Medicaid schedule as soon as administratively possible. The MCO must adjust the reimbursement schedule to in-network provider within </w:t>
      </w:r>
      <w:r>
        <w:t>thirty (3</w:t>
      </w:r>
      <w:r w:rsidRPr="002A170F">
        <w:t>0</w:t>
      </w:r>
      <w:r>
        <w:t>)</w:t>
      </w:r>
      <w:r w:rsidRPr="002A170F">
        <w:t xml:space="preserve"> </w:t>
      </w:r>
      <w:r>
        <w:t xml:space="preserve">calendar </w:t>
      </w:r>
      <w:r w:rsidRPr="002A170F">
        <w:t xml:space="preserve">days of the Department’s notification of any changes in the </w:t>
      </w:r>
      <w:r w:rsidR="006B1671">
        <w:t>FFS</w:t>
      </w:r>
      <w:r w:rsidRPr="002A170F">
        <w:t xml:space="preserve"> Medicaid schedule. </w:t>
      </w:r>
    </w:p>
    <w:p w14:paraId="31B27103" w14:textId="134EBA32" w:rsidR="003C3E89" w:rsidRDefault="0042638E" w:rsidP="00257641">
      <w:pPr>
        <w:pStyle w:val="Heading4"/>
      </w:pPr>
      <w:r>
        <w:t>8</w:t>
      </w:r>
      <w:r w:rsidR="00C05BA0">
        <w:t>.</w:t>
      </w:r>
      <w:r w:rsidR="00D00EE0">
        <w:t>6</w:t>
      </w:r>
      <w:r w:rsidR="00C05BA0">
        <w:t xml:space="preserve">.6 </w:t>
      </w:r>
      <w:r w:rsidR="003C3E89">
        <w:t>Directed Pay</w:t>
      </w:r>
      <w:r w:rsidR="002B6CDD">
        <w:t>m</w:t>
      </w:r>
      <w:r w:rsidR="003C3E89">
        <w:t xml:space="preserve">ents </w:t>
      </w:r>
      <w:r w:rsidR="00BA4235">
        <w:t>to</w:t>
      </w:r>
      <w:r w:rsidR="005C6B2E">
        <w:t xml:space="preserve"> </w:t>
      </w:r>
      <w:r w:rsidR="00BA4235">
        <w:t>Certain</w:t>
      </w:r>
      <w:r w:rsidR="00BB1CCB">
        <w:t xml:space="preserve"> </w:t>
      </w:r>
      <w:r w:rsidR="00E67AEA">
        <w:t>Qualified Providers</w:t>
      </w:r>
    </w:p>
    <w:p w14:paraId="4EC9960C" w14:textId="5FC90456" w:rsidR="00475F12" w:rsidRDefault="00A1094B" w:rsidP="00257641">
      <w:r>
        <w:t xml:space="preserve">Directed Payments </w:t>
      </w:r>
      <w:r w:rsidR="008C21C8">
        <w:t xml:space="preserve">Program </w:t>
      </w:r>
      <w:r>
        <w:t xml:space="preserve">(DPP) </w:t>
      </w:r>
      <w:r w:rsidR="000D63A8">
        <w:t xml:space="preserve">is </w:t>
      </w:r>
      <w:r w:rsidR="00770A8D">
        <w:t>a program</w:t>
      </w:r>
      <w:r w:rsidR="00B46CFA">
        <w:t xml:space="preserve"> that</w:t>
      </w:r>
      <w:r w:rsidR="00B46CFA" w:rsidRPr="00B46CFA">
        <w:t xml:space="preserve"> </w:t>
      </w:r>
      <w:r w:rsidR="00475F12" w:rsidRPr="00475F12">
        <w:t xml:space="preserve">provides qualifying providers with additional dollars as an access fee for Medicaid </w:t>
      </w:r>
      <w:r w:rsidR="00B10051">
        <w:t>enrollee</w:t>
      </w:r>
      <w:r w:rsidR="00B10051" w:rsidRPr="00475F12">
        <w:t xml:space="preserve">s </w:t>
      </w:r>
      <w:r w:rsidR="00475F12" w:rsidRPr="00475F12">
        <w:t>utilizing their services (inpatient admissions, outpatient claims, or physician visits)</w:t>
      </w:r>
      <w:r w:rsidR="006B1671" w:rsidRPr="006B1671">
        <w:rPr>
          <w:szCs w:val="24"/>
        </w:rPr>
        <w:t xml:space="preserve"> </w:t>
      </w:r>
      <w:r w:rsidR="006B1671" w:rsidRPr="00EE41A6">
        <w:rPr>
          <w:szCs w:val="24"/>
        </w:rPr>
        <w:t>and focuses more dollars to higher need settings</w:t>
      </w:r>
      <w:r w:rsidR="00475F12" w:rsidRPr="00475F12">
        <w:t>. Payments to providers will be ba</w:t>
      </w:r>
      <w:r w:rsidR="00475F12" w:rsidRPr="00CA3472">
        <w:t>s</w:t>
      </w:r>
      <w:r w:rsidR="00475F12" w:rsidRPr="00475F12">
        <w:t xml:space="preserve">ed upon </w:t>
      </w:r>
      <w:r w:rsidR="00B10051">
        <w:t>enrollee</w:t>
      </w:r>
      <w:r w:rsidR="00B10051" w:rsidRPr="00475F12">
        <w:t xml:space="preserve"> </w:t>
      </w:r>
      <w:r w:rsidR="00475F12" w:rsidRPr="00475F12">
        <w:t>utilization of services at each provider during the quarter.</w:t>
      </w:r>
    </w:p>
    <w:p w14:paraId="5669B83B" w14:textId="33FA33A2" w:rsidR="006B1671" w:rsidRPr="00B4619D" w:rsidRDefault="006B1671" w:rsidP="00257641">
      <w:r w:rsidRPr="00A31152">
        <w:t xml:space="preserve">The providers will fall into one of the following </w:t>
      </w:r>
      <w:r w:rsidRPr="009F6D13">
        <w:t xml:space="preserve">categories, with an associated dollar amount related to each </w:t>
      </w:r>
      <w:r w:rsidRPr="00AA6CAE">
        <w:t>category</w:t>
      </w:r>
      <w:r w:rsidRPr="00EE41A6">
        <w:t>: urban, rural, tertiary safety net, and rural safety net.</w:t>
      </w:r>
      <w:r w:rsidR="003150A4">
        <w:t xml:space="preserve"> </w:t>
      </w:r>
    </w:p>
    <w:p w14:paraId="30CD86E0" w14:textId="77777777" w:rsidR="006B1671" w:rsidRPr="00AC3E07" w:rsidRDefault="006B1671" w:rsidP="00257641">
      <w:pPr>
        <w:pStyle w:val="normal6"/>
      </w:pPr>
      <w:r w:rsidRPr="00AC3E07">
        <w:t>DPP is establis</w:t>
      </w:r>
      <w:r>
        <w:t>h</w:t>
      </w:r>
      <w:r w:rsidRPr="00AC3E07">
        <w:t>ed in accordance with CMS requirements, including:</w:t>
      </w:r>
    </w:p>
    <w:p w14:paraId="57BC183D" w14:textId="77777777" w:rsidR="006B1671" w:rsidRPr="00AC3E07" w:rsidRDefault="006B1671" w:rsidP="00257641">
      <w:pPr>
        <w:pStyle w:val="bullet1"/>
      </w:pPr>
      <w:r w:rsidRPr="00AC3E07">
        <w:t>In accordance with 42 CFR § 438.6(c)(2)(i)(C), the Department expects this payment arrangement to advance at least one of the goals and objectives in the quality strategy required per 42 CFR § 438.340;</w:t>
      </w:r>
    </w:p>
    <w:p w14:paraId="65FAC655" w14:textId="77777777" w:rsidR="006B1671" w:rsidRPr="00AC3E07" w:rsidRDefault="006B1671" w:rsidP="00257641">
      <w:pPr>
        <w:pStyle w:val="bullet1"/>
      </w:pPr>
      <w:r w:rsidRPr="00AC3E07">
        <w:t>In accordance with 42 CFR § 438.6(c)(2)(i)(E), the payment arrangement does not condition network provider participation on the network provider entering into or adhering to Intergovernmental Transfer Agreements;</w:t>
      </w:r>
    </w:p>
    <w:p w14:paraId="6097937A" w14:textId="77777777" w:rsidR="006B1671" w:rsidRPr="00AC3E07" w:rsidRDefault="006B1671" w:rsidP="00257641">
      <w:pPr>
        <w:pStyle w:val="bullet1"/>
        <w:spacing w:after="240"/>
      </w:pPr>
      <w:r w:rsidRPr="00AC3E07">
        <w:t>In accordance with 42 CFR § 438.6(c)(2)(i)(F), the payment arrangement is not renewed automatically;</w:t>
      </w:r>
    </w:p>
    <w:p w14:paraId="715EA195" w14:textId="32019F0A" w:rsidR="006B1671" w:rsidRPr="00475F12" w:rsidRDefault="006B1671" w:rsidP="00257641">
      <w:r w:rsidRPr="00AC3E07">
        <w:t>In accordance with 42 CFR § 438.6(c)(2)(i), the Department must assure that all expenditures for this payment arrangement are developed in accordance with 42 CFR §438.4, the standards specified in 42 CFR § 438.5, and generally accepted actuarial principles and practices.</w:t>
      </w:r>
    </w:p>
    <w:p w14:paraId="7697BBCE" w14:textId="0BC854F4" w:rsidR="0042638E" w:rsidRDefault="00475F12" w:rsidP="00257641">
      <w:r w:rsidRPr="00475F12">
        <w:lastRenderedPageBreak/>
        <w:t xml:space="preserve">Annually, the State will estimate the allocation to be assigned to each </w:t>
      </w:r>
      <w:r w:rsidR="006B1671" w:rsidRPr="00AC3E07">
        <w:t xml:space="preserve">MCO rate cell using rate development based </w:t>
      </w:r>
      <w:r w:rsidR="006B1671">
        <w:t xml:space="preserve">historical </w:t>
      </w:r>
      <w:r w:rsidR="006B1671" w:rsidRPr="00AC3E07">
        <w:t>utilization for the estimated payment distribution</w:t>
      </w:r>
      <w:r w:rsidRPr="00475F12">
        <w:t>. The quarterly provider payment will be ca</w:t>
      </w:r>
      <w:r w:rsidR="00BE7FBF">
        <w:t>l</w:t>
      </w:r>
      <w:r w:rsidRPr="00475F12">
        <w:t xml:space="preserve">culated using actual time period utilization </w:t>
      </w:r>
      <w:r w:rsidR="006B1671">
        <w:t>based on</w:t>
      </w:r>
      <w:r w:rsidRPr="00475F12">
        <w:t xml:space="preserve"> quarterly</w:t>
      </w:r>
      <w:r w:rsidR="00F24820">
        <w:t xml:space="preserve"> </w:t>
      </w:r>
      <w:r w:rsidR="006B1671">
        <w:t xml:space="preserve">MCO </w:t>
      </w:r>
      <w:r w:rsidRPr="00475F12">
        <w:t xml:space="preserve">reports on outpatient, inpatient, and physician touchpoints with three </w:t>
      </w:r>
      <w:r w:rsidR="00203BA2">
        <w:t xml:space="preserve">(3) </w:t>
      </w:r>
      <w:r w:rsidRPr="00475F12">
        <w:t xml:space="preserve">months of paid claims run-out. </w:t>
      </w:r>
    </w:p>
    <w:p w14:paraId="59AA8510" w14:textId="3928A7D3" w:rsidR="00203BA2" w:rsidRDefault="0042638E" w:rsidP="00257641">
      <w:pPr>
        <w:pStyle w:val="Heading5"/>
      </w:pPr>
      <w:r w:rsidRPr="00542D30">
        <w:t xml:space="preserve">8.6.6.1 </w:t>
      </w:r>
      <w:r w:rsidR="00203BA2">
        <w:t>DPP Allocations</w:t>
      </w:r>
    </w:p>
    <w:p w14:paraId="3762BAF1" w14:textId="7DBF90F3" w:rsidR="00475F12" w:rsidRPr="00203BA2" w:rsidRDefault="00475F12" w:rsidP="00257641">
      <w:pPr>
        <w:pStyle w:val="normal6"/>
      </w:pPr>
      <w:r w:rsidRPr="00203BA2">
        <w:t>Allocations will be based upon the following:</w:t>
      </w:r>
    </w:p>
    <w:p w14:paraId="6271C085" w14:textId="3DB84D1B" w:rsidR="00475F12" w:rsidRPr="00475F12" w:rsidRDefault="00B10051" w:rsidP="00257641">
      <w:pPr>
        <w:numPr>
          <w:ilvl w:val="0"/>
          <w:numId w:val="189"/>
        </w:numPr>
        <w:spacing w:after="120"/>
      </w:pPr>
      <w:r>
        <w:t xml:space="preserve">Enrollee </w:t>
      </w:r>
      <w:r w:rsidR="00475F12" w:rsidRPr="00475F12">
        <w:t>Category of Aid (COA)</w:t>
      </w:r>
      <w:r w:rsidR="006B1671">
        <w:t>;</w:t>
      </w:r>
      <w:r w:rsidR="003150A4">
        <w:t xml:space="preserve"> </w:t>
      </w:r>
    </w:p>
    <w:p w14:paraId="40F3A6E0" w14:textId="209BAF94" w:rsidR="00475F12" w:rsidRPr="00475F12" w:rsidRDefault="00475F12" w:rsidP="00257641">
      <w:pPr>
        <w:numPr>
          <w:ilvl w:val="0"/>
          <w:numId w:val="189"/>
        </w:numPr>
        <w:spacing w:after="120"/>
      </w:pPr>
      <w:r w:rsidRPr="00475F12">
        <w:t>Category of Service (COS) – Inpatient Admissions, Outpatient Visits, and Physician Visits</w:t>
      </w:r>
      <w:r w:rsidR="006B1671">
        <w:t>; and</w:t>
      </w:r>
      <w:r w:rsidR="003150A4">
        <w:t xml:space="preserve"> </w:t>
      </w:r>
    </w:p>
    <w:p w14:paraId="5E55C32E" w14:textId="4EAACA08" w:rsidR="00475F12" w:rsidRPr="00475F12" w:rsidRDefault="00475F12" w:rsidP="00257641">
      <w:pPr>
        <w:numPr>
          <w:ilvl w:val="0"/>
          <w:numId w:val="189"/>
        </w:numPr>
      </w:pPr>
      <w:r w:rsidRPr="00475F12">
        <w:t xml:space="preserve">Provider Resource Level – Rural Non-Safety Net, Urban Non-Safety Net, Rural Safety Net, Urban Safety Net, Public Safety Net, </w:t>
      </w:r>
      <w:r w:rsidR="006B1671" w:rsidRPr="006B1671">
        <w:t xml:space="preserve">Tertiary Safety Net, </w:t>
      </w:r>
      <w:r w:rsidRPr="00475F12">
        <w:t>and Academic Physician Groups</w:t>
      </w:r>
    </w:p>
    <w:p w14:paraId="3E7E9784" w14:textId="6272D3EE" w:rsidR="00475F12" w:rsidRDefault="006B1671" w:rsidP="00257641">
      <w:r w:rsidRPr="008A300C">
        <w:t>The State will calculate an access fee for each touchpoint a</w:t>
      </w:r>
      <w:r w:rsidR="00B10051">
        <w:t>n</w:t>
      </w:r>
      <w:r w:rsidRPr="008A300C">
        <w:t xml:space="preserve"> </w:t>
      </w:r>
      <w:r w:rsidR="00B10051">
        <w:t>enrollee</w:t>
      </w:r>
      <w:r w:rsidR="00B10051" w:rsidRPr="008A300C">
        <w:t xml:space="preserve"> </w:t>
      </w:r>
      <w:r w:rsidRPr="008A300C">
        <w:t xml:space="preserve">has with a qualifying entity. </w:t>
      </w:r>
      <w:r w:rsidR="00475F12" w:rsidRPr="00475F12">
        <w:t>A fixed dollar amount will be assigned to each service type and for each Qualified Provider type. No DPP funds will be applied to the maternity kick payments.</w:t>
      </w:r>
    </w:p>
    <w:p w14:paraId="32ED39FD" w14:textId="0633125D" w:rsidR="00A97B0D" w:rsidRDefault="0042638E" w:rsidP="00257641">
      <w:pPr>
        <w:pStyle w:val="Heading5"/>
      </w:pPr>
      <w:r>
        <w:t xml:space="preserve">8.6.6.2 </w:t>
      </w:r>
      <w:r w:rsidR="006D6EF9">
        <w:t>Qualified Providers</w:t>
      </w:r>
    </w:p>
    <w:p w14:paraId="51D6692A" w14:textId="77777777" w:rsidR="008550DA" w:rsidRPr="00AC3A06" w:rsidRDefault="008550DA" w:rsidP="00257641">
      <w:pPr>
        <w:pStyle w:val="normal6"/>
      </w:pPr>
      <w:r w:rsidRPr="00AC3A06">
        <w:t>For the purposes of this subsection Qualified Providers include:</w:t>
      </w:r>
    </w:p>
    <w:p w14:paraId="298D4A53" w14:textId="77777777" w:rsidR="00496A97" w:rsidRDefault="00F2276D" w:rsidP="00257641">
      <w:pPr>
        <w:numPr>
          <w:ilvl w:val="0"/>
          <w:numId w:val="83"/>
        </w:numPr>
        <w:spacing w:after="120"/>
      </w:pPr>
      <w:r>
        <w:t>A</w:t>
      </w:r>
      <w:r w:rsidRPr="008550DA">
        <w:t xml:space="preserve"> nonstate, but government owned facility such as a county or city hospital</w:t>
      </w:r>
      <w:r>
        <w:t>;</w:t>
      </w:r>
    </w:p>
    <w:p w14:paraId="2C69125E" w14:textId="77777777" w:rsidR="00496A97" w:rsidRDefault="00496A97" w:rsidP="00257641">
      <w:pPr>
        <w:numPr>
          <w:ilvl w:val="0"/>
          <w:numId w:val="83"/>
        </w:numPr>
        <w:spacing w:after="120"/>
      </w:pPr>
      <w:r>
        <w:t>University Practice Plans</w:t>
      </w:r>
      <w:r w:rsidR="00960DC5">
        <w:t xml:space="preserve"> (</w:t>
      </w:r>
      <w:r w:rsidR="00960DC5" w:rsidRPr="00960DC5">
        <w:t>affiliated with a public academic institution</w:t>
      </w:r>
      <w:r w:rsidR="00960DC5">
        <w:t>)</w:t>
      </w:r>
      <w:r>
        <w:t>;</w:t>
      </w:r>
    </w:p>
    <w:p w14:paraId="55F26D2C" w14:textId="1F6FC126" w:rsidR="001B4208" w:rsidRDefault="00C6743B" w:rsidP="00257641">
      <w:pPr>
        <w:numPr>
          <w:ilvl w:val="0"/>
          <w:numId w:val="83"/>
        </w:numPr>
        <w:spacing w:after="120"/>
      </w:pPr>
      <w:r>
        <w:t>Public safety net hospitals;</w:t>
      </w:r>
      <w:r w:rsidR="00510772">
        <w:t xml:space="preserve"> </w:t>
      </w:r>
    </w:p>
    <w:p w14:paraId="7C3012C7" w14:textId="1D51A49A" w:rsidR="006B1671" w:rsidRDefault="001E7BC6" w:rsidP="00257641">
      <w:pPr>
        <w:numPr>
          <w:ilvl w:val="0"/>
          <w:numId w:val="83"/>
        </w:numPr>
      </w:pPr>
      <w:r>
        <w:t>Private hospitals</w:t>
      </w:r>
      <w:r w:rsidR="00801BBD">
        <w:t>,</w:t>
      </w:r>
      <w:r w:rsidR="00801BBD" w:rsidRPr="00801BBD">
        <w:t xml:space="preserve"> </w:t>
      </w:r>
      <w:r w:rsidR="00801BBD">
        <w:t xml:space="preserve">except for </w:t>
      </w:r>
      <w:r w:rsidR="002D4A9A">
        <w:t>CAH</w:t>
      </w:r>
      <w:r w:rsidR="006B1671">
        <w:t xml:space="preserve">; and </w:t>
      </w:r>
    </w:p>
    <w:p w14:paraId="505326B2" w14:textId="415E0BD5" w:rsidR="00C6743B" w:rsidRDefault="006B1671" w:rsidP="00257641">
      <w:pPr>
        <w:numPr>
          <w:ilvl w:val="0"/>
          <w:numId w:val="83"/>
        </w:numPr>
      </w:pPr>
      <w:r>
        <w:t>Hospitals i</w:t>
      </w:r>
      <w:r w:rsidRPr="00556502">
        <w:t xml:space="preserve">dentified as urban, rural, tertiary safety net, </w:t>
      </w:r>
      <w:r>
        <w:t xml:space="preserve">and </w:t>
      </w:r>
      <w:r w:rsidRPr="00556502">
        <w:t>rural safety net</w:t>
      </w:r>
      <w:r w:rsidR="00510772">
        <w:t>.</w:t>
      </w:r>
    </w:p>
    <w:p w14:paraId="21006238" w14:textId="70542817" w:rsidR="006D6EF9" w:rsidRDefault="0042638E" w:rsidP="00257641">
      <w:pPr>
        <w:pStyle w:val="Heading5"/>
      </w:pPr>
      <w:r>
        <w:t xml:space="preserve">8.6.6.3 </w:t>
      </w:r>
      <w:r w:rsidR="006D6EF9">
        <w:t>Dire</w:t>
      </w:r>
      <w:r w:rsidR="00885CE7">
        <w:t>c</w:t>
      </w:r>
      <w:r w:rsidR="006D6EF9">
        <w:t>ted Payments</w:t>
      </w:r>
      <w:r w:rsidR="004E4642">
        <w:t xml:space="preserve"> </w:t>
      </w:r>
      <w:r w:rsidR="00B47E3F">
        <w:t>to Providers</w:t>
      </w:r>
    </w:p>
    <w:p w14:paraId="14C6BCAD" w14:textId="425F9213" w:rsidR="00475F12" w:rsidRPr="00475F12" w:rsidRDefault="00475F12" w:rsidP="00257641">
      <w:r w:rsidRPr="00475F12">
        <w:t xml:space="preserve">The Department will pay the MCO a quarterly access payment for each Qualified Provider that is based on </w:t>
      </w:r>
      <w:r w:rsidR="0078557A">
        <w:t xml:space="preserve">actual </w:t>
      </w:r>
      <w:r w:rsidRPr="00475F12">
        <w:t>utilization of inpatient admits and outpatient services for hospital providers</w:t>
      </w:r>
      <w:r w:rsidR="00C7258B">
        <w:t>,</w:t>
      </w:r>
      <w:r w:rsidRPr="00475F12">
        <w:t xml:space="preserve"> or utilization of physician visits for University Practice Plans</w:t>
      </w:r>
      <w:r w:rsidR="0078557A" w:rsidRPr="0078557A">
        <w:t xml:space="preserve"> </w:t>
      </w:r>
      <w:r w:rsidR="0078557A">
        <w:t>as reported in the MCO’s quarterly report</w:t>
      </w:r>
      <w:r w:rsidRPr="00475F12">
        <w:t xml:space="preserve">. The Department’s quarterly access payments are made as retrospective lump sum payments. </w:t>
      </w:r>
    </w:p>
    <w:p w14:paraId="3EA4EF10" w14:textId="6A394A78" w:rsidR="00475F12" w:rsidRPr="00475F12" w:rsidRDefault="00475F12" w:rsidP="00257641">
      <w:r w:rsidRPr="00475F12">
        <w:t xml:space="preserve">The MCO </w:t>
      </w:r>
      <w:r w:rsidR="00DE6C3E">
        <w:t>must</w:t>
      </w:r>
      <w:r w:rsidR="00DE6C3E" w:rsidRPr="00475F12">
        <w:t xml:space="preserve"> </w:t>
      </w:r>
      <w:r w:rsidRPr="00475F12">
        <w:t xml:space="preserve">make payments to Qualified Providers based on the number of inpatient admits, outpatient claims, and/or physician visits. The </w:t>
      </w:r>
      <w:r w:rsidR="00292778">
        <w:t>D</w:t>
      </w:r>
      <w:r w:rsidRPr="00475F12">
        <w:t xml:space="preserve">irected </w:t>
      </w:r>
      <w:r w:rsidR="00292778">
        <w:t>P</w:t>
      </w:r>
      <w:r w:rsidRPr="00475F12">
        <w:t xml:space="preserve">ayments must be sent to Qualified Providers within </w:t>
      </w:r>
      <w:r w:rsidR="00D970E0">
        <w:t>fifteen (</w:t>
      </w:r>
      <w:r w:rsidRPr="00475F12">
        <w:t>15</w:t>
      </w:r>
      <w:r w:rsidR="00D970E0">
        <w:t>)</w:t>
      </w:r>
      <w:r w:rsidRPr="00475F12">
        <w:t xml:space="preserve"> calendar days after the MCO receives the amounts from the Department. These payments are in addition to any amount the MCO is required by agreement to pay for the provision of services under the Contract.</w:t>
      </w:r>
      <w:r w:rsidR="00F24820">
        <w:t xml:space="preserve"> </w:t>
      </w:r>
    </w:p>
    <w:p w14:paraId="5ADE5AAA" w14:textId="517011E0" w:rsidR="00A31563" w:rsidRDefault="00475F12" w:rsidP="00257641">
      <w:r w:rsidRPr="00475F12">
        <w:t>Dental and behavioral health services are excluded from the Directed Payments requirement.</w:t>
      </w:r>
    </w:p>
    <w:p w14:paraId="1F4906DF" w14:textId="6792DDEF" w:rsidR="00EE79B9" w:rsidRDefault="0042638E" w:rsidP="00257641">
      <w:pPr>
        <w:pStyle w:val="Heading5"/>
      </w:pPr>
      <w:r>
        <w:lastRenderedPageBreak/>
        <w:t xml:space="preserve">8.6.6.4 </w:t>
      </w:r>
      <w:r w:rsidR="00EE79B9">
        <w:t>Directed Payments Report</w:t>
      </w:r>
      <w:r w:rsidR="009B4DAB">
        <w:t>ing</w:t>
      </w:r>
    </w:p>
    <w:p w14:paraId="78C8ACE5" w14:textId="68313436" w:rsidR="00475F12" w:rsidRPr="006E61D4" w:rsidRDefault="00475F12" w:rsidP="00257641">
      <w:pPr>
        <w:numPr>
          <w:ilvl w:val="0"/>
          <w:numId w:val="205"/>
        </w:numPr>
        <w:spacing w:after="120"/>
      </w:pPr>
      <w:r w:rsidRPr="006E61D4">
        <w:t xml:space="preserve">The Department </w:t>
      </w:r>
      <w:r w:rsidR="00292778" w:rsidRPr="006E61D4">
        <w:t>wi</w:t>
      </w:r>
      <w:r w:rsidRPr="006E61D4">
        <w:t>ll send each MCO a report along with its quarterly payment that indicates the amount of the total payment for each Qualified Provider.</w:t>
      </w:r>
    </w:p>
    <w:p w14:paraId="459DD436" w14:textId="6587B771" w:rsidR="00475F12" w:rsidRPr="006E61D4" w:rsidRDefault="00475F12" w:rsidP="00257641">
      <w:pPr>
        <w:numPr>
          <w:ilvl w:val="0"/>
          <w:numId w:val="205"/>
        </w:numPr>
        <w:spacing w:after="120"/>
      </w:pPr>
      <w:r w:rsidRPr="006E61D4">
        <w:t xml:space="preserve">The Department will send each Qualified Provider a quarterly report summarizing utilization per category of service by MCO used to determine the </w:t>
      </w:r>
      <w:r w:rsidR="00292778" w:rsidRPr="006E61D4">
        <w:t>D</w:t>
      </w:r>
      <w:r w:rsidRPr="006E61D4">
        <w:t xml:space="preserve">irected </w:t>
      </w:r>
      <w:r w:rsidR="00292778" w:rsidRPr="006E61D4">
        <w:t>P</w:t>
      </w:r>
      <w:r w:rsidRPr="006E61D4">
        <w:t>ayments.</w:t>
      </w:r>
    </w:p>
    <w:p w14:paraId="52E301BE" w14:textId="3A496140" w:rsidR="00475F12" w:rsidRPr="006E61D4" w:rsidRDefault="00475F12" w:rsidP="00257641">
      <w:pPr>
        <w:numPr>
          <w:ilvl w:val="0"/>
          <w:numId w:val="205"/>
        </w:numPr>
        <w:spacing w:after="120"/>
      </w:pPr>
      <w:r w:rsidRPr="006E61D4">
        <w:t xml:space="preserve">Within </w:t>
      </w:r>
      <w:r w:rsidR="00D970E0">
        <w:t>thirty (</w:t>
      </w:r>
      <w:r w:rsidRPr="006E61D4">
        <w:t>30</w:t>
      </w:r>
      <w:r w:rsidR="00D970E0">
        <w:t>)</w:t>
      </w:r>
      <w:r w:rsidRPr="006E61D4">
        <w:t xml:space="preserve"> calendar days of receipt of payment of the </w:t>
      </w:r>
      <w:r w:rsidR="00292778" w:rsidRPr="006E61D4">
        <w:t>D</w:t>
      </w:r>
      <w:r w:rsidRPr="006E61D4">
        <w:t xml:space="preserve">irected </w:t>
      </w:r>
      <w:r w:rsidR="00292778" w:rsidRPr="006E61D4">
        <w:t>P</w:t>
      </w:r>
      <w:r w:rsidRPr="006E61D4">
        <w:t>ayments from the Department, the MCO must submit a quarterly report indicating the following:</w:t>
      </w:r>
    </w:p>
    <w:p w14:paraId="69C6C5F7" w14:textId="77777777" w:rsidR="00475F12" w:rsidRPr="00475F12" w:rsidRDefault="00475F12" w:rsidP="00257641">
      <w:pPr>
        <w:numPr>
          <w:ilvl w:val="0"/>
          <w:numId w:val="190"/>
        </w:numPr>
        <w:tabs>
          <w:tab w:val="left" w:pos="-720"/>
          <w:tab w:val="left" w:pos="0"/>
        </w:tabs>
        <w:suppressAutoHyphens/>
        <w:spacing w:after="120"/>
        <w:rPr>
          <w:noProof w:val="0"/>
          <w:szCs w:val="22"/>
        </w:rPr>
      </w:pPr>
      <w:r w:rsidRPr="00475F12">
        <w:rPr>
          <w:noProof w:val="0"/>
          <w:szCs w:val="22"/>
        </w:rPr>
        <w:t>Qualified Providers that received Directed Payments;</w:t>
      </w:r>
    </w:p>
    <w:p w14:paraId="09A57CCF" w14:textId="77777777" w:rsidR="00475F12" w:rsidRPr="00475F12" w:rsidRDefault="00475F12" w:rsidP="00257641">
      <w:pPr>
        <w:numPr>
          <w:ilvl w:val="0"/>
          <w:numId w:val="190"/>
        </w:numPr>
        <w:tabs>
          <w:tab w:val="left" w:pos="-720"/>
          <w:tab w:val="left" w:pos="0"/>
        </w:tabs>
        <w:suppressAutoHyphens/>
        <w:spacing w:after="120"/>
        <w:rPr>
          <w:noProof w:val="0"/>
          <w:szCs w:val="22"/>
        </w:rPr>
      </w:pPr>
      <w:r w:rsidRPr="00475F12">
        <w:rPr>
          <w:noProof w:val="0"/>
          <w:szCs w:val="22"/>
        </w:rPr>
        <w:t xml:space="preserve">Total amount paid to each Qualified Provider; </w:t>
      </w:r>
    </w:p>
    <w:p w14:paraId="2CB1D024" w14:textId="77777777" w:rsidR="00475F12" w:rsidRPr="00475F12" w:rsidRDefault="00475F12" w:rsidP="00257641">
      <w:pPr>
        <w:numPr>
          <w:ilvl w:val="0"/>
          <w:numId w:val="190"/>
        </w:numPr>
        <w:tabs>
          <w:tab w:val="left" w:pos="-720"/>
          <w:tab w:val="left" w:pos="0"/>
        </w:tabs>
        <w:suppressAutoHyphens/>
        <w:spacing w:after="120"/>
        <w:rPr>
          <w:noProof w:val="0"/>
          <w:szCs w:val="22"/>
        </w:rPr>
      </w:pPr>
      <w:r w:rsidRPr="00475F12">
        <w:rPr>
          <w:noProof w:val="0"/>
          <w:szCs w:val="22"/>
        </w:rPr>
        <w:t>The date such Directed Payments were made to the Qualified Providers; and</w:t>
      </w:r>
    </w:p>
    <w:p w14:paraId="49BBB3A6" w14:textId="48150BD5" w:rsidR="00475F12" w:rsidRDefault="00475F12" w:rsidP="00257641">
      <w:pPr>
        <w:numPr>
          <w:ilvl w:val="0"/>
          <w:numId w:val="190"/>
        </w:numPr>
        <w:tabs>
          <w:tab w:val="left" w:pos="-720"/>
          <w:tab w:val="left" w:pos="0"/>
        </w:tabs>
        <w:suppressAutoHyphens/>
        <w:contextualSpacing/>
        <w:rPr>
          <w:noProof w:val="0"/>
          <w:szCs w:val="22"/>
        </w:rPr>
      </w:pPr>
      <w:r w:rsidRPr="00475F12">
        <w:rPr>
          <w:noProof w:val="0"/>
          <w:szCs w:val="22"/>
        </w:rPr>
        <w:t>The amount of total payment made to all Qualified Providers.</w:t>
      </w:r>
    </w:p>
    <w:p w14:paraId="69DAF10F" w14:textId="41E44BB2" w:rsidR="00093CCE" w:rsidRPr="00AC3A06" w:rsidRDefault="0042638E" w:rsidP="00257641">
      <w:pPr>
        <w:pStyle w:val="Heading5"/>
      </w:pPr>
      <w:r>
        <w:t xml:space="preserve">8.6.6.5 </w:t>
      </w:r>
      <w:r w:rsidR="00247329" w:rsidRPr="00AC3A06">
        <w:t>Directed Payments Adjustment</w:t>
      </w:r>
    </w:p>
    <w:p w14:paraId="0F5EB534" w14:textId="77777777" w:rsidR="00C439BF" w:rsidRPr="00AC3A06" w:rsidRDefault="00C439BF" w:rsidP="00257641">
      <w:r w:rsidRPr="00AC3A06">
        <w:t xml:space="preserve">The MCO </w:t>
      </w:r>
      <w:r w:rsidR="00954E55" w:rsidRPr="00AC3A06">
        <w:t xml:space="preserve">is prohibited from making </w:t>
      </w:r>
      <w:r w:rsidRPr="00AC3A06">
        <w:t xml:space="preserve">any changes to the DPP </w:t>
      </w:r>
      <w:r w:rsidR="00625984" w:rsidRPr="00AC3A06">
        <w:t xml:space="preserve">reimbursement levels </w:t>
      </w:r>
      <w:r w:rsidRPr="00AC3A06">
        <w:t>unless at the direction of</w:t>
      </w:r>
      <w:r w:rsidR="00E00598" w:rsidRPr="00AC3A06">
        <w:t xml:space="preserve"> the Department</w:t>
      </w:r>
      <w:r w:rsidRPr="00AC3A06">
        <w:t>.</w:t>
      </w:r>
    </w:p>
    <w:p w14:paraId="3F5A3CD2" w14:textId="10C02FCB" w:rsidR="00A5252B" w:rsidRPr="00AC3A06" w:rsidRDefault="001E511D" w:rsidP="00257641">
      <w:r w:rsidRPr="00AC3A06">
        <w:t xml:space="preserve">No retroactive adjustments to the Directed Payments may be issued by the MCO </w:t>
      </w:r>
      <w:r w:rsidR="000D6AEF" w:rsidRPr="00AC3A06">
        <w:t xml:space="preserve">to the Qualified Providers </w:t>
      </w:r>
      <w:r w:rsidR="003702B2" w:rsidRPr="00AC3A06">
        <w:t xml:space="preserve">unless such </w:t>
      </w:r>
      <w:r w:rsidRPr="00AC3A06">
        <w:t xml:space="preserve">retroactive adjustment </w:t>
      </w:r>
      <w:r w:rsidR="00230399" w:rsidRPr="00AC3A06">
        <w:t>was</w:t>
      </w:r>
      <w:r w:rsidRPr="00AC3A06">
        <w:t xml:space="preserve"> </w:t>
      </w:r>
      <w:r w:rsidR="003702B2" w:rsidRPr="00AC3A06">
        <w:t xml:space="preserve">approved </w:t>
      </w:r>
      <w:r w:rsidRPr="00AC3A06">
        <w:t xml:space="preserve">by the Department. </w:t>
      </w:r>
      <w:r w:rsidR="00A5252B" w:rsidRPr="00AC3A06">
        <w:t xml:space="preserve">The </w:t>
      </w:r>
      <w:r w:rsidR="00446A5D" w:rsidRPr="00AC3A06">
        <w:t xml:space="preserve">Department </w:t>
      </w:r>
      <w:r w:rsidR="0008654D" w:rsidRPr="00AC3A06">
        <w:t>may</w:t>
      </w:r>
      <w:r w:rsidR="00446A5D" w:rsidRPr="00AC3A06">
        <w:t xml:space="preserve"> treat such </w:t>
      </w:r>
      <w:r w:rsidR="00012F7C" w:rsidRPr="00AC3A06">
        <w:t xml:space="preserve">retroactive </w:t>
      </w:r>
      <w:r w:rsidR="00A75D1A" w:rsidRPr="00AC3A06">
        <w:t>adjustment</w:t>
      </w:r>
      <w:r w:rsidR="003876B7" w:rsidRPr="00AC3A06">
        <w:t>s</w:t>
      </w:r>
      <w:r w:rsidR="00446A5D" w:rsidRPr="00AC3A06">
        <w:t xml:space="preserve"> </w:t>
      </w:r>
      <w:r w:rsidR="00A75D1A" w:rsidRPr="00AC3A06">
        <w:t xml:space="preserve">to a claim </w:t>
      </w:r>
      <w:r w:rsidR="00446A5D" w:rsidRPr="00AC3A06">
        <w:t xml:space="preserve">as a </w:t>
      </w:r>
      <w:r w:rsidR="00406590" w:rsidRPr="00AC3A06">
        <w:t>vi</w:t>
      </w:r>
      <w:r w:rsidR="00C13F6C" w:rsidRPr="00AC3A06">
        <w:t>o</w:t>
      </w:r>
      <w:r w:rsidR="00406590" w:rsidRPr="00AC3A06">
        <w:t>lation of Art</w:t>
      </w:r>
      <w:r w:rsidR="00866950" w:rsidRPr="00AC3A06">
        <w:t>icle</w:t>
      </w:r>
      <w:r w:rsidR="00406590" w:rsidRPr="00AC3A06">
        <w:t xml:space="preserve"> III, Section </w:t>
      </w:r>
      <w:r w:rsidR="002B68CD">
        <w:t>3</w:t>
      </w:r>
      <w:r w:rsidR="00406590" w:rsidRPr="00AC3A06">
        <w:t xml:space="preserve">.7, Timely Payment Requirement. </w:t>
      </w:r>
    </w:p>
    <w:p w14:paraId="03DC0F39" w14:textId="1D298708" w:rsidR="00C86046" w:rsidRPr="00203416" w:rsidRDefault="0042638E" w:rsidP="00257641">
      <w:pPr>
        <w:pStyle w:val="Heading4"/>
      </w:pPr>
      <w:r>
        <w:t xml:space="preserve">8 </w:t>
      </w:r>
      <w:r w:rsidR="00203416" w:rsidRPr="00203416">
        <w:t>.</w:t>
      </w:r>
      <w:r w:rsidR="00D00EE0">
        <w:t>6</w:t>
      </w:r>
      <w:r w:rsidR="00203416" w:rsidRPr="00203416">
        <w:t xml:space="preserve">.7 </w:t>
      </w:r>
      <w:r w:rsidR="00C8187B" w:rsidRPr="00203416">
        <w:t>Medicaid Institutions for Mental Diseases (IMD)</w:t>
      </w:r>
    </w:p>
    <w:p w14:paraId="7950998E" w14:textId="77777777" w:rsidR="0078557A" w:rsidRDefault="0078557A" w:rsidP="00257641">
      <w:r w:rsidRPr="001F3892">
        <w:t>Institution for mental diseases</w:t>
      </w:r>
      <w:r>
        <w:t xml:space="preserve"> (IMD)</w:t>
      </w:r>
      <w:r w:rsidRPr="001F3892">
        <w:t xml:space="preserve"> means a hospital, nursing facility, or other institution of more than</w:t>
      </w:r>
      <w:r>
        <w:t xml:space="preserve"> sixteen</w:t>
      </w:r>
      <w:r w:rsidRPr="001F3892">
        <w:t xml:space="preserve"> </w:t>
      </w:r>
      <w:r>
        <w:t>(</w:t>
      </w:r>
      <w:r w:rsidRPr="001F3892">
        <w:t>16</w:t>
      </w:r>
      <w:r>
        <w:t>)</w:t>
      </w:r>
      <w:r w:rsidRPr="001F3892">
        <w:t xml:space="preserve"> beds that is primarily engaged in providing diagnosis, treatment or care of persons with mental diseases, including medical attention, nursing care and related services. Whether an institution is an institution for mental diseases is determined by its overall character as that of a facility established and maintained primarily for the care and treatment of individuals with mental diseases, whether or not it is licensed as such. An institution for Individuals with Intellectual Disabilities is not an institution for mental diseases.</w:t>
      </w:r>
    </w:p>
    <w:p w14:paraId="241FCC02" w14:textId="77777777" w:rsidR="0078557A" w:rsidRDefault="0078557A" w:rsidP="00257641">
      <w:r>
        <w:t>The MCO must contract with all accredited IMD facilities in the state of West Virginia.</w:t>
      </w:r>
    </w:p>
    <w:p w14:paraId="72E22019" w14:textId="32EAC4D9" w:rsidR="0078557A" w:rsidRDefault="0078557A" w:rsidP="00257641">
      <w:r>
        <w:t xml:space="preserve">Per 42 CFR 438.6(e), the MCO shall receive capitation payments for the </w:t>
      </w:r>
      <w:r w:rsidR="00D62C73">
        <w:t xml:space="preserve">enrollees </w:t>
      </w:r>
      <w:r w:rsidRPr="0030098F">
        <w:t xml:space="preserve">aged </w:t>
      </w:r>
      <w:r>
        <w:t>twenty-one to sixty-four (</w:t>
      </w:r>
      <w:r w:rsidRPr="0030098F">
        <w:t>21-64</w:t>
      </w:r>
      <w:r>
        <w:t>)</w:t>
      </w:r>
      <w:r w:rsidRPr="0030098F">
        <w:t xml:space="preserve"> </w:t>
      </w:r>
      <w:r>
        <w:t xml:space="preserve">admitted for </w:t>
      </w:r>
      <w:r w:rsidRPr="0030098F">
        <w:t xml:space="preserve">inpatient treatment in an </w:t>
      </w:r>
      <w:r>
        <w:t>IMD, so long as the facility is a hospital providing psychiatric services.</w:t>
      </w:r>
    </w:p>
    <w:p w14:paraId="67F641D6" w14:textId="5198505E" w:rsidR="0078557A" w:rsidRDefault="0078557A" w:rsidP="00257641">
      <w:r>
        <w:t>Per 42 CFR 438.3(e)(2), “i</w:t>
      </w:r>
      <w:r w:rsidRPr="00AD4D0F">
        <w:t xml:space="preserve">n </w:t>
      </w:r>
      <w:r>
        <w:t>l</w:t>
      </w:r>
      <w:r w:rsidRPr="00AD4D0F">
        <w:t xml:space="preserve">ieu of </w:t>
      </w:r>
      <w:r>
        <w:t>s</w:t>
      </w:r>
      <w:r w:rsidRPr="00AD4D0F">
        <w:t>ervices</w:t>
      </w:r>
      <w:r>
        <w:t>”</w:t>
      </w:r>
      <w:r w:rsidRPr="00AD4D0F">
        <w:t xml:space="preserve"> are services or settings that are offered in place of ser</w:t>
      </w:r>
      <w:r>
        <w:t>vices or settings covered under the Contract</w:t>
      </w:r>
      <w:r w:rsidRPr="00AD4D0F">
        <w:t xml:space="preserve">. </w:t>
      </w:r>
      <w:r>
        <w:t>“</w:t>
      </w:r>
      <w:r w:rsidRPr="00AD4D0F">
        <w:t xml:space="preserve">In </w:t>
      </w:r>
      <w:r>
        <w:t>l</w:t>
      </w:r>
      <w:r w:rsidRPr="00AD4D0F">
        <w:t xml:space="preserve">ieu of </w:t>
      </w:r>
      <w:r>
        <w:t>s</w:t>
      </w:r>
      <w:r w:rsidRPr="00AD4D0F">
        <w:t>ervices</w:t>
      </w:r>
      <w:r>
        <w:t>”</w:t>
      </w:r>
      <w:r w:rsidRPr="00AD4D0F">
        <w:t xml:space="preserve"> must be medically appropriate and cost-effective. The MCO may offer the s</w:t>
      </w:r>
      <w:r>
        <w:t xml:space="preserve">ervices or settings to </w:t>
      </w:r>
      <w:r w:rsidR="00D62C73">
        <w:t>enrollees</w:t>
      </w:r>
      <w:r w:rsidR="00D62C73" w:rsidRPr="00AD4D0F">
        <w:t xml:space="preserve"> </w:t>
      </w:r>
      <w:r w:rsidRPr="00AD4D0F">
        <w:t>and must receive</w:t>
      </w:r>
      <w:r>
        <w:t xml:space="preserve"> </w:t>
      </w:r>
      <w:r w:rsidR="00D62C73">
        <w:t>enrollee</w:t>
      </w:r>
      <w:r w:rsidR="00D62C73" w:rsidRPr="00AD4D0F">
        <w:t xml:space="preserve"> </w:t>
      </w:r>
      <w:r w:rsidRPr="00AD4D0F">
        <w:t xml:space="preserve">consent to use the in </w:t>
      </w:r>
      <w:r>
        <w:t>l</w:t>
      </w:r>
      <w:r w:rsidRPr="00AD4D0F">
        <w:t xml:space="preserve">ieu of </w:t>
      </w:r>
      <w:r>
        <w:t>s</w:t>
      </w:r>
      <w:r w:rsidRPr="00AD4D0F">
        <w:t>ervices.</w:t>
      </w:r>
      <w:r>
        <w:t xml:space="preserve"> The provision of inpatient psychiatric treatment in an IMD must meet the requirements for “in lieu of services.” </w:t>
      </w:r>
    </w:p>
    <w:p w14:paraId="6D48982A" w14:textId="5B501305" w:rsidR="0078557A" w:rsidRDefault="0078557A" w:rsidP="00257641">
      <w:r w:rsidRPr="005B3564">
        <w:t xml:space="preserve">The MCO </w:t>
      </w:r>
      <w:r w:rsidR="00DE6C3E">
        <w:t>must</w:t>
      </w:r>
      <w:r w:rsidR="00DE6C3E" w:rsidRPr="005B3564">
        <w:t xml:space="preserve"> </w:t>
      </w:r>
      <w:r w:rsidRPr="005B3564">
        <w:t>be responsible for inpatient treatment in an IMD</w:t>
      </w:r>
      <w:r>
        <w:t xml:space="preserve"> for up to fifteen (15) days during a calendar month</w:t>
      </w:r>
      <w:r w:rsidRPr="005B3564">
        <w:t>.</w:t>
      </w:r>
      <w:r w:rsidRPr="00E900B5">
        <w:t xml:space="preserve"> </w:t>
      </w:r>
      <w:r>
        <w:t xml:space="preserve">Both voluntary and involuntary commitments are the responsibility of </w:t>
      </w:r>
      <w:r>
        <w:lastRenderedPageBreak/>
        <w:t>the MCO. Placement in an IMD is considered an emergency service and as such, the MCO cannot require a prior authorization for placement in the IMD the first forty-eight (48) hours.</w:t>
      </w:r>
    </w:p>
    <w:p w14:paraId="150272E7" w14:textId="29F67DBC" w:rsidR="0078557A" w:rsidRPr="00D45B9F" w:rsidRDefault="0078557A" w:rsidP="00257641">
      <w:pPr>
        <w:pStyle w:val="normal6"/>
      </w:pPr>
      <w:r>
        <w:t>If a</w:t>
      </w:r>
      <w:r w:rsidR="00D62C73">
        <w:t>n</w:t>
      </w:r>
      <w:r>
        <w:t xml:space="preserve"> </w:t>
      </w:r>
      <w:r w:rsidR="00D62C73">
        <w:t xml:space="preserve">enrollee </w:t>
      </w:r>
      <w:r w:rsidRPr="000068E0">
        <w:t xml:space="preserve">twenty-one (21) to sixty-four (64) </w:t>
      </w:r>
      <w:r>
        <w:t>has a</w:t>
      </w:r>
      <w:r w:rsidRPr="000068E0">
        <w:t xml:space="preserve"> stay</w:t>
      </w:r>
      <w:r>
        <w:t>(s)</w:t>
      </w:r>
      <w:r w:rsidRPr="000068E0">
        <w:t xml:space="preserve"> that exceed</w:t>
      </w:r>
      <w:r>
        <w:t>s</w:t>
      </w:r>
      <w:r w:rsidRPr="000068E0">
        <w:t xml:space="preserve"> </w:t>
      </w:r>
      <w:r>
        <w:t>fifteen</w:t>
      </w:r>
      <w:r w:rsidRPr="000068E0">
        <w:t xml:space="preserve"> (</w:t>
      </w:r>
      <w:r>
        <w:t>15</w:t>
      </w:r>
      <w:r w:rsidRPr="000068E0">
        <w:t>) days</w:t>
      </w:r>
      <w:r>
        <w:t xml:space="preserve"> in aggregate in a month</w:t>
      </w:r>
      <w:r w:rsidRPr="000068E0">
        <w:t xml:space="preserve">, the </w:t>
      </w:r>
      <w:r>
        <w:t>responsibility of payment for coverage will transfer from the MCO to the Office of Health Facilities (OHF)</w:t>
      </w:r>
      <w:r w:rsidRPr="000068E0">
        <w:t xml:space="preserve"> starting on the </w:t>
      </w:r>
      <w:r>
        <w:t>sixteen</w:t>
      </w:r>
      <w:r w:rsidRPr="000068E0">
        <w:t xml:space="preserve"> (</w:t>
      </w:r>
      <w:r>
        <w:t>16</w:t>
      </w:r>
      <w:r w:rsidRPr="00B279C5">
        <w:t>th</w:t>
      </w:r>
      <w:r w:rsidRPr="000068E0">
        <w:t>) day of the stay</w:t>
      </w:r>
      <w:r>
        <w:t xml:space="preserve"> in the month.</w:t>
      </w:r>
      <w:r w:rsidR="003150A4">
        <w:t xml:space="preserve"> </w:t>
      </w:r>
      <w:r>
        <w:t xml:space="preserve">Once the stay exceeds fifteen (15) days in a month, OHF will be responsible for payment </w:t>
      </w:r>
      <w:r w:rsidRPr="00D45B9F">
        <w:t>through the end of the stay under the following conditions:</w:t>
      </w:r>
    </w:p>
    <w:p w14:paraId="19FED446" w14:textId="2658C720" w:rsidR="0078557A" w:rsidRPr="00B279C5" w:rsidRDefault="0078557A" w:rsidP="00257641">
      <w:pPr>
        <w:pStyle w:val="bullet1"/>
      </w:pPr>
      <w:r w:rsidRPr="00B279C5">
        <w:t xml:space="preserve">For voluntary patients after fifteen (15) days, medical necessity criteria must be met for payment to be issued by OHF; the MCO </w:t>
      </w:r>
      <w:r w:rsidR="00DE6C3E">
        <w:t>must</w:t>
      </w:r>
      <w:r w:rsidR="00DE6C3E" w:rsidRPr="00B279C5">
        <w:t xml:space="preserve"> </w:t>
      </w:r>
      <w:r w:rsidRPr="00B279C5">
        <w:t xml:space="preserve">retain the responsibility of determining medical necessity for the </w:t>
      </w:r>
      <w:r w:rsidR="00D62C73">
        <w:t>enrollee</w:t>
      </w:r>
      <w:r w:rsidR="00D62C73" w:rsidRPr="00B279C5">
        <w:t xml:space="preserve"> </w:t>
      </w:r>
      <w:r w:rsidRPr="00B279C5">
        <w:t>through the entire length of stay.</w:t>
      </w:r>
      <w:r w:rsidR="003150A4">
        <w:t xml:space="preserve"> </w:t>
      </w:r>
      <w:r w:rsidRPr="00B279C5">
        <w:t xml:space="preserve">No payment to the IMD </w:t>
      </w:r>
      <w:r w:rsidR="00DE6C3E">
        <w:t>may</w:t>
      </w:r>
      <w:r w:rsidR="00DE6C3E" w:rsidRPr="00B279C5">
        <w:t xml:space="preserve"> </w:t>
      </w:r>
      <w:r w:rsidRPr="00B279C5">
        <w:t>be issued for voluntary patients stays once medical necessity is not met.</w:t>
      </w:r>
      <w:r w:rsidR="003150A4">
        <w:t xml:space="preserve"> </w:t>
      </w:r>
    </w:p>
    <w:p w14:paraId="1BDB93E1" w14:textId="1B7FF78C" w:rsidR="0078557A" w:rsidRPr="00B279C5" w:rsidRDefault="0078557A" w:rsidP="00257641">
      <w:pPr>
        <w:pStyle w:val="bullet1"/>
        <w:spacing w:after="240"/>
      </w:pPr>
      <w:r w:rsidRPr="00B279C5">
        <w:t>For involuntary patients, payment may be made by OHF prior to day sixteen (16) if medical necessity criteria are no longer met; however, it is the responsibility of the provider and the MCO to transition the patient to a more appropriate level of care in as timely a manner as possible once this criterion is not met.</w:t>
      </w:r>
      <w:r w:rsidR="003150A4">
        <w:t xml:space="preserve"> </w:t>
      </w:r>
      <w:r w:rsidRPr="00B279C5">
        <w:t>The State will conduct ongoing reviews of patients with stays beyond the medical authorization period to determine if corrective action is warranted.</w:t>
      </w:r>
      <w:r w:rsidR="003150A4">
        <w:t xml:space="preserve"> </w:t>
      </w:r>
    </w:p>
    <w:p w14:paraId="51C4CFE4" w14:textId="36BAE9ED" w:rsidR="0078557A" w:rsidRDefault="0078557A" w:rsidP="00257641">
      <w:r>
        <w:t>For stays over fifteen</w:t>
      </w:r>
      <w:r w:rsidRPr="000068E0">
        <w:t xml:space="preserve"> (</w:t>
      </w:r>
      <w:r>
        <w:t>15</w:t>
      </w:r>
      <w:r w:rsidRPr="000068E0">
        <w:t>) days</w:t>
      </w:r>
      <w:r>
        <w:t xml:space="preserve"> in a month: the </w:t>
      </w:r>
      <w:r w:rsidR="00D62C73">
        <w:t xml:space="preserve">enrollee </w:t>
      </w:r>
      <w:r>
        <w:t xml:space="preserve">will remain enrolled in the MCO; the MCO will continue to receive PMPM payments for the </w:t>
      </w:r>
      <w:r w:rsidR="0000205F">
        <w:t>enrollee</w:t>
      </w:r>
      <w:r>
        <w:t xml:space="preserve">; and the MCO will retain responsibility for any non-IMD covered services, including coordinating services at the appropriate level of care for the </w:t>
      </w:r>
      <w:r w:rsidR="0000205F">
        <w:t xml:space="preserve">enrollee </w:t>
      </w:r>
      <w:r>
        <w:t>during discharge planning.</w:t>
      </w:r>
    </w:p>
    <w:p w14:paraId="06683DAA" w14:textId="3BACF1C7" w:rsidR="0078557A" w:rsidRPr="005B3564" w:rsidRDefault="0078557A" w:rsidP="00257641">
      <w:r>
        <w:t xml:space="preserve">The MCO must submit to the Department a bi-monthly report identifying </w:t>
      </w:r>
      <w:r w:rsidR="0000205F">
        <w:t xml:space="preserve">enrollees </w:t>
      </w:r>
      <w:r w:rsidRPr="00E70F16">
        <w:t xml:space="preserve">twenty-one (21) to sixty- four (64) </w:t>
      </w:r>
      <w:r>
        <w:t>with an IMD stay of greater than fifteen (15) days during the calendar month. This report must be provided to BMS on the 16</w:t>
      </w:r>
      <w:r w:rsidRPr="00C100D4">
        <w:rPr>
          <w:vertAlign w:val="superscript"/>
        </w:rPr>
        <w:t>th</w:t>
      </w:r>
      <w:r>
        <w:t xml:space="preserve"> and 31</w:t>
      </w:r>
      <w:r w:rsidRPr="00B279C5">
        <w:rPr>
          <w:vertAlign w:val="superscript"/>
        </w:rPr>
        <w:t>st</w:t>
      </w:r>
      <w:r w:rsidR="003150A4">
        <w:t xml:space="preserve"> </w:t>
      </w:r>
      <w:r>
        <w:t>of</w:t>
      </w:r>
      <w:r w:rsidR="003150A4">
        <w:t xml:space="preserve"> </w:t>
      </w:r>
      <w:r>
        <w:t>each month.</w:t>
      </w:r>
    </w:p>
    <w:p w14:paraId="68126272" w14:textId="63660BDA" w:rsidR="0078557A" w:rsidRDefault="0078557A" w:rsidP="00257641">
      <w:r>
        <w:t xml:space="preserve">The MCO must engage with the IMD facility to initiate discharge planning to </w:t>
      </w:r>
      <w:r w:rsidRPr="001E1AFC">
        <w:t>facilitate</w:t>
      </w:r>
      <w:r>
        <w:t xml:space="preserve"> the </w:t>
      </w:r>
      <w:r w:rsidR="0000205F">
        <w:t xml:space="preserve">enrollee’s </w:t>
      </w:r>
      <w:r>
        <w:t xml:space="preserve">successful return to the community. The MCO </w:t>
      </w:r>
      <w:r w:rsidR="00DE6C3E">
        <w:t xml:space="preserve">must </w:t>
      </w:r>
      <w:r>
        <w:t xml:space="preserve">make every reasonable attempt to identify appropriate outpatient services for the </w:t>
      </w:r>
      <w:r w:rsidR="0000205F">
        <w:t>enrollee</w:t>
      </w:r>
      <w:r>
        <w:t>.</w:t>
      </w:r>
    </w:p>
    <w:p w14:paraId="24579864" w14:textId="77777777" w:rsidR="0078557A" w:rsidRDefault="0078557A" w:rsidP="00257641">
      <w:r>
        <w:t>This IMD provision is not applicable to inpatient psychiatric hospital services for individuals under age twenty-one (21) as defined in 42 CFR 440.160.</w:t>
      </w:r>
    </w:p>
    <w:p w14:paraId="545589C4" w14:textId="13A35FA9" w:rsidR="009A0060" w:rsidRPr="00DF1D1C" w:rsidRDefault="0042638E" w:rsidP="00257641">
      <w:pPr>
        <w:pStyle w:val="Heading3"/>
      </w:pPr>
      <w:bookmarkStart w:id="198" w:name="_Toc8129060"/>
      <w:r>
        <w:t>8</w:t>
      </w:r>
      <w:r w:rsidR="009A0060" w:rsidRPr="00DF1D1C">
        <w:t>.</w:t>
      </w:r>
      <w:r w:rsidR="00D00EE0">
        <w:t>7</w:t>
      </w:r>
      <w:r w:rsidR="009A0060" w:rsidRPr="00DF1D1C">
        <w:tab/>
        <w:t>Enrollee Liability</w:t>
      </w:r>
      <w:bookmarkEnd w:id="197"/>
      <w:bookmarkEnd w:id="198"/>
    </w:p>
    <w:p w14:paraId="70930455" w14:textId="77777777" w:rsidR="009A0060" w:rsidRPr="00DF1D1C" w:rsidRDefault="009A0060" w:rsidP="00257641">
      <w:pPr>
        <w:pStyle w:val="normal6"/>
      </w:pPr>
      <w:r w:rsidRPr="00DF1D1C">
        <w:t xml:space="preserve">The MCO cannot hold </w:t>
      </w:r>
      <w:r w:rsidRPr="00920847">
        <w:t>a</w:t>
      </w:r>
      <w:r w:rsidRPr="00DF1D1C">
        <w:t>n enrollee liable for the following:</w:t>
      </w:r>
    </w:p>
    <w:p w14:paraId="531A32CE" w14:textId="77777777" w:rsidR="009A0060" w:rsidRPr="00DF1D1C" w:rsidRDefault="009A0060" w:rsidP="00257641">
      <w:pPr>
        <w:numPr>
          <w:ilvl w:val="0"/>
          <w:numId w:val="37"/>
        </w:numPr>
        <w:tabs>
          <w:tab w:val="clear" w:pos="360"/>
        </w:tabs>
        <w:spacing w:after="120"/>
        <w:ind w:left="720"/>
      </w:pPr>
      <w:r w:rsidRPr="00DF1D1C">
        <w:t>The debts of the MCO if it should become insolvent;</w:t>
      </w:r>
    </w:p>
    <w:p w14:paraId="2F1BE17A" w14:textId="6EE2AD36" w:rsidR="009A0060" w:rsidRPr="00DF1D1C" w:rsidRDefault="009A0060" w:rsidP="00257641">
      <w:pPr>
        <w:numPr>
          <w:ilvl w:val="0"/>
          <w:numId w:val="37"/>
        </w:numPr>
        <w:tabs>
          <w:tab w:val="clear" w:pos="360"/>
        </w:tabs>
        <w:spacing w:after="120"/>
        <w:ind w:left="720"/>
      </w:pPr>
      <w:r w:rsidRPr="00DF1D1C">
        <w:t xml:space="preserve">Payment for services provided by the MCO if the MCO has not received payment from </w:t>
      </w:r>
      <w:r w:rsidR="00143AE9">
        <w:t>DHHR</w:t>
      </w:r>
      <w:r w:rsidR="00143AE9" w:rsidRPr="00DF1D1C">
        <w:t xml:space="preserve"> </w:t>
      </w:r>
      <w:r w:rsidRPr="00DF1D1C">
        <w:t xml:space="preserve">for the services, or if the provider, under </w:t>
      </w:r>
      <w:r w:rsidR="009B19C2">
        <w:t xml:space="preserve">Contract </w:t>
      </w:r>
      <w:r w:rsidRPr="00DF1D1C">
        <w:t xml:space="preserve">or other arrangement with the MCO, fails to receive payment from </w:t>
      </w:r>
      <w:r w:rsidR="00143AE9">
        <w:t>DHHR</w:t>
      </w:r>
      <w:r w:rsidR="00143AE9" w:rsidRPr="00DF1D1C">
        <w:t xml:space="preserve"> </w:t>
      </w:r>
      <w:r w:rsidRPr="00DF1D1C">
        <w:t>or the MCO; or</w:t>
      </w:r>
    </w:p>
    <w:p w14:paraId="5BA5DA96" w14:textId="77777777" w:rsidR="009A0060" w:rsidRPr="00DF1D1C" w:rsidRDefault="009A0060" w:rsidP="00257641">
      <w:pPr>
        <w:numPr>
          <w:ilvl w:val="0"/>
          <w:numId w:val="37"/>
        </w:numPr>
        <w:tabs>
          <w:tab w:val="clear" w:pos="360"/>
        </w:tabs>
        <w:ind w:left="720"/>
      </w:pPr>
      <w:r w:rsidRPr="00DF1D1C">
        <w:t xml:space="preserve">The payments to providers that furnish covered services under a </w:t>
      </w:r>
      <w:r w:rsidR="009B19C2">
        <w:t xml:space="preserve">Contract </w:t>
      </w:r>
      <w:r w:rsidRPr="00DF1D1C">
        <w:t>or other arrangement with the MCO that are in excess of the amount that normally would be paid by the enrollee if the service had been received directly from the MCO.</w:t>
      </w:r>
    </w:p>
    <w:p w14:paraId="04BFA176" w14:textId="0BAE36B9" w:rsidR="009A0060" w:rsidRPr="00DF1D1C" w:rsidRDefault="00262289" w:rsidP="007610FD">
      <w:pPr>
        <w:pStyle w:val="Heading2"/>
      </w:pPr>
      <w:bookmarkStart w:id="199" w:name="_Toc73441831"/>
      <w:bookmarkStart w:id="200" w:name="_Toc8129061"/>
      <w:r>
        <w:lastRenderedPageBreak/>
        <w:t xml:space="preserve">9. </w:t>
      </w:r>
      <w:r w:rsidR="00C675FB">
        <w:t>FRAUD, WASTE, AND ABUSE</w:t>
      </w:r>
      <w:r w:rsidR="009A0060" w:rsidRPr="00DF1D1C">
        <w:t xml:space="preserve"> REQUIREMENTS</w:t>
      </w:r>
      <w:bookmarkEnd w:id="199"/>
      <w:bookmarkEnd w:id="200"/>
    </w:p>
    <w:p w14:paraId="46A1CDBC" w14:textId="0255CC2A" w:rsidR="009A0060" w:rsidRPr="00DF1D1C" w:rsidRDefault="0042638E" w:rsidP="00257641">
      <w:pPr>
        <w:pStyle w:val="Heading3"/>
      </w:pPr>
      <w:bookmarkStart w:id="201" w:name="_Toc73441832"/>
      <w:bookmarkStart w:id="202" w:name="_Toc8129062"/>
      <w:r>
        <w:t>9</w:t>
      </w:r>
      <w:r w:rsidR="009A0060" w:rsidRPr="00DF1D1C">
        <w:t>.1</w:t>
      </w:r>
      <w:r w:rsidR="009A0060" w:rsidRPr="00DF1D1C">
        <w:tab/>
        <w:t>Fraud</w:t>
      </w:r>
      <w:r w:rsidR="00C675FB">
        <w:t>, Waste,</w:t>
      </w:r>
      <w:r w:rsidR="009A0060" w:rsidRPr="00DF1D1C">
        <w:t xml:space="preserve"> and Abuse Guidelines</w:t>
      </w:r>
      <w:bookmarkEnd w:id="201"/>
      <w:bookmarkEnd w:id="202"/>
    </w:p>
    <w:p w14:paraId="485E8308" w14:textId="77882BB6" w:rsidR="009A0060" w:rsidRPr="00DF1D1C" w:rsidRDefault="0042638E" w:rsidP="00257641">
      <w:pPr>
        <w:pStyle w:val="Heading4"/>
      </w:pPr>
      <w:r>
        <w:t>9</w:t>
      </w:r>
      <w:r w:rsidR="00E330D5">
        <w:t xml:space="preserve">.1.1 </w:t>
      </w:r>
      <w:r w:rsidR="009A0060" w:rsidRPr="00DF1D1C">
        <w:t>General Requirements</w:t>
      </w:r>
    </w:p>
    <w:p w14:paraId="6CD5ACA9" w14:textId="745B1377" w:rsidR="00F46841" w:rsidRDefault="00E71F8E" w:rsidP="00257641">
      <w:r w:rsidRPr="00B150E7">
        <w:t>Program Integrity requirements under the contract are outlined in 42 CFR 438.608 and are incorporated herein by reference.</w:t>
      </w:r>
      <w:r w:rsidR="003150A4">
        <w:t xml:space="preserve"> </w:t>
      </w:r>
      <w:r w:rsidR="009A0060" w:rsidRPr="00DF1D1C">
        <w:t xml:space="preserve">The MCO must have administrative and management arrangements or procedures that are designed to </w:t>
      </w:r>
      <w:r w:rsidR="00637AA3">
        <w:t>detect</w:t>
      </w:r>
      <w:r w:rsidR="009A0060" w:rsidRPr="00DF1D1C">
        <w:t xml:space="preserve"> </w:t>
      </w:r>
      <w:r w:rsidR="00637AA3">
        <w:t>FWA</w:t>
      </w:r>
      <w:r w:rsidR="0078080B" w:rsidRPr="00DF1D1C">
        <w:t xml:space="preserve">. </w:t>
      </w:r>
      <w:r w:rsidR="0084768F" w:rsidRPr="00143977">
        <w:t xml:space="preserve">The procedures must </w:t>
      </w:r>
      <w:r w:rsidR="0084768F">
        <w:t xml:space="preserve">include a </w:t>
      </w:r>
      <w:r w:rsidR="0084768F" w:rsidRPr="00143977">
        <w:t xml:space="preserve">method </w:t>
      </w:r>
      <w:r w:rsidR="0084768F">
        <w:t>to verify</w:t>
      </w:r>
      <w:r w:rsidR="0084768F" w:rsidRPr="00143977">
        <w:t xml:space="preserve"> with</w:t>
      </w:r>
      <w:r w:rsidR="0084768F">
        <w:t xml:space="preserve"> a sample of enrollees</w:t>
      </w:r>
      <w:r w:rsidR="0084768F" w:rsidRPr="00143977">
        <w:t xml:space="preserve"> whether billed services were received</w:t>
      </w:r>
      <w:r w:rsidR="0084768F">
        <w:t xml:space="preserve">. </w:t>
      </w:r>
      <w:r w:rsidR="009E072C" w:rsidRPr="00DF1D1C">
        <w:t xml:space="preserve">The MCO must submit its </w:t>
      </w:r>
      <w:r w:rsidR="00F77DD3">
        <w:t xml:space="preserve">Medicaid </w:t>
      </w:r>
      <w:r w:rsidR="009E072C" w:rsidRPr="00DF1D1C">
        <w:t xml:space="preserve">compliance plan </w:t>
      </w:r>
      <w:r w:rsidR="00637AA3">
        <w:t xml:space="preserve">to the Department </w:t>
      </w:r>
      <w:r w:rsidR="009E072C" w:rsidRPr="00DF1D1C">
        <w:t xml:space="preserve">by </w:t>
      </w:r>
      <w:r w:rsidR="007A212C" w:rsidRPr="00DF1D1C">
        <w:t xml:space="preserve">October </w:t>
      </w:r>
      <w:r w:rsidR="009E072C" w:rsidRPr="00DF1D1C">
        <w:t>1</w:t>
      </w:r>
      <w:r w:rsidR="00C675FB" w:rsidRPr="00B732BD">
        <w:rPr>
          <w:vertAlign w:val="superscript"/>
        </w:rPr>
        <w:t>st</w:t>
      </w:r>
      <w:r w:rsidR="009E072C" w:rsidRPr="00DF1D1C">
        <w:t xml:space="preserve"> each year</w:t>
      </w:r>
      <w:r w:rsidR="0078080B" w:rsidRPr="00DF1D1C">
        <w:t xml:space="preserve">. </w:t>
      </w:r>
      <w:r w:rsidR="009E072C" w:rsidRPr="00DF1D1C">
        <w:t xml:space="preserve">The compliance plan </w:t>
      </w:r>
      <w:r w:rsidR="00637AA3">
        <w:t xml:space="preserve">must </w:t>
      </w:r>
      <w:r w:rsidR="009A0060" w:rsidRPr="00DF1D1C">
        <w:t xml:space="preserve">include policies and procedures to prevent, detect, investigate, and report potential </w:t>
      </w:r>
      <w:r w:rsidR="00637AA3">
        <w:t>FWA</w:t>
      </w:r>
      <w:r w:rsidR="009A0060" w:rsidRPr="00DF1D1C">
        <w:t xml:space="preserve"> incidences as outlined by </w:t>
      </w:r>
      <w:r w:rsidR="00143AE9">
        <w:t>DHHR</w:t>
      </w:r>
      <w:r w:rsidR="0078080B" w:rsidRPr="00DF1D1C">
        <w:t xml:space="preserve">. </w:t>
      </w:r>
      <w:r w:rsidR="009A0060" w:rsidRPr="00DF1D1C">
        <w:t xml:space="preserve">Funds misspent due to fraudulent or abusive actions by the organizations or its </w:t>
      </w:r>
      <w:r w:rsidR="00642406">
        <w:t>S</w:t>
      </w:r>
      <w:r w:rsidR="009A0060" w:rsidRPr="00DF1D1C">
        <w:t>ubcontractors will be recovered</w:t>
      </w:r>
      <w:r w:rsidR="0078080B" w:rsidRPr="00DF1D1C">
        <w:t xml:space="preserve">. </w:t>
      </w:r>
      <w:r w:rsidR="003F01F5">
        <w:t xml:space="preserve">The MCO, and any subcontractor responsible for coverage of services and payment of claims, </w:t>
      </w:r>
      <w:r w:rsidR="003F01F5" w:rsidRPr="003F01F5">
        <w:t>must include a Regulatory Compl</w:t>
      </w:r>
      <w:r w:rsidR="003F01F5">
        <w:t>iance Committee (RCC) on the Board of Directors</w:t>
      </w:r>
      <w:r w:rsidR="003F01F5" w:rsidRPr="003F01F5">
        <w:t xml:space="preserve"> and at the senior management</w:t>
      </w:r>
      <w:r w:rsidR="003F01F5">
        <w:t xml:space="preserve"> level. The committee </w:t>
      </w:r>
      <w:r w:rsidR="00DE6C3E">
        <w:t xml:space="preserve">must </w:t>
      </w:r>
      <w:r w:rsidR="003F01F5">
        <w:t>be</w:t>
      </w:r>
      <w:r w:rsidR="00566D40">
        <w:t xml:space="preserve"> responsible for </w:t>
      </w:r>
      <w:r w:rsidR="003F01F5" w:rsidRPr="003F01F5">
        <w:t>overseeing the organization's compliance program and its compliance with the requirements under the contract.</w:t>
      </w:r>
    </w:p>
    <w:p w14:paraId="5C4DB8AB" w14:textId="6A850400" w:rsidR="00EB45F8" w:rsidRDefault="0042638E" w:rsidP="00257641">
      <w:pPr>
        <w:pStyle w:val="Heading4"/>
      </w:pPr>
      <w:r>
        <w:t>9</w:t>
      </w:r>
      <w:r w:rsidR="00E330D5">
        <w:t xml:space="preserve">.1.2 </w:t>
      </w:r>
      <w:r w:rsidR="00ED718B" w:rsidRPr="0082019B">
        <w:t>Special Investigations Unit (SIU) and</w:t>
      </w:r>
      <w:r w:rsidR="00ED718B">
        <w:t xml:space="preserve"> </w:t>
      </w:r>
      <w:r w:rsidR="00EB45F8">
        <w:t xml:space="preserve">Coordination with the State </w:t>
      </w:r>
    </w:p>
    <w:p w14:paraId="2CB259E7" w14:textId="25D322BE" w:rsidR="00507EFF" w:rsidRDefault="00F46841" w:rsidP="00257641">
      <w:r>
        <w:t xml:space="preserve">In order to </w:t>
      </w:r>
      <w:r w:rsidRPr="00F46841">
        <w:t>facilitate cooperation with</w:t>
      </w:r>
      <w:r>
        <w:t xml:space="preserve"> the state, the MCO must establish and maintain a special </w:t>
      </w:r>
      <w:r w:rsidR="00C60D5A">
        <w:t>investigations</w:t>
      </w:r>
      <w:r>
        <w:t xml:space="preserve"> unit (SIU), either in-house or by </w:t>
      </w:r>
      <w:r w:rsidR="009B19C2">
        <w:t xml:space="preserve">Contract </w:t>
      </w:r>
      <w:r>
        <w:t xml:space="preserve">with another entity, to investigate possible acts of fraud, waste, or abuse for all services provided under the Contract, including those that the MCO </w:t>
      </w:r>
      <w:r w:rsidR="00642406">
        <w:t>s</w:t>
      </w:r>
      <w:r>
        <w:t xml:space="preserve">ubcontracts to outside entities. </w:t>
      </w:r>
      <w:r w:rsidR="00EB45F8">
        <w:t xml:space="preserve">The MCO </w:t>
      </w:r>
      <w:r w:rsidR="008C6BCF">
        <w:t xml:space="preserve">and MCO SIU </w:t>
      </w:r>
      <w:r w:rsidR="00EB45F8">
        <w:t>must</w:t>
      </w:r>
      <w:r w:rsidR="009A0060" w:rsidRPr="00DF1D1C">
        <w:t xml:space="preserve"> work with </w:t>
      </w:r>
      <w:r w:rsidR="00143AE9">
        <w:t>DHHR</w:t>
      </w:r>
      <w:r w:rsidR="009A0060" w:rsidRPr="00DF1D1C">
        <w:t>, the Medicaid Fraud Control Unit (MFCU), the Office of the Inspector General (OIG)</w:t>
      </w:r>
      <w:r w:rsidR="006B5EBD">
        <w:t>,</w:t>
      </w:r>
      <w:r w:rsidR="009A0060" w:rsidRPr="00DF1D1C">
        <w:t xml:space="preserve"> CMS</w:t>
      </w:r>
      <w:r w:rsidR="006B5EBD">
        <w:t>, and ACF</w:t>
      </w:r>
      <w:r w:rsidR="009A0060" w:rsidRPr="00DF1D1C">
        <w:t xml:space="preserve"> to administer effective </w:t>
      </w:r>
      <w:r w:rsidR="00C60D5A">
        <w:t>FWA</w:t>
      </w:r>
      <w:r w:rsidR="00C60D5A" w:rsidRPr="00DF1D1C">
        <w:t xml:space="preserve"> </w:t>
      </w:r>
      <w:r w:rsidR="00C60D5A">
        <w:t>detection and prevention</w:t>
      </w:r>
      <w:r w:rsidR="009A0060" w:rsidRPr="00DF1D1C">
        <w:t xml:space="preserve"> practices</w:t>
      </w:r>
      <w:r w:rsidR="0078080B" w:rsidRPr="00DF1D1C">
        <w:t xml:space="preserve">. </w:t>
      </w:r>
      <w:r w:rsidR="00507EFF" w:rsidRPr="00DF1D1C">
        <w:t xml:space="preserve">The MCO must take part in coordination activities within the state to maximize resources for </w:t>
      </w:r>
      <w:r w:rsidR="00C60D5A">
        <w:t>FWA</w:t>
      </w:r>
      <w:r w:rsidR="00507EFF" w:rsidRPr="00DF1D1C">
        <w:t xml:space="preserve"> issues. The MCO must meet regularly with </w:t>
      </w:r>
      <w:r w:rsidR="00143AE9">
        <w:t>DHHR</w:t>
      </w:r>
      <w:r w:rsidR="00507EFF" w:rsidRPr="00DF1D1C">
        <w:t xml:space="preserve">, the MFCU and the EQRO to discuss plans of action, and attend </w:t>
      </w:r>
      <w:r w:rsidR="00C60D5A" w:rsidRPr="00C60D5A">
        <w:t>FWA</w:t>
      </w:r>
      <w:r w:rsidR="00507EFF" w:rsidRPr="00DF1D1C">
        <w:t xml:space="preserve"> trainin</w:t>
      </w:r>
      <w:r w:rsidR="00507EFF">
        <w:t>g sessions as scheduled by the S</w:t>
      </w:r>
      <w:r w:rsidR="00507EFF" w:rsidRPr="00DF1D1C">
        <w:t>tate.</w:t>
      </w:r>
      <w:r w:rsidR="00F24820">
        <w:t xml:space="preserve"> </w:t>
      </w:r>
      <w:r w:rsidR="00507EFF" w:rsidRPr="00DF1D1C">
        <w:t xml:space="preserve">MCO reporting procedures and timelines for </w:t>
      </w:r>
      <w:r w:rsidR="00C60D5A">
        <w:t>FWA</w:t>
      </w:r>
      <w:r w:rsidR="00507EFF" w:rsidRPr="00DF1D1C">
        <w:t xml:space="preserve"> complaints and outcomes must meet </w:t>
      </w:r>
      <w:r w:rsidR="00EA3B8D">
        <w:t>S</w:t>
      </w:r>
      <w:r w:rsidR="00507EFF" w:rsidRPr="00DF1D1C">
        <w:t xml:space="preserve">tate-established guidelines. </w:t>
      </w:r>
    </w:p>
    <w:p w14:paraId="36ED6F54" w14:textId="5267D6E8" w:rsidR="00C60D5A" w:rsidRPr="00B45810" w:rsidRDefault="00C60D5A" w:rsidP="00257641">
      <w:pPr>
        <w:pStyle w:val="Heading5"/>
      </w:pPr>
      <w:r>
        <w:t>9</w:t>
      </w:r>
      <w:r w:rsidRPr="00B45810">
        <w:t xml:space="preserve">.1.2.1 </w:t>
      </w:r>
      <w:r>
        <w:t xml:space="preserve">Program Integrity </w:t>
      </w:r>
      <w:r w:rsidRPr="00B45810">
        <w:t>Staffing Requirements</w:t>
      </w:r>
    </w:p>
    <w:p w14:paraId="4DD4C740" w14:textId="2B13E4D5" w:rsidR="00C60D5A" w:rsidRPr="00121FE1" w:rsidRDefault="00C60D5A" w:rsidP="00257641">
      <w:pPr>
        <w:pStyle w:val="normal6"/>
      </w:pPr>
      <w:r w:rsidRPr="00121FE1">
        <w:t xml:space="preserve">The MCO must have at least the equivalent of one full-time, West Virginia-based Program Integrity Professional who is dedicated </w:t>
      </w:r>
      <w:r>
        <w:t>one hundred percent (</w:t>
      </w:r>
      <w:r w:rsidRPr="00121FE1">
        <w:t>100</w:t>
      </w:r>
      <w:r>
        <w:t xml:space="preserve">%) </w:t>
      </w:r>
      <w:r w:rsidRPr="00121FE1">
        <w:t xml:space="preserve">to the WV Medicaid program and who can, at a minimum, perform the following duties: </w:t>
      </w:r>
    </w:p>
    <w:p w14:paraId="76ECC501" w14:textId="77777777" w:rsidR="00C60D5A" w:rsidRPr="00121FE1" w:rsidRDefault="00C60D5A" w:rsidP="00096A5D">
      <w:pPr>
        <w:pStyle w:val="BodyText"/>
        <w:numPr>
          <w:ilvl w:val="0"/>
          <w:numId w:val="924"/>
        </w:numPr>
      </w:pPr>
      <w:r w:rsidRPr="00121FE1">
        <w:t>Initiate investigations and develop FWA cases for future action.</w:t>
      </w:r>
    </w:p>
    <w:p w14:paraId="744EA0A2" w14:textId="77777777" w:rsidR="00C60D5A" w:rsidRPr="00121FE1" w:rsidRDefault="00C60D5A" w:rsidP="00096A5D">
      <w:pPr>
        <w:pStyle w:val="BodyText"/>
        <w:numPr>
          <w:ilvl w:val="0"/>
          <w:numId w:val="924"/>
        </w:numPr>
      </w:pPr>
      <w:r w:rsidRPr="00121FE1">
        <w:t>Follow up appropriately on program integrity leads from the Department.</w:t>
      </w:r>
    </w:p>
    <w:p w14:paraId="07756F00" w14:textId="77777777" w:rsidR="00C60D5A" w:rsidRPr="00121FE1" w:rsidRDefault="00C60D5A" w:rsidP="00096A5D">
      <w:pPr>
        <w:pStyle w:val="BodyText"/>
        <w:numPr>
          <w:ilvl w:val="0"/>
          <w:numId w:val="924"/>
        </w:numPr>
      </w:pPr>
      <w:r w:rsidRPr="00121FE1">
        <w:t>Execute and respond to requests for information (RFIs) from the MFCU, including MFCU data requests.</w:t>
      </w:r>
    </w:p>
    <w:p w14:paraId="3F300820" w14:textId="77777777" w:rsidR="00C60D5A" w:rsidRPr="00121FE1" w:rsidRDefault="00C60D5A" w:rsidP="00096A5D">
      <w:pPr>
        <w:pStyle w:val="BodyText"/>
        <w:numPr>
          <w:ilvl w:val="0"/>
          <w:numId w:val="924"/>
        </w:numPr>
      </w:pPr>
      <w:r w:rsidRPr="00121FE1">
        <w:t>Execute and respond to RFIs from the Department, or other State actors.</w:t>
      </w:r>
    </w:p>
    <w:p w14:paraId="30B48526" w14:textId="77777777" w:rsidR="00C60D5A" w:rsidRPr="00121FE1" w:rsidRDefault="00C60D5A" w:rsidP="00096A5D">
      <w:pPr>
        <w:pStyle w:val="BodyText"/>
        <w:numPr>
          <w:ilvl w:val="0"/>
          <w:numId w:val="924"/>
        </w:numPr>
      </w:pPr>
      <w:r w:rsidRPr="00121FE1">
        <w:t>Act as the point of contact for program integrity deconfliction.</w:t>
      </w:r>
    </w:p>
    <w:p w14:paraId="1864CE43" w14:textId="77777777" w:rsidR="00C60D5A" w:rsidRPr="00121FE1" w:rsidRDefault="00C60D5A" w:rsidP="00096A5D">
      <w:pPr>
        <w:pStyle w:val="BodyText"/>
        <w:numPr>
          <w:ilvl w:val="0"/>
          <w:numId w:val="924"/>
        </w:numPr>
      </w:pPr>
      <w:r w:rsidRPr="00121FE1">
        <w:t>Participate in West Virginia-based training, task forces, and other relevant meetings.</w:t>
      </w:r>
    </w:p>
    <w:p w14:paraId="6E499071" w14:textId="77777777" w:rsidR="00C60D5A" w:rsidRPr="00121FE1" w:rsidRDefault="00C60D5A" w:rsidP="00257641">
      <w:r w:rsidRPr="00121FE1">
        <w:lastRenderedPageBreak/>
        <w:t xml:space="preserve">For initial implementation, the MCO </w:t>
      </w:r>
      <w:r>
        <w:t>must meet the staffing requirement within nin</w:t>
      </w:r>
      <w:r w:rsidRPr="00121FE1">
        <w:t xml:space="preserve">ety (90) days </w:t>
      </w:r>
      <w:r>
        <w:t>of</w:t>
      </w:r>
      <w:r w:rsidRPr="00121FE1">
        <w:t xml:space="preserve"> the contract effective</w:t>
      </w:r>
      <w:r>
        <w:t xml:space="preserve"> date</w:t>
      </w:r>
      <w:r w:rsidRPr="00121FE1">
        <w:t>.</w:t>
      </w:r>
    </w:p>
    <w:p w14:paraId="1737306C" w14:textId="77777777" w:rsidR="00C60D5A" w:rsidRDefault="00C60D5A" w:rsidP="00257641">
      <w:r w:rsidRPr="00121FE1">
        <w:t>Outside the initial implementation period, the MCO must notify the Department of any absence or vacancy more than thirty (30) days and must include a contingency plan for fulfilling the program integrity requirements during the absence or vacancy.</w:t>
      </w:r>
    </w:p>
    <w:p w14:paraId="3BF93CFE" w14:textId="5BD822B0" w:rsidR="00C60D5A" w:rsidRPr="00B45810" w:rsidRDefault="00C60D5A" w:rsidP="00257641">
      <w:pPr>
        <w:pStyle w:val="Heading5"/>
      </w:pPr>
      <w:r>
        <w:t>9.1.2.2</w:t>
      </w:r>
      <w:r w:rsidRPr="00B45810">
        <w:t xml:space="preserve"> Program Integrity Points of Contact</w:t>
      </w:r>
    </w:p>
    <w:p w14:paraId="512FCE54" w14:textId="6506B324" w:rsidR="009A0060" w:rsidRPr="00EB45F8" w:rsidRDefault="00EB45F8" w:rsidP="00257641">
      <w:r>
        <w:t xml:space="preserve">The MCO must designate one </w:t>
      </w:r>
      <w:r w:rsidR="00606432">
        <w:t xml:space="preserve">(1) </w:t>
      </w:r>
      <w:r>
        <w:t xml:space="preserve">primary and one </w:t>
      </w:r>
      <w:r w:rsidR="00606432">
        <w:t xml:space="preserve">(1) </w:t>
      </w:r>
      <w:r>
        <w:t xml:space="preserve">secondary contact person for all </w:t>
      </w:r>
      <w:r w:rsidR="00143AE9">
        <w:t xml:space="preserve">DHHR </w:t>
      </w:r>
      <w:r>
        <w:t>Program Integrity and MFCU requests</w:t>
      </w:r>
      <w:r w:rsidR="001E59F4" w:rsidRPr="001E59F4">
        <w:t xml:space="preserve"> </w:t>
      </w:r>
      <w:r w:rsidR="001E59F4">
        <w:t>for data, records, or other information</w:t>
      </w:r>
      <w:r>
        <w:t xml:space="preserve">. </w:t>
      </w:r>
      <w:r w:rsidR="00143AE9">
        <w:t xml:space="preserve">DHHR </w:t>
      </w:r>
      <w:r>
        <w:t>or MFCU records requests will be sent to the designated MCO contact person(s) in writing via email, fax</w:t>
      </w:r>
      <w:r w:rsidR="00EA3B8D">
        <w:t>,</w:t>
      </w:r>
      <w:r>
        <w:t xml:space="preserve"> or regular mail and will provide the specifics of the information being requested. The MCO </w:t>
      </w:r>
      <w:r w:rsidR="007A7DF6">
        <w:t>must</w:t>
      </w:r>
      <w:r>
        <w:t xml:space="preserve"> respond to the appropriate </w:t>
      </w:r>
      <w:r w:rsidR="00143AE9">
        <w:t xml:space="preserve">DHHR </w:t>
      </w:r>
      <w:r>
        <w:t xml:space="preserve">or MFCU staff </w:t>
      </w:r>
      <w:r w:rsidR="0000205F">
        <w:t xml:space="preserve">enrollee </w:t>
      </w:r>
      <w:r>
        <w:t xml:space="preserve">within </w:t>
      </w:r>
      <w:r w:rsidR="00DE6076">
        <w:t>fourteen</w:t>
      </w:r>
      <w:r w:rsidR="006B5D3F">
        <w:t xml:space="preserve"> (14)</w:t>
      </w:r>
      <w:r w:rsidR="00D970E0">
        <w:t xml:space="preserve"> calendar</w:t>
      </w:r>
      <w:r>
        <w:t xml:space="preserve"> days or within the timeframe designated in the request. </w:t>
      </w:r>
      <w:r w:rsidRPr="00EB45F8">
        <w:t>If the MCO is unable to provide all of the requested information within the designated timeframe, an extension may be granted and must be request</w:t>
      </w:r>
      <w:r>
        <w:t>ed</w:t>
      </w:r>
      <w:r w:rsidRPr="00EB45F8">
        <w:t xml:space="preserve"> in writing by the MCO no less </w:t>
      </w:r>
      <w:r>
        <w:t xml:space="preserve">than two </w:t>
      </w:r>
      <w:r w:rsidR="00143AE9">
        <w:t xml:space="preserve">(2) </w:t>
      </w:r>
      <w:r>
        <w:t>business d</w:t>
      </w:r>
      <w:r w:rsidRPr="00EB45F8">
        <w:t>ays prior to the due date.</w:t>
      </w:r>
      <w:r w:rsidR="006C23CE">
        <w:t xml:space="preserve"> The data</w:t>
      </w:r>
      <w:r w:rsidR="001E59F4">
        <w:t xml:space="preserve">, records, or information </w:t>
      </w:r>
      <w:r w:rsidR="006C23CE">
        <w:t>must be provided in the order and format requested.</w:t>
      </w:r>
    </w:p>
    <w:p w14:paraId="320B5D6F" w14:textId="4E822ACB" w:rsidR="009A0060" w:rsidRPr="00DF1D1C" w:rsidRDefault="0042638E" w:rsidP="00257641">
      <w:pPr>
        <w:pStyle w:val="Heading4"/>
      </w:pPr>
      <w:r>
        <w:t>9</w:t>
      </w:r>
      <w:r w:rsidR="00E330D5">
        <w:t xml:space="preserve">.1.3 </w:t>
      </w:r>
      <w:r w:rsidR="009A0060" w:rsidRPr="00DF1D1C">
        <w:t xml:space="preserve">Internal </w:t>
      </w:r>
      <w:r w:rsidR="001C0209">
        <w:t>Compliance</w:t>
      </w:r>
      <w:r w:rsidR="009A0060" w:rsidRPr="00DF1D1C">
        <w:t xml:space="preserve"> Plan</w:t>
      </w:r>
    </w:p>
    <w:p w14:paraId="4D10CC5F" w14:textId="6303D845" w:rsidR="0042638E" w:rsidRDefault="001E59F4" w:rsidP="00257641">
      <w:r>
        <w:t xml:space="preserve">The MCO or its </w:t>
      </w:r>
      <w:r w:rsidRPr="004C4025">
        <w:t>subcontractor, to the extent that the subcontractor is delegated responsibility by the MC</w:t>
      </w:r>
      <w:r>
        <w:t>O</w:t>
      </w:r>
      <w:r w:rsidRPr="004C4025">
        <w:t xml:space="preserve"> for coverage of services and payment of claims under the contract between the state and the MC</w:t>
      </w:r>
      <w:r>
        <w:t>O</w:t>
      </w:r>
      <w:r w:rsidRPr="004C4025">
        <w:t xml:space="preserve">, </w:t>
      </w:r>
      <w:r>
        <w:t xml:space="preserve">is required </w:t>
      </w:r>
      <w:r w:rsidRPr="004C4025">
        <w:t>to implement and maintain</w:t>
      </w:r>
      <w:r>
        <w:t xml:space="preserve"> a compliance program. </w:t>
      </w:r>
      <w:r w:rsidR="009A0060" w:rsidRPr="00DF1D1C">
        <w:t xml:space="preserve">The MCO </w:t>
      </w:r>
      <w:r>
        <w:t>and its subcontractors</w:t>
      </w:r>
      <w:r w:rsidRPr="00DF1D1C">
        <w:t xml:space="preserve"> </w:t>
      </w:r>
      <w:r w:rsidR="009A0060" w:rsidRPr="00DF1D1C">
        <w:t xml:space="preserve">must have in place internal controls, policies, and procedures to prevent and detect </w:t>
      </w:r>
      <w:r>
        <w:t>FWA and</w:t>
      </w:r>
      <w:r w:rsidR="009A0060" w:rsidRPr="00DF1D1C">
        <w:t xml:space="preserve"> must have a formal </w:t>
      </w:r>
      <w:r w:rsidR="000C5B52">
        <w:t xml:space="preserve">Medicaid </w:t>
      </w:r>
      <w:r w:rsidR="001C0209">
        <w:t>compliance</w:t>
      </w:r>
      <w:r w:rsidR="009A0060" w:rsidRPr="00DF1D1C">
        <w:t xml:space="preserve"> plan with clear goals, assignments, measurements, and milestones</w:t>
      </w:r>
      <w:r w:rsidR="0078080B" w:rsidRPr="00DF1D1C">
        <w:t>.</w:t>
      </w:r>
    </w:p>
    <w:p w14:paraId="0F70C125" w14:textId="1E68E771" w:rsidR="00606432" w:rsidRDefault="0042638E" w:rsidP="00257641">
      <w:pPr>
        <w:pStyle w:val="Heading5"/>
      </w:pPr>
      <w:r>
        <w:t xml:space="preserve">9.1.3.1 </w:t>
      </w:r>
      <w:r w:rsidR="00606432" w:rsidRPr="00B727EF">
        <w:t>Required Elements of the Internal Compliance Plan</w:t>
      </w:r>
    </w:p>
    <w:p w14:paraId="790C3AE5" w14:textId="73AE7444" w:rsidR="009A0060" w:rsidRPr="00DF1D1C" w:rsidRDefault="009A0060" w:rsidP="00257641">
      <w:pPr>
        <w:pStyle w:val="normal6"/>
      </w:pPr>
      <w:r w:rsidRPr="00DF1D1C">
        <w:t>The MCO</w:t>
      </w:r>
      <w:r w:rsidR="00FA1C0C" w:rsidRPr="00DF1D1C">
        <w:t>’</w:t>
      </w:r>
      <w:r w:rsidRPr="00DF1D1C">
        <w:t xml:space="preserve">s </w:t>
      </w:r>
      <w:r w:rsidR="00864B35">
        <w:t xml:space="preserve">Medicaid </w:t>
      </w:r>
      <w:r w:rsidR="001C0209">
        <w:t>compliance</w:t>
      </w:r>
      <w:r w:rsidRPr="00DF1D1C">
        <w:t xml:space="preserve"> plan must include the following elements:</w:t>
      </w:r>
    </w:p>
    <w:p w14:paraId="653C5FA5" w14:textId="258CBD4A" w:rsidR="009A0060" w:rsidRPr="00DF1D1C" w:rsidRDefault="009A0060" w:rsidP="00257641">
      <w:pPr>
        <w:pStyle w:val="StyleAfter12pt"/>
        <w:numPr>
          <w:ilvl w:val="0"/>
          <w:numId w:val="38"/>
        </w:numPr>
        <w:tabs>
          <w:tab w:val="clear" w:pos="360"/>
        </w:tabs>
        <w:spacing w:after="120"/>
        <w:ind w:left="720"/>
      </w:pPr>
      <w:r w:rsidRPr="00DF1D1C">
        <w:t>Written policies, procedures, and standards of conduct that articulate the organization</w:t>
      </w:r>
      <w:r w:rsidR="00FA1C0C" w:rsidRPr="00DF1D1C">
        <w:t>’</w:t>
      </w:r>
      <w:r w:rsidRPr="00DF1D1C">
        <w:t xml:space="preserve">s </w:t>
      </w:r>
      <w:r w:rsidR="007339D7" w:rsidRPr="00DF1D1C">
        <w:t>com</w:t>
      </w:r>
      <w:r w:rsidR="007339D7">
        <w:t>m</w:t>
      </w:r>
      <w:r w:rsidR="007339D7" w:rsidRPr="00DF1D1C">
        <w:t>itment</w:t>
      </w:r>
      <w:r w:rsidRPr="00DF1D1C">
        <w:t xml:space="preserve"> to comply with all applicable </w:t>
      </w:r>
      <w:r w:rsidR="001E59F4">
        <w:t>requirements and standards under the contract, and all applicable</w:t>
      </w:r>
      <w:r w:rsidR="001E59F4" w:rsidRPr="00DF1D1C">
        <w:t xml:space="preserve"> </w:t>
      </w:r>
      <w:r w:rsidRPr="00DF1D1C">
        <w:t xml:space="preserve">Federal and State </w:t>
      </w:r>
      <w:r w:rsidR="001E59F4">
        <w:t>requirements</w:t>
      </w:r>
      <w:r w:rsidRPr="00DF1D1C">
        <w:t>;</w:t>
      </w:r>
    </w:p>
    <w:p w14:paraId="582E31E7" w14:textId="23467AC7" w:rsidR="009A0060" w:rsidRPr="00DF1D1C" w:rsidRDefault="009A0060" w:rsidP="00257641">
      <w:pPr>
        <w:pStyle w:val="StyleAfter12pt"/>
        <w:numPr>
          <w:ilvl w:val="0"/>
          <w:numId w:val="38"/>
        </w:numPr>
        <w:tabs>
          <w:tab w:val="clear" w:pos="360"/>
        </w:tabs>
        <w:spacing w:after="120"/>
        <w:ind w:left="720"/>
      </w:pPr>
      <w:r w:rsidRPr="00DF1D1C">
        <w:t xml:space="preserve">The designation of a compliance officer </w:t>
      </w:r>
      <w:r w:rsidR="007227D7">
        <w:t>who is responsible for developing and implementing policies, procedures, and practices designed to ensure compliance with the requirements of the contract and who reports directly to the CEO and the Board of Directors</w:t>
      </w:r>
      <w:r w:rsidRPr="00DF1D1C">
        <w:t>;</w:t>
      </w:r>
    </w:p>
    <w:p w14:paraId="2BDE3873" w14:textId="77777777" w:rsidR="007227D7" w:rsidRPr="00DF1D1C" w:rsidRDefault="007227D7" w:rsidP="00257641">
      <w:pPr>
        <w:pStyle w:val="StyleAfter12pt"/>
        <w:numPr>
          <w:ilvl w:val="0"/>
          <w:numId w:val="38"/>
        </w:numPr>
        <w:tabs>
          <w:tab w:val="clear" w:pos="360"/>
          <w:tab w:val="num" w:pos="900"/>
        </w:tabs>
        <w:spacing w:after="120"/>
        <w:ind w:left="720"/>
      </w:pPr>
      <w:r>
        <w:t>The establishment of a Regulatory Compliance Committee on the Board of Directors and at the senior management level charged with overseeing the organizations compliance program and its compliance with the requirements under the contract;</w:t>
      </w:r>
    </w:p>
    <w:p w14:paraId="7F3D5982" w14:textId="3C046079" w:rsidR="009A0060" w:rsidRPr="00DF1D1C" w:rsidRDefault="007227D7" w:rsidP="00257641">
      <w:pPr>
        <w:pStyle w:val="StyleAfter12pt"/>
        <w:numPr>
          <w:ilvl w:val="0"/>
          <w:numId w:val="38"/>
        </w:numPr>
        <w:tabs>
          <w:tab w:val="clear" w:pos="360"/>
        </w:tabs>
        <w:spacing w:after="120"/>
        <w:ind w:left="720"/>
      </w:pPr>
      <w:r>
        <w:t>A system for training and education of the compliance officer and the organization’s employees, including senior management, on state and federal standards and requirements under the contract</w:t>
      </w:r>
      <w:r w:rsidR="009A0060" w:rsidRPr="00DF1D1C">
        <w:t>;</w:t>
      </w:r>
    </w:p>
    <w:p w14:paraId="6F9FD453" w14:textId="77777777" w:rsidR="009A0060" w:rsidRPr="00DF1D1C" w:rsidRDefault="009A0060" w:rsidP="00257641">
      <w:pPr>
        <w:pStyle w:val="StyleAfter12pt"/>
        <w:numPr>
          <w:ilvl w:val="0"/>
          <w:numId w:val="38"/>
        </w:numPr>
        <w:tabs>
          <w:tab w:val="clear" w:pos="360"/>
        </w:tabs>
        <w:spacing w:after="120"/>
        <w:ind w:left="720"/>
      </w:pPr>
      <w:r w:rsidRPr="00DF1D1C">
        <w:t>Effective lines of communication between the compliance officer and the organization</w:t>
      </w:r>
      <w:r w:rsidR="00FA1C0C" w:rsidRPr="00DF1D1C">
        <w:t>’</w:t>
      </w:r>
      <w:r w:rsidRPr="00DF1D1C">
        <w:t>s employees;</w:t>
      </w:r>
    </w:p>
    <w:p w14:paraId="61A156FB" w14:textId="2347AD67" w:rsidR="009A0060" w:rsidRPr="00DF1D1C" w:rsidRDefault="009A0060" w:rsidP="00257641">
      <w:pPr>
        <w:pStyle w:val="StyleAfter12pt"/>
        <w:numPr>
          <w:ilvl w:val="0"/>
          <w:numId w:val="38"/>
        </w:numPr>
        <w:tabs>
          <w:tab w:val="clear" w:pos="360"/>
        </w:tabs>
        <w:spacing w:after="120"/>
        <w:ind w:left="720"/>
      </w:pPr>
      <w:r w:rsidRPr="00DF1D1C">
        <w:t>Enforcement of standards through well-publicized disciplinary guidelines;</w:t>
      </w:r>
      <w:r w:rsidR="007227D7">
        <w:t xml:space="preserve"> and</w:t>
      </w:r>
    </w:p>
    <w:p w14:paraId="6B95D20D" w14:textId="6D60E756" w:rsidR="009A0060" w:rsidRPr="00DF1D1C" w:rsidRDefault="007227D7" w:rsidP="00257641">
      <w:pPr>
        <w:pStyle w:val="StyleAfter12pt"/>
        <w:numPr>
          <w:ilvl w:val="0"/>
          <w:numId w:val="38"/>
        </w:numPr>
        <w:tabs>
          <w:tab w:val="clear" w:pos="360"/>
        </w:tabs>
        <w:ind w:left="720"/>
      </w:pPr>
      <w:r>
        <w:lastRenderedPageBreak/>
        <w:t>Establishment and implementation of procedures and a system with dedicated staff for routine internal monitoring and auditing of compliance risks, prompt response to compliance issues, investigation of potential compliance problems as identified in the course of self-evaluation and audits, correction of such problems promptly and thoroughly (or coordination with law enforcement in instances of criminal acts) to reduce the potential for recurrence, and ongoing compliance with the requirements under the contract</w:t>
      </w:r>
      <w:r w:rsidR="009A0060" w:rsidRPr="00DF1D1C">
        <w:t>.</w:t>
      </w:r>
    </w:p>
    <w:p w14:paraId="2A84EA96" w14:textId="7546B726" w:rsidR="00606432" w:rsidRDefault="0042638E" w:rsidP="00257641">
      <w:pPr>
        <w:pStyle w:val="Heading5"/>
      </w:pPr>
      <w:r>
        <w:t xml:space="preserve">9.1.3.2 </w:t>
      </w:r>
      <w:r w:rsidR="00606432" w:rsidRPr="00B727EF">
        <w:t>Required Procedures for the</w:t>
      </w:r>
      <w:r w:rsidR="00606432">
        <w:t xml:space="preserve"> </w:t>
      </w:r>
      <w:r w:rsidR="00606432" w:rsidRPr="00415887">
        <w:t>Internal Compliance Plan</w:t>
      </w:r>
    </w:p>
    <w:p w14:paraId="6DA833C8" w14:textId="413E1893" w:rsidR="009A0060" w:rsidRPr="00DF1D1C" w:rsidRDefault="009A0060" w:rsidP="00257641">
      <w:pPr>
        <w:pStyle w:val="normal6"/>
      </w:pPr>
      <w:r w:rsidRPr="00DF1D1C">
        <w:t xml:space="preserve">The </w:t>
      </w:r>
      <w:r w:rsidR="00606432">
        <w:t xml:space="preserve">MCO’s Medicaid compliance </w:t>
      </w:r>
      <w:r w:rsidRPr="00DF1D1C">
        <w:t xml:space="preserve">plan </w:t>
      </w:r>
      <w:r w:rsidR="00606432">
        <w:t>must</w:t>
      </w:r>
      <w:r w:rsidR="00606432" w:rsidRPr="00DF1D1C">
        <w:t xml:space="preserve"> </w:t>
      </w:r>
      <w:r w:rsidRPr="00DF1D1C">
        <w:t xml:space="preserve">also include procedures for: </w:t>
      </w:r>
    </w:p>
    <w:p w14:paraId="68D7719F" w14:textId="3997CF45" w:rsidR="009A0060" w:rsidRPr="00DF1D1C" w:rsidRDefault="009A0060" w:rsidP="00257641">
      <w:pPr>
        <w:pStyle w:val="StyleAfter12pt"/>
        <w:numPr>
          <w:ilvl w:val="0"/>
          <w:numId w:val="39"/>
        </w:numPr>
        <w:tabs>
          <w:tab w:val="clear" w:pos="360"/>
        </w:tabs>
        <w:spacing w:after="120"/>
        <w:ind w:left="720"/>
      </w:pPr>
      <w:r w:rsidRPr="00DF1D1C">
        <w:t xml:space="preserve">Conducting regular reviews and audits of operations to guard against </w:t>
      </w:r>
      <w:r w:rsidR="007227D7">
        <w:t>FWA</w:t>
      </w:r>
      <w:r w:rsidRPr="00DF1D1C">
        <w:t>;</w:t>
      </w:r>
    </w:p>
    <w:p w14:paraId="2C2EC53E" w14:textId="4D13501B" w:rsidR="009E072C" w:rsidRPr="00DF1D1C" w:rsidRDefault="009E072C" w:rsidP="00257641">
      <w:pPr>
        <w:pStyle w:val="StyleAfter12pt"/>
        <w:numPr>
          <w:ilvl w:val="0"/>
          <w:numId w:val="39"/>
        </w:numPr>
        <w:tabs>
          <w:tab w:val="clear" w:pos="360"/>
        </w:tabs>
        <w:spacing w:after="120"/>
        <w:ind w:left="720"/>
      </w:pPr>
      <w:r w:rsidRPr="00DF1D1C">
        <w:t>Verifying</w:t>
      </w:r>
      <w:r w:rsidR="007227D7">
        <w:t xml:space="preserve">, </w:t>
      </w:r>
      <w:r w:rsidR="007227D7" w:rsidRPr="00735BB2">
        <w:t>through sampling or other methods,</w:t>
      </w:r>
      <w:r w:rsidR="007227D7" w:rsidRPr="00DF1D1C">
        <w:t xml:space="preserve"> </w:t>
      </w:r>
      <w:r w:rsidRPr="00DF1D1C">
        <w:t xml:space="preserve">whether services reimbursed were actually furnished to </w:t>
      </w:r>
      <w:r w:rsidR="0000205F">
        <w:t>enrollee</w:t>
      </w:r>
      <w:r w:rsidR="0000205F" w:rsidRPr="00DF1D1C">
        <w:t>s</w:t>
      </w:r>
      <w:r w:rsidRPr="00DF1D1C">
        <w:t xml:space="preserve">, </w:t>
      </w:r>
      <w:r w:rsidR="006B19C8">
        <w:t>including documenting the results of verification activities</w:t>
      </w:r>
      <w:r w:rsidRPr="00DF1D1C">
        <w:t>;</w:t>
      </w:r>
    </w:p>
    <w:p w14:paraId="1951A541" w14:textId="77777777" w:rsidR="009A0060" w:rsidRPr="00DF1D1C" w:rsidRDefault="009A0060" w:rsidP="00257641">
      <w:pPr>
        <w:pStyle w:val="StyleAfter12pt"/>
        <w:numPr>
          <w:ilvl w:val="0"/>
          <w:numId w:val="39"/>
        </w:numPr>
        <w:tabs>
          <w:tab w:val="clear" w:pos="360"/>
        </w:tabs>
        <w:spacing w:after="120"/>
        <w:ind w:left="720"/>
      </w:pPr>
      <w:r w:rsidRPr="00DF1D1C">
        <w:t>Assigning and strengthening internal controls to ensure claims are submitted and payments are made properly;</w:t>
      </w:r>
    </w:p>
    <w:p w14:paraId="6C3D7E42" w14:textId="17A45B41" w:rsidR="009A0060" w:rsidRPr="00DF1D1C" w:rsidRDefault="009A0060" w:rsidP="00257641">
      <w:pPr>
        <w:pStyle w:val="StyleAfter12pt"/>
        <w:numPr>
          <w:ilvl w:val="0"/>
          <w:numId w:val="39"/>
        </w:numPr>
        <w:tabs>
          <w:tab w:val="clear" w:pos="360"/>
        </w:tabs>
        <w:spacing w:after="120"/>
        <w:ind w:left="720"/>
      </w:pPr>
      <w:r w:rsidRPr="00DF1D1C">
        <w:t xml:space="preserve">Educating employees, network providers, and beneficiaries about </w:t>
      </w:r>
      <w:r w:rsidR="007227D7">
        <w:t>FWA</w:t>
      </w:r>
      <w:r w:rsidRPr="00DF1D1C">
        <w:t xml:space="preserve"> and how to report it;</w:t>
      </w:r>
    </w:p>
    <w:p w14:paraId="0E21AD67" w14:textId="174D98E5" w:rsidR="009A0060" w:rsidRPr="00DF1D1C" w:rsidRDefault="009A0060" w:rsidP="00257641">
      <w:pPr>
        <w:pStyle w:val="StyleAfter12pt"/>
        <w:numPr>
          <w:ilvl w:val="0"/>
          <w:numId w:val="39"/>
        </w:numPr>
        <w:tabs>
          <w:tab w:val="clear" w:pos="360"/>
        </w:tabs>
        <w:spacing w:after="120"/>
        <w:ind w:left="720"/>
      </w:pPr>
      <w:r w:rsidRPr="00DF1D1C">
        <w:t xml:space="preserve">Effectively organizing resources to respond to complaints of </w:t>
      </w:r>
      <w:r w:rsidR="007227D7">
        <w:t>FWA</w:t>
      </w:r>
      <w:r w:rsidRPr="00DF1D1C">
        <w:t>;</w:t>
      </w:r>
    </w:p>
    <w:p w14:paraId="3D0612F9" w14:textId="16EF3939" w:rsidR="009A0060" w:rsidRDefault="009A0060" w:rsidP="00257641">
      <w:pPr>
        <w:pStyle w:val="StyleAfter12pt"/>
        <w:numPr>
          <w:ilvl w:val="0"/>
          <w:numId w:val="39"/>
        </w:numPr>
        <w:tabs>
          <w:tab w:val="clear" w:pos="360"/>
        </w:tabs>
        <w:spacing w:after="120"/>
        <w:ind w:left="720"/>
      </w:pPr>
      <w:r w:rsidRPr="00DF1D1C">
        <w:t xml:space="preserve">Establishing procedures to </w:t>
      </w:r>
      <w:r w:rsidR="00606432">
        <w:t>investigate</w:t>
      </w:r>
      <w:r w:rsidR="00606432" w:rsidRPr="00DF1D1C">
        <w:t xml:space="preserve"> </w:t>
      </w:r>
      <w:r w:rsidR="007227D7">
        <w:t>FWA</w:t>
      </w:r>
      <w:r w:rsidRPr="00DF1D1C">
        <w:t xml:space="preserve"> complaints;</w:t>
      </w:r>
    </w:p>
    <w:p w14:paraId="2D12AA08" w14:textId="32C7BE26" w:rsidR="009A0060" w:rsidRPr="00DF1D1C" w:rsidRDefault="009A0060" w:rsidP="00257641">
      <w:pPr>
        <w:pStyle w:val="StyleAfter12pt"/>
        <w:numPr>
          <w:ilvl w:val="0"/>
          <w:numId w:val="39"/>
        </w:numPr>
        <w:tabs>
          <w:tab w:val="clear" w:pos="360"/>
        </w:tabs>
        <w:spacing w:after="120"/>
        <w:ind w:left="720"/>
      </w:pPr>
      <w:r w:rsidRPr="00DF1D1C">
        <w:t xml:space="preserve">Establishing procedures for reporting information to </w:t>
      </w:r>
      <w:r w:rsidR="00143AE9">
        <w:t>DHHR</w:t>
      </w:r>
      <w:r w:rsidR="00472BC7" w:rsidRPr="00DF1D1C">
        <w:t>; and</w:t>
      </w:r>
    </w:p>
    <w:p w14:paraId="4011CB00" w14:textId="77777777" w:rsidR="009A0060" w:rsidRDefault="009A0060" w:rsidP="00257641">
      <w:pPr>
        <w:pStyle w:val="StyleAfter12pt"/>
        <w:numPr>
          <w:ilvl w:val="0"/>
          <w:numId w:val="39"/>
        </w:numPr>
        <w:tabs>
          <w:tab w:val="clear" w:pos="360"/>
        </w:tabs>
        <w:ind w:left="720"/>
      </w:pPr>
      <w:r w:rsidRPr="00DF1D1C">
        <w:t xml:space="preserve">Developing procedures to monitor service patterns of providers, </w:t>
      </w:r>
      <w:r w:rsidR="00642406">
        <w:t>Su</w:t>
      </w:r>
      <w:r w:rsidRPr="00DF1D1C">
        <w:t>bcontractors, and beneficiaries.</w:t>
      </w:r>
    </w:p>
    <w:p w14:paraId="6878EC22" w14:textId="1313F083" w:rsidR="007227D7" w:rsidRDefault="007227D7" w:rsidP="00257641">
      <w:pPr>
        <w:pStyle w:val="Heading5"/>
      </w:pPr>
      <w:r>
        <w:t xml:space="preserve">9.1.3.3 </w:t>
      </w:r>
      <w:r w:rsidRPr="004C4025">
        <w:t>Training of Senior Management, Employees, and Subcontractors</w:t>
      </w:r>
    </w:p>
    <w:p w14:paraId="0207B670" w14:textId="77777777" w:rsidR="007227D7" w:rsidRDefault="007227D7" w:rsidP="00257641">
      <w:pPr>
        <w:pStyle w:val="normal6"/>
      </w:pPr>
      <w:r>
        <w:t xml:space="preserve">The MCOs and it subcontractors’ compliance program must include </w:t>
      </w:r>
      <w:r w:rsidRPr="004C4025">
        <w:t>a sys</w:t>
      </w:r>
      <w:r>
        <w:t xml:space="preserve">tem for training and education of </w:t>
      </w:r>
      <w:r w:rsidRPr="004C4025">
        <w:t xml:space="preserve">the </w:t>
      </w:r>
      <w:r>
        <w:t>following individuals on</w:t>
      </w:r>
      <w:r w:rsidRPr="004C4025">
        <w:t xml:space="preserve"> the federal and state standards and requirements under the contract</w:t>
      </w:r>
      <w:r>
        <w:t>:</w:t>
      </w:r>
    </w:p>
    <w:p w14:paraId="7CEE913E" w14:textId="77777777" w:rsidR="007227D7" w:rsidRPr="00B77382" w:rsidRDefault="007227D7" w:rsidP="00435C2A">
      <w:pPr>
        <w:pStyle w:val="bullet1"/>
        <w:spacing w:after="60"/>
        <w:rPr>
          <w:noProof/>
        </w:rPr>
      </w:pPr>
      <w:r w:rsidRPr="00B619C6">
        <w:rPr>
          <w:noProof/>
        </w:rPr>
        <w:t>T</w:t>
      </w:r>
      <w:r w:rsidRPr="00B77382">
        <w:rPr>
          <w:noProof/>
        </w:rPr>
        <w:t>he CEO</w:t>
      </w:r>
      <w:r>
        <w:rPr>
          <w:noProof/>
        </w:rPr>
        <w:t>;</w:t>
      </w:r>
    </w:p>
    <w:p w14:paraId="6746FE52" w14:textId="77777777" w:rsidR="007227D7" w:rsidRPr="00B77382" w:rsidRDefault="007227D7" w:rsidP="00435C2A">
      <w:pPr>
        <w:pStyle w:val="bullet1"/>
        <w:spacing w:after="60"/>
        <w:rPr>
          <w:noProof/>
        </w:rPr>
      </w:pPr>
      <w:r w:rsidRPr="00B77382">
        <w:rPr>
          <w:noProof/>
        </w:rPr>
        <w:t>The CFO</w:t>
      </w:r>
      <w:r>
        <w:rPr>
          <w:noProof/>
        </w:rPr>
        <w:t>;</w:t>
      </w:r>
    </w:p>
    <w:p w14:paraId="299777DE" w14:textId="77777777" w:rsidR="007227D7" w:rsidRPr="00B77382" w:rsidRDefault="007227D7" w:rsidP="00435C2A">
      <w:pPr>
        <w:pStyle w:val="bullet1"/>
        <w:spacing w:after="60"/>
        <w:rPr>
          <w:noProof/>
        </w:rPr>
      </w:pPr>
      <w:r w:rsidRPr="00B77382">
        <w:rPr>
          <w:noProof/>
        </w:rPr>
        <w:t>The organization's senior management</w:t>
      </w:r>
      <w:r>
        <w:rPr>
          <w:noProof/>
        </w:rPr>
        <w:t>;</w:t>
      </w:r>
      <w:r w:rsidRPr="00B77382">
        <w:rPr>
          <w:noProof/>
        </w:rPr>
        <w:t xml:space="preserve"> and </w:t>
      </w:r>
    </w:p>
    <w:p w14:paraId="32DE3E97" w14:textId="77777777" w:rsidR="007227D7" w:rsidRPr="00B77382" w:rsidRDefault="007227D7" w:rsidP="00257641">
      <w:pPr>
        <w:pStyle w:val="bullet1"/>
        <w:spacing w:after="240"/>
        <w:rPr>
          <w:noProof/>
          <w:szCs w:val="20"/>
        </w:rPr>
      </w:pPr>
      <w:r w:rsidRPr="00B619C6">
        <w:rPr>
          <w:noProof/>
          <w:szCs w:val="20"/>
        </w:rPr>
        <w:t>T</w:t>
      </w:r>
      <w:r w:rsidRPr="00B77382">
        <w:rPr>
          <w:noProof/>
          <w:szCs w:val="20"/>
        </w:rPr>
        <w:t>he organization's employees.</w:t>
      </w:r>
    </w:p>
    <w:p w14:paraId="236FBE3A" w14:textId="4163672A" w:rsidR="00606432" w:rsidRDefault="0042638E" w:rsidP="00257641">
      <w:pPr>
        <w:pStyle w:val="Heading5"/>
      </w:pPr>
      <w:r>
        <w:t>9.1.3.</w:t>
      </w:r>
      <w:r w:rsidR="007227D7">
        <w:t>4</w:t>
      </w:r>
      <w:r>
        <w:t xml:space="preserve"> </w:t>
      </w:r>
      <w:r w:rsidR="00606432" w:rsidRPr="00B727EF">
        <w:t xml:space="preserve">Requirement to Monitor Provider and Beneficiary </w:t>
      </w:r>
      <w:r w:rsidR="007227D7">
        <w:t>FWA</w:t>
      </w:r>
    </w:p>
    <w:p w14:paraId="05A58D87" w14:textId="786EA35A" w:rsidR="009A0060" w:rsidRPr="00DF1D1C" w:rsidRDefault="009A0060" w:rsidP="00257641">
      <w:pPr>
        <w:pStyle w:val="normal6"/>
      </w:pPr>
      <w:r w:rsidRPr="00DF1D1C">
        <w:t>The MCO must monitor provider fraud for underutilization of services and beneficiary/provider fraud for overutilization of services</w:t>
      </w:r>
      <w:r w:rsidR="0078080B" w:rsidRPr="00DF1D1C">
        <w:t xml:space="preserve">. </w:t>
      </w:r>
      <w:r w:rsidRPr="00DF1D1C">
        <w:t>Monitoring should include</w:t>
      </w:r>
      <w:r w:rsidR="007227D7">
        <w:t>,</w:t>
      </w:r>
      <w:r w:rsidR="00A85F44">
        <w:t xml:space="preserve"> but </w:t>
      </w:r>
      <w:r w:rsidR="007227D7">
        <w:t xml:space="preserve">is </w:t>
      </w:r>
      <w:r w:rsidR="00A85F44">
        <w:t>not limited to the following</w:t>
      </w:r>
      <w:r w:rsidRPr="00DF1D1C">
        <w:t>:</w:t>
      </w:r>
    </w:p>
    <w:p w14:paraId="3B33354E" w14:textId="1D7999B1" w:rsidR="00503303" w:rsidRPr="00DF1D1C" w:rsidRDefault="00472BC7" w:rsidP="00257641">
      <w:pPr>
        <w:pStyle w:val="StyleAfter12pt"/>
        <w:numPr>
          <w:ilvl w:val="0"/>
          <w:numId w:val="40"/>
        </w:numPr>
        <w:spacing w:after="120"/>
      </w:pPr>
      <w:r w:rsidRPr="00DF1D1C">
        <w:t>I</w:t>
      </w:r>
      <w:r w:rsidR="009A0060" w:rsidRPr="00DF1D1C">
        <w:t xml:space="preserve">dentifying provider </w:t>
      </w:r>
      <w:r w:rsidR="007227D7">
        <w:t>FWA</w:t>
      </w:r>
      <w:r w:rsidR="009A0060" w:rsidRPr="00DF1D1C">
        <w:t xml:space="preserve"> by reviewing for:</w:t>
      </w:r>
    </w:p>
    <w:p w14:paraId="3690D331" w14:textId="77777777" w:rsidR="00503303" w:rsidRDefault="00503303" w:rsidP="00257641">
      <w:pPr>
        <w:numPr>
          <w:ilvl w:val="1"/>
          <w:numId w:val="27"/>
        </w:numPr>
        <w:tabs>
          <w:tab w:val="clear" w:pos="1440"/>
        </w:tabs>
        <w:spacing w:after="80"/>
        <w:ind w:left="1267"/>
      </w:pPr>
      <w:r>
        <w:t>A lack of referrals;</w:t>
      </w:r>
    </w:p>
    <w:p w14:paraId="5CAF8F50" w14:textId="77777777" w:rsidR="00606432" w:rsidRDefault="00606432" w:rsidP="00257641">
      <w:pPr>
        <w:numPr>
          <w:ilvl w:val="1"/>
          <w:numId w:val="27"/>
        </w:numPr>
        <w:tabs>
          <w:tab w:val="clear" w:pos="1440"/>
        </w:tabs>
        <w:spacing w:after="80"/>
        <w:ind w:left="1267"/>
      </w:pPr>
      <w:r>
        <w:t>Patterns of self referral;</w:t>
      </w:r>
    </w:p>
    <w:p w14:paraId="6D02E12E" w14:textId="77777777" w:rsidR="009A0060" w:rsidRDefault="00472BC7" w:rsidP="00257641">
      <w:pPr>
        <w:numPr>
          <w:ilvl w:val="1"/>
          <w:numId w:val="27"/>
        </w:numPr>
        <w:tabs>
          <w:tab w:val="clear" w:pos="1440"/>
        </w:tabs>
        <w:spacing w:after="80"/>
        <w:ind w:left="1267"/>
      </w:pPr>
      <w:r w:rsidRPr="00DF1D1C">
        <w:t>I</w:t>
      </w:r>
      <w:r w:rsidR="009A0060" w:rsidRPr="00DF1D1C">
        <w:t>mproper coding (upcoding and unbundling)</w:t>
      </w:r>
      <w:r w:rsidRPr="00DF1D1C">
        <w:t>;</w:t>
      </w:r>
    </w:p>
    <w:p w14:paraId="22858E82" w14:textId="33D68E46" w:rsidR="009A0060" w:rsidRPr="00DF1D1C" w:rsidRDefault="00472BC7" w:rsidP="00257641">
      <w:pPr>
        <w:numPr>
          <w:ilvl w:val="1"/>
          <w:numId w:val="27"/>
        </w:numPr>
        <w:tabs>
          <w:tab w:val="clear" w:pos="1440"/>
        </w:tabs>
        <w:spacing w:after="80"/>
        <w:ind w:left="1267"/>
      </w:pPr>
      <w:r w:rsidRPr="00DF1D1C">
        <w:lastRenderedPageBreak/>
        <w:t>B</w:t>
      </w:r>
      <w:r w:rsidR="009A0060" w:rsidRPr="00DF1D1C">
        <w:t>illing for services never rendered</w:t>
      </w:r>
      <w:r w:rsidRPr="00DF1D1C">
        <w:t>;</w:t>
      </w:r>
      <w:r w:rsidR="009A0060" w:rsidRPr="00DF1D1C">
        <w:t xml:space="preserve"> </w:t>
      </w:r>
    </w:p>
    <w:p w14:paraId="2E8D8E49" w14:textId="2DBBE2B3" w:rsidR="00606432" w:rsidRDefault="00606432" w:rsidP="00257641">
      <w:pPr>
        <w:numPr>
          <w:ilvl w:val="1"/>
          <w:numId w:val="27"/>
        </w:numPr>
        <w:tabs>
          <w:tab w:val="clear" w:pos="1440"/>
        </w:tabs>
        <w:spacing w:after="80"/>
        <w:ind w:left="1267"/>
      </w:pPr>
      <w:r>
        <w:t>Billing non-covered services as covered services;</w:t>
      </w:r>
    </w:p>
    <w:p w14:paraId="77BBE8DF" w14:textId="346DF73E" w:rsidR="00606432" w:rsidRDefault="00606432" w:rsidP="00257641">
      <w:pPr>
        <w:numPr>
          <w:ilvl w:val="1"/>
          <w:numId w:val="27"/>
        </w:numPr>
        <w:tabs>
          <w:tab w:val="clear" w:pos="1440"/>
        </w:tabs>
        <w:spacing w:after="80"/>
        <w:ind w:left="1267"/>
      </w:pPr>
      <w:r>
        <w:t>Unqualifie</w:t>
      </w:r>
      <w:r w:rsidR="00356156">
        <w:t>d</w:t>
      </w:r>
      <w:r>
        <w:t xml:space="preserve"> providers billing for services; or</w:t>
      </w:r>
    </w:p>
    <w:p w14:paraId="78B8E12C" w14:textId="33BC15B2" w:rsidR="009A0060" w:rsidRPr="00DF1D1C" w:rsidRDefault="00606432" w:rsidP="00257641">
      <w:pPr>
        <w:numPr>
          <w:ilvl w:val="1"/>
          <w:numId w:val="27"/>
        </w:numPr>
        <w:tabs>
          <w:tab w:val="clear" w:pos="1440"/>
        </w:tabs>
        <w:spacing w:after="120"/>
        <w:ind w:left="1260"/>
      </w:pPr>
      <w:r>
        <w:t>Billing for medically unnecessary services</w:t>
      </w:r>
      <w:r w:rsidR="009A0060" w:rsidRPr="00DF1D1C">
        <w:t>.</w:t>
      </w:r>
    </w:p>
    <w:p w14:paraId="67A34DEB" w14:textId="5D09D033" w:rsidR="009A0060" w:rsidRPr="00DF1D1C" w:rsidRDefault="00472BC7" w:rsidP="00257641">
      <w:pPr>
        <w:pStyle w:val="StyleAfter12pt"/>
        <w:numPr>
          <w:ilvl w:val="0"/>
          <w:numId w:val="40"/>
        </w:numPr>
        <w:spacing w:after="120"/>
      </w:pPr>
      <w:r w:rsidRPr="00DF1D1C">
        <w:t>I</w:t>
      </w:r>
      <w:r w:rsidR="009A0060" w:rsidRPr="00DF1D1C">
        <w:t xml:space="preserve">dentifying beneficiary </w:t>
      </w:r>
      <w:r w:rsidR="007227D7">
        <w:t>FWA</w:t>
      </w:r>
      <w:r w:rsidR="007227D7" w:rsidRPr="00DF1D1C">
        <w:t xml:space="preserve"> </w:t>
      </w:r>
      <w:r w:rsidR="009A0060" w:rsidRPr="00DF1D1C">
        <w:t>by reviewing</w:t>
      </w:r>
      <w:r w:rsidR="007227D7">
        <w:t xml:space="preserve"> for</w:t>
      </w:r>
      <w:r w:rsidR="009A0060" w:rsidRPr="00DF1D1C">
        <w:t>:</w:t>
      </w:r>
    </w:p>
    <w:p w14:paraId="0A1DD5CE" w14:textId="6286F59A" w:rsidR="009A0060" w:rsidRPr="00DF1D1C" w:rsidRDefault="00606432" w:rsidP="00257641">
      <w:pPr>
        <w:numPr>
          <w:ilvl w:val="0"/>
          <w:numId w:val="152"/>
        </w:numPr>
        <w:spacing w:after="80"/>
        <w:ind w:left="1267"/>
      </w:pPr>
      <w:r>
        <w:t>Overutilization of services, including i</w:t>
      </w:r>
      <w:r w:rsidR="009A0060" w:rsidRPr="00DF1D1C">
        <w:t>nappropriate emergency care</w:t>
      </w:r>
      <w:r w:rsidR="00472BC7" w:rsidRPr="00DF1D1C">
        <w:t>;</w:t>
      </w:r>
      <w:r w:rsidR="009A0060" w:rsidRPr="00DF1D1C">
        <w:t xml:space="preserve"> or</w:t>
      </w:r>
    </w:p>
    <w:p w14:paraId="359FF03E" w14:textId="77777777" w:rsidR="009A0060" w:rsidRDefault="00472BC7" w:rsidP="00257641">
      <w:pPr>
        <w:numPr>
          <w:ilvl w:val="0"/>
          <w:numId w:val="152"/>
        </w:numPr>
        <w:ind w:left="1267"/>
      </w:pPr>
      <w:r w:rsidRPr="00DF1D1C">
        <w:t>C</w:t>
      </w:r>
      <w:r w:rsidR="009A0060" w:rsidRPr="00DF1D1C">
        <w:t>ard-sharing.</w:t>
      </w:r>
    </w:p>
    <w:p w14:paraId="53D0468A" w14:textId="6E8907A8" w:rsidR="006B19C8" w:rsidRDefault="006B19C8" w:rsidP="00257641">
      <w:r w:rsidRPr="00A15F3C" w:rsidDel="0042638E">
        <w:t xml:space="preserve">The MCO </w:t>
      </w:r>
      <w:r w:rsidR="00890D6B" w:rsidDel="0042638E">
        <w:t>must</w:t>
      </w:r>
      <w:r w:rsidRPr="00A15F3C" w:rsidDel="0042638E">
        <w:t xml:space="preserve"> submit </w:t>
      </w:r>
      <w:r w:rsidR="00FE6DF8" w:rsidDel="0042638E">
        <w:t xml:space="preserve">a report summarizing the MCO’s activities and </w:t>
      </w:r>
      <w:r w:rsidRPr="00A15F3C" w:rsidDel="0042638E">
        <w:t xml:space="preserve">results of these monitoring analyses </w:t>
      </w:r>
      <w:r w:rsidR="00CF5C15" w:rsidDel="0042638E">
        <w:t>for the current state fiscal year</w:t>
      </w:r>
      <w:r w:rsidR="00CF5C15" w:rsidRPr="00A15F3C" w:rsidDel="0042638E">
        <w:t xml:space="preserve"> </w:t>
      </w:r>
      <w:r w:rsidRPr="00A15F3C" w:rsidDel="0042638E">
        <w:t xml:space="preserve">to </w:t>
      </w:r>
      <w:r w:rsidR="00606432">
        <w:t>DHHR</w:t>
      </w:r>
      <w:r w:rsidR="00606432" w:rsidRPr="00A15F3C" w:rsidDel="0042638E">
        <w:t xml:space="preserve"> </w:t>
      </w:r>
      <w:r w:rsidRPr="00A15F3C" w:rsidDel="0042638E">
        <w:t xml:space="preserve">by </w:t>
      </w:r>
      <w:r w:rsidDel="0042638E">
        <w:t>June</w:t>
      </w:r>
      <w:r w:rsidRPr="00A15F3C" w:rsidDel="0042638E">
        <w:t xml:space="preserve"> 1</w:t>
      </w:r>
      <w:r w:rsidDel="0042638E">
        <w:t>5</w:t>
      </w:r>
      <w:r w:rsidR="00606432" w:rsidRPr="00781340">
        <w:rPr>
          <w:vertAlign w:val="superscript"/>
        </w:rPr>
        <w:t>th</w:t>
      </w:r>
      <w:r w:rsidDel="0042638E">
        <w:t xml:space="preserve"> </w:t>
      </w:r>
      <w:r w:rsidRPr="00DF1D1C" w:rsidDel="0042638E">
        <w:t>of each year</w:t>
      </w:r>
      <w:r w:rsidDel="0042638E">
        <w:t>.</w:t>
      </w:r>
    </w:p>
    <w:p w14:paraId="5C4A1EBD" w14:textId="77777777" w:rsidR="007227D7" w:rsidRDefault="007227D7" w:rsidP="00257641">
      <w:r>
        <w:t>The MCO must have procedures in place for prompt notification to the Department when the MCO becomes aware of an enrollee’s death, change of address, or other changes in an enrollee’s circumstances that may affect eligibility.</w:t>
      </w:r>
    </w:p>
    <w:p w14:paraId="228A1D11" w14:textId="77777777" w:rsidR="007227D7" w:rsidRPr="00A15F3C" w:rsidRDefault="007227D7" w:rsidP="00257641">
      <w:r>
        <w:t>The MCO must have a procedure in place for prompt notification to the Department when the MCO becomes aware of a change in a network provider’s circumstances that may affect the network provider’s eligibility to participate in the managed care program, including the termination of the provider agreement with the MCO.</w:t>
      </w:r>
    </w:p>
    <w:p w14:paraId="782EED5A" w14:textId="19F7BBC2" w:rsidR="009A0060" w:rsidRPr="00DF1D1C" w:rsidRDefault="0042638E" w:rsidP="00257641">
      <w:pPr>
        <w:pStyle w:val="Heading4"/>
      </w:pPr>
      <w:r>
        <w:t>9</w:t>
      </w:r>
      <w:r w:rsidR="00E330D5">
        <w:t xml:space="preserve">.1.4 </w:t>
      </w:r>
      <w:r w:rsidR="00507EFF">
        <w:t>Fraud</w:t>
      </w:r>
      <w:r w:rsidR="00606432">
        <w:t>, Waste,</w:t>
      </w:r>
      <w:r w:rsidR="00507EFF">
        <w:t xml:space="preserve"> and Abuse Reports </w:t>
      </w:r>
    </w:p>
    <w:p w14:paraId="3B549201" w14:textId="5A83B278" w:rsidR="009A0060" w:rsidRDefault="009A0060" w:rsidP="00257641">
      <w:pPr>
        <w:pStyle w:val="normal6"/>
      </w:pPr>
      <w:r w:rsidRPr="00DF1D1C">
        <w:t>The MCO must</w:t>
      </w:r>
      <w:r w:rsidR="000F15A1" w:rsidRPr="00DF1D1C">
        <w:t xml:space="preserve"> submit a report to </w:t>
      </w:r>
      <w:r w:rsidR="00143AE9">
        <w:t xml:space="preserve">DHHR </w:t>
      </w:r>
      <w:r w:rsidR="00D067C9">
        <w:t xml:space="preserve">within </w:t>
      </w:r>
      <w:r w:rsidR="0015301A">
        <w:t>fifteen</w:t>
      </w:r>
      <w:r w:rsidR="00143AE9">
        <w:t xml:space="preserve"> (</w:t>
      </w:r>
      <w:r w:rsidR="0015301A">
        <w:t>1</w:t>
      </w:r>
      <w:r w:rsidR="00D067C9">
        <w:t>5</w:t>
      </w:r>
      <w:r w:rsidR="00143AE9">
        <w:t>) calendar</w:t>
      </w:r>
      <w:r w:rsidR="00D067C9">
        <w:t xml:space="preserve"> days of the end of each </w:t>
      </w:r>
      <w:r w:rsidR="0015301A">
        <w:t>month</w:t>
      </w:r>
      <w:r w:rsidR="0015301A" w:rsidRPr="00DF1D1C">
        <w:t xml:space="preserve"> </w:t>
      </w:r>
      <w:r w:rsidR="000F15A1" w:rsidRPr="00DF1D1C">
        <w:t xml:space="preserve">regarding </w:t>
      </w:r>
      <w:r w:rsidR="0015301A">
        <w:t xml:space="preserve">program integrity activities and suspected </w:t>
      </w:r>
      <w:r w:rsidRPr="00DF1D1C">
        <w:t>fraud</w:t>
      </w:r>
      <w:r w:rsidR="00D067C9">
        <w:t>, waste</w:t>
      </w:r>
      <w:r w:rsidR="00CC5663">
        <w:t>,</w:t>
      </w:r>
      <w:r w:rsidRPr="00DF1D1C">
        <w:t xml:space="preserve"> and</w:t>
      </w:r>
      <w:r w:rsidR="0015301A">
        <w:t>/or</w:t>
      </w:r>
      <w:r w:rsidRPr="00DF1D1C">
        <w:t xml:space="preserve"> abuse</w:t>
      </w:r>
      <w:r w:rsidR="000F15A1" w:rsidRPr="00DF1D1C">
        <w:t xml:space="preserve"> </w:t>
      </w:r>
      <w:r w:rsidR="00595C3E" w:rsidRPr="00DF1D1C">
        <w:t xml:space="preserve">identified during the prior </w:t>
      </w:r>
      <w:r w:rsidR="0015301A">
        <w:t>month</w:t>
      </w:r>
      <w:r w:rsidRPr="00DF1D1C">
        <w:t xml:space="preserve">. </w:t>
      </w:r>
      <w:r w:rsidR="000F15A1" w:rsidRPr="00DF1D1C">
        <w:t xml:space="preserve">The report </w:t>
      </w:r>
      <w:r w:rsidR="0015301A">
        <w:t>must conform to the FWA Report template provided by the Department and</w:t>
      </w:r>
      <w:r w:rsidR="0015301A" w:rsidRPr="00DF1D1C">
        <w:t xml:space="preserve"> </w:t>
      </w:r>
      <w:r w:rsidR="000F15A1" w:rsidRPr="00DF1D1C">
        <w:t>must include</w:t>
      </w:r>
      <w:r w:rsidR="00926BB5">
        <w:t xml:space="preserve"> complete</w:t>
      </w:r>
      <w:r w:rsidR="000F15A1" w:rsidRPr="00DF1D1C">
        <w:t xml:space="preserve"> </w:t>
      </w:r>
      <w:r w:rsidR="00926BB5">
        <w:t xml:space="preserve">information on </w:t>
      </w:r>
      <w:r w:rsidR="000F15A1" w:rsidRPr="00DF1D1C">
        <w:t xml:space="preserve">the following </w:t>
      </w:r>
      <w:r w:rsidR="00926BB5">
        <w:t>program integrity activities</w:t>
      </w:r>
      <w:r w:rsidRPr="00DF1D1C">
        <w:t>:</w:t>
      </w:r>
    </w:p>
    <w:p w14:paraId="672701BF" w14:textId="77777777" w:rsidR="0015301A" w:rsidRDefault="0015301A" w:rsidP="00257641">
      <w:pPr>
        <w:pStyle w:val="bullet1"/>
        <w:tabs>
          <w:tab w:val="clear" w:pos="1440"/>
        </w:tabs>
      </w:pPr>
      <w:r>
        <w:t>All program integrity activities initiated by the MCO or its contractors, and related outcomes;</w:t>
      </w:r>
    </w:p>
    <w:p w14:paraId="462EF3B6" w14:textId="00F64216" w:rsidR="00926BB5" w:rsidRDefault="00926BB5" w:rsidP="00257641">
      <w:pPr>
        <w:pStyle w:val="bullet1"/>
      </w:pPr>
      <w:r>
        <w:t xml:space="preserve">Referrals made to </w:t>
      </w:r>
      <w:r w:rsidR="00143AE9">
        <w:t>DHHR</w:t>
      </w:r>
      <w:r>
        <w:t>/MFCU;</w:t>
      </w:r>
    </w:p>
    <w:p w14:paraId="15DCF27B" w14:textId="09629D1C" w:rsidR="00926BB5" w:rsidRDefault="00606432" w:rsidP="00257641">
      <w:pPr>
        <w:pStyle w:val="bullet1"/>
      </w:pPr>
      <w:r>
        <w:t>All o</w:t>
      </w:r>
      <w:r w:rsidR="00926BB5">
        <w:t>verpayments identified</w:t>
      </w:r>
      <w:r w:rsidR="0015301A">
        <w:t>, including those unrelated to program integrity (i.e., administrative overpayments),</w:t>
      </w:r>
      <w:r w:rsidR="0015301A" w:rsidRPr="0089544D">
        <w:t xml:space="preserve"> </w:t>
      </w:r>
      <w:r w:rsidRPr="0089544D">
        <w:t>per 42 CFR 438.608</w:t>
      </w:r>
      <w:r w:rsidR="00926BB5">
        <w:t>;</w:t>
      </w:r>
      <w:r w:rsidR="00FE7F11">
        <w:t xml:space="preserve"> and</w:t>
      </w:r>
    </w:p>
    <w:p w14:paraId="70E34641" w14:textId="7ADC2A69" w:rsidR="00926BB5" w:rsidRPr="00DF1D1C" w:rsidRDefault="00606432" w:rsidP="00257641">
      <w:pPr>
        <w:pStyle w:val="bullet1"/>
        <w:spacing w:after="240"/>
      </w:pPr>
      <w:r>
        <w:t>All o</w:t>
      </w:r>
      <w:r w:rsidR="00926BB5">
        <w:t>verpayments recovered</w:t>
      </w:r>
      <w:r w:rsidR="0015301A">
        <w:t>, including those unrelated to program integrity (i.e., administrative overpayments),</w:t>
      </w:r>
      <w:r>
        <w:t xml:space="preserve"> </w:t>
      </w:r>
      <w:r w:rsidRPr="0089544D">
        <w:t>per 42 CFR 438.608</w:t>
      </w:r>
      <w:r w:rsidR="00926BB5">
        <w:t xml:space="preserve">. </w:t>
      </w:r>
    </w:p>
    <w:p w14:paraId="426DEDF6" w14:textId="5ADB7F2A" w:rsidR="000B1D59" w:rsidRPr="00DF1D1C" w:rsidRDefault="000B1D59" w:rsidP="00257641">
      <w:r>
        <w:t xml:space="preserve">The MCO must submit </w:t>
      </w:r>
      <w:r w:rsidR="00AF7381" w:rsidRPr="00DF1D1C">
        <w:t xml:space="preserve">to </w:t>
      </w:r>
      <w:r w:rsidR="00143AE9">
        <w:t>DHHR</w:t>
      </w:r>
      <w:r w:rsidR="00143AE9" w:rsidRPr="00DF1D1C">
        <w:t xml:space="preserve"> </w:t>
      </w:r>
      <w:r w:rsidR="00AF7381" w:rsidRPr="00DF1D1C">
        <w:t>by the 15</w:t>
      </w:r>
      <w:r w:rsidR="00AF7381" w:rsidRPr="00781340">
        <w:rPr>
          <w:vertAlign w:val="superscript"/>
        </w:rPr>
        <w:t>th</w:t>
      </w:r>
      <w:r w:rsidR="00AF7381" w:rsidRPr="00DF1D1C">
        <w:t xml:space="preserve"> of each month </w:t>
      </w:r>
      <w:r>
        <w:t xml:space="preserve">the </w:t>
      </w:r>
      <w:r w:rsidR="00FE7F11">
        <w:t xml:space="preserve">Suspension and Adverse Enrollment Action </w:t>
      </w:r>
      <w:r>
        <w:t>report</w:t>
      </w:r>
      <w:r w:rsidR="00F45883">
        <w:t xml:space="preserve"> for all in-network </w:t>
      </w:r>
      <w:r w:rsidR="00FE7F11">
        <w:t xml:space="preserve">suspensions, </w:t>
      </w:r>
      <w:r w:rsidR="00F45883">
        <w:t>terminations for cause</w:t>
      </w:r>
      <w:r w:rsidR="00FE7F11">
        <w:t>,</w:t>
      </w:r>
      <w:r w:rsidR="00F45883">
        <w:t xml:space="preserve"> and provider credentialing denials </w:t>
      </w:r>
      <w:r w:rsidR="00FE7F11">
        <w:t xml:space="preserve">and non-renewals </w:t>
      </w:r>
      <w:r w:rsidR="00F45883">
        <w:t xml:space="preserve">for cause </w:t>
      </w:r>
      <w:r w:rsidR="00F45883" w:rsidRPr="00DF1D1C">
        <w:t>during the prior calendar month</w:t>
      </w:r>
      <w:r w:rsidR="00FE7F11">
        <w:t>, as noted in Article I</w:t>
      </w:r>
      <w:r w:rsidR="000C0DE5">
        <w:t xml:space="preserve">II, Section </w:t>
      </w:r>
      <w:r w:rsidR="002B68CD">
        <w:t>3</w:t>
      </w:r>
      <w:r w:rsidR="000C0DE5">
        <w:t>.1.4 and Appendix D</w:t>
      </w:r>
      <w:r w:rsidR="00FE7F11">
        <w:t>.</w:t>
      </w:r>
      <w:r w:rsidR="003150A4">
        <w:t xml:space="preserve"> </w:t>
      </w:r>
      <w:r w:rsidR="00FE7F11">
        <w:t xml:space="preserve">See also Article III, Section </w:t>
      </w:r>
      <w:r w:rsidR="009F4504">
        <w:t>9</w:t>
      </w:r>
      <w:r w:rsidR="00FE7F11">
        <w:t>.2, and Credible Allegation of Fraud</w:t>
      </w:r>
      <w:r w:rsidR="00F45883" w:rsidRPr="00DF1D1C">
        <w:t>.</w:t>
      </w:r>
    </w:p>
    <w:p w14:paraId="0E4EBDDA" w14:textId="01430D3D" w:rsidR="009A0060" w:rsidRDefault="00202416" w:rsidP="00257641">
      <w:r>
        <w:t xml:space="preserve">The MCO will notify DHHR of all incidents </w:t>
      </w:r>
      <w:r w:rsidR="00394ABD">
        <w:t>of suspected fraud</w:t>
      </w:r>
      <w:r w:rsidR="00507EFF">
        <w:t>, waste</w:t>
      </w:r>
      <w:r w:rsidR="00EA3B8D">
        <w:t>,</w:t>
      </w:r>
      <w:r w:rsidR="00394ABD">
        <w:t xml:space="preserve"> </w:t>
      </w:r>
      <w:r w:rsidR="00507EFF">
        <w:t xml:space="preserve">or </w:t>
      </w:r>
      <w:r w:rsidR="00394ABD">
        <w:t xml:space="preserve">abuse </w:t>
      </w:r>
      <w:r>
        <w:t xml:space="preserve">even if it is also referred </w:t>
      </w:r>
      <w:r w:rsidR="00394ABD">
        <w:t xml:space="preserve">to an entity other than </w:t>
      </w:r>
      <w:r>
        <w:t xml:space="preserve">DHHR such as the </w:t>
      </w:r>
      <w:r w:rsidRPr="00E97714">
        <w:t xml:space="preserve">appropriate licensing and/or disciplinary bodies </w:t>
      </w:r>
      <w:r>
        <w:t>or</w:t>
      </w:r>
      <w:r w:rsidRPr="00E97714">
        <w:t xml:space="preserve"> other appropriate authorities</w:t>
      </w:r>
      <w:r w:rsidR="00394ABD">
        <w:t>.</w:t>
      </w:r>
    </w:p>
    <w:p w14:paraId="1894D047" w14:textId="5F34464B" w:rsidR="00F55FC5" w:rsidRDefault="0042638E" w:rsidP="00257641">
      <w:pPr>
        <w:pStyle w:val="Heading4"/>
      </w:pPr>
      <w:r>
        <w:lastRenderedPageBreak/>
        <w:t>9</w:t>
      </w:r>
      <w:r w:rsidR="00E330D5">
        <w:t xml:space="preserve">.1.5 </w:t>
      </w:r>
      <w:r w:rsidR="00A059E8">
        <w:t>Investigations</w:t>
      </w:r>
    </w:p>
    <w:p w14:paraId="2006F2F6" w14:textId="199C112B" w:rsidR="00277632" w:rsidRDefault="00EB519F" w:rsidP="00257641">
      <w:r>
        <w:t xml:space="preserve">The MCO must cooperate and assist </w:t>
      </w:r>
      <w:r w:rsidR="005539AE">
        <w:t xml:space="preserve">DHHR </w:t>
      </w:r>
      <w:r w:rsidR="001F117E">
        <w:t>or</w:t>
      </w:r>
      <w:r>
        <w:t xml:space="preserve"> any </w:t>
      </w:r>
      <w:r w:rsidR="007A7DF6">
        <w:t>S</w:t>
      </w:r>
      <w:r>
        <w:t xml:space="preserve">tate or </w:t>
      </w:r>
      <w:r w:rsidR="007A7DF6">
        <w:t>F</w:t>
      </w:r>
      <w:r>
        <w:t>ederal agency charged with the duty of identifying, investigating, sanctioning</w:t>
      </w:r>
      <w:r w:rsidR="00EA3B8D">
        <w:t>,</w:t>
      </w:r>
      <w:r>
        <w:t xml:space="preserve"> or prosecuting suspected </w:t>
      </w:r>
      <w:r w:rsidR="00162A36">
        <w:t>fraud, waste, or abuse</w:t>
      </w:r>
      <w:r>
        <w:t>.</w:t>
      </w:r>
      <w:r w:rsidR="008F25BB">
        <w:t xml:space="preserve"> </w:t>
      </w:r>
      <w:r w:rsidR="00277632">
        <w:t xml:space="preserve">The MCO is responsible for investigating possible acts of </w:t>
      </w:r>
      <w:r w:rsidR="00162A36">
        <w:t>fraud, waste, or abuse</w:t>
      </w:r>
      <w:r w:rsidR="00277632">
        <w:t xml:space="preserve"> for all services, including those that the MCO subcontracts to outside entities.</w:t>
      </w:r>
    </w:p>
    <w:p w14:paraId="45A37F90" w14:textId="78F50874" w:rsidR="00D7342C" w:rsidRPr="00E20128" w:rsidRDefault="00D7342C" w:rsidP="00257641">
      <w:pPr>
        <w:rPr>
          <w:szCs w:val="22"/>
        </w:rPr>
      </w:pPr>
      <w:r>
        <w:t xml:space="preserve">If the MCO </w:t>
      </w:r>
      <w:r w:rsidR="007A7DF6">
        <w:t xml:space="preserve">identifies that </w:t>
      </w:r>
      <w:r>
        <w:t xml:space="preserve">fraud or abuse has occurred in the </w:t>
      </w:r>
      <w:r w:rsidR="00E120C9">
        <w:t xml:space="preserve">Medicaid </w:t>
      </w:r>
      <w:r>
        <w:t>program, based on information, data, or fac</w:t>
      </w:r>
      <w:r w:rsidR="001F117E">
        <w:t>ts</w:t>
      </w:r>
      <w:r w:rsidR="00675E69">
        <w:t>, the MCO must</w:t>
      </w:r>
      <w:r>
        <w:t xml:space="preserve"> immediately notify the </w:t>
      </w:r>
      <w:r w:rsidR="005539AE">
        <w:t xml:space="preserve">DHHR </w:t>
      </w:r>
      <w:r w:rsidR="00121C54">
        <w:t>OPI</w:t>
      </w:r>
      <w:r>
        <w:t xml:space="preserve"> following the completion of ordinary due diligence regarding a suspected</w:t>
      </w:r>
      <w:r w:rsidR="00675E69">
        <w:t xml:space="preserve"> fraud or abuse case. </w:t>
      </w:r>
      <w:r w:rsidR="00121C54" w:rsidRPr="00121C54">
        <w:t>If</w:t>
      </w:r>
      <w:r w:rsidR="00121C54">
        <w:t xml:space="preserve"> </w:t>
      </w:r>
      <w:r w:rsidR="005539AE">
        <w:t xml:space="preserve">DHHR </w:t>
      </w:r>
      <w:r w:rsidR="00121C54">
        <w:t>OPI accepts the case for State investigat</w:t>
      </w:r>
      <w:r w:rsidR="006D661A">
        <w:t>i</w:t>
      </w:r>
      <w:r w:rsidR="00121C54">
        <w:t>on</w:t>
      </w:r>
      <w:r w:rsidR="00121C54" w:rsidRPr="00121C54">
        <w:t xml:space="preserve">, the MCO may not engage in </w:t>
      </w:r>
      <w:r w:rsidR="00121C54">
        <w:t xml:space="preserve">investigation efforts other than coordination </w:t>
      </w:r>
      <w:r w:rsidR="00121C54" w:rsidRPr="00121C54">
        <w:t>efforts</w:t>
      </w:r>
      <w:r w:rsidR="00121C54">
        <w:t xml:space="preserve"> with the State.</w:t>
      </w:r>
      <w:r w:rsidR="00121C54" w:rsidRPr="00121C54">
        <w:t xml:space="preserve"> </w:t>
      </w:r>
      <w:r w:rsidR="00121C54">
        <w:t xml:space="preserve">The </w:t>
      </w:r>
      <w:r w:rsidR="005539AE">
        <w:t xml:space="preserve">DHHR </w:t>
      </w:r>
      <w:r w:rsidR="00121C54">
        <w:t xml:space="preserve">OPI </w:t>
      </w:r>
      <w:r w:rsidR="00F33B38">
        <w:t>must supply</w:t>
      </w:r>
      <w:r w:rsidR="00121C54">
        <w:t xml:space="preserve"> a notice to the MCO notifying </w:t>
      </w:r>
      <w:r w:rsidR="006D661A">
        <w:t xml:space="preserve">it of the case acceptance status </w:t>
      </w:r>
      <w:r w:rsidR="00121C54" w:rsidRPr="00121C54">
        <w:t xml:space="preserve">no later than the tenth </w:t>
      </w:r>
      <w:r w:rsidR="00D970E0">
        <w:t>(10</w:t>
      </w:r>
      <w:r w:rsidR="00D970E0" w:rsidRPr="00781340">
        <w:rPr>
          <w:vertAlign w:val="superscript"/>
        </w:rPr>
        <w:t>th</w:t>
      </w:r>
      <w:r w:rsidR="00D970E0">
        <w:t xml:space="preserve">) </w:t>
      </w:r>
      <w:r w:rsidR="00121C54" w:rsidRPr="00121C54">
        <w:t xml:space="preserve">business day after the MCO notifies the </w:t>
      </w:r>
      <w:r w:rsidR="005539AE">
        <w:t xml:space="preserve">DHHR </w:t>
      </w:r>
      <w:r w:rsidR="00121C54">
        <w:t xml:space="preserve">OPI </w:t>
      </w:r>
      <w:r w:rsidR="00121C54" w:rsidRPr="00121C54">
        <w:t>of the suspected fraud or abuse.</w:t>
      </w:r>
      <w:r w:rsidR="006D661A">
        <w:t xml:space="preserve"> The MCO may proceed with the investigation</w:t>
      </w:r>
      <w:r w:rsidR="00BF11F4">
        <w:t xml:space="preserve"> or </w:t>
      </w:r>
      <w:r w:rsidR="006D661A" w:rsidRPr="006D661A">
        <w:t xml:space="preserve">payment recovery efforts if the MCO receives </w:t>
      </w:r>
      <w:r w:rsidR="000856FE">
        <w:t xml:space="preserve">a </w:t>
      </w:r>
      <w:r w:rsidR="006D661A" w:rsidRPr="006D661A">
        <w:t xml:space="preserve">notice from the </w:t>
      </w:r>
      <w:r w:rsidR="005539AE">
        <w:t xml:space="preserve">DHHR </w:t>
      </w:r>
      <w:r w:rsidR="00BF11F4">
        <w:t>OPI</w:t>
      </w:r>
      <w:r w:rsidR="006D661A">
        <w:t xml:space="preserve"> </w:t>
      </w:r>
      <w:r w:rsidR="00416EBC">
        <w:t xml:space="preserve">and/or </w:t>
      </w:r>
      <w:r w:rsidR="00955D2E">
        <w:t xml:space="preserve">the MFCU </w:t>
      </w:r>
      <w:r w:rsidR="006D661A">
        <w:t>indicating that the MCO is authorized to proceed</w:t>
      </w:r>
      <w:r w:rsidR="00BF11F4">
        <w:t xml:space="preserve"> with a case</w:t>
      </w:r>
      <w:r w:rsidR="006D661A">
        <w:t xml:space="preserve">. </w:t>
      </w:r>
      <w:r w:rsidR="00E20128" w:rsidRPr="00CA4626">
        <w:rPr>
          <w:szCs w:val="22"/>
        </w:rPr>
        <w:t xml:space="preserve">Notification that MFCU does not accept </w:t>
      </w:r>
      <w:r w:rsidR="00162A36">
        <w:rPr>
          <w:szCs w:val="22"/>
        </w:rPr>
        <w:t xml:space="preserve">the </w:t>
      </w:r>
      <w:r w:rsidR="00E20128" w:rsidRPr="00CA4626">
        <w:rPr>
          <w:szCs w:val="22"/>
        </w:rPr>
        <w:t xml:space="preserve">referral </w:t>
      </w:r>
      <w:r w:rsidR="00DE6C3E">
        <w:rPr>
          <w:szCs w:val="22"/>
        </w:rPr>
        <w:t>must</w:t>
      </w:r>
      <w:r w:rsidR="00DE6C3E" w:rsidRPr="00CA4626">
        <w:rPr>
          <w:szCs w:val="22"/>
        </w:rPr>
        <w:t xml:space="preserve"> </w:t>
      </w:r>
      <w:r w:rsidR="00E20128" w:rsidRPr="00CA4626">
        <w:rPr>
          <w:szCs w:val="22"/>
        </w:rPr>
        <w:t>be deemed authorization for the MCO to proceed with the case.</w:t>
      </w:r>
      <w:r w:rsidR="00F24820">
        <w:rPr>
          <w:szCs w:val="22"/>
        </w:rPr>
        <w:t xml:space="preserve"> </w:t>
      </w:r>
      <w:r w:rsidR="00E20128" w:rsidRPr="00CA4626">
        <w:rPr>
          <w:szCs w:val="22"/>
        </w:rPr>
        <w:t xml:space="preserve">If </w:t>
      </w:r>
      <w:r w:rsidR="00162A36">
        <w:rPr>
          <w:szCs w:val="22"/>
        </w:rPr>
        <w:t xml:space="preserve">the </w:t>
      </w:r>
      <w:r w:rsidR="00E20128" w:rsidRPr="00CA4626">
        <w:rPr>
          <w:szCs w:val="22"/>
        </w:rPr>
        <w:t>MCO ha</w:t>
      </w:r>
      <w:r w:rsidR="00162A36">
        <w:rPr>
          <w:szCs w:val="22"/>
        </w:rPr>
        <w:t>s</w:t>
      </w:r>
      <w:r w:rsidR="00E20128" w:rsidRPr="00CA4626">
        <w:rPr>
          <w:szCs w:val="22"/>
        </w:rPr>
        <w:t xml:space="preserve"> not received </w:t>
      </w:r>
      <w:r w:rsidR="00162A36">
        <w:rPr>
          <w:szCs w:val="22"/>
        </w:rPr>
        <w:t>a</w:t>
      </w:r>
      <w:r w:rsidR="00162A36" w:rsidRPr="00CA4626">
        <w:rPr>
          <w:szCs w:val="22"/>
        </w:rPr>
        <w:t xml:space="preserve"> </w:t>
      </w:r>
      <w:r w:rsidR="00E20128" w:rsidRPr="00CA4626">
        <w:rPr>
          <w:szCs w:val="22"/>
        </w:rPr>
        <w:t xml:space="preserve">response from OPI after three </w:t>
      </w:r>
      <w:r w:rsidR="00162A36">
        <w:rPr>
          <w:szCs w:val="22"/>
        </w:rPr>
        <w:t xml:space="preserve">(3) </w:t>
      </w:r>
      <w:r w:rsidR="00E20128" w:rsidRPr="00CA4626">
        <w:rPr>
          <w:szCs w:val="22"/>
        </w:rPr>
        <w:t xml:space="preserve">requests by the MCO, or within </w:t>
      </w:r>
      <w:r w:rsidR="00830A67">
        <w:rPr>
          <w:szCs w:val="22"/>
        </w:rPr>
        <w:t>forty-five (</w:t>
      </w:r>
      <w:r w:rsidR="00E20128" w:rsidRPr="00CA4626">
        <w:rPr>
          <w:szCs w:val="22"/>
        </w:rPr>
        <w:t>45</w:t>
      </w:r>
      <w:r w:rsidR="00830A67">
        <w:rPr>
          <w:szCs w:val="22"/>
        </w:rPr>
        <w:t>)</w:t>
      </w:r>
      <w:r w:rsidR="00E20128" w:rsidRPr="00CA4626">
        <w:rPr>
          <w:szCs w:val="22"/>
        </w:rPr>
        <w:t xml:space="preserve"> </w:t>
      </w:r>
      <w:r w:rsidR="00D970E0">
        <w:rPr>
          <w:szCs w:val="22"/>
        </w:rPr>
        <w:t xml:space="preserve">calendar </w:t>
      </w:r>
      <w:r w:rsidR="00E20128" w:rsidRPr="00CA4626">
        <w:rPr>
          <w:szCs w:val="22"/>
        </w:rPr>
        <w:t>days of submission of referral, the MCO may proceed with its investigation</w:t>
      </w:r>
      <w:r w:rsidR="00C25203">
        <w:rPr>
          <w:szCs w:val="22"/>
        </w:rPr>
        <w:t xml:space="preserve"> up to and including recoveries</w:t>
      </w:r>
      <w:r w:rsidR="00E20128" w:rsidRPr="00CA4626">
        <w:rPr>
          <w:szCs w:val="22"/>
        </w:rPr>
        <w:t>.</w:t>
      </w:r>
    </w:p>
    <w:p w14:paraId="375D8795" w14:textId="6EAB8181" w:rsidR="009A0060" w:rsidRPr="00DF1D1C" w:rsidRDefault="0042638E" w:rsidP="00257641">
      <w:pPr>
        <w:pStyle w:val="Heading4"/>
      </w:pPr>
      <w:r>
        <w:t>9</w:t>
      </w:r>
      <w:r w:rsidR="00E330D5">
        <w:t xml:space="preserve">.1.6 </w:t>
      </w:r>
      <w:r w:rsidR="009A0060" w:rsidRPr="00DF1D1C">
        <w:t>Prevention and Detection</w:t>
      </w:r>
    </w:p>
    <w:p w14:paraId="69CD8149" w14:textId="6D4930FE" w:rsidR="006A74D7" w:rsidRDefault="009A0060" w:rsidP="00257641">
      <w:r w:rsidRPr="00DF1D1C">
        <w:t xml:space="preserve">The MCO must regularly submit encounter data as requested by </w:t>
      </w:r>
      <w:r w:rsidR="005539AE">
        <w:t>DHHR</w:t>
      </w:r>
      <w:r w:rsidRPr="00DF1D1C">
        <w:t xml:space="preserve">, as well as other data specified in Article III, Section </w:t>
      </w:r>
      <w:r w:rsidR="00846EBD">
        <w:t>6</w:t>
      </w:r>
      <w:r w:rsidRPr="00DF1D1C">
        <w:t>.</w:t>
      </w:r>
      <w:r w:rsidR="00AB4F2A" w:rsidRPr="00DF1D1C">
        <w:t>1</w:t>
      </w:r>
      <w:r w:rsidR="00846EBD">
        <w:t>0</w:t>
      </w:r>
      <w:r w:rsidRPr="00DF1D1C">
        <w:t xml:space="preserve"> of this contract. All other terms and conditions of the original Pur</w:t>
      </w:r>
      <w:r w:rsidR="00890D6B">
        <w:t xml:space="preserve">chase of Service </w:t>
      </w:r>
      <w:r w:rsidR="009B19C2">
        <w:t xml:space="preserve">Contract </w:t>
      </w:r>
      <w:r w:rsidR="00890D6B">
        <w:t xml:space="preserve">will </w:t>
      </w:r>
      <w:r w:rsidRPr="00DF1D1C">
        <w:t xml:space="preserve">remain unchanged and in full force and effect. </w:t>
      </w:r>
    </w:p>
    <w:p w14:paraId="0BE5C615" w14:textId="07D2B935" w:rsidR="006A74D7" w:rsidRPr="00DF1D1C" w:rsidRDefault="0042638E" w:rsidP="00257641">
      <w:pPr>
        <w:pStyle w:val="Heading4"/>
      </w:pPr>
      <w:r>
        <w:t>9</w:t>
      </w:r>
      <w:r w:rsidR="00E330D5">
        <w:t xml:space="preserve">.1.7 </w:t>
      </w:r>
      <w:r w:rsidR="006A74D7" w:rsidRPr="00DF1D1C">
        <w:t>False Claims Act</w:t>
      </w:r>
    </w:p>
    <w:p w14:paraId="08ECD113" w14:textId="77777777" w:rsidR="00340FBA" w:rsidRDefault="006A74D7" w:rsidP="00257641">
      <w:r w:rsidRPr="00DF1D1C">
        <w:t>Pursuant to Section 6032 of the Deficit Reduction Act of 2005, any entity who receives or makes Title XIX (Medicaid) payments of at least $5,000,000 annually must establish written or electronic policies and procedures for the education of employees of affected entities regarding false claims recoveries.</w:t>
      </w:r>
    </w:p>
    <w:p w14:paraId="001D7749" w14:textId="3FB67931" w:rsidR="00D032B3" w:rsidRDefault="0042638E" w:rsidP="00257641">
      <w:pPr>
        <w:pStyle w:val="Heading3"/>
      </w:pPr>
      <w:bookmarkStart w:id="203" w:name="_Toc8129063"/>
      <w:r>
        <w:t>9</w:t>
      </w:r>
      <w:r w:rsidR="00D032B3">
        <w:t>.2</w:t>
      </w:r>
      <w:r w:rsidR="00D032B3" w:rsidRPr="00DF1D1C">
        <w:tab/>
      </w:r>
      <w:r w:rsidR="00D032B3">
        <w:t>Credible Allegation of Fraud</w:t>
      </w:r>
      <w:bookmarkEnd w:id="203"/>
      <w:r w:rsidR="00D032B3">
        <w:t xml:space="preserve"> </w:t>
      </w:r>
    </w:p>
    <w:p w14:paraId="0575D389" w14:textId="77777777" w:rsidR="00783040" w:rsidRDefault="00783040" w:rsidP="00257641">
      <w:r>
        <w:t xml:space="preserve">42 CFR </w:t>
      </w:r>
      <w:r w:rsidRPr="006C23CE">
        <w:t xml:space="preserve">455.23 requires the State Medicaid </w:t>
      </w:r>
      <w:r w:rsidR="006B6C1F">
        <w:t>A</w:t>
      </w:r>
      <w:r w:rsidRPr="006C23CE">
        <w:t>gency to suspend all Medicaid</w:t>
      </w:r>
      <w:r>
        <w:t xml:space="preserve"> </w:t>
      </w:r>
      <w:r w:rsidRPr="006C23CE">
        <w:t xml:space="preserve">payments to a provider after the </w:t>
      </w:r>
      <w:r w:rsidR="006B6C1F">
        <w:t>A</w:t>
      </w:r>
      <w:r w:rsidRPr="006C23CE">
        <w:t>gency determines there is a credible allegation of fraud</w:t>
      </w:r>
      <w:r>
        <w:t xml:space="preserve"> </w:t>
      </w:r>
      <w:r w:rsidRPr="006C23CE">
        <w:t>for which an investigation is pending under the Medicaid program against an individual</w:t>
      </w:r>
      <w:r>
        <w:t xml:space="preserve"> </w:t>
      </w:r>
      <w:r w:rsidRPr="006C23CE">
        <w:t xml:space="preserve">or entity unless the agency has good cause </w:t>
      </w:r>
      <w:r w:rsidR="00920E8C" w:rsidRPr="006C23CE">
        <w:t xml:space="preserve">not </w:t>
      </w:r>
      <w:r w:rsidRPr="006C23CE">
        <w:t>to suspend payments or suspend</w:t>
      </w:r>
      <w:r>
        <w:t xml:space="preserve"> </w:t>
      </w:r>
      <w:r w:rsidRPr="006C23CE">
        <w:t>payment only in part. The rules governing</w:t>
      </w:r>
      <w:r>
        <w:t xml:space="preserve"> </w:t>
      </w:r>
      <w:r w:rsidRPr="006C23CE">
        <w:t>payment suspensions based upon pending investigations of credible allegations of fraud</w:t>
      </w:r>
      <w:r>
        <w:t xml:space="preserve"> </w:t>
      </w:r>
      <w:r w:rsidRPr="006C23CE">
        <w:t xml:space="preserve">apply to Medicaid managed care entities. </w:t>
      </w:r>
    </w:p>
    <w:p w14:paraId="1440E21A" w14:textId="0865F386" w:rsidR="00BC5EEF" w:rsidRDefault="0042638E" w:rsidP="00257641">
      <w:pPr>
        <w:pStyle w:val="Heading4"/>
      </w:pPr>
      <w:r>
        <w:t>9</w:t>
      </w:r>
      <w:r w:rsidR="00AC5563">
        <w:t xml:space="preserve">.2.1 </w:t>
      </w:r>
      <w:r w:rsidR="00825368">
        <w:t>Provider Payment Suspension</w:t>
      </w:r>
    </w:p>
    <w:p w14:paraId="182EAB31" w14:textId="423093C6" w:rsidR="006C23CE" w:rsidRDefault="006C23CE" w:rsidP="00257641">
      <w:r w:rsidRPr="006C23CE">
        <w:t xml:space="preserve">The MCO is required to cooperate with </w:t>
      </w:r>
      <w:r w:rsidR="00BC5EEF">
        <w:t>the</w:t>
      </w:r>
      <w:r w:rsidR="009F55AD">
        <w:t xml:space="preserve"> Department</w:t>
      </w:r>
      <w:r w:rsidR="009F55AD" w:rsidRPr="00C4675A">
        <w:t xml:space="preserve"> </w:t>
      </w:r>
      <w:r w:rsidRPr="006C23CE">
        <w:t>when payment suspensions are</w:t>
      </w:r>
      <w:r w:rsidR="00BC5EEF">
        <w:t xml:space="preserve"> </w:t>
      </w:r>
      <w:r w:rsidRPr="006C23CE">
        <w:t>imposed</w:t>
      </w:r>
      <w:r w:rsidR="00BC5EEF">
        <w:t xml:space="preserve"> </w:t>
      </w:r>
      <w:r w:rsidR="00162A36">
        <w:t xml:space="preserve">on </w:t>
      </w:r>
      <w:r w:rsidR="00BC5EEF">
        <w:t>the Medicaid provider</w:t>
      </w:r>
      <w:r w:rsidR="00507EFF">
        <w:t xml:space="preserve"> by the</w:t>
      </w:r>
      <w:r w:rsidR="009F55AD">
        <w:t xml:space="preserve"> Department</w:t>
      </w:r>
      <w:r w:rsidRPr="006C23CE">
        <w:t xml:space="preserve">. When </w:t>
      </w:r>
      <w:r w:rsidR="00162A36">
        <w:t xml:space="preserve">the </w:t>
      </w:r>
      <w:r w:rsidR="009F55AD">
        <w:t>Department</w:t>
      </w:r>
      <w:r w:rsidR="009F55AD" w:rsidRPr="00C4675A">
        <w:t xml:space="preserve"> </w:t>
      </w:r>
      <w:r w:rsidRPr="006C23CE">
        <w:t>sends notice that payments to a provider have been</w:t>
      </w:r>
      <w:r w:rsidR="00BC5EEF">
        <w:t xml:space="preserve"> </w:t>
      </w:r>
      <w:r w:rsidRPr="006C23CE">
        <w:t>suspended, the MCO must also suspend payments to the provider within</w:t>
      </w:r>
      <w:r w:rsidR="006B5D3F">
        <w:t xml:space="preserve"> one</w:t>
      </w:r>
      <w:r w:rsidRPr="006C23CE">
        <w:t xml:space="preserve"> </w:t>
      </w:r>
      <w:r w:rsidR="006B5D3F">
        <w:t>(</w:t>
      </w:r>
      <w:r w:rsidRPr="006C23CE">
        <w:t>1</w:t>
      </w:r>
      <w:r w:rsidR="006B5D3F">
        <w:t>)</w:t>
      </w:r>
      <w:r w:rsidRPr="006C23CE">
        <w:t xml:space="preserve"> business</w:t>
      </w:r>
      <w:r w:rsidR="00BC5EEF">
        <w:t xml:space="preserve"> </w:t>
      </w:r>
      <w:r w:rsidRPr="006C23CE">
        <w:t>day</w:t>
      </w:r>
      <w:r w:rsidR="00BC5EEF">
        <w:t xml:space="preserve"> if such provider is in the MCO network and receives payments</w:t>
      </w:r>
      <w:r w:rsidRPr="006C23CE">
        <w:t>. When such notice is received</w:t>
      </w:r>
      <w:r w:rsidR="00BC5EEF">
        <w:t xml:space="preserve"> from </w:t>
      </w:r>
      <w:r w:rsidR="009F55AD">
        <w:t>the Department</w:t>
      </w:r>
      <w:r w:rsidR="00BC5EEF">
        <w:t xml:space="preserve"> by the MCO</w:t>
      </w:r>
      <w:r w:rsidRPr="006C23CE">
        <w:t xml:space="preserve">, the MCO must respond to the notice within </w:t>
      </w:r>
      <w:r w:rsidR="00722535">
        <w:lastRenderedPageBreak/>
        <w:t xml:space="preserve">three (3) </w:t>
      </w:r>
      <w:r w:rsidRPr="006C23CE">
        <w:t xml:space="preserve">business days and inform </w:t>
      </w:r>
      <w:r w:rsidR="009F55AD">
        <w:t>the Department</w:t>
      </w:r>
      <w:r w:rsidR="009F55AD" w:rsidRPr="00C4675A">
        <w:t xml:space="preserve"> </w:t>
      </w:r>
      <w:r w:rsidRPr="006C23CE">
        <w:t>of whether the MCO has implemented the</w:t>
      </w:r>
      <w:r w:rsidR="00BC5EEF">
        <w:t xml:space="preserve"> </w:t>
      </w:r>
      <w:r w:rsidRPr="006C23CE">
        <w:t>suspension.</w:t>
      </w:r>
    </w:p>
    <w:p w14:paraId="516A3CBF" w14:textId="4B68CCD7" w:rsidR="006C23CE" w:rsidRPr="006C23CE" w:rsidRDefault="006C23CE" w:rsidP="00257641">
      <w:r w:rsidRPr="006C23CE">
        <w:t xml:space="preserve">The MCO must also report all of the following information to </w:t>
      </w:r>
      <w:r w:rsidR="009F55AD">
        <w:t>the Department</w:t>
      </w:r>
      <w:r w:rsidR="00BC5EEF">
        <w:t xml:space="preserve"> monthly</w:t>
      </w:r>
      <w:r w:rsidRPr="006C23CE">
        <w:t xml:space="preserve">: </w:t>
      </w:r>
      <w:r w:rsidR="00BC5EEF">
        <w:t xml:space="preserve">name of the suspended MCO provider, </w:t>
      </w:r>
      <w:r w:rsidRPr="006C23CE">
        <w:t>date the suspension was imposed, date the suspension was</w:t>
      </w:r>
      <w:r w:rsidR="00BC5EEF">
        <w:t xml:space="preserve"> </w:t>
      </w:r>
      <w:r w:rsidRPr="006C23CE">
        <w:t>discontinued, reason for discontinuing the suspension, amount</w:t>
      </w:r>
      <w:r w:rsidR="00BC5EEF">
        <w:t xml:space="preserve"> </w:t>
      </w:r>
      <w:r w:rsidRPr="006C23CE">
        <w:t>of payments held, and, if applicable, the good cause rationale for not suspending</w:t>
      </w:r>
      <w:r w:rsidR="00BC5EEF">
        <w:t xml:space="preserve"> </w:t>
      </w:r>
      <w:r w:rsidRPr="006C23CE">
        <w:t>payment (for example, the provider is not enrolled in the MCO’s network) or imposing a</w:t>
      </w:r>
      <w:r w:rsidR="00BC5EEF">
        <w:t xml:space="preserve"> </w:t>
      </w:r>
      <w:r w:rsidRPr="006C23CE">
        <w:t xml:space="preserve">partial payment suspension. </w:t>
      </w:r>
      <w:r w:rsidR="00093CCE" w:rsidRPr="00CA4626">
        <w:rPr>
          <w:szCs w:val="22"/>
        </w:rPr>
        <w:t xml:space="preserve">MCOs </w:t>
      </w:r>
      <w:r w:rsidR="00DE6C3E">
        <w:rPr>
          <w:szCs w:val="22"/>
        </w:rPr>
        <w:t>must</w:t>
      </w:r>
      <w:r w:rsidR="00DE6C3E" w:rsidRPr="00CA4626">
        <w:rPr>
          <w:szCs w:val="22"/>
        </w:rPr>
        <w:t xml:space="preserve"> </w:t>
      </w:r>
      <w:r w:rsidR="00093CCE" w:rsidRPr="00CA4626">
        <w:rPr>
          <w:szCs w:val="22"/>
        </w:rPr>
        <w:t xml:space="preserve">include in their monthly report those providers that the MCO was notified of by </w:t>
      </w:r>
      <w:r w:rsidR="005539AE">
        <w:rPr>
          <w:szCs w:val="22"/>
        </w:rPr>
        <w:t>DHHR</w:t>
      </w:r>
      <w:r w:rsidR="00093CCE" w:rsidRPr="00CA4626">
        <w:rPr>
          <w:szCs w:val="22"/>
        </w:rPr>
        <w:t>.</w:t>
      </w:r>
      <w:r w:rsidR="00F24820">
        <w:rPr>
          <w:szCs w:val="22"/>
        </w:rPr>
        <w:t xml:space="preserve"> </w:t>
      </w:r>
      <w:r w:rsidR="00093CCE" w:rsidRPr="00CA4626">
        <w:rPr>
          <w:szCs w:val="22"/>
        </w:rPr>
        <w:t xml:space="preserve">Reports </w:t>
      </w:r>
      <w:r w:rsidR="00DE6C3E">
        <w:rPr>
          <w:szCs w:val="22"/>
        </w:rPr>
        <w:t>must</w:t>
      </w:r>
      <w:r w:rsidR="00DE6C3E" w:rsidRPr="00CA4626">
        <w:rPr>
          <w:szCs w:val="22"/>
        </w:rPr>
        <w:t xml:space="preserve"> </w:t>
      </w:r>
      <w:r w:rsidR="00093CCE" w:rsidRPr="00CA4626">
        <w:rPr>
          <w:szCs w:val="22"/>
        </w:rPr>
        <w:t>also include the amount withheld from providers on a cumulative basis.</w:t>
      </w:r>
      <w:r w:rsidR="00093CCE">
        <w:t xml:space="preserve"> </w:t>
      </w:r>
      <w:r w:rsidR="00162A36">
        <w:t>This information must be reported on the Suspension and Adverse Enrollment Action Report template created by the Department.</w:t>
      </w:r>
      <w:r w:rsidR="003150A4">
        <w:t xml:space="preserve"> </w:t>
      </w:r>
      <w:r w:rsidRPr="006C23CE">
        <w:t>If the MCO does not suspend payments to the provider,</w:t>
      </w:r>
      <w:r w:rsidR="00BC5EEF">
        <w:t xml:space="preserve"> </w:t>
      </w:r>
      <w:r w:rsidR="009F55AD">
        <w:t>the Department</w:t>
      </w:r>
      <w:r w:rsidRPr="006C23CE">
        <w:t xml:space="preserve"> may impose contractual remedies.</w:t>
      </w:r>
    </w:p>
    <w:p w14:paraId="73A94795" w14:textId="4D1BBB2F" w:rsidR="006C23CE" w:rsidRDefault="009F55AD" w:rsidP="00257641">
      <w:r>
        <w:t>The Department</w:t>
      </w:r>
      <w:r w:rsidR="00C4675A" w:rsidRPr="00C4675A">
        <w:t xml:space="preserve"> is responsible for evaluating allegations of fraud and imposing payment suspensions, when appropriate, for those MCO providers who are</w:t>
      </w:r>
      <w:r w:rsidR="00BE5763">
        <w:t xml:space="preserve"> a part of</w:t>
      </w:r>
      <w:r w:rsidR="00C4675A" w:rsidRPr="00C4675A">
        <w:t xml:space="preserve"> the State </w:t>
      </w:r>
      <w:r w:rsidR="00162A36">
        <w:t>FFS</w:t>
      </w:r>
      <w:r w:rsidR="00BE5763">
        <w:t xml:space="preserve"> </w:t>
      </w:r>
      <w:r w:rsidR="00C4675A" w:rsidRPr="00C4675A">
        <w:t xml:space="preserve">network. </w:t>
      </w:r>
      <w:r w:rsidR="00825368">
        <w:t xml:space="preserve">The MCO </w:t>
      </w:r>
      <w:r w:rsidR="00C00925">
        <w:t xml:space="preserve">is responsible for </w:t>
      </w:r>
      <w:r w:rsidR="00825368">
        <w:t>initiat</w:t>
      </w:r>
      <w:r w:rsidR="00C00925">
        <w:t xml:space="preserve">ing </w:t>
      </w:r>
      <w:r w:rsidR="00825368">
        <w:t>payment suspension</w:t>
      </w:r>
      <w:r w:rsidR="00F843CF">
        <w:t>s</w:t>
      </w:r>
      <w:r w:rsidR="00825368">
        <w:t xml:space="preserve"> based on the credible allegation of fraud for its in-network providers</w:t>
      </w:r>
      <w:r w:rsidR="00BE5763">
        <w:t xml:space="preserve"> who are not a part the State </w:t>
      </w:r>
      <w:r w:rsidR="00162A36">
        <w:t>FFS</w:t>
      </w:r>
      <w:r w:rsidR="00BE5763">
        <w:t xml:space="preserve"> network</w:t>
      </w:r>
      <w:r w:rsidR="00825368">
        <w:t xml:space="preserve">. </w:t>
      </w:r>
      <w:r w:rsidR="006C23CE" w:rsidRPr="006C23CE">
        <w:t xml:space="preserve">For payment suspensions initiated by the MCO, the MCO must </w:t>
      </w:r>
      <w:r w:rsidR="00C00925">
        <w:t xml:space="preserve">comply with all requirements of 42 CFR 455.23. The MCO </w:t>
      </w:r>
      <w:r w:rsidR="00162A36">
        <w:t xml:space="preserve">must </w:t>
      </w:r>
      <w:r w:rsidR="006C23CE" w:rsidRPr="006C23CE">
        <w:t>report the following</w:t>
      </w:r>
      <w:r w:rsidR="00825368">
        <w:t xml:space="preserve"> </w:t>
      </w:r>
      <w:r w:rsidR="006C23CE" w:rsidRPr="006C23CE">
        <w:t>information to</w:t>
      </w:r>
      <w:r w:rsidR="00825368">
        <w:t xml:space="preserve"> </w:t>
      </w:r>
      <w:r>
        <w:t>the Department</w:t>
      </w:r>
      <w:r w:rsidR="00507EFF">
        <w:t xml:space="preserve"> within </w:t>
      </w:r>
      <w:r w:rsidR="006E1A98">
        <w:t>one (</w:t>
      </w:r>
      <w:r w:rsidR="00507EFF">
        <w:t>1</w:t>
      </w:r>
      <w:r w:rsidR="006E1A98">
        <w:t>)</w:t>
      </w:r>
      <w:r w:rsidR="00507EFF">
        <w:t xml:space="preserve"> business day after suspension</w:t>
      </w:r>
      <w:r w:rsidR="006C23CE" w:rsidRPr="006C23CE">
        <w:t>: the nature of the suspected fraud, basis for the suspension,</w:t>
      </w:r>
      <w:r w:rsidR="00825368">
        <w:t xml:space="preserve"> </w:t>
      </w:r>
      <w:r w:rsidR="006C23CE" w:rsidRPr="006C23CE">
        <w:t>date the suspension was imposed, date the suspension was discontinued, reason for</w:t>
      </w:r>
      <w:r w:rsidR="00825368">
        <w:t xml:space="preserve"> </w:t>
      </w:r>
      <w:r w:rsidR="006C23CE" w:rsidRPr="006C23CE">
        <w:t>discontinuing the suspension, outcome of any appeals, the amount of payments held,</w:t>
      </w:r>
      <w:r w:rsidR="00825368">
        <w:t xml:space="preserve"> </w:t>
      </w:r>
      <w:r w:rsidR="006C23CE" w:rsidRPr="006C23CE">
        <w:t>and, if applicable, the good cause rationale for imposing a partial payment suspension.</w:t>
      </w:r>
    </w:p>
    <w:p w14:paraId="402C1FB5" w14:textId="77A4D7F1" w:rsidR="00787DCF" w:rsidRPr="002654A7" w:rsidRDefault="0042638E" w:rsidP="00257641">
      <w:pPr>
        <w:pStyle w:val="Heading3"/>
      </w:pPr>
      <w:bookmarkStart w:id="204" w:name="_Toc8129064"/>
      <w:r>
        <w:t>9</w:t>
      </w:r>
      <w:r w:rsidR="00014D9B" w:rsidRPr="002654A7">
        <w:t>.3</w:t>
      </w:r>
      <w:r w:rsidR="00014D9B" w:rsidRPr="002654A7">
        <w:tab/>
      </w:r>
      <w:r w:rsidR="00787DCF" w:rsidRPr="002654A7">
        <w:t xml:space="preserve">Treatment of </w:t>
      </w:r>
      <w:r w:rsidR="00692A2F">
        <w:t>Overpayments</w:t>
      </w:r>
      <w:bookmarkEnd w:id="204"/>
    </w:p>
    <w:p w14:paraId="0184EAE9" w14:textId="3558301D" w:rsidR="00162A36" w:rsidRDefault="00162A36" w:rsidP="00257641">
      <w:r>
        <w:t>The retention of overpayments is dependent upon the circumstances under which such overpayments are identified and investigated.</w:t>
      </w:r>
      <w:r w:rsidR="003150A4">
        <w:t xml:space="preserve"> </w:t>
      </w:r>
      <w:r>
        <w:t>If the MCO does not identify and take action to recover provider overpayments in a timely manner, the Department reserves the right to identify, recover, and retain said overpayments.</w:t>
      </w:r>
      <w:r w:rsidR="003150A4">
        <w:t xml:space="preserve"> </w:t>
      </w:r>
      <w:r>
        <w:t>The Department will afford the MCO a reasonable grace period, as determined by the Department, to identify and recover overpayments from MCO providers before the Department will seek to recover and retain said overpayments.</w:t>
      </w:r>
      <w:r w:rsidR="003150A4">
        <w:t xml:space="preserve"> </w:t>
      </w:r>
    </w:p>
    <w:p w14:paraId="19A20E7E" w14:textId="2BE96EF2" w:rsidR="00E9724D" w:rsidRDefault="00162A36" w:rsidP="00257641">
      <w:r w:rsidRPr="00E9724D">
        <w:t>The Department and the MCO will participate cooperatively in deconfliction procedures to prevent duplication of program integrity activities.</w:t>
      </w:r>
      <w:r w:rsidR="003150A4">
        <w:t xml:space="preserve"> </w:t>
      </w:r>
      <w:r w:rsidRPr="00E9724D">
        <w:t xml:space="preserve">The monthly FWA report submitted by the MCO pursuant to Article III, Section </w:t>
      </w:r>
      <w:r w:rsidR="00846EBD">
        <w:t>9</w:t>
      </w:r>
      <w:r w:rsidRPr="00E9724D">
        <w:t>.1 of the Contract and the Department’s Notice of Program Integrity Activities will be utilized as deconfliction tools.</w:t>
      </w:r>
      <w:r w:rsidR="003150A4">
        <w:t xml:space="preserve"> </w:t>
      </w:r>
      <w:r w:rsidRPr="00E9724D">
        <w:t>Deconfliction will occur regardless of the grace period determined by the Department</w:t>
      </w:r>
      <w:r>
        <w:t>.</w:t>
      </w:r>
    </w:p>
    <w:p w14:paraId="2CEBB5B0" w14:textId="7912BB5B" w:rsidR="00B615BC" w:rsidRDefault="00B615BC" w:rsidP="00257641">
      <w:pPr>
        <w:pStyle w:val="Heading4"/>
      </w:pPr>
      <w:r>
        <w:t>9.3.1 Department’s Right to Collect from MCO</w:t>
      </w:r>
    </w:p>
    <w:p w14:paraId="69A5DB74" w14:textId="77777777" w:rsidR="00B615BC" w:rsidRDefault="00B615BC" w:rsidP="00257641">
      <w:pPr>
        <w:pStyle w:val="normal6"/>
      </w:pPr>
      <w:r>
        <w:t>The Department shall have the right to recover provider overpayments, including those overpayments due to WFA, from the MCO if:</w:t>
      </w:r>
    </w:p>
    <w:p w14:paraId="1AE0EC07" w14:textId="77777777" w:rsidR="00B615BC" w:rsidRPr="003316FE" w:rsidRDefault="00B615BC" w:rsidP="00257641">
      <w:pPr>
        <w:pStyle w:val="ListParagraph"/>
        <w:numPr>
          <w:ilvl w:val="0"/>
          <w:numId w:val="926"/>
        </w:numPr>
        <w:spacing w:after="120" w:line="240" w:lineRule="auto"/>
        <w:contextualSpacing w:val="0"/>
        <w:rPr>
          <w:rFonts w:ascii="Times New Roman" w:hAnsi="Times New Roman"/>
          <w:bCs/>
        </w:rPr>
      </w:pPr>
      <w:r w:rsidRPr="003316FE">
        <w:rPr>
          <w:rFonts w:ascii="Times New Roman" w:hAnsi="Times New Roman"/>
          <w:bCs/>
        </w:rPr>
        <w:t xml:space="preserve">the Department or its contractor identifies an overpayment made by the MCO to the provider; </w:t>
      </w:r>
    </w:p>
    <w:p w14:paraId="41CB77D3" w14:textId="77777777" w:rsidR="00B615BC" w:rsidRPr="003316FE" w:rsidRDefault="00B615BC" w:rsidP="00257641">
      <w:pPr>
        <w:pStyle w:val="ListParagraph"/>
        <w:numPr>
          <w:ilvl w:val="0"/>
          <w:numId w:val="926"/>
        </w:numPr>
        <w:spacing w:after="120" w:line="240" w:lineRule="auto"/>
        <w:contextualSpacing w:val="0"/>
        <w:rPr>
          <w:rFonts w:ascii="Times New Roman" w:hAnsi="Times New Roman"/>
          <w:bCs/>
        </w:rPr>
      </w:pPr>
      <w:r w:rsidRPr="003316FE">
        <w:rPr>
          <w:rFonts w:ascii="Times New Roman" w:hAnsi="Times New Roman"/>
          <w:bCs/>
        </w:rPr>
        <w:t xml:space="preserve">the payment occurred outside the grace period, as defined by the Department; </w:t>
      </w:r>
    </w:p>
    <w:p w14:paraId="35C0A4BB" w14:textId="77777777" w:rsidR="00B615BC" w:rsidRPr="003316FE" w:rsidRDefault="00B615BC" w:rsidP="00257641">
      <w:pPr>
        <w:pStyle w:val="ListParagraph"/>
        <w:numPr>
          <w:ilvl w:val="0"/>
          <w:numId w:val="926"/>
        </w:numPr>
        <w:spacing w:after="120" w:line="240" w:lineRule="auto"/>
        <w:contextualSpacing w:val="0"/>
        <w:rPr>
          <w:rFonts w:ascii="Times New Roman" w:hAnsi="Times New Roman"/>
          <w:bCs/>
        </w:rPr>
      </w:pPr>
      <w:r w:rsidRPr="003316FE">
        <w:rPr>
          <w:rFonts w:ascii="Times New Roman" w:hAnsi="Times New Roman"/>
          <w:bCs/>
        </w:rPr>
        <w:lastRenderedPageBreak/>
        <w:t>the MCO has not previously identified the overpayment via the deconfliction process outlined herein; and</w:t>
      </w:r>
    </w:p>
    <w:p w14:paraId="3A7C73EC" w14:textId="77777777" w:rsidR="00B615BC" w:rsidRPr="003316FE" w:rsidRDefault="00B615BC" w:rsidP="00257641">
      <w:pPr>
        <w:pStyle w:val="ListParagraph"/>
        <w:numPr>
          <w:ilvl w:val="0"/>
          <w:numId w:val="926"/>
        </w:numPr>
        <w:spacing w:after="160" w:line="240" w:lineRule="auto"/>
        <w:rPr>
          <w:rFonts w:ascii="Times New Roman" w:hAnsi="Times New Roman"/>
          <w:bCs/>
        </w:rPr>
      </w:pPr>
      <w:r w:rsidRPr="003316FE">
        <w:rPr>
          <w:rFonts w:ascii="Times New Roman" w:hAnsi="Times New Roman"/>
          <w:bCs/>
        </w:rPr>
        <w:t>the MFCU or other law enforcement entity is not pursuing the provider.</w:t>
      </w:r>
    </w:p>
    <w:p w14:paraId="53780458" w14:textId="0E873AB0" w:rsidR="00B615BC" w:rsidRDefault="00B615BC" w:rsidP="00257641">
      <w:r>
        <w:t>The Department will</w:t>
      </w:r>
      <w:r w:rsidRPr="00DA3602">
        <w:t xml:space="preserve"> send notice to the </w:t>
      </w:r>
      <w:r>
        <w:t>MCO with all information upon which the overpayment determination was based, along with a demand for payment.</w:t>
      </w:r>
      <w:r w:rsidR="003150A4">
        <w:t xml:space="preserve"> </w:t>
      </w:r>
      <w:r>
        <w:t>The MCO will enter into a payment agreement within thirty (30) calendar days of receiving notice, and effectuate payment within ninety (90) calendar days of notification.</w:t>
      </w:r>
      <w:r w:rsidR="003150A4">
        <w:t xml:space="preserve"> </w:t>
      </w:r>
      <w:r>
        <w:t>Failure to adhere to this process will result in liquidated da</w:t>
      </w:r>
      <w:r w:rsidR="000C0DE5">
        <w:t>mages as described in Appendix F</w:t>
      </w:r>
      <w:r>
        <w:t>.</w:t>
      </w:r>
      <w:r w:rsidR="003150A4">
        <w:t xml:space="preserve"> </w:t>
      </w:r>
      <w:r>
        <w:t>In the event that the MCO is invoiced for the overpayment by the Department, and the MCO recovers the overpayment from the provider, the provider’s sole remedy is under the provisions of the provider’s contract with the MCO.</w:t>
      </w:r>
      <w:r w:rsidR="003150A4">
        <w:t xml:space="preserve"> </w:t>
      </w:r>
      <w:r>
        <w:t xml:space="preserve">For provider appeals arising from actions </w:t>
      </w:r>
      <w:r w:rsidRPr="00BE774E">
        <w:t xml:space="preserve">taken pursuant </w:t>
      </w:r>
      <w:r>
        <w:t xml:space="preserve">to this section, the MCO </w:t>
      </w:r>
      <w:r w:rsidR="00DE6C3E">
        <w:t xml:space="preserve">must </w:t>
      </w:r>
      <w:r>
        <w:t>communicate the result of those appeals to the Department within sixty (60) calendar days of the final decision.</w:t>
      </w:r>
    </w:p>
    <w:p w14:paraId="3E4B751E" w14:textId="73F4CC0F" w:rsidR="00B615BC" w:rsidRDefault="00B615BC" w:rsidP="00257641">
      <w:pPr>
        <w:pStyle w:val="Heading4"/>
      </w:pPr>
      <w:r>
        <w:t>9.3.2 Department’s Right to Collect from Providers</w:t>
      </w:r>
    </w:p>
    <w:p w14:paraId="6FD8CEDF" w14:textId="74E31899" w:rsidR="00B615BC" w:rsidRDefault="00B615BC" w:rsidP="00257641">
      <w:pPr>
        <w:pStyle w:val="normal6"/>
      </w:pPr>
      <w:r>
        <w:t xml:space="preserve">The Department </w:t>
      </w:r>
      <w:r w:rsidR="00DE6C3E">
        <w:t>has</w:t>
      </w:r>
      <w:r>
        <w:t xml:space="preserve"> the right to recover provider overpayments, including those overpayments due to fraud, waste, or abuse, from the provider if:</w:t>
      </w:r>
    </w:p>
    <w:p w14:paraId="6B852C15" w14:textId="77777777" w:rsidR="00B615BC" w:rsidRPr="003316FE" w:rsidRDefault="00B615BC" w:rsidP="00257641">
      <w:pPr>
        <w:pStyle w:val="ListParagraph"/>
        <w:numPr>
          <w:ilvl w:val="0"/>
          <w:numId w:val="927"/>
        </w:numPr>
        <w:spacing w:after="120" w:line="240" w:lineRule="auto"/>
        <w:contextualSpacing w:val="0"/>
        <w:rPr>
          <w:rFonts w:ascii="Times New Roman" w:hAnsi="Times New Roman"/>
          <w:bCs/>
        </w:rPr>
      </w:pPr>
      <w:r w:rsidRPr="003316FE">
        <w:rPr>
          <w:rFonts w:ascii="Times New Roman" w:hAnsi="Times New Roman"/>
          <w:bCs/>
        </w:rPr>
        <w:t xml:space="preserve">the Department or its contractor identifies an overpayment made by the MCO to the provider; </w:t>
      </w:r>
    </w:p>
    <w:p w14:paraId="6EF91132" w14:textId="77777777" w:rsidR="00B615BC" w:rsidRPr="003316FE" w:rsidRDefault="00B615BC" w:rsidP="00257641">
      <w:pPr>
        <w:pStyle w:val="ListParagraph"/>
        <w:numPr>
          <w:ilvl w:val="0"/>
          <w:numId w:val="927"/>
        </w:numPr>
        <w:spacing w:after="120" w:line="240" w:lineRule="auto"/>
        <w:contextualSpacing w:val="0"/>
        <w:rPr>
          <w:rFonts w:ascii="Times New Roman" w:hAnsi="Times New Roman"/>
          <w:bCs/>
        </w:rPr>
      </w:pPr>
      <w:r w:rsidRPr="003316FE">
        <w:rPr>
          <w:rFonts w:ascii="Times New Roman" w:hAnsi="Times New Roman"/>
          <w:bCs/>
        </w:rPr>
        <w:t xml:space="preserve">the payment occurred outside the grace period, as defined by the Department; </w:t>
      </w:r>
    </w:p>
    <w:p w14:paraId="641596D6" w14:textId="77777777" w:rsidR="00B615BC" w:rsidRPr="003316FE" w:rsidRDefault="00B615BC" w:rsidP="00257641">
      <w:pPr>
        <w:pStyle w:val="ListParagraph"/>
        <w:numPr>
          <w:ilvl w:val="0"/>
          <w:numId w:val="927"/>
        </w:numPr>
        <w:spacing w:after="120" w:line="240" w:lineRule="auto"/>
        <w:contextualSpacing w:val="0"/>
        <w:rPr>
          <w:rFonts w:ascii="Times New Roman" w:hAnsi="Times New Roman"/>
          <w:bCs/>
        </w:rPr>
      </w:pPr>
      <w:r w:rsidRPr="003316FE">
        <w:rPr>
          <w:rFonts w:ascii="Times New Roman" w:hAnsi="Times New Roman"/>
          <w:bCs/>
        </w:rPr>
        <w:t xml:space="preserve">the MCO has not previously identified the overpayment via the deconfliction process outlined herein; </w:t>
      </w:r>
    </w:p>
    <w:p w14:paraId="2B486A55" w14:textId="77777777" w:rsidR="00B615BC" w:rsidRPr="003316FE" w:rsidRDefault="00B615BC" w:rsidP="00257641">
      <w:pPr>
        <w:pStyle w:val="ListParagraph"/>
        <w:numPr>
          <w:ilvl w:val="0"/>
          <w:numId w:val="927"/>
        </w:numPr>
        <w:spacing w:after="120" w:line="240" w:lineRule="auto"/>
        <w:contextualSpacing w:val="0"/>
        <w:rPr>
          <w:rFonts w:ascii="Times New Roman" w:hAnsi="Times New Roman"/>
          <w:bCs/>
        </w:rPr>
      </w:pPr>
      <w:r w:rsidRPr="003316FE">
        <w:rPr>
          <w:rFonts w:ascii="Times New Roman" w:hAnsi="Times New Roman"/>
          <w:bCs/>
        </w:rPr>
        <w:t>the MFCU or other law enforcement entity is not pursuing the provider; and</w:t>
      </w:r>
    </w:p>
    <w:p w14:paraId="14240983" w14:textId="77777777" w:rsidR="00B615BC" w:rsidRPr="003316FE" w:rsidRDefault="00B615BC" w:rsidP="00257641">
      <w:pPr>
        <w:pStyle w:val="ListParagraph"/>
        <w:numPr>
          <w:ilvl w:val="0"/>
          <w:numId w:val="927"/>
        </w:numPr>
        <w:spacing w:after="240" w:line="240" w:lineRule="auto"/>
        <w:contextualSpacing w:val="0"/>
        <w:rPr>
          <w:rFonts w:ascii="Times New Roman" w:hAnsi="Times New Roman"/>
          <w:bCs/>
        </w:rPr>
      </w:pPr>
      <w:r w:rsidRPr="003316FE">
        <w:rPr>
          <w:rFonts w:ascii="Times New Roman" w:hAnsi="Times New Roman"/>
          <w:bCs/>
        </w:rPr>
        <w:t>the Department, in its sole discretion, determines it is unable to collect from the MCO.</w:t>
      </w:r>
    </w:p>
    <w:p w14:paraId="458D96C5" w14:textId="75D878F1" w:rsidR="00B615BC" w:rsidRDefault="00B615BC" w:rsidP="00257641">
      <w:pPr>
        <w:rPr>
          <w:bCs/>
        </w:rPr>
      </w:pPr>
      <w:r>
        <w:rPr>
          <w:bCs/>
        </w:rPr>
        <w:t>The Department will</w:t>
      </w:r>
      <w:r w:rsidRPr="00DA3602">
        <w:rPr>
          <w:bCs/>
        </w:rPr>
        <w:t xml:space="preserve"> send notice to the </w:t>
      </w:r>
      <w:r>
        <w:rPr>
          <w:bCs/>
        </w:rPr>
        <w:t>MCO of its intent to collect from the provider and will initiate recovery actions with the provider</w:t>
      </w:r>
      <w:r w:rsidRPr="006A199E">
        <w:rPr>
          <w:bCs/>
        </w:rPr>
        <w:t>.</w:t>
      </w:r>
      <w:r w:rsidR="003150A4">
        <w:rPr>
          <w:bCs/>
        </w:rPr>
        <w:t xml:space="preserve"> </w:t>
      </w:r>
      <w:r w:rsidRPr="006A199E">
        <w:rPr>
          <w:bCs/>
        </w:rPr>
        <w:t>In the event that the Department chooses to exercise its right to collect the overpayment directly from a provider, the MCO assigns to the Department any rights it has to collect overpayments from the provider.</w:t>
      </w:r>
      <w:r w:rsidR="003150A4">
        <w:rPr>
          <w:bCs/>
        </w:rPr>
        <w:t xml:space="preserve"> </w:t>
      </w:r>
      <w:r w:rsidRPr="006A199E">
        <w:rPr>
          <w:bCs/>
        </w:rPr>
        <w:t>Such payments recovered will be retained by the Department.</w:t>
      </w:r>
      <w:r w:rsidR="003150A4">
        <w:rPr>
          <w:bCs/>
        </w:rPr>
        <w:t xml:space="preserve"> </w:t>
      </w:r>
      <w:r w:rsidRPr="006A199E">
        <w:rPr>
          <w:bCs/>
        </w:rPr>
        <w:t>The MCO must advise their providers, via contract provision, addendum, notice or other suitable method, of the State’s right to collect overpayments pursuant to an assignment of rights as described in this section.</w:t>
      </w:r>
      <w:r w:rsidR="003150A4">
        <w:rPr>
          <w:bCs/>
        </w:rPr>
        <w:t xml:space="preserve"> </w:t>
      </w:r>
      <w:r w:rsidRPr="006A199E">
        <w:rPr>
          <w:bCs/>
        </w:rPr>
        <w:t>The</w:t>
      </w:r>
      <w:r>
        <w:rPr>
          <w:bCs/>
        </w:rPr>
        <w:t xml:space="preserve"> provider’s appeal rights in the event of the Department collecting an overpayment directly from the provider are outlined in the BMS Policy Manual, chapter 800(B). </w:t>
      </w:r>
    </w:p>
    <w:p w14:paraId="63DDD589" w14:textId="294D9049" w:rsidR="00B615BC" w:rsidRDefault="00B615BC" w:rsidP="00257641">
      <w:pPr>
        <w:pStyle w:val="Heading4"/>
      </w:pPr>
      <w:r>
        <w:t>9.3.3 MCO’s Right to Recover Overpayments</w:t>
      </w:r>
    </w:p>
    <w:p w14:paraId="5055DE08" w14:textId="2BC201F4" w:rsidR="00B615BC" w:rsidRDefault="00B615BC" w:rsidP="00257641">
      <w:pPr>
        <w:rPr>
          <w:bCs/>
        </w:rPr>
      </w:pPr>
      <w:r>
        <w:rPr>
          <w:bCs/>
        </w:rPr>
        <w:t>The MCO must diligently engage in efforts to identify and recover overpayments that do not require a referral to the State.</w:t>
      </w:r>
      <w:r w:rsidR="003150A4">
        <w:rPr>
          <w:bCs/>
        </w:rPr>
        <w:t xml:space="preserve"> </w:t>
      </w:r>
      <w:r>
        <w:rPr>
          <w:bCs/>
        </w:rPr>
        <w:t>Overpayments identified and/or recovered must be reported on the monthly FWA report.</w:t>
      </w:r>
      <w:r w:rsidR="003150A4">
        <w:rPr>
          <w:bCs/>
        </w:rPr>
        <w:t xml:space="preserve"> </w:t>
      </w:r>
    </w:p>
    <w:p w14:paraId="0933BD04" w14:textId="47339B4B" w:rsidR="00B615BC" w:rsidRPr="003316FE" w:rsidRDefault="00B615BC" w:rsidP="00257641">
      <w:pPr>
        <w:pStyle w:val="normal6"/>
        <w:rPr>
          <w:rStyle w:val="CommentReference"/>
          <w:sz w:val="24"/>
        </w:rPr>
      </w:pPr>
      <w:r w:rsidRPr="003316FE">
        <w:rPr>
          <w:rStyle w:val="CommentReference"/>
          <w:sz w:val="24"/>
        </w:rPr>
        <w:t xml:space="preserve">Unless otherwise specified in this contract, when the MCO or its subcontractor identifies overpayments, the </w:t>
      </w:r>
      <w:r w:rsidR="00DE6C3E">
        <w:rPr>
          <w:rStyle w:val="CommentReference"/>
          <w:sz w:val="24"/>
        </w:rPr>
        <w:t>may</w:t>
      </w:r>
      <w:r w:rsidRPr="003316FE">
        <w:rPr>
          <w:rStyle w:val="CommentReference"/>
          <w:sz w:val="24"/>
        </w:rPr>
        <w:t xml:space="preserve"> recover and retain those overpayments directly from the providers, if: </w:t>
      </w:r>
    </w:p>
    <w:p w14:paraId="20E6E958" w14:textId="321A519E" w:rsidR="00B615BC" w:rsidRPr="00257641" w:rsidRDefault="00B615BC" w:rsidP="00257641">
      <w:pPr>
        <w:pStyle w:val="ListParagraph"/>
        <w:numPr>
          <w:ilvl w:val="2"/>
          <w:numId w:val="1021"/>
        </w:numPr>
        <w:spacing w:after="120" w:line="240" w:lineRule="auto"/>
        <w:ind w:left="720" w:hanging="360"/>
        <w:contextualSpacing w:val="0"/>
        <w:rPr>
          <w:rFonts w:ascii="Times New Roman" w:hAnsi="Times New Roman"/>
          <w:bCs/>
        </w:rPr>
      </w:pPr>
      <w:r w:rsidRPr="00257641">
        <w:rPr>
          <w:rFonts w:ascii="Times New Roman" w:hAnsi="Times New Roman"/>
          <w:bCs/>
        </w:rPr>
        <w:t>the MCO was not required to</w:t>
      </w:r>
      <w:r w:rsidR="003150A4" w:rsidRPr="00257641">
        <w:rPr>
          <w:rFonts w:ascii="Times New Roman" w:hAnsi="Times New Roman"/>
          <w:bCs/>
        </w:rPr>
        <w:t xml:space="preserve"> </w:t>
      </w:r>
      <w:r w:rsidRPr="00257641">
        <w:rPr>
          <w:rFonts w:ascii="Times New Roman" w:hAnsi="Times New Roman"/>
          <w:bCs/>
        </w:rPr>
        <w:t xml:space="preserve">abstain from collections from the provider, due to a MFCU or other law enforcement investigation; </w:t>
      </w:r>
    </w:p>
    <w:p w14:paraId="559292DC" w14:textId="4809C372" w:rsidR="00B615BC" w:rsidRPr="00257641" w:rsidRDefault="00B615BC" w:rsidP="00257641">
      <w:pPr>
        <w:pStyle w:val="ListParagraph"/>
        <w:numPr>
          <w:ilvl w:val="2"/>
          <w:numId w:val="1021"/>
        </w:numPr>
        <w:spacing w:after="120" w:line="240" w:lineRule="auto"/>
        <w:ind w:left="720" w:hanging="360"/>
        <w:contextualSpacing w:val="0"/>
        <w:rPr>
          <w:rFonts w:ascii="Times New Roman" w:hAnsi="Times New Roman"/>
          <w:bCs/>
        </w:rPr>
      </w:pPr>
      <w:r w:rsidRPr="00257641">
        <w:rPr>
          <w:rFonts w:ascii="Times New Roman" w:hAnsi="Times New Roman"/>
          <w:bCs/>
        </w:rPr>
        <w:lastRenderedPageBreak/>
        <w:t xml:space="preserve">the Department has not duplicated this recovery, consistent with this section; </w:t>
      </w:r>
    </w:p>
    <w:p w14:paraId="7318DD1B" w14:textId="56CBD78B" w:rsidR="00B615BC" w:rsidRPr="00257641" w:rsidRDefault="00B615BC" w:rsidP="00257641">
      <w:pPr>
        <w:pStyle w:val="ListParagraph"/>
        <w:numPr>
          <w:ilvl w:val="2"/>
          <w:numId w:val="1021"/>
        </w:numPr>
        <w:spacing w:after="120" w:line="240" w:lineRule="auto"/>
        <w:ind w:left="720" w:hanging="360"/>
        <w:contextualSpacing w:val="0"/>
        <w:rPr>
          <w:rFonts w:ascii="Times New Roman" w:hAnsi="Times New Roman"/>
          <w:bCs/>
        </w:rPr>
      </w:pPr>
      <w:r w:rsidRPr="00257641">
        <w:rPr>
          <w:rFonts w:ascii="Times New Roman" w:hAnsi="Times New Roman"/>
          <w:bCs/>
        </w:rPr>
        <w:t xml:space="preserve">the MCO followed proper procedures regarding fraud and/or abuse referrals to the Department; </w:t>
      </w:r>
    </w:p>
    <w:p w14:paraId="1BE75730" w14:textId="4AA8C6AD" w:rsidR="00B615BC" w:rsidRPr="00257641" w:rsidRDefault="00B615BC" w:rsidP="00257641">
      <w:pPr>
        <w:pStyle w:val="ListParagraph"/>
        <w:numPr>
          <w:ilvl w:val="2"/>
          <w:numId w:val="1021"/>
        </w:numPr>
        <w:spacing w:after="120" w:line="240" w:lineRule="auto"/>
        <w:ind w:left="720" w:hanging="360"/>
        <w:contextualSpacing w:val="0"/>
        <w:rPr>
          <w:rFonts w:ascii="Times New Roman" w:hAnsi="Times New Roman"/>
          <w:bCs/>
        </w:rPr>
      </w:pPr>
      <w:r w:rsidRPr="00257641">
        <w:rPr>
          <w:rFonts w:ascii="Times New Roman" w:hAnsi="Times New Roman"/>
          <w:bCs/>
        </w:rPr>
        <w:t xml:space="preserve">the MCO properly and timely disclosed the required information on its monthly FWA report; </w:t>
      </w:r>
    </w:p>
    <w:p w14:paraId="15088204" w14:textId="3247F00B" w:rsidR="00B615BC" w:rsidRPr="00257641" w:rsidRDefault="00B615BC" w:rsidP="00257641">
      <w:pPr>
        <w:pStyle w:val="ListParagraph"/>
        <w:numPr>
          <w:ilvl w:val="2"/>
          <w:numId w:val="1021"/>
        </w:numPr>
        <w:spacing w:after="120" w:line="240" w:lineRule="auto"/>
        <w:ind w:left="720" w:hanging="360"/>
        <w:contextualSpacing w:val="0"/>
        <w:rPr>
          <w:rFonts w:ascii="Times New Roman" w:hAnsi="Times New Roman"/>
          <w:bCs/>
        </w:rPr>
      </w:pPr>
      <w:r w:rsidRPr="00257641">
        <w:rPr>
          <w:rFonts w:ascii="Times New Roman" w:hAnsi="Times New Roman"/>
          <w:bCs/>
        </w:rPr>
        <w:t>the encounter data is properly adjusted to reflect the recovery; and</w:t>
      </w:r>
    </w:p>
    <w:p w14:paraId="02708210" w14:textId="1E75496D" w:rsidR="00B615BC" w:rsidRPr="00257641" w:rsidRDefault="00B615BC" w:rsidP="00257641">
      <w:pPr>
        <w:pStyle w:val="ListParagraph"/>
        <w:numPr>
          <w:ilvl w:val="2"/>
          <w:numId w:val="1021"/>
        </w:numPr>
        <w:spacing w:after="240" w:line="240" w:lineRule="auto"/>
        <w:ind w:left="720" w:hanging="360"/>
        <w:contextualSpacing w:val="0"/>
        <w:rPr>
          <w:rFonts w:ascii="Times New Roman" w:hAnsi="Times New Roman"/>
          <w:bCs/>
        </w:rPr>
      </w:pPr>
      <w:r w:rsidRPr="00257641">
        <w:rPr>
          <w:rFonts w:ascii="Times New Roman" w:hAnsi="Times New Roman"/>
          <w:bCs/>
        </w:rPr>
        <w:t>such recovery is not prohibited by federal or state law.</w:t>
      </w:r>
    </w:p>
    <w:p w14:paraId="313A528A" w14:textId="64003F0A" w:rsidR="00B615BC" w:rsidRDefault="00B615BC" w:rsidP="00257641">
      <w:r w:rsidRPr="00C211A3">
        <w:t xml:space="preserve">If the </w:t>
      </w:r>
      <w:r>
        <w:t>MCO</w:t>
      </w:r>
      <w:r w:rsidRPr="00C211A3">
        <w:t xml:space="preserve"> fails to adhere to the prohibitions and requirements of this section, the </w:t>
      </w:r>
      <w:r>
        <w:t>MCO</w:t>
      </w:r>
      <w:r w:rsidRPr="00C211A3">
        <w:t xml:space="preserve"> may be subject to forfeiture of the funds to the </w:t>
      </w:r>
      <w:r>
        <w:t>Department</w:t>
      </w:r>
      <w:r w:rsidRPr="00C211A3">
        <w:t xml:space="preserve"> and the imposition of liquidated damages as described in</w:t>
      </w:r>
      <w:r w:rsidR="000C0DE5">
        <w:t xml:space="preserve"> Appendix F</w:t>
      </w:r>
      <w:r>
        <w:t>.</w:t>
      </w:r>
    </w:p>
    <w:p w14:paraId="257D50DA" w14:textId="21D973E0" w:rsidR="00B615BC" w:rsidRDefault="00B615BC" w:rsidP="00257641">
      <w:r>
        <w:t xml:space="preserve">If an overpayment has been referred by the MCO to the Department, due to suspected fraud or abuse, and is subsequently returned to the MCO, the MCO may collect and retain these overpayments directly from the provider, consistent with this section. However, if the MCO has not taken action to collect the overpayment within ninety (90) calendar days of notification by the Department, the Department </w:t>
      </w:r>
      <w:r w:rsidR="00DE6C3E">
        <w:t>may</w:t>
      </w:r>
      <w:r>
        <w:t xml:space="preserve"> collect and retain the monies.</w:t>
      </w:r>
    </w:p>
    <w:p w14:paraId="53938812" w14:textId="7A571C10" w:rsidR="00B615BC" w:rsidRDefault="00B615BC" w:rsidP="00257641">
      <w:r>
        <w:t>If the Department identifies a suspected overpayment, also referred to as a “lead,” and refers that lead to the MCO for further investigation and recovery, the MCO will retain one hundred percent (100%) of its recoveries, pursuant to the requirements and prohibitions outlined in (a) through (f) above.</w:t>
      </w:r>
      <w:r w:rsidR="003150A4">
        <w:t xml:space="preserve"> </w:t>
      </w:r>
      <w:r>
        <w:t>If the Department has partially completed an audit or investigation, and, in its sole discretion, the Department refers that information to the MCO for further investigation and recovery, the Department and MCO may negotiate a percentage division of any recoveries to be split by the Department and the MCO, on a case-by-case basis.</w:t>
      </w:r>
      <w:r w:rsidR="003150A4">
        <w:t xml:space="preserve"> </w:t>
      </w:r>
      <w:r>
        <w:t>The Department reserves the right to resume the audit or investigation if no agreement as to percentage division of any recovery can be agreed upon. If the Department, or an entity contracting with the Department, performs the entire investigation leading to identification of the overpayment, thereby giving it the right to keep one hundred percent (100%) of the overpayment, the Department, in its sole discretion, may opt to divide the recoveries with the MCO in an amount determined by the Department.</w:t>
      </w:r>
    </w:p>
    <w:p w14:paraId="5DD80250" w14:textId="77777777" w:rsidR="00B615BC" w:rsidRDefault="00B615BC" w:rsidP="00257641">
      <w:r>
        <w:t>Pursuant to 42 CFR 438.608(d)(1), t</w:t>
      </w:r>
      <w:r w:rsidRPr="00EA6DFD">
        <w:t>his provision does not apply to any amount of a recovery to be retained under False Claims Act cases or through other investigations.</w:t>
      </w:r>
    </w:p>
    <w:p w14:paraId="42DDA6DB" w14:textId="16DAE7AE" w:rsidR="00B615BC" w:rsidRDefault="00B615BC" w:rsidP="00257641">
      <w:pPr>
        <w:pStyle w:val="Heading4"/>
      </w:pPr>
      <w:r>
        <w:t>9.3.4 MCO’s Opportunity to Participate in Fraud Recoveries</w:t>
      </w:r>
    </w:p>
    <w:p w14:paraId="4C56F9B2" w14:textId="44EA0E08" w:rsidR="00B615BC" w:rsidRPr="009F574E" w:rsidRDefault="00B615BC" w:rsidP="00257641">
      <w:r w:rsidRPr="009F574E">
        <w:t xml:space="preserve">The MCO </w:t>
      </w:r>
      <w:r w:rsidR="00DE6C3E">
        <w:t>must</w:t>
      </w:r>
      <w:r w:rsidR="00DE6C3E" w:rsidRPr="009F574E">
        <w:t xml:space="preserve"> </w:t>
      </w:r>
      <w:r w:rsidRPr="009F574E">
        <w:t>submi</w:t>
      </w:r>
      <w:r>
        <w:t xml:space="preserve">t fraud </w:t>
      </w:r>
      <w:r w:rsidRPr="009F574E">
        <w:t xml:space="preserve">and abuse referrals to the Department using the prescribed form. Referral information submitted to the Department by an MCO will be distributed to all potentially impacted MCOs, along with a request for information (RFI). Upon receipt of the referral information and RFI, the MCO </w:t>
      </w:r>
      <w:r w:rsidR="00DE6C3E">
        <w:t>must</w:t>
      </w:r>
      <w:r w:rsidR="00DE6C3E" w:rsidRPr="009F574E">
        <w:t xml:space="preserve"> </w:t>
      </w:r>
      <w:r w:rsidRPr="009F574E">
        <w:t>respond by the due date included in the RFI.</w:t>
      </w:r>
      <w:r w:rsidR="003150A4">
        <w:t xml:space="preserve"> </w:t>
      </w:r>
      <w:r w:rsidRPr="009F574E">
        <w:t>Failure to respond timely, completely, and accurately may result in the MCO not participating in any related fraud recoveries, and may also</w:t>
      </w:r>
      <w:r w:rsidRPr="009F574E">
        <w:rPr>
          <w:bCs/>
        </w:rPr>
        <w:t xml:space="preserve"> result in liquidated da</w:t>
      </w:r>
      <w:r w:rsidR="000C0DE5">
        <w:rPr>
          <w:bCs/>
        </w:rPr>
        <w:t>mages as described in Appendix F</w:t>
      </w:r>
      <w:r w:rsidRPr="009F574E">
        <w:t>.</w:t>
      </w:r>
    </w:p>
    <w:p w14:paraId="621EF2A5" w14:textId="065546BC" w:rsidR="00202416" w:rsidRPr="00781340" w:rsidRDefault="00202416" w:rsidP="00257641">
      <w:pPr>
        <w:pStyle w:val="Heading4"/>
      </w:pPr>
      <w:r w:rsidRPr="00781340">
        <w:lastRenderedPageBreak/>
        <w:t>9.3.</w:t>
      </w:r>
      <w:r w:rsidR="00B615BC">
        <w:t>5</w:t>
      </w:r>
      <w:r w:rsidRPr="00781340">
        <w:t xml:space="preserve"> Provider Reported Overpayment</w:t>
      </w:r>
    </w:p>
    <w:p w14:paraId="77C930E7" w14:textId="10875079" w:rsidR="00787DCF" w:rsidRDefault="005D18CE" w:rsidP="00257641">
      <w:r>
        <w:t>In addition to internal</w:t>
      </w:r>
      <w:r w:rsidR="00787DCF">
        <w:t xml:space="preserve"> processes to identify any overpayments, the MCO must have a process in place for network providers to report receipt of an overpayment. The provider is required to notify the MCO in writing of the reason for the overpayment and return the full amount of the overpayment to the MCO within sixty (60) calendar days after the date on which the overpayment was identified.</w:t>
      </w:r>
      <w:r w:rsidR="00F24820">
        <w:t xml:space="preserve"> </w:t>
      </w:r>
    </w:p>
    <w:p w14:paraId="16BF22A9" w14:textId="3681B7C5" w:rsidR="00202416" w:rsidRPr="00781340" w:rsidRDefault="00202416" w:rsidP="00257641">
      <w:pPr>
        <w:pStyle w:val="Heading4"/>
      </w:pPr>
      <w:r w:rsidRPr="00781340">
        <w:t>9.3.</w:t>
      </w:r>
      <w:r w:rsidR="00B615BC">
        <w:t>6</w:t>
      </w:r>
      <w:r w:rsidRPr="00781340">
        <w:t xml:space="preserve"> </w:t>
      </w:r>
      <w:r w:rsidR="00B615BC">
        <w:t>Impact on Medicaid MLR and Rate Setting</w:t>
      </w:r>
    </w:p>
    <w:p w14:paraId="38701274" w14:textId="77777777" w:rsidR="00B615BC" w:rsidRPr="001E0F3C" w:rsidRDefault="00B615BC" w:rsidP="00257641">
      <w:r w:rsidRPr="00D829DE">
        <w:t>Pursuant to 42 CFR 438, overpayment recoveries must be deducted from incurred claims when calculating the Medical Loss Ratio</w:t>
      </w:r>
      <w:r>
        <w:t xml:space="preserve"> (MLR)</w:t>
      </w:r>
      <w:r w:rsidRPr="00D829DE">
        <w:t>, and encounter data must be adjusted appropriately for rate setting purposes.</w:t>
      </w:r>
    </w:p>
    <w:p w14:paraId="6F770BDA" w14:textId="22D315BD" w:rsidR="0036206C" w:rsidRDefault="00262289" w:rsidP="007610FD">
      <w:pPr>
        <w:pStyle w:val="Heading2"/>
      </w:pPr>
      <w:bookmarkStart w:id="205" w:name="_Toc8129065"/>
      <w:r>
        <w:t xml:space="preserve">10. </w:t>
      </w:r>
      <w:r w:rsidR="0036206C" w:rsidRPr="00B452D6">
        <w:t>CHILDREN’S DENTAL SERVICES</w:t>
      </w:r>
      <w:bookmarkEnd w:id="205"/>
    </w:p>
    <w:p w14:paraId="450EA168" w14:textId="17F78108" w:rsidR="0036206C" w:rsidRPr="00B452D6" w:rsidRDefault="0042638E" w:rsidP="00257641">
      <w:pPr>
        <w:pStyle w:val="Heading3"/>
        <w:ind w:left="1170" w:hanging="630"/>
        <w:rPr>
          <w:noProof w:val="0"/>
        </w:rPr>
      </w:pPr>
      <w:bookmarkStart w:id="206" w:name="_Toc8129066"/>
      <w:r>
        <w:rPr>
          <w:noProof w:val="0"/>
        </w:rPr>
        <w:t>10</w:t>
      </w:r>
      <w:r w:rsidR="0036206C" w:rsidRPr="00B452D6">
        <w:rPr>
          <w:noProof w:val="0"/>
        </w:rPr>
        <w:t>.1</w:t>
      </w:r>
      <w:r w:rsidR="0089168D">
        <w:rPr>
          <w:noProof w:val="0"/>
        </w:rPr>
        <w:tab/>
      </w:r>
      <w:r w:rsidR="0036206C" w:rsidRPr="00B452D6">
        <w:rPr>
          <w:noProof w:val="0"/>
        </w:rPr>
        <w:t xml:space="preserve">Children’s Dental Services Administration </w:t>
      </w:r>
      <w:r w:rsidR="00BC2477">
        <w:rPr>
          <w:rStyle w:val="FootnoteReference"/>
          <w:noProof w:val="0"/>
        </w:rPr>
        <w:footnoteReference w:id="17"/>
      </w:r>
      <w:bookmarkEnd w:id="206"/>
    </w:p>
    <w:p w14:paraId="5D52EC52" w14:textId="6F759BDA" w:rsidR="0036206C" w:rsidRPr="00F81A4A" w:rsidRDefault="0036206C" w:rsidP="00257641">
      <w:pPr>
        <w:rPr>
          <w:rFonts w:eastAsia="Calibri"/>
        </w:rPr>
      </w:pPr>
      <w:r w:rsidRPr="00F81A4A">
        <w:t xml:space="preserve">The MCO must provide children’s dental services to individuals under </w:t>
      </w:r>
      <w:r w:rsidR="006E1A98">
        <w:t>twenty-one (</w:t>
      </w:r>
      <w:r w:rsidRPr="00F81A4A">
        <w:t>21</w:t>
      </w:r>
      <w:r w:rsidR="006E1A98">
        <w:t>)</w:t>
      </w:r>
      <w:r w:rsidRPr="00F81A4A">
        <w:t xml:space="preserve"> years of age as covered services in an amount, duration, and scope reasonably expected to achieve the purpose for which the services are furnished.</w:t>
      </w:r>
      <w:r w:rsidRPr="00F81A4A">
        <w:rPr>
          <w:vertAlign w:val="superscript"/>
        </w:rPr>
        <w:t xml:space="preserve"> </w:t>
      </w:r>
      <w:r w:rsidRPr="00F81A4A">
        <w:rPr>
          <w:rFonts w:eastAsia="Calibri"/>
        </w:rPr>
        <w:t xml:space="preserve">The MCO may place appropriate limits on a service on the basis of such criteria as medical necessity or for utilization control, consistent with the terms of this </w:t>
      </w:r>
      <w:r w:rsidR="009B19C2">
        <w:rPr>
          <w:rFonts w:eastAsia="Calibri"/>
        </w:rPr>
        <w:t xml:space="preserve">Contract </w:t>
      </w:r>
      <w:r w:rsidRPr="00F81A4A">
        <w:rPr>
          <w:rFonts w:eastAsia="Calibri"/>
        </w:rPr>
        <w:t>and clinical guidelines.</w:t>
      </w:r>
    </w:p>
    <w:p w14:paraId="5140E1F3" w14:textId="77777777" w:rsidR="0036206C" w:rsidRPr="00F81A4A" w:rsidRDefault="0036206C" w:rsidP="00257641">
      <w:r w:rsidRPr="00F81A4A">
        <w:t xml:space="preserve">The MCO may employ the services of a Dental Contractor serving as a dental benefit manager or utilization review agent if such a manager or agent covers the children’s dental benefit equivalent to the requirements described in </w:t>
      </w:r>
      <w:r w:rsidR="00F33B38">
        <w:t>Appendix</w:t>
      </w:r>
      <w:r w:rsidRPr="00F81A4A">
        <w:t xml:space="preserve"> A and in accordance with this Contract. If the MCO elects to employ the services of a Dental Contractor or utilization review agent, the MCO is required to comply with all </w:t>
      </w:r>
      <w:r w:rsidR="00642406">
        <w:t>S</w:t>
      </w:r>
      <w:r w:rsidRPr="00F81A4A">
        <w:t>ubcontractor requirements outlined in this Contract.</w:t>
      </w:r>
    </w:p>
    <w:p w14:paraId="41291127" w14:textId="52847037" w:rsidR="0036206C" w:rsidRPr="002719AA" w:rsidRDefault="0042638E" w:rsidP="00257641">
      <w:pPr>
        <w:pStyle w:val="Heading3"/>
        <w:ind w:left="1170" w:hanging="623"/>
        <w:rPr>
          <w:noProof w:val="0"/>
        </w:rPr>
      </w:pPr>
      <w:bookmarkStart w:id="207" w:name="_Toc8129067"/>
      <w:r>
        <w:rPr>
          <w:noProof w:val="0"/>
        </w:rPr>
        <w:t>10</w:t>
      </w:r>
      <w:r w:rsidR="00900068">
        <w:rPr>
          <w:noProof w:val="0"/>
        </w:rPr>
        <w:t>.2</w:t>
      </w:r>
      <w:r w:rsidR="0089168D">
        <w:rPr>
          <w:noProof w:val="0"/>
        </w:rPr>
        <w:tab/>
      </w:r>
      <w:r w:rsidR="0036206C" w:rsidRPr="00B452D6">
        <w:rPr>
          <w:noProof w:val="0"/>
        </w:rPr>
        <w:t>Covered Dental Services</w:t>
      </w:r>
      <w:bookmarkEnd w:id="207"/>
    </w:p>
    <w:p w14:paraId="5F83D1E5" w14:textId="77777777" w:rsidR="0036206C" w:rsidRPr="002719AA" w:rsidRDefault="0036206C" w:rsidP="00257641">
      <w:r w:rsidRPr="002719AA">
        <w:t xml:space="preserve">The MCO covered services must be provided by a licensed dentist or dental specialist in an office, clinic, hospital, ambulatory setting, or elsewhere when dictated by the need for diagnostic, preventive, therapeutic, or palliative care, or for the treatment of a particular injury as specified in </w:t>
      </w:r>
      <w:r w:rsidR="00F33B38">
        <w:t>Appendix</w:t>
      </w:r>
      <w:r w:rsidRPr="002719AA">
        <w:t xml:space="preserve"> A of this Contract. Medicaid children’s dental services include diagnostic services, preventive treatment, restorative treatment, endodontic treatment, periodontal treatment, surgical procedures and/or extractions, orthodontic treatment, complete and partial dentures, as well as complete and partial denture relines and repairs. Also included are adjunctive general services, injectable medications, and oral and maxillofacial surgery services.</w:t>
      </w:r>
    </w:p>
    <w:p w14:paraId="5F181807" w14:textId="64BDCF8C" w:rsidR="0036206C" w:rsidRPr="00B452D6" w:rsidRDefault="0042638E" w:rsidP="00257641">
      <w:pPr>
        <w:pStyle w:val="Heading3"/>
        <w:tabs>
          <w:tab w:val="left" w:pos="1170"/>
        </w:tabs>
        <w:ind w:left="1166" w:hanging="619"/>
        <w:rPr>
          <w:noProof w:val="0"/>
        </w:rPr>
      </w:pPr>
      <w:bookmarkStart w:id="208" w:name="_Toc8129068"/>
      <w:r>
        <w:rPr>
          <w:noProof w:val="0"/>
        </w:rPr>
        <w:t>10</w:t>
      </w:r>
      <w:r w:rsidR="0036206C" w:rsidRPr="00B452D6">
        <w:rPr>
          <w:noProof w:val="0"/>
        </w:rPr>
        <w:t>.3</w:t>
      </w:r>
      <w:r w:rsidR="0089168D">
        <w:rPr>
          <w:noProof w:val="0"/>
        </w:rPr>
        <w:tab/>
      </w:r>
      <w:r w:rsidR="0036206C" w:rsidRPr="00B452D6">
        <w:rPr>
          <w:noProof w:val="0"/>
        </w:rPr>
        <w:t>Dental Director</w:t>
      </w:r>
      <w:bookmarkEnd w:id="208"/>
    </w:p>
    <w:p w14:paraId="3A5EBC94" w14:textId="77777777" w:rsidR="0036206C" w:rsidRPr="002719AA" w:rsidRDefault="0036206C" w:rsidP="00257641">
      <w:r w:rsidRPr="002719AA">
        <w:t>The MCO must have a qualified licensed dentist to serve as the Dental Director for the dental benefit. The Dental Director, or his or her designee meeting the qualifications described above, must be available for dental utilization review decisions and must be authorized and empowered to respond to dental clinical issues, utilization review, and dental quality of care inquiries.</w:t>
      </w:r>
    </w:p>
    <w:p w14:paraId="5F755327" w14:textId="101986D7" w:rsidR="0036206C" w:rsidRPr="00B5491E" w:rsidRDefault="0042638E" w:rsidP="00257641">
      <w:pPr>
        <w:pStyle w:val="Heading3"/>
        <w:ind w:left="1166" w:hanging="619"/>
        <w:rPr>
          <w:noProof w:val="0"/>
        </w:rPr>
      </w:pPr>
      <w:bookmarkStart w:id="209" w:name="_Toc8129069"/>
      <w:r>
        <w:rPr>
          <w:noProof w:val="0"/>
        </w:rPr>
        <w:lastRenderedPageBreak/>
        <w:t>10</w:t>
      </w:r>
      <w:r w:rsidR="0036206C" w:rsidRPr="00B452D6">
        <w:rPr>
          <w:noProof w:val="0"/>
        </w:rPr>
        <w:t>.4</w:t>
      </w:r>
      <w:r w:rsidR="0089168D">
        <w:rPr>
          <w:noProof w:val="0"/>
        </w:rPr>
        <w:tab/>
      </w:r>
      <w:r w:rsidR="0036206C" w:rsidRPr="00B452D6">
        <w:rPr>
          <w:noProof w:val="0"/>
        </w:rPr>
        <w:t>Oral Health Fluoride Varnish Program</w:t>
      </w:r>
      <w:bookmarkEnd w:id="209"/>
    </w:p>
    <w:p w14:paraId="3303F3C2" w14:textId="16CA82F7" w:rsidR="0036206C" w:rsidRPr="002719AA" w:rsidRDefault="0036206C" w:rsidP="00257641">
      <w:r w:rsidRPr="002719AA">
        <w:t xml:space="preserve">The MCO must educate its network providers about the </w:t>
      </w:r>
      <w:r w:rsidR="005539AE">
        <w:t>DHHR</w:t>
      </w:r>
      <w:r w:rsidR="005539AE" w:rsidRPr="002719AA">
        <w:t xml:space="preserve"> </w:t>
      </w:r>
      <w:r w:rsidRPr="002719AA">
        <w:t xml:space="preserve">Infant and Child Oral Health Fluoride Varnish Program for Primary Care Practitioners, where </w:t>
      </w:r>
      <w:r w:rsidR="00B615BC">
        <w:t>PCPs</w:t>
      </w:r>
      <w:r w:rsidRPr="002719AA">
        <w:t xml:space="preserve"> may receive a reimbursement for fluoride varnish application. Providers </w:t>
      </w:r>
      <w:r w:rsidR="001D6E05">
        <w:t>are encouraged to complete the Smiles for Life Curriculum course prior to administering, but are not required to do so.</w:t>
      </w:r>
      <w:r w:rsidR="00F24820">
        <w:t xml:space="preserve"> </w:t>
      </w:r>
    </w:p>
    <w:p w14:paraId="39AB253B" w14:textId="762ED792" w:rsidR="006164F9" w:rsidRPr="00B452D6" w:rsidRDefault="0042638E" w:rsidP="00257641">
      <w:pPr>
        <w:pStyle w:val="Heading3"/>
        <w:ind w:left="1170" w:hanging="623"/>
        <w:rPr>
          <w:noProof w:val="0"/>
        </w:rPr>
      </w:pPr>
      <w:bookmarkStart w:id="210" w:name="_Toc8129070"/>
      <w:r>
        <w:rPr>
          <w:noProof w:val="0"/>
        </w:rPr>
        <w:t>10</w:t>
      </w:r>
      <w:r w:rsidR="0036206C" w:rsidRPr="00B452D6">
        <w:rPr>
          <w:noProof w:val="0"/>
        </w:rPr>
        <w:t>.5</w:t>
      </w:r>
      <w:r w:rsidR="0089168D">
        <w:rPr>
          <w:noProof w:val="0"/>
        </w:rPr>
        <w:tab/>
      </w:r>
      <w:r w:rsidR="0036206C" w:rsidRPr="00B452D6">
        <w:rPr>
          <w:noProof w:val="0"/>
        </w:rPr>
        <w:t>Coordination of Care</w:t>
      </w:r>
      <w:bookmarkEnd w:id="210"/>
    </w:p>
    <w:p w14:paraId="75C01468" w14:textId="5D0BB628" w:rsidR="0036206C" w:rsidRPr="002719AA" w:rsidRDefault="0036206C" w:rsidP="00257641">
      <w:pPr>
        <w:rPr>
          <w:rFonts w:eastAsia="Calibri"/>
        </w:rPr>
      </w:pPr>
      <w:r w:rsidRPr="002719AA">
        <w:rPr>
          <w:rFonts w:eastAsia="Calibri"/>
        </w:rPr>
        <w:t xml:space="preserve">Pursuant to 42 CFR 438.208, the MCO is responsible for the management of dental care and continuity of care for all affected MCO </w:t>
      </w:r>
      <w:r w:rsidR="0000205F">
        <w:rPr>
          <w:rFonts w:eastAsia="Calibri"/>
        </w:rPr>
        <w:t>enrollee</w:t>
      </w:r>
      <w:r w:rsidR="0000205F" w:rsidRPr="002719AA">
        <w:rPr>
          <w:rFonts w:eastAsia="Calibri"/>
        </w:rPr>
        <w:t>s</w:t>
      </w:r>
      <w:r w:rsidRPr="002719AA">
        <w:rPr>
          <w:rFonts w:eastAsia="Calibri"/>
        </w:rPr>
        <w:t xml:space="preserve">. The MCO or the MCO’s PCP must urge </w:t>
      </w:r>
      <w:r w:rsidR="0000205F">
        <w:rPr>
          <w:rFonts w:eastAsia="Calibri"/>
        </w:rPr>
        <w:t>enrollee</w:t>
      </w:r>
      <w:r w:rsidR="0000205F" w:rsidRPr="002719AA">
        <w:rPr>
          <w:rFonts w:eastAsia="Calibri"/>
        </w:rPr>
        <w:t xml:space="preserve">s </w:t>
      </w:r>
      <w:r w:rsidRPr="002719AA">
        <w:rPr>
          <w:rFonts w:eastAsia="Calibri"/>
        </w:rPr>
        <w:t xml:space="preserve">to see their dental provider at least once every six (6) months for regular check-ups, preventive pediatric dental care, and any services necessary to meet the </w:t>
      </w:r>
      <w:r w:rsidR="0000205F">
        <w:rPr>
          <w:rFonts w:eastAsia="Calibri"/>
        </w:rPr>
        <w:t>enrolleee</w:t>
      </w:r>
      <w:r w:rsidR="0000205F" w:rsidRPr="002719AA">
        <w:rPr>
          <w:rFonts w:eastAsia="Calibri"/>
        </w:rPr>
        <w:t xml:space="preserve">’s </w:t>
      </w:r>
      <w:r w:rsidRPr="002719AA">
        <w:rPr>
          <w:rFonts w:eastAsia="Calibri"/>
        </w:rPr>
        <w:t>diagnostic, preventive, restorative, surgical, and emergency dental needs.</w:t>
      </w:r>
    </w:p>
    <w:p w14:paraId="64DBE106" w14:textId="3551F855" w:rsidR="0036206C" w:rsidRDefault="0036206C" w:rsidP="00257641">
      <w:pPr>
        <w:rPr>
          <w:rFonts w:eastAsia="Calibri"/>
        </w:rPr>
      </w:pPr>
      <w:r w:rsidRPr="002719AA">
        <w:rPr>
          <w:rFonts w:eastAsia="Calibri"/>
        </w:rPr>
        <w:t xml:space="preserve">Per Article III, </w:t>
      </w:r>
      <w:r w:rsidR="00927341">
        <w:rPr>
          <w:rFonts w:eastAsia="Calibri"/>
        </w:rPr>
        <w:t xml:space="preserve">Section </w:t>
      </w:r>
      <w:r w:rsidR="00752FF2">
        <w:rPr>
          <w:rFonts w:eastAsia="Calibri"/>
        </w:rPr>
        <w:t>2</w:t>
      </w:r>
      <w:r w:rsidRPr="002719AA">
        <w:rPr>
          <w:rFonts w:eastAsia="Calibri"/>
        </w:rPr>
        <w:t>.2, the MCO’s PCP must coordinate care by providing a direct referral to a dentist for children beginning at</w:t>
      </w:r>
      <w:r w:rsidR="00BF512F">
        <w:rPr>
          <w:rFonts w:eastAsia="Calibri"/>
        </w:rPr>
        <w:t xml:space="preserve"> six</w:t>
      </w:r>
      <w:r w:rsidRPr="002719AA">
        <w:rPr>
          <w:rFonts w:eastAsia="Calibri"/>
        </w:rPr>
        <w:t xml:space="preserve"> </w:t>
      </w:r>
      <w:r w:rsidR="00BF512F">
        <w:rPr>
          <w:rFonts w:eastAsia="Calibri"/>
        </w:rPr>
        <w:t>(</w:t>
      </w:r>
      <w:r w:rsidR="0017610D" w:rsidRPr="00394219">
        <w:rPr>
          <w:rFonts w:eastAsia="Calibri"/>
        </w:rPr>
        <w:t>6</w:t>
      </w:r>
      <w:r w:rsidR="00BF512F">
        <w:rPr>
          <w:rFonts w:eastAsia="Calibri"/>
        </w:rPr>
        <w:t>)</w:t>
      </w:r>
      <w:r w:rsidR="0017610D" w:rsidRPr="00394219">
        <w:rPr>
          <w:rFonts w:eastAsia="Calibri"/>
        </w:rPr>
        <w:t xml:space="preserve"> months after the first tooth erupts or by</w:t>
      </w:r>
      <w:r w:rsidR="006E1A98">
        <w:rPr>
          <w:rFonts w:eastAsia="Calibri"/>
        </w:rPr>
        <w:t xml:space="preserve"> twelve (</w:t>
      </w:r>
      <w:r w:rsidR="0017610D" w:rsidRPr="00394219">
        <w:rPr>
          <w:rFonts w:eastAsia="Calibri"/>
        </w:rPr>
        <w:t>12</w:t>
      </w:r>
      <w:r w:rsidR="006E1A98">
        <w:rPr>
          <w:rFonts w:eastAsia="Calibri"/>
        </w:rPr>
        <w:t>)</w:t>
      </w:r>
      <w:r w:rsidR="0017610D" w:rsidRPr="00394219">
        <w:rPr>
          <w:rFonts w:eastAsia="Calibri"/>
        </w:rPr>
        <w:t xml:space="preserve"> months </w:t>
      </w:r>
      <w:r w:rsidR="001E7246">
        <w:rPr>
          <w:rFonts w:eastAsia="Calibri"/>
        </w:rPr>
        <w:t xml:space="preserve">of age </w:t>
      </w:r>
      <w:r w:rsidRPr="002719AA">
        <w:rPr>
          <w:rFonts w:eastAsia="Calibri"/>
        </w:rPr>
        <w:t xml:space="preserve">as a part of the EPSDT process. Dental screenings are covered for any child under the age of </w:t>
      </w:r>
      <w:r w:rsidR="006E1A98">
        <w:rPr>
          <w:rFonts w:eastAsia="Calibri"/>
        </w:rPr>
        <w:t>twenty-one (</w:t>
      </w:r>
      <w:r w:rsidRPr="002719AA">
        <w:rPr>
          <w:rFonts w:eastAsia="Calibri"/>
        </w:rPr>
        <w:t>21</w:t>
      </w:r>
      <w:r w:rsidR="006E1A98">
        <w:rPr>
          <w:rFonts w:eastAsia="Calibri"/>
        </w:rPr>
        <w:t>)</w:t>
      </w:r>
      <w:r w:rsidRPr="002719AA">
        <w:rPr>
          <w:rFonts w:eastAsia="Calibri"/>
        </w:rPr>
        <w:t xml:space="preserve"> years per the recommended guidelines set forth by the American Academy of Pediatric Dentistry (AAPD) and Bright Futures.</w:t>
      </w:r>
    </w:p>
    <w:p w14:paraId="62549E23" w14:textId="5B4AFB53" w:rsidR="0036206C" w:rsidRPr="00920847" w:rsidRDefault="0042638E" w:rsidP="00257641">
      <w:pPr>
        <w:pStyle w:val="Heading3"/>
      </w:pPr>
      <w:bookmarkStart w:id="211" w:name="_Toc8129071"/>
      <w:r w:rsidRPr="00920847">
        <w:t>10</w:t>
      </w:r>
      <w:r w:rsidR="00455CEC" w:rsidRPr="00920847">
        <w:t>.6</w:t>
      </w:r>
      <w:r w:rsidR="0089168D" w:rsidRPr="00920847">
        <w:tab/>
      </w:r>
      <w:r w:rsidR="00455CEC" w:rsidRPr="00920847">
        <w:t>Continuity</w:t>
      </w:r>
      <w:r w:rsidR="0036206C" w:rsidRPr="00920847">
        <w:t xml:space="preserve"> of Care for MCO Orthodontic Services</w:t>
      </w:r>
      <w:bookmarkEnd w:id="211"/>
    </w:p>
    <w:p w14:paraId="63438153" w14:textId="77777777" w:rsidR="0036206C" w:rsidRDefault="0036206C" w:rsidP="00257641">
      <w:pPr>
        <w:rPr>
          <w:rFonts w:ascii="Garamond" w:hAnsi="Garamond"/>
        </w:rPr>
      </w:pPr>
      <w:r w:rsidRPr="002719AA">
        <w:t>The MCO’s reimbursement for children’s orthodontic services must cover the entire duration of treatment</w:t>
      </w:r>
      <w:r w:rsidRPr="002719AA">
        <w:rPr>
          <w:rFonts w:ascii="Garamond" w:hAnsi="Garamond"/>
        </w:rPr>
        <w:t xml:space="preserve">. </w:t>
      </w:r>
    </w:p>
    <w:p w14:paraId="2FC53A79" w14:textId="34A7AF51" w:rsidR="0036206C" w:rsidRPr="00B452D6" w:rsidRDefault="0042638E" w:rsidP="00257641">
      <w:pPr>
        <w:pStyle w:val="Heading3"/>
        <w:tabs>
          <w:tab w:val="left" w:pos="1170"/>
        </w:tabs>
        <w:rPr>
          <w:noProof w:val="0"/>
        </w:rPr>
      </w:pPr>
      <w:bookmarkStart w:id="212" w:name="_Toc8129072"/>
      <w:r>
        <w:rPr>
          <w:noProof w:val="0"/>
        </w:rPr>
        <w:t>10</w:t>
      </w:r>
      <w:r w:rsidR="00455CEC" w:rsidRPr="00B452D6">
        <w:rPr>
          <w:noProof w:val="0"/>
        </w:rPr>
        <w:t>.7</w:t>
      </w:r>
      <w:r w:rsidR="0089168D">
        <w:rPr>
          <w:noProof w:val="0"/>
        </w:rPr>
        <w:tab/>
      </w:r>
      <w:r w:rsidR="00455CEC">
        <w:rPr>
          <w:noProof w:val="0"/>
        </w:rPr>
        <w:t>Continued</w:t>
      </w:r>
      <w:r w:rsidR="0036206C" w:rsidRPr="00B452D6">
        <w:rPr>
          <w:noProof w:val="0"/>
        </w:rPr>
        <w:t xml:space="preserve"> Care for Active Orthodontia</w:t>
      </w:r>
      <w:bookmarkEnd w:id="212"/>
    </w:p>
    <w:p w14:paraId="3C610E52" w14:textId="720EFE17" w:rsidR="0036206C" w:rsidRPr="002719AA" w:rsidRDefault="0036206C" w:rsidP="00257641">
      <w:r w:rsidRPr="002719AA">
        <w:rPr>
          <w:rFonts w:eastAsia="Calibri"/>
        </w:rPr>
        <w:t xml:space="preserve">The MCO must ensure, in conjunction with </w:t>
      </w:r>
      <w:r w:rsidR="005539AE">
        <w:rPr>
          <w:rFonts w:eastAsia="Calibri"/>
        </w:rPr>
        <w:t>DHHR</w:t>
      </w:r>
      <w:r w:rsidRPr="002719AA">
        <w:rPr>
          <w:rFonts w:eastAsia="Calibri"/>
        </w:rPr>
        <w:t xml:space="preserve">, continuity of care for active orthodontia cases until care is completed and providers are fully reimbursed. The MCO must pay for orthodontic services not previously reimbursed under the </w:t>
      </w:r>
      <w:r w:rsidR="00B615BC">
        <w:rPr>
          <w:rFonts w:eastAsia="Calibri"/>
        </w:rPr>
        <w:t>FFS</w:t>
      </w:r>
      <w:r w:rsidRPr="002719AA">
        <w:rPr>
          <w:rFonts w:eastAsia="Calibri"/>
        </w:rPr>
        <w:t xml:space="preserve"> as a part of the global payment fee.</w:t>
      </w:r>
    </w:p>
    <w:p w14:paraId="726F3BE0" w14:textId="2557FCD1" w:rsidR="0036206C" w:rsidRPr="002719AA" w:rsidRDefault="0036206C" w:rsidP="00257641">
      <w:r w:rsidRPr="002719AA">
        <w:t>The MCO must allow a</w:t>
      </w:r>
      <w:r w:rsidR="0000205F">
        <w:t>n</w:t>
      </w:r>
      <w:r w:rsidRPr="002719AA">
        <w:t xml:space="preserve"> </w:t>
      </w:r>
      <w:r w:rsidR="0000205F">
        <w:t>enrollee</w:t>
      </w:r>
      <w:r w:rsidR="0000205F" w:rsidRPr="002719AA">
        <w:t xml:space="preserve"> </w:t>
      </w:r>
      <w:r w:rsidRPr="002719AA">
        <w:t>to continue receiving orthodontic services with an existing out-of-network provider</w:t>
      </w:r>
      <w:r w:rsidRPr="002719AA">
        <w:rPr>
          <w:rFonts w:cs="Arial"/>
        </w:rPr>
        <w:t>.</w:t>
      </w:r>
    </w:p>
    <w:p w14:paraId="3058E348" w14:textId="77777777" w:rsidR="0036206C" w:rsidRDefault="0036206C" w:rsidP="00257641">
      <w:r w:rsidRPr="002719AA">
        <w:t>The MCO must maintain written orthodontic continuity of care records.</w:t>
      </w:r>
    </w:p>
    <w:p w14:paraId="5D141201" w14:textId="55D765AE" w:rsidR="00B452D6" w:rsidRDefault="00262289" w:rsidP="007610FD">
      <w:pPr>
        <w:pStyle w:val="Heading2"/>
      </w:pPr>
      <w:bookmarkStart w:id="213" w:name="_Toc8129073"/>
      <w:r>
        <w:t xml:space="preserve">11. </w:t>
      </w:r>
      <w:r w:rsidR="00B452D6" w:rsidRPr="00B452D6">
        <w:t>BEHAVIORAL HEALTH SERVICES</w:t>
      </w:r>
      <w:bookmarkEnd w:id="213"/>
    </w:p>
    <w:p w14:paraId="660389D3" w14:textId="05EB1B20" w:rsidR="00B452D6" w:rsidRPr="00455CEC" w:rsidRDefault="0063280E" w:rsidP="00257641">
      <w:pPr>
        <w:pStyle w:val="Heading3"/>
        <w:tabs>
          <w:tab w:val="left" w:pos="1170"/>
        </w:tabs>
        <w:ind w:left="1166" w:hanging="619"/>
        <w:rPr>
          <w:noProof w:val="0"/>
        </w:rPr>
      </w:pPr>
      <w:bookmarkStart w:id="214" w:name="_Toc8129074"/>
      <w:r>
        <w:rPr>
          <w:noProof w:val="0"/>
        </w:rPr>
        <w:t>1</w:t>
      </w:r>
      <w:r w:rsidR="0042638E">
        <w:rPr>
          <w:noProof w:val="0"/>
        </w:rPr>
        <w:t>1</w:t>
      </w:r>
      <w:r w:rsidR="00B452D6" w:rsidRPr="00B452D6">
        <w:rPr>
          <w:noProof w:val="0"/>
        </w:rPr>
        <w:t>.1</w:t>
      </w:r>
      <w:r w:rsidR="0089168D">
        <w:rPr>
          <w:noProof w:val="0"/>
        </w:rPr>
        <w:tab/>
      </w:r>
      <w:r w:rsidR="00B452D6" w:rsidRPr="00B452D6">
        <w:rPr>
          <w:noProof w:val="0"/>
        </w:rPr>
        <w:t>MCO Behavioral Services Administration</w:t>
      </w:r>
      <w:bookmarkEnd w:id="214"/>
      <w:r w:rsidR="00B452D6" w:rsidRPr="00B452D6">
        <w:rPr>
          <w:noProof w:val="0"/>
        </w:rPr>
        <w:t xml:space="preserve"> </w:t>
      </w:r>
    </w:p>
    <w:p w14:paraId="30CB5F36" w14:textId="3B8AA110" w:rsidR="004B6F0D" w:rsidRDefault="00B452D6" w:rsidP="00257641">
      <w:r w:rsidRPr="002A170F">
        <w:t>The MCO must provide inpatient and outpatient behavioral services as covered services in an amount, duration, and scope reasonably expected to achieve the purpose for which the services are furnished.</w:t>
      </w:r>
      <w:r w:rsidRPr="002A170F">
        <w:rPr>
          <w:vertAlign w:val="superscript"/>
        </w:rPr>
        <w:footnoteReference w:id="18"/>
      </w:r>
      <w:r w:rsidRPr="002A170F">
        <w:t xml:space="preserve"> </w:t>
      </w:r>
      <w:r w:rsidR="004B6F0D">
        <w:t xml:space="preserve">The </w:t>
      </w:r>
      <w:r w:rsidR="00590150">
        <w:t xml:space="preserve">benefit </w:t>
      </w:r>
      <w:r w:rsidR="004B6F0D">
        <w:t>must be provided in accordance with 42</w:t>
      </w:r>
      <w:r w:rsidR="00590150">
        <w:t xml:space="preserve"> CFR Subpart K, Parity in Mental Health and </w:t>
      </w:r>
      <w:r w:rsidR="00927341">
        <w:t>SUD</w:t>
      </w:r>
      <w:r w:rsidR="00590150">
        <w:t xml:space="preserve"> Benefits.</w:t>
      </w:r>
      <w:r w:rsidR="00D4583E">
        <w:t xml:space="preserve"> The MCO </w:t>
      </w:r>
      <w:r w:rsidR="00DE6C3E">
        <w:t xml:space="preserve">must </w:t>
      </w:r>
      <w:r w:rsidR="00D4583E">
        <w:t xml:space="preserve">develop and maintain an ongoing </w:t>
      </w:r>
      <w:r w:rsidR="001D5C4B">
        <w:t>Mental Health P</w:t>
      </w:r>
      <w:r w:rsidR="00D4583E">
        <w:t xml:space="preserve">arity </w:t>
      </w:r>
      <w:r w:rsidR="004E1CDA">
        <w:t>C</w:t>
      </w:r>
      <w:r w:rsidR="00D4583E">
        <w:t xml:space="preserve">ompliance </w:t>
      </w:r>
      <w:r w:rsidR="004E1CDA">
        <w:t>P</w:t>
      </w:r>
      <w:r w:rsidR="00D4583E">
        <w:t>lan to be submitted</w:t>
      </w:r>
      <w:r w:rsidR="00EB439D">
        <w:t xml:space="preserve"> to the Department </w:t>
      </w:r>
      <w:r w:rsidR="00101C51">
        <w:t>annually</w:t>
      </w:r>
      <w:r w:rsidR="00B615BC" w:rsidRPr="00B615BC">
        <w:t xml:space="preserve"> </w:t>
      </w:r>
      <w:r w:rsidR="00B615BC">
        <w:t>by June 30</w:t>
      </w:r>
      <w:r w:rsidR="00B615BC" w:rsidRPr="001872A8">
        <w:rPr>
          <w:vertAlign w:val="superscript"/>
        </w:rPr>
        <w:t>th</w:t>
      </w:r>
      <w:r w:rsidR="00101C51">
        <w:t>.</w:t>
      </w:r>
      <w:r w:rsidR="001D5C4B">
        <w:t xml:space="preserve"> The </w:t>
      </w:r>
      <w:r w:rsidR="001D5C4B">
        <w:lastRenderedPageBreak/>
        <w:t>MCO is not subject to implementation of parity requirement associated with quantitative treatment limits of prescription drugs, as this benefit is administered under FFS.</w:t>
      </w:r>
    </w:p>
    <w:p w14:paraId="05106241" w14:textId="00A7DA64" w:rsidR="00B452D6" w:rsidRPr="002A170F" w:rsidRDefault="00B452D6" w:rsidP="00257641">
      <w:pPr>
        <w:rPr>
          <w:b/>
        </w:rPr>
      </w:pPr>
      <w:r w:rsidRPr="002A170F">
        <w:rPr>
          <w:rFonts w:eastAsia="Calibri"/>
        </w:rPr>
        <w:t xml:space="preserve">The MCO may place appropriate limits on a service on the basis of such criteria as medical necessity or utilization control, consistent with the terms of this </w:t>
      </w:r>
      <w:r w:rsidR="009B19C2">
        <w:rPr>
          <w:rFonts w:eastAsia="Calibri"/>
        </w:rPr>
        <w:t xml:space="preserve">Contract </w:t>
      </w:r>
      <w:r w:rsidRPr="002A170F">
        <w:rPr>
          <w:rFonts w:eastAsia="Calibri"/>
        </w:rPr>
        <w:t>and clinical guidelines</w:t>
      </w:r>
      <w:r w:rsidR="004B6F0D">
        <w:rPr>
          <w:rFonts w:ascii="Arial" w:eastAsia="Calibri" w:hAnsi="Arial"/>
        </w:rPr>
        <w:t xml:space="preserve">. </w:t>
      </w:r>
      <w:r w:rsidR="004B6F0D">
        <w:rPr>
          <w:rFonts w:eastAsia="Calibri"/>
        </w:rPr>
        <w:t>The MCO may not impose an aggregate lifetime</w:t>
      </w:r>
      <w:r w:rsidR="00590150">
        <w:rPr>
          <w:rFonts w:eastAsia="Calibri"/>
        </w:rPr>
        <w:t xml:space="preserve">, </w:t>
      </w:r>
      <w:r w:rsidR="004B6F0D">
        <w:rPr>
          <w:rFonts w:eastAsia="Calibri"/>
        </w:rPr>
        <w:t>annual dollar limit</w:t>
      </w:r>
      <w:r w:rsidR="00590150">
        <w:rPr>
          <w:rFonts w:eastAsia="Calibri"/>
        </w:rPr>
        <w:t>s, or other cumulative financial limits</w:t>
      </w:r>
      <w:r w:rsidR="004B6F0D">
        <w:rPr>
          <w:rFonts w:eastAsia="Calibri"/>
        </w:rPr>
        <w:t xml:space="preserve"> on mental health or </w:t>
      </w:r>
      <w:r w:rsidR="00B615BC">
        <w:rPr>
          <w:rFonts w:eastAsia="Calibri"/>
        </w:rPr>
        <w:t>SUD</w:t>
      </w:r>
      <w:r w:rsidR="004B6F0D">
        <w:rPr>
          <w:rFonts w:eastAsia="Calibri"/>
        </w:rPr>
        <w:t xml:space="preserve"> services.</w:t>
      </w:r>
    </w:p>
    <w:p w14:paraId="6095FD9A" w14:textId="77777777" w:rsidR="00B452D6" w:rsidRPr="002A170F" w:rsidRDefault="00B452D6" w:rsidP="00257641">
      <w:r w:rsidRPr="002A170F">
        <w:t xml:space="preserve">The MCO may employ the services of a </w:t>
      </w:r>
      <w:r w:rsidR="00642406">
        <w:t>S</w:t>
      </w:r>
      <w:r w:rsidRPr="002A170F">
        <w:t xml:space="preserve">ubcontractor serving as a behavioral health benefit administrator or utilization review agent if such administrator or agent covers the behavioral health benefit equivalent to the requirements described in </w:t>
      </w:r>
      <w:r w:rsidR="00F33B38">
        <w:t>Appendix</w:t>
      </w:r>
      <w:r w:rsidRPr="002A170F">
        <w:t xml:space="preserve"> A and in accordance with this contract. If the MCO elects to employ the services of a benefit manager or utilization review agent, the MCO is required to comply with all </w:t>
      </w:r>
      <w:r w:rsidR="00642406">
        <w:t>S</w:t>
      </w:r>
      <w:r w:rsidRPr="002A170F">
        <w:t>ubcontractor requirements outlined in this contract.</w:t>
      </w:r>
    </w:p>
    <w:p w14:paraId="752EDA4E" w14:textId="186EB4EB" w:rsidR="00B452D6" w:rsidRPr="00B452D6" w:rsidRDefault="00B452D6" w:rsidP="00257641">
      <w:pPr>
        <w:pStyle w:val="Heading3"/>
      </w:pPr>
      <w:bookmarkStart w:id="215" w:name="_Toc8129075"/>
      <w:r w:rsidRPr="00B452D6">
        <w:t>1</w:t>
      </w:r>
      <w:r w:rsidR="0042638E">
        <w:t>1</w:t>
      </w:r>
      <w:r w:rsidRPr="00B452D6">
        <w:t>.2</w:t>
      </w:r>
      <w:r w:rsidR="0089168D">
        <w:tab/>
      </w:r>
      <w:r w:rsidRPr="00B07A43">
        <w:t>Behavioral</w:t>
      </w:r>
      <w:r w:rsidRPr="00B452D6">
        <w:t xml:space="preserve"> Health Director</w:t>
      </w:r>
      <w:bookmarkEnd w:id="215"/>
    </w:p>
    <w:p w14:paraId="2179C89E" w14:textId="77777777" w:rsidR="00B452D6" w:rsidRPr="002A170F" w:rsidRDefault="00B452D6" w:rsidP="00257641">
      <w:r w:rsidRPr="002A170F">
        <w:t xml:space="preserve">The MCO must employ </w:t>
      </w:r>
      <w:r w:rsidR="00D478B3">
        <w:t xml:space="preserve">or </w:t>
      </w:r>
      <w:r w:rsidR="009B19C2">
        <w:t xml:space="preserve">Contract </w:t>
      </w:r>
      <w:r w:rsidR="00D478B3">
        <w:t xml:space="preserve">with </w:t>
      </w:r>
      <w:r w:rsidRPr="002A170F">
        <w:t>a qualified West Virginia licensed physician to serve as the Behavioral Health Director for the covered behavioral services. When employed</w:t>
      </w:r>
      <w:r w:rsidR="004860C5">
        <w:t xml:space="preserve"> or contracted</w:t>
      </w:r>
      <w:r w:rsidRPr="002A170F">
        <w:t>, the Behavioral Director must be available for behavioral utilization review decisions and must be authorized and empowered to respond to behavioral clinical issues, utilization review, and behavioral quality of care inquiries.</w:t>
      </w:r>
    </w:p>
    <w:p w14:paraId="581206A0" w14:textId="1D20C38A" w:rsidR="00B452D6" w:rsidRPr="00B07A43" w:rsidRDefault="00B452D6" w:rsidP="00257641">
      <w:pPr>
        <w:pStyle w:val="Heading3"/>
      </w:pPr>
      <w:bookmarkStart w:id="216" w:name="_Toc8129076"/>
      <w:r w:rsidRPr="00B07A43">
        <w:t>1</w:t>
      </w:r>
      <w:r w:rsidR="0042638E">
        <w:t>1</w:t>
      </w:r>
      <w:r w:rsidRPr="00B07A43">
        <w:t>.3</w:t>
      </w:r>
      <w:r w:rsidR="0089168D" w:rsidRPr="00B07A43">
        <w:tab/>
      </w:r>
      <w:r w:rsidR="00990621" w:rsidRPr="00B07A43">
        <w:t xml:space="preserve">Behavioral Health </w:t>
      </w:r>
      <w:r w:rsidRPr="00B07A43">
        <w:t>Covered Services</w:t>
      </w:r>
      <w:bookmarkEnd w:id="216"/>
    </w:p>
    <w:p w14:paraId="46950EED" w14:textId="26DF02C7" w:rsidR="00323E74" w:rsidRDefault="007D390B" w:rsidP="00257641">
      <w:r>
        <w:t xml:space="preserve">The </w:t>
      </w:r>
      <w:r w:rsidRPr="002A170F">
        <w:t>MCO covered behavioral services</w:t>
      </w:r>
      <w:r w:rsidRPr="002A170F">
        <w:rPr>
          <w:rFonts w:ascii="Garamond" w:hAnsi="Garamond"/>
        </w:rPr>
        <w:t xml:space="preserve"> </w:t>
      </w:r>
      <w:r w:rsidRPr="002A170F">
        <w:t>must be rendered by providers within the scope of their license and in accordance with all State and Federal requirements. Behavioral services include</w:t>
      </w:r>
      <w:r w:rsidR="00130FF8">
        <w:t>:</w:t>
      </w:r>
      <w:r w:rsidRPr="002A170F">
        <w:t xml:space="preserve"> </w:t>
      </w:r>
      <w:r w:rsidR="004A0507">
        <w:t xml:space="preserve">mental health outpatient services, </w:t>
      </w:r>
      <w:r w:rsidR="00BD081C">
        <w:t xml:space="preserve">mental health inpatient services, </w:t>
      </w:r>
      <w:r w:rsidR="00B615BC">
        <w:t>SUD</w:t>
      </w:r>
      <w:r w:rsidR="004A0507">
        <w:t xml:space="preserve"> outpatient services </w:t>
      </w:r>
      <w:r w:rsidR="00CE7F21">
        <w:t>(</w:t>
      </w:r>
      <w:r w:rsidR="004A0507">
        <w:t xml:space="preserve">including but not limited to </w:t>
      </w:r>
      <w:r w:rsidRPr="002A170F">
        <w:t xml:space="preserve">pharmacologic </w:t>
      </w:r>
      <w:r>
        <w:t xml:space="preserve">management </w:t>
      </w:r>
      <w:r w:rsidR="004A0507">
        <w:t xml:space="preserve">and </w:t>
      </w:r>
      <w:r w:rsidR="00474D11">
        <w:t>in</w:t>
      </w:r>
      <w:r>
        <w:t xml:space="preserve">cluding methadone </w:t>
      </w:r>
      <w:r w:rsidRPr="002A170F">
        <w:t xml:space="preserve">treatment), targeted case management, behavioral health rehabilitation </w:t>
      </w:r>
      <w:r w:rsidR="00466094">
        <w:t>and</w:t>
      </w:r>
      <w:r w:rsidR="00CE7F5D">
        <w:t xml:space="preserve"> clinic services,</w:t>
      </w:r>
      <w:r w:rsidR="00566DCE">
        <w:t xml:space="preserve"> </w:t>
      </w:r>
      <w:r w:rsidR="004B24FE">
        <w:t>p</w:t>
      </w:r>
      <w:r w:rsidR="004B24FE" w:rsidRPr="003035F7">
        <w:t>sychiatric</w:t>
      </w:r>
      <w:r w:rsidR="004B24FE">
        <w:t xml:space="preserve"> </w:t>
      </w:r>
      <w:r w:rsidR="00130FF8">
        <w:t>residential treatment services</w:t>
      </w:r>
      <w:r w:rsidR="00022C4F">
        <w:t>, and all SUD treatment s</w:t>
      </w:r>
      <w:r w:rsidR="00022C4F" w:rsidRPr="00186410">
        <w:t xml:space="preserve">ervices </w:t>
      </w:r>
      <w:r w:rsidR="00022C4F">
        <w:t>provided under the Department’s 1115 SUD waiver</w:t>
      </w:r>
      <w:r w:rsidRPr="002A170F">
        <w:t>.</w:t>
      </w:r>
      <w:r w:rsidR="00B44EDD">
        <w:t xml:space="preserve"> The MCO must follow </w:t>
      </w:r>
      <w:r w:rsidR="00022C4F">
        <w:t xml:space="preserve">DHHR </w:t>
      </w:r>
      <w:r w:rsidR="00B615BC">
        <w:t>FFS</w:t>
      </w:r>
      <w:r w:rsidR="00B44EDD">
        <w:t xml:space="preserve"> policies contained in Chapter 529 of the WV </w:t>
      </w:r>
      <w:r w:rsidR="009278A1">
        <w:t xml:space="preserve">Medicaid </w:t>
      </w:r>
      <w:r w:rsidR="00B44EDD">
        <w:t>Provider Manual for drug screening services.</w:t>
      </w:r>
    </w:p>
    <w:p w14:paraId="1CBD617D" w14:textId="4D48B101" w:rsidR="00B452D6" w:rsidRPr="002A170F" w:rsidRDefault="00B452D6" w:rsidP="00257641">
      <w:pPr>
        <w:pStyle w:val="Heading3"/>
        <w:ind w:left="1080" w:hanging="533"/>
        <w:rPr>
          <w:noProof w:val="0"/>
        </w:rPr>
      </w:pPr>
      <w:bookmarkStart w:id="217" w:name="_Toc8129077"/>
      <w:r w:rsidRPr="00B452D6">
        <w:rPr>
          <w:noProof w:val="0"/>
        </w:rPr>
        <w:t>1</w:t>
      </w:r>
      <w:r w:rsidR="0042638E">
        <w:rPr>
          <w:noProof w:val="0"/>
        </w:rPr>
        <w:t>1</w:t>
      </w:r>
      <w:r w:rsidRPr="00B452D6">
        <w:rPr>
          <w:noProof w:val="0"/>
        </w:rPr>
        <w:t>.</w:t>
      </w:r>
      <w:r w:rsidR="00022C4F">
        <w:rPr>
          <w:noProof w:val="0"/>
        </w:rPr>
        <w:t>4</w:t>
      </w:r>
      <w:r w:rsidR="0089168D">
        <w:rPr>
          <w:noProof w:val="0"/>
        </w:rPr>
        <w:tab/>
      </w:r>
      <w:r w:rsidRPr="00B452D6">
        <w:rPr>
          <w:noProof w:val="0"/>
        </w:rPr>
        <w:t>Coordination of Care</w:t>
      </w:r>
      <w:bookmarkEnd w:id="217"/>
    </w:p>
    <w:p w14:paraId="5CCD460A" w14:textId="5051B30F" w:rsidR="0080511C" w:rsidRDefault="00B452D6" w:rsidP="00257641">
      <w:r w:rsidRPr="002A170F">
        <w:t xml:space="preserve">Notwithstanding internal care coordination of care requirements outlined in Article III, Section </w:t>
      </w:r>
      <w:r w:rsidR="00752FF2">
        <w:t>6.3</w:t>
      </w:r>
      <w:r w:rsidRPr="002A170F">
        <w:t xml:space="preserve"> of this Contract, the MCO’s primary care provider must coordinate the </w:t>
      </w:r>
      <w:r w:rsidR="007D4A05">
        <w:t>enrollee</w:t>
      </w:r>
      <w:r w:rsidR="007D4A05" w:rsidRPr="002A170F">
        <w:t xml:space="preserve">’s </w:t>
      </w:r>
      <w:r w:rsidRPr="002A170F">
        <w:t xml:space="preserve">health services, as appropriate, with behavioral health providers. </w:t>
      </w:r>
    </w:p>
    <w:p w14:paraId="79D6C277" w14:textId="1EAD04FE" w:rsidR="00FE0B91" w:rsidRDefault="00FE0B91" w:rsidP="00257641">
      <w:r>
        <w:t>The MCO</w:t>
      </w:r>
      <w:r w:rsidR="00613483">
        <w:t xml:space="preserve"> </w:t>
      </w:r>
      <w:r w:rsidR="00DE6C3E">
        <w:t xml:space="preserve">must </w:t>
      </w:r>
      <w:r>
        <w:t xml:space="preserve">initiate care coordination services for </w:t>
      </w:r>
      <w:r w:rsidR="007D4A05">
        <w:t xml:space="preserve">enrollees </w:t>
      </w:r>
      <w:r>
        <w:t xml:space="preserve">being discharged from crisis stabilization units. </w:t>
      </w:r>
    </w:p>
    <w:p w14:paraId="2851C417" w14:textId="2CF2CBA9" w:rsidR="00B452D6" w:rsidRPr="002A170F" w:rsidRDefault="00090874" w:rsidP="00257641">
      <w:r w:rsidRPr="00090874">
        <w:t xml:space="preserve">If </w:t>
      </w:r>
      <w:r>
        <w:t>a</w:t>
      </w:r>
      <w:r w:rsidR="007D4A05">
        <w:t>n</w:t>
      </w:r>
      <w:r>
        <w:t xml:space="preserve"> </w:t>
      </w:r>
      <w:r w:rsidR="007D4A05">
        <w:t xml:space="preserve">enrollee </w:t>
      </w:r>
      <w:r>
        <w:t xml:space="preserve">is </w:t>
      </w:r>
      <w:r w:rsidRPr="00090874">
        <w:t>identified as having a dependence disorder including alcohol, opiate, amphetamine, benzodiazepine, or poly substance</w:t>
      </w:r>
      <w:r w:rsidR="0086175C">
        <w:t>,</w:t>
      </w:r>
      <w:r w:rsidR="003F76A1">
        <w:t xml:space="preserve"> and in need of engagement of treatment,</w:t>
      </w:r>
      <w:r w:rsidRPr="00090874">
        <w:t xml:space="preserve"> the </w:t>
      </w:r>
      <w:r>
        <w:t xml:space="preserve">MCO </w:t>
      </w:r>
      <w:r w:rsidR="00DE6C3E">
        <w:t xml:space="preserve">must </w:t>
      </w:r>
      <w:r>
        <w:t xml:space="preserve">assign the </w:t>
      </w:r>
      <w:r w:rsidR="007D4A05">
        <w:t xml:space="preserve">enrollee </w:t>
      </w:r>
      <w:r>
        <w:t xml:space="preserve">a </w:t>
      </w:r>
      <w:r w:rsidRPr="00EE4046">
        <w:t>MCO Care Coordinator</w:t>
      </w:r>
      <w:r>
        <w:t>, at a minimum, through</w:t>
      </w:r>
      <w:r w:rsidRPr="00090874">
        <w:t xml:space="preserve"> </w:t>
      </w:r>
      <w:r>
        <w:t xml:space="preserve">the duration of </w:t>
      </w:r>
      <w:r w:rsidRPr="00090874">
        <w:t>the treatment process.</w:t>
      </w:r>
    </w:p>
    <w:p w14:paraId="63DC6B5D" w14:textId="7078A207" w:rsidR="00B452D6" w:rsidRPr="00B452D6" w:rsidRDefault="00B452D6" w:rsidP="00257641">
      <w:pPr>
        <w:pStyle w:val="Heading3"/>
        <w:rPr>
          <w:noProof w:val="0"/>
        </w:rPr>
      </w:pPr>
      <w:bookmarkStart w:id="218" w:name="_Toc8129078"/>
      <w:r w:rsidRPr="00B452D6">
        <w:rPr>
          <w:noProof w:val="0"/>
        </w:rPr>
        <w:lastRenderedPageBreak/>
        <w:t>1</w:t>
      </w:r>
      <w:r w:rsidR="0042638E">
        <w:rPr>
          <w:noProof w:val="0"/>
        </w:rPr>
        <w:t>1</w:t>
      </w:r>
      <w:r w:rsidRPr="00B452D6">
        <w:rPr>
          <w:noProof w:val="0"/>
        </w:rPr>
        <w:t>.</w:t>
      </w:r>
      <w:r w:rsidR="00022C4F">
        <w:rPr>
          <w:noProof w:val="0"/>
        </w:rPr>
        <w:t>5</w:t>
      </w:r>
      <w:r w:rsidR="0089168D">
        <w:rPr>
          <w:noProof w:val="0"/>
        </w:rPr>
        <w:tab/>
      </w:r>
      <w:r w:rsidR="007B73D0">
        <w:rPr>
          <w:noProof w:val="0"/>
        </w:rPr>
        <w:t xml:space="preserve">Adult </w:t>
      </w:r>
      <w:r w:rsidRPr="00B452D6">
        <w:rPr>
          <w:noProof w:val="0"/>
        </w:rPr>
        <w:t xml:space="preserve">Inpatient </w:t>
      </w:r>
      <w:r w:rsidR="00E4229A">
        <w:rPr>
          <w:noProof w:val="0"/>
        </w:rPr>
        <w:t xml:space="preserve">and Residential </w:t>
      </w:r>
      <w:r w:rsidRPr="00B452D6">
        <w:rPr>
          <w:noProof w:val="0"/>
        </w:rPr>
        <w:t>Care for Behavioral Health</w:t>
      </w:r>
      <w:bookmarkEnd w:id="218"/>
    </w:p>
    <w:p w14:paraId="1A0FB3CB" w14:textId="1D2EBC29" w:rsidR="00B452D6" w:rsidRPr="002A170F" w:rsidRDefault="00B452D6" w:rsidP="00257641">
      <w:pPr>
        <w:pStyle w:val="normal6"/>
      </w:pPr>
      <w:r w:rsidRPr="002A170F">
        <w:t xml:space="preserve">Article III, </w:t>
      </w:r>
      <w:r w:rsidR="00752FF2">
        <w:t>8.6</w:t>
      </w:r>
      <w:r w:rsidR="005B2F18">
        <w:t>.1</w:t>
      </w:r>
      <w:r w:rsidRPr="002A170F">
        <w:t xml:space="preserve">, Responsibility for Inpatient Care, does not apply to the behavioral inpatient </w:t>
      </w:r>
      <w:r w:rsidR="00E4229A">
        <w:t xml:space="preserve">and residential </w:t>
      </w:r>
      <w:r w:rsidRPr="002A170F">
        <w:t>care services. Payment liability for behavioral health inpatient services is assigned as follows:</w:t>
      </w:r>
    </w:p>
    <w:p w14:paraId="67712086" w14:textId="547A4E01" w:rsidR="00B452D6" w:rsidRPr="002A170F" w:rsidRDefault="00B452D6" w:rsidP="00257641">
      <w:pPr>
        <w:pStyle w:val="bullet1"/>
      </w:pPr>
      <w:r w:rsidRPr="002A170F">
        <w:t xml:space="preserve">The MCO is not responsible for any payments for inpatient </w:t>
      </w:r>
      <w:r w:rsidR="00A42DB2" w:rsidRPr="002A170F">
        <w:t>behavioral health</w:t>
      </w:r>
      <w:r w:rsidR="00A42DB2">
        <w:t xml:space="preserve"> </w:t>
      </w:r>
      <w:r w:rsidRPr="002A170F">
        <w:t xml:space="preserve">services that are covered by </w:t>
      </w:r>
      <w:r w:rsidR="00B615BC">
        <w:t>FFS</w:t>
      </w:r>
      <w:r w:rsidRPr="002A170F">
        <w:t>;</w:t>
      </w:r>
    </w:p>
    <w:p w14:paraId="79F9B434" w14:textId="77777777" w:rsidR="00B452D6" w:rsidRDefault="00B452D6" w:rsidP="00257641">
      <w:pPr>
        <w:pStyle w:val="bullet1"/>
      </w:pPr>
      <w:r w:rsidRPr="002A170F">
        <w:t>The MCO is responsible for all claims incurred within the inpatient behavioral health treatment settings covered by managed care;</w:t>
      </w:r>
    </w:p>
    <w:p w14:paraId="7B8334EF" w14:textId="22CC23D7" w:rsidR="0065612A" w:rsidRDefault="00B452D6" w:rsidP="00257641">
      <w:pPr>
        <w:pStyle w:val="bullet1"/>
      </w:pPr>
      <w:r w:rsidRPr="002A170F">
        <w:t xml:space="preserve">The MCO is not responsible for claims incurred within the inpatient behavioral health </w:t>
      </w:r>
      <w:r w:rsidR="00C67661">
        <w:t xml:space="preserve">or residential </w:t>
      </w:r>
      <w:r w:rsidRPr="002A170F">
        <w:t>treatment setting if a</w:t>
      </w:r>
      <w:r w:rsidR="007D4A05">
        <w:t>n</w:t>
      </w:r>
      <w:r w:rsidRPr="002A170F">
        <w:t xml:space="preserve"> </w:t>
      </w:r>
      <w:r w:rsidR="007D4A05">
        <w:t>enrollee</w:t>
      </w:r>
      <w:r w:rsidR="007D4A05" w:rsidRPr="002A170F">
        <w:t xml:space="preserve"> </w:t>
      </w:r>
      <w:r w:rsidRPr="002A170F">
        <w:t xml:space="preserve">entered the treatment setting as a </w:t>
      </w:r>
      <w:r w:rsidR="00B615BC">
        <w:t>FFS</w:t>
      </w:r>
      <w:r w:rsidRPr="002A170F">
        <w:t xml:space="preserve"> </w:t>
      </w:r>
      <w:r w:rsidR="007D4A05">
        <w:t>enrollee</w:t>
      </w:r>
      <w:r w:rsidRPr="002A170F">
        <w:t>;</w:t>
      </w:r>
    </w:p>
    <w:p w14:paraId="7392B360" w14:textId="4E35149B" w:rsidR="0065612A" w:rsidRDefault="00B452D6" w:rsidP="00257641">
      <w:pPr>
        <w:pStyle w:val="bullet1"/>
      </w:pPr>
      <w:r w:rsidRPr="0065612A">
        <w:t>The MCO is not responsible for claims incurred within the inpatient behavioral health treatment settings if a</w:t>
      </w:r>
      <w:r w:rsidR="007D4A05">
        <w:t>n</w:t>
      </w:r>
      <w:r w:rsidRPr="0065612A">
        <w:t xml:space="preserve"> </w:t>
      </w:r>
      <w:r w:rsidR="007D4A05">
        <w:t>enrollee</w:t>
      </w:r>
      <w:r w:rsidR="007D4A05" w:rsidRPr="0065612A">
        <w:t xml:space="preserve"> </w:t>
      </w:r>
      <w:r w:rsidRPr="0065612A">
        <w:t>entered the treatment setting as a</w:t>
      </w:r>
      <w:r w:rsidR="007D4A05">
        <w:t>n</w:t>
      </w:r>
      <w:r w:rsidRPr="0065612A">
        <w:t xml:space="preserve"> </w:t>
      </w:r>
      <w:r w:rsidR="007D4A05">
        <w:t>enrollee</w:t>
      </w:r>
      <w:r w:rsidR="007D4A05" w:rsidRPr="0065612A">
        <w:t xml:space="preserve"> </w:t>
      </w:r>
      <w:r w:rsidRPr="0065612A">
        <w:t>of another MCO;</w:t>
      </w:r>
    </w:p>
    <w:p w14:paraId="1CD9A0B9" w14:textId="77777777" w:rsidR="00BE3CA2" w:rsidRDefault="0065612A" w:rsidP="00257641">
      <w:pPr>
        <w:pStyle w:val="bullet1"/>
      </w:pPr>
      <w:r>
        <w:t>The MCO is not responsible for any claims incurred during residential treatment facility stay for individuals</w:t>
      </w:r>
      <w:r w:rsidR="00BD5F31">
        <w:t xml:space="preserve"> twenty-one</w:t>
      </w:r>
      <w:r>
        <w:t xml:space="preserve"> </w:t>
      </w:r>
      <w:r w:rsidR="00BD5F31">
        <w:t>(</w:t>
      </w:r>
      <w:r>
        <w:t>21</w:t>
      </w:r>
      <w:r w:rsidR="00BD5F31">
        <w:t>)</w:t>
      </w:r>
      <w:r>
        <w:t xml:space="preserve"> years of age or older</w:t>
      </w:r>
      <w:r w:rsidR="00BE3CA2">
        <w:t>;</w:t>
      </w:r>
    </w:p>
    <w:p w14:paraId="63F7A209" w14:textId="287E0D90" w:rsidR="00BE3CA2" w:rsidRPr="002A170F" w:rsidRDefault="00BE3CA2" w:rsidP="00257641">
      <w:pPr>
        <w:pStyle w:val="bullet1last"/>
      </w:pPr>
      <w:r>
        <w:t xml:space="preserve">Notwithstanding any </w:t>
      </w:r>
      <w:r w:rsidR="00CA62D0">
        <w:t xml:space="preserve">of the provisions </w:t>
      </w:r>
      <w:r w:rsidR="00CE23CE">
        <w:t xml:space="preserve">of Article III, Section </w:t>
      </w:r>
      <w:r w:rsidR="00330EB8">
        <w:t>11.5</w:t>
      </w:r>
      <w:r w:rsidR="00CA62D0">
        <w:t xml:space="preserve">, the MCO is responsible for any claims incurred during involuntary </w:t>
      </w:r>
      <w:r w:rsidR="00EA1701">
        <w:t xml:space="preserve">inpatient facility </w:t>
      </w:r>
      <w:r w:rsidR="00A04B78">
        <w:t xml:space="preserve">stay. </w:t>
      </w:r>
    </w:p>
    <w:p w14:paraId="2E102264" w14:textId="76679742" w:rsidR="000062A0" w:rsidRPr="000062A0" w:rsidRDefault="006B6540" w:rsidP="00257641">
      <w:pPr>
        <w:pStyle w:val="Heading3"/>
      </w:pPr>
      <w:bookmarkStart w:id="219" w:name="_Toc8129079"/>
      <w:r>
        <w:t>1</w:t>
      </w:r>
      <w:r w:rsidR="0042638E">
        <w:t>1</w:t>
      </w:r>
      <w:r>
        <w:t>.</w:t>
      </w:r>
      <w:r w:rsidR="00022C4F">
        <w:t>6</w:t>
      </w:r>
      <w:r w:rsidR="0089168D">
        <w:tab/>
      </w:r>
      <w:r w:rsidR="00BB3992">
        <w:t xml:space="preserve">Children’s </w:t>
      </w:r>
      <w:r w:rsidRPr="00B452D6">
        <w:t>Inpatient Care for Behavioral Health</w:t>
      </w:r>
      <w:bookmarkEnd w:id="219"/>
      <w:r w:rsidR="00BB3992">
        <w:t xml:space="preserve"> </w:t>
      </w:r>
    </w:p>
    <w:p w14:paraId="3C04181E" w14:textId="3022A6C7" w:rsidR="00871887" w:rsidRPr="002A170F" w:rsidRDefault="00871887" w:rsidP="00257641">
      <w:pPr>
        <w:pStyle w:val="bullet1"/>
      </w:pPr>
      <w:r w:rsidRPr="002A170F">
        <w:t>The MCO is not responsible for any payments for inpatient behavioral health</w:t>
      </w:r>
      <w:r>
        <w:t xml:space="preserve"> </w:t>
      </w:r>
      <w:r w:rsidRPr="002A170F">
        <w:t xml:space="preserve">services that are covered by </w:t>
      </w:r>
      <w:r w:rsidR="00B615BC">
        <w:t>FFS</w:t>
      </w:r>
      <w:r w:rsidRPr="002A170F">
        <w:t>;</w:t>
      </w:r>
    </w:p>
    <w:p w14:paraId="041DFCCF" w14:textId="77777777" w:rsidR="00871887" w:rsidRDefault="00871887" w:rsidP="00257641">
      <w:pPr>
        <w:pStyle w:val="bullet1"/>
      </w:pPr>
      <w:r w:rsidRPr="002A170F">
        <w:t xml:space="preserve">The MCO is responsible for all claims incurred within the inpatient behavioral health </w:t>
      </w:r>
      <w:r w:rsidR="0019698C">
        <w:t xml:space="preserve">or </w:t>
      </w:r>
      <w:r w:rsidR="000D78B7">
        <w:t xml:space="preserve">psychiatric </w:t>
      </w:r>
      <w:r w:rsidRPr="002A170F">
        <w:t>treatment settings covered by managed care;</w:t>
      </w:r>
    </w:p>
    <w:p w14:paraId="0D7856BC" w14:textId="5637743C" w:rsidR="00871887" w:rsidRDefault="00871887" w:rsidP="00257641">
      <w:pPr>
        <w:pStyle w:val="bullet1"/>
      </w:pPr>
      <w:r w:rsidRPr="002A170F">
        <w:t xml:space="preserve">The MCO is not responsible for claims incurred within the inpatient behavioral health </w:t>
      </w:r>
      <w:r>
        <w:t xml:space="preserve">or </w:t>
      </w:r>
      <w:r w:rsidR="00D13945">
        <w:t>psychiatric</w:t>
      </w:r>
      <w:r w:rsidR="00D13945" w:rsidRPr="002A170F">
        <w:t xml:space="preserve"> </w:t>
      </w:r>
      <w:r w:rsidRPr="002A170F">
        <w:t>treatment setting if a</w:t>
      </w:r>
      <w:r w:rsidR="007D4A05">
        <w:t>n</w:t>
      </w:r>
      <w:r w:rsidRPr="002A170F">
        <w:t xml:space="preserve"> </w:t>
      </w:r>
      <w:r w:rsidR="007D4A05">
        <w:t>enrollee</w:t>
      </w:r>
      <w:r w:rsidR="007D4A05" w:rsidRPr="002A170F">
        <w:t xml:space="preserve"> </w:t>
      </w:r>
      <w:r w:rsidRPr="002A170F">
        <w:t xml:space="preserve">entered the treatment setting as a </w:t>
      </w:r>
      <w:r w:rsidR="00B615BC">
        <w:t>FFS</w:t>
      </w:r>
      <w:r w:rsidRPr="002A170F">
        <w:t xml:space="preserve"> </w:t>
      </w:r>
      <w:r w:rsidR="007D4A05">
        <w:t>enrollee</w:t>
      </w:r>
      <w:r w:rsidRPr="002A170F">
        <w:t>;</w:t>
      </w:r>
      <w:r w:rsidR="009A7AF2">
        <w:t xml:space="preserve"> and</w:t>
      </w:r>
    </w:p>
    <w:p w14:paraId="5CA4335A" w14:textId="5E042FB2" w:rsidR="006B6540" w:rsidRDefault="00871887" w:rsidP="00257641">
      <w:pPr>
        <w:pStyle w:val="bullet1last"/>
      </w:pPr>
      <w:r w:rsidRPr="0065612A">
        <w:t xml:space="preserve">The MCO is not responsible for claims incurred within the inpatient behavioral health </w:t>
      </w:r>
      <w:r w:rsidR="0019698C">
        <w:t xml:space="preserve">or </w:t>
      </w:r>
      <w:r w:rsidR="003F20B2">
        <w:t>psychiatric</w:t>
      </w:r>
      <w:r w:rsidR="0019698C">
        <w:t xml:space="preserve"> </w:t>
      </w:r>
      <w:r w:rsidRPr="0065612A">
        <w:t>treatment settings if a</w:t>
      </w:r>
      <w:r w:rsidR="007D4A05">
        <w:t>n</w:t>
      </w:r>
      <w:r w:rsidRPr="0065612A">
        <w:t xml:space="preserve"> </w:t>
      </w:r>
      <w:r w:rsidR="007D4A05">
        <w:t>enrollee</w:t>
      </w:r>
      <w:r w:rsidR="007D4A05" w:rsidRPr="0065612A">
        <w:t xml:space="preserve"> </w:t>
      </w:r>
      <w:r w:rsidRPr="0065612A">
        <w:t>entered the treatment setting as a</w:t>
      </w:r>
      <w:r w:rsidR="007D4A05">
        <w:t>n</w:t>
      </w:r>
      <w:r w:rsidRPr="0065612A">
        <w:t xml:space="preserve"> </w:t>
      </w:r>
      <w:r w:rsidR="007D4A05">
        <w:t>enrollee</w:t>
      </w:r>
      <w:r w:rsidR="007D4A05" w:rsidRPr="0065612A">
        <w:t xml:space="preserve"> </w:t>
      </w:r>
      <w:r w:rsidRPr="0065612A">
        <w:t>of another MCO</w:t>
      </w:r>
      <w:r w:rsidR="009A7AF2">
        <w:t>.</w:t>
      </w:r>
    </w:p>
    <w:p w14:paraId="2252E15C" w14:textId="254E02A1" w:rsidR="00552A6C" w:rsidRDefault="003E7304" w:rsidP="00257641">
      <w:pPr>
        <w:pStyle w:val="Heading3"/>
      </w:pPr>
      <w:bookmarkStart w:id="220" w:name="_Toc8129080"/>
      <w:r>
        <w:t>1</w:t>
      </w:r>
      <w:r w:rsidR="0042638E">
        <w:t>1</w:t>
      </w:r>
      <w:r>
        <w:t>.</w:t>
      </w:r>
      <w:r w:rsidR="00022C4F">
        <w:t>7</w:t>
      </w:r>
      <w:r>
        <w:tab/>
      </w:r>
      <w:r w:rsidR="00552A6C">
        <w:t>Court Ordered Services</w:t>
      </w:r>
      <w:bookmarkEnd w:id="220"/>
      <w:r w:rsidR="00552A6C">
        <w:t xml:space="preserve"> </w:t>
      </w:r>
    </w:p>
    <w:p w14:paraId="609C3BD8" w14:textId="1A868C9C" w:rsidR="006B6540" w:rsidRPr="00D33D37" w:rsidRDefault="00AE3AD9" w:rsidP="00257641">
      <w:pPr>
        <w:rPr>
          <w:u w:val="single"/>
        </w:rPr>
      </w:pPr>
      <w:r w:rsidRPr="00C2136A">
        <w:t xml:space="preserve">If any court issues an order for services to a West Virginia Medicaid MCO </w:t>
      </w:r>
      <w:r w:rsidR="007D4A05">
        <w:t>enrollee</w:t>
      </w:r>
      <w:r w:rsidR="007D4A05" w:rsidRPr="00C2136A">
        <w:t xml:space="preserve"> </w:t>
      </w:r>
      <w:r w:rsidRPr="00C2136A">
        <w:t xml:space="preserve">or orders West Virginia Medicaid, the State of West Virginia, any West Virginia agency, the MCO, or any other entity under the auspices of Medicaid, to pay for medical services for one (1) of the MCO’s Medicaid </w:t>
      </w:r>
      <w:r w:rsidR="007D4A05">
        <w:t>enrollee</w:t>
      </w:r>
      <w:r w:rsidR="007D4A05" w:rsidRPr="00C2136A">
        <w:t>s</w:t>
      </w:r>
      <w:r w:rsidRPr="00C2136A">
        <w:t>, including children’s residential treatment services, the MCO must comply with the court order and pay for the services.</w:t>
      </w:r>
      <w:r w:rsidRPr="00B615BC">
        <w:t> </w:t>
      </w:r>
      <w:r>
        <w:t xml:space="preserve">To encourage the use of the most appropriate treatment options for the child, the MCO </w:t>
      </w:r>
      <w:r w:rsidR="00DE6C3E">
        <w:t xml:space="preserve">must </w:t>
      </w:r>
      <w:r>
        <w:t>establish an approach of informing the court of alternative services that would best meet the needs of the child</w:t>
      </w:r>
      <w:r w:rsidR="00DE4777" w:rsidRPr="00321BFE">
        <w:t>.</w:t>
      </w:r>
    </w:p>
    <w:p w14:paraId="64B0BADD" w14:textId="11B16343" w:rsidR="00B452D6" w:rsidRPr="00B05EAA" w:rsidRDefault="00B452D6" w:rsidP="00257641">
      <w:pPr>
        <w:pStyle w:val="Heading3"/>
      </w:pPr>
      <w:bookmarkStart w:id="221" w:name="_Toc8129081"/>
      <w:r w:rsidRPr="00B452D6">
        <w:lastRenderedPageBreak/>
        <w:t>1</w:t>
      </w:r>
      <w:r w:rsidR="0042638E">
        <w:t>1</w:t>
      </w:r>
      <w:r w:rsidRPr="00B452D6">
        <w:t>.</w:t>
      </w:r>
      <w:r w:rsidR="00022C4F">
        <w:t>8</w:t>
      </w:r>
      <w:r w:rsidR="0089168D">
        <w:tab/>
      </w:r>
      <w:r w:rsidRPr="00B452D6">
        <w:t xml:space="preserve">Behavioral </w:t>
      </w:r>
      <w:r w:rsidR="00113686">
        <w:t xml:space="preserve">Health </w:t>
      </w:r>
      <w:r w:rsidRPr="00B452D6">
        <w:t>Provider Network</w:t>
      </w:r>
      <w:bookmarkEnd w:id="221"/>
      <w:r w:rsidRPr="00B05EAA">
        <w:t xml:space="preserve"> </w:t>
      </w:r>
    </w:p>
    <w:p w14:paraId="6AFD919D" w14:textId="06DB2176" w:rsidR="00B452D6" w:rsidRPr="002A170F" w:rsidRDefault="00B452D6" w:rsidP="00257641">
      <w:r w:rsidRPr="002A170F">
        <w:t xml:space="preserve">The MCO must comply with this Section notwithstanding Article III, Section </w:t>
      </w:r>
      <w:r w:rsidR="003F0A43">
        <w:t>3</w:t>
      </w:r>
      <w:r w:rsidRPr="002A170F">
        <w:t xml:space="preserve"> of th</w:t>
      </w:r>
      <w:r w:rsidR="009A7BC2">
        <w:t>is</w:t>
      </w:r>
      <w:r w:rsidRPr="002A170F">
        <w:t xml:space="preserve"> Contract. </w:t>
      </w:r>
    </w:p>
    <w:p w14:paraId="1CC8325E" w14:textId="11DA8A1B" w:rsidR="00B452D6" w:rsidRPr="002A170F" w:rsidRDefault="004F7964" w:rsidP="00257641">
      <w:r>
        <w:t xml:space="preserve">The </w:t>
      </w:r>
      <w:r w:rsidR="00B452D6" w:rsidRPr="002A170F">
        <w:t xml:space="preserve">MCO must reimburse at least </w:t>
      </w:r>
      <w:r w:rsidR="00C130C4">
        <w:t xml:space="preserve">one hundred </w:t>
      </w:r>
      <w:r w:rsidR="00B452D6" w:rsidRPr="002A170F">
        <w:t xml:space="preserve">percent </w:t>
      </w:r>
      <w:r w:rsidR="00B615BC">
        <w:t>(</w:t>
      </w:r>
      <w:r w:rsidR="00B615BC" w:rsidRPr="002A170F">
        <w:t>100</w:t>
      </w:r>
      <w:r w:rsidR="00B615BC">
        <w:t>%)</w:t>
      </w:r>
      <w:r w:rsidR="00B615BC" w:rsidRPr="002A170F">
        <w:t xml:space="preserve"> </w:t>
      </w:r>
      <w:r w:rsidR="00B452D6" w:rsidRPr="002A170F">
        <w:t xml:space="preserve">of the current </w:t>
      </w:r>
      <w:r w:rsidR="00B615BC">
        <w:t>FFS</w:t>
      </w:r>
      <w:r w:rsidR="00B452D6" w:rsidRPr="002A170F">
        <w:t xml:space="preserve"> Medicaid fee schedule to in-network behavioral</w:t>
      </w:r>
      <w:r w:rsidR="00113686">
        <w:t xml:space="preserve"> health</w:t>
      </w:r>
      <w:r w:rsidR="00B452D6" w:rsidRPr="002A170F">
        <w:t xml:space="preserve"> provider, unless such provider agreed to an alternative payment schedule. The Department will notify the MCO of any changes in the </w:t>
      </w:r>
      <w:r w:rsidR="00B615BC">
        <w:t>FFS</w:t>
      </w:r>
      <w:r w:rsidR="00B452D6" w:rsidRPr="002A170F">
        <w:t xml:space="preserve"> Medicaid schedule as soon as administratively possible. The MCO must adjust the reimbursement schedule to in-network behavioral provider within </w:t>
      </w:r>
      <w:r w:rsidR="00C8689A">
        <w:t>thirty (</w:t>
      </w:r>
      <w:r w:rsidR="00FD0264">
        <w:t>3</w:t>
      </w:r>
      <w:r w:rsidR="00B452D6" w:rsidRPr="002A170F">
        <w:t>0</w:t>
      </w:r>
      <w:r w:rsidR="00C8689A">
        <w:t>)</w:t>
      </w:r>
      <w:r w:rsidR="00B452D6" w:rsidRPr="002A170F">
        <w:t xml:space="preserve"> </w:t>
      </w:r>
      <w:r w:rsidR="00FD0264">
        <w:t xml:space="preserve">calendar </w:t>
      </w:r>
      <w:r w:rsidR="00B452D6" w:rsidRPr="002A170F">
        <w:t xml:space="preserve">days of the Department’s notification of any changes in the </w:t>
      </w:r>
      <w:r w:rsidR="00B615BC">
        <w:t>FFS</w:t>
      </w:r>
      <w:r w:rsidR="00B452D6" w:rsidRPr="002A170F">
        <w:t xml:space="preserve"> Medicaid schedule. </w:t>
      </w:r>
    </w:p>
    <w:p w14:paraId="4740FD37" w14:textId="675322E3" w:rsidR="002C6857" w:rsidRDefault="002C6857" w:rsidP="00257641">
      <w:pPr>
        <w:pStyle w:val="Heading3"/>
        <w:ind w:left="1080" w:hanging="623"/>
      </w:pPr>
      <w:bookmarkStart w:id="222" w:name="_Toc8129082"/>
      <w:r>
        <w:t>1</w:t>
      </w:r>
      <w:r w:rsidR="0042638E">
        <w:t>1</w:t>
      </w:r>
      <w:r>
        <w:t>.</w:t>
      </w:r>
      <w:r w:rsidR="00022C4F">
        <w:t>9</w:t>
      </w:r>
      <w:r w:rsidR="0089168D">
        <w:tab/>
      </w:r>
      <w:r w:rsidRPr="002C6857">
        <w:t>Behavioral Health Service Authorization</w:t>
      </w:r>
      <w:bookmarkEnd w:id="222"/>
    </w:p>
    <w:p w14:paraId="233F023F" w14:textId="78AAA9DA" w:rsidR="00265B0A" w:rsidRDefault="002C6857" w:rsidP="00257641">
      <w:r>
        <w:t xml:space="preserve">In addition to the </w:t>
      </w:r>
      <w:r w:rsidR="004C711F">
        <w:t xml:space="preserve">service authorization requirements </w:t>
      </w:r>
      <w:r w:rsidR="00906E59">
        <w:t>outlined in Art</w:t>
      </w:r>
      <w:r w:rsidR="00F0337D">
        <w:t>icle</w:t>
      </w:r>
      <w:r w:rsidR="00906E59">
        <w:t xml:space="preserve"> III, Section </w:t>
      </w:r>
      <w:r w:rsidR="00E9724D">
        <w:t>6</w:t>
      </w:r>
      <w:r w:rsidR="00906E59">
        <w:t>.4, the</w:t>
      </w:r>
      <w:r w:rsidR="007633A0">
        <w:t xml:space="preserve"> </w:t>
      </w:r>
      <w:r w:rsidR="00906E59">
        <w:t xml:space="preserve">MCO </w:t>
      </w:r>
      <w:r w:rsidR="007D2FC5">
        <w:t xml:space="preserve">must </w:t>
      </w:r>
      <w:r w:rsidR="00976191">
        <w:t xml:space="preserve">utilize </w:t>
      </w:r>
      <w:r w:rsidR="00465753">
        <w:t xml:space="preserve">the </w:t>
      </w:r>
      <w:r w:rsidR="00436C2B">
        <w:t>Department’s</w:t>
      </w:r>
      <w:r w:rsidR="00465753">
        <w:t xml:space="preserve"> </w:t>
      </w:r>
      <w:r w:rsidR="00477E30">
        <w:t>standar</w:t>
      </w:r>
      <w:r w:rsidR="00BA047A">
        <w:t>d</w:t>
      </w:r>
      <w:r w:rsidR="00477E30">
        <w:t xml:space="preserve"> behavioral service authorization form</w:t>
      </w:r>
      <w:r w:rsidR="004D6A20">
        <w:t>at</w:t>
      </w:r>
      <w:r w:rsidR="000925AA">
        <w:t xml:space="preserve"> or other authorization format approved by the contracted provider</w:t>
      </w:r>
      <w:r w:rsidR="00436C2B">
        <w:t xml:space="preserve">. </w:t>
      </w:r>
    </w:p>
    <w:p w14:paraId="1B4A1AF6" w14:textId="4642FCEB" w:rsidR="003F0A43" w:rsidRDefault="003F0A43" w:rsidP="003F0A43">
      <w:pPr>
        <w:pStyle w:val="BodyText"/>
      </w:pPr>
      <w:r>
        <w:t xml:space="preserve">Partial hospitalization programs must be approved by the Department before the MCO may offer the services to its </w:t>
      </w:r>
      <w:r w:rsidR="007D4A05">
        <w:t xml:space="preserve">enrollees </w:t>
      </w:r>
      <w:r>
        <w:t xml:space="preserve">by that provider. </w:t>
      </w:r>
    </w:p>
    <w:p w14:paraId="4345E781" w14:textId="3735565A" w:rsidR="002E5FFC" w:rsidRDefault="002E5FFC" w:rsidP="00257641">
      <w:pPr>
        <w:pStyle w:val="Heading3"/>
      </w:pPr>
      <w:bookmarkStart w:id="223" w:name="_Toc478572088"/>
      <w:bookmarkStart w:id="224" w:name="_Toc478638441"/>
      <w:bookmarkStart w:id="225" w:name="_Toc479006024"/>
      <w:bookmarkStart w:id="226" w:name="_Toc479236733"/>
      <w:bookmarkStart w:id="227" w:name="_Toc479257814"/>
      <w:bookmarkStart w:id="228" w:name="_Toc478572089"/>
      <w:bookmarkStart w:id="229" w:name="_Toc478638442"/>
      <w:bookmarkStart w:id="230" w:name="_Toc479006025"/>
      <w:bookmarkStart w:id="231" w:name="_Toc479236734"/>
      <w:bookmarkStart w:id="232" w:name="_Toc479257815"/>
      <w:bookmarkStart w:id="233" w:name="_Toc8129083"/>
      <w:bookmarkEnd w:id="223"/>
      <w:bookmarkEnd w:id="224"/>
      <w:bookmarkEnd w:id="225"/>
      <w:bookmarkEnd w:id="226"/>
      <w:bookmarkEnd w:id="227"/>
      <w:bookmarkEnd w:id="228"/>
      <w:bookmarkEnd w:id="229"/>
      <w:bookmarkEnd w:id="230"/>
      <w:bookmarkEnd w:id="231"/>
      <w:bookmarkEnd w:id="232"/>
      <w:r>
        <w:t>1</w:t>
      </w:r>
      <w:r w:rsidR="0042638E">
        <w:t>1</w:t>
      </w:r>
      <w:r>
        <w:t>.1</w:t>
      </w:r>
      <w:r w:rsidR="00022C4F">
        <w:t>0</w:t>
      </w:r>
      <w:r>
        <w:t xml:space="preserve"> Substance Use Disorder </w:t>
      </w:r>
      <w:r w:rsidR="00274474">
        <w:t xml:space="preserve">(SUD) </w:t>
      </w:r>
      <w:r>
        <w:t>Services</w:t>
      </w:r>
      <w:bookmarkEnd w:id="233"/>
    </w:p>
    <w:p w14:paraId="6658D31E" w14:textId="45BA2C3D" w:rsidR="00B9122C" w:rsidRPr="00B9122C" w:rsidRDefault="00B9122C" w:rsidP="00257641">
      <w:pPr>
        <w:pStyle w:val="Heading4"/>
      </w:pPr>
      <w:r w:rsidRPr="00B9122C">
        <w:t>1</w:t>
      </w:r>
      <w:r w:rsidR="0042638E">
        <w:t>1</w:t>
      </w:r>
      <w:r w:rsidRPr="00B9122C">
        <w:t>.11.1 General Requirements</w:t>
      </w:r>
    </w:p>
    <w:p w14:paraId="2A74A42F" w14:textId="12ED8C6E" w:rsidR="00B615BC" w:rsidRDefault="00B615BC" w:rsidP="00257641">
      <w:r>
        <w:t xml:space="preserve">In response to the opioid epidemic in West Virginia, the Department seeks to enhance available SUD prevention and treatment services available to Medicaid </w:t>
      </w:r>
      <w:r w:rsidR="007D4A05">
        <w:t>enrollees</w:t>
      </w:r>
      <w:r>
        <w:t xml:space="preserve">. </w:t>
      </w:r>
    </w:p>
    <w:p w14:paraId="0D13D24E" w14:textId="107A04A6" w:rsidR="00274474" w:rsidRDefault="00274474" w:rsidP="00257641">
      <w:pPr>
        <w:pStyle w:val="Heading4"/>
      </w:pPr>
      <w:r>
        <w:t>11.11.2</w:t>
      </w:r>
      <w:r w:rsidR="003150A4">
        <w:t xml:space="preserve"> </w:t>
      </w:r>
      <w:r>
        <w:t>SUD 1115 Demonstration Waiver</w:t>
      </w:r>
    </w:p>
    <w:p w14:paraId="7057C1F5" w14:textId="7B2332C3" w:rsidR="00B615BC" w:rsidRPr="0009067D" w:rsidRDefault="00B615BC" w:rsidP="00257641">
      <w:pPr>
        <w:pStyle w:val="normal6"/>
      </w:pPr>
      <w:r w:rsidRPr="0009067D">
        <w:t xml:space="preserve">Building on legislative and </w:t>
      </w:r>
      <w:r w:rsidRPr="00257641">
        <w:t>health</w:t>
      </w:r>
      <w:r w:rsidRPr="0009067D">
        <w:t xml:space="preserve"> systems activities, the goal is to create a seamless continuum of care to support </w:t>
      </w:r>
      <w:r w:rsidR="007D4A05">
        <w:t>enrollee</w:t>
      </w:r>
      <w:r w:rsidR="007D4A05" w:rsidRPr="0009067D">
        <w:t>s</w:t>
      </w:r>
      <w:r w:rsidR="007D4A05">
        <w:t xml:space="preserve"> </w:t>
      </w:r>
      <w:r>
        <w:t>in their recovery</w:t>
      </w:r>
      <w:r w:rsidRPr="0009067D">
        <w:t>. The MCO is expected to support the following goals:</w:t>
      </w:r>
    </w:p>
    <w:p w14:paraId="71B8D9F9" w14:textId="77777777" w:rsidR="00B615BC" w:rsidRPr="00257641" w:rsidRDefault="00B615BC" w:rsidP="00257641">
      <w:pPr>
        <w:pStyle w:val="bullet1"/>
      </w:pPr>
      <w:r w:rsidRPr="00257641">
        <w:t>Improve quality of care and population health outcomes for Medicaid enrollees with SUD;</w:t>
      </w:r>
    </w:p>
    <w:p w14:paraId="5B8F1CF7" w14:textId="77777777" w:rsidR="00B615BC" w:rsidRPr="00257641" w:rsidRDefault="00B615BC" w:rsidP="00257641">
      <w:pPr>
        <w:pStyle w:val="bullet1"/>
      </w:pPr>
      <w:r w:rsidRPr="00257641">
        <w:t>Increase enrollee access to and utilization of appropriate SUD treatment services based on American Society of Addiction Medicine (ASAM®) Criteria;</w:t>
      </w:r>
    </w:p>
    <w:p w14:paraId="1C572525" w14:textId="77777777" w:rsidR="00B615BC" w:rsidRPr="00257641" w:rsidRDefault="00B615BC" w:rsidP="00257641">
      <w:pPr>
        <w:pStyle w:val="bullet1"/>
      </w:pPr>
      <w:r w:rsidRPr="00257641">
        <w:t xml:space="preserve">Decrease medically inappropriate and avoidable utilization of high-cost emergency department and hospital services by enrollees with SUD; </w:t>
      </w:r>
    </w:p>
    <w:p w14:paraId="5638C81E" w14:textId="77777777" w:rsidR="00B615BC" w:rsidRPr="00257641" w:rsidRDefault="00B615BC" w:rsidP="00257641">
      <w:pPr>
        <w:pStyle w:val="bullet1"/>
      </w:pPr>
      <w:r w:rsidRPr="00257641">
        <w:t>Improve care coordination and care transitions for Medicaid enrollees with SUD; and</w:t>
      </w:r>
    </w:p>
    <w:p w14:paraId="5B621245" w14:textId="77777777" w:rsidR="00B615BC" w:rsidRPr="0009067D" w:rsidRDefault="00B615BC" w:rsidP="00257641">
      <w:pPr>
        <w:pStyle w:val="bullet1"/>
        <w:spacing w:after="240"/>
        <w:rPr>
          <w:szCs w:val="24"/>
        </w:rPr>
      </w:pPr>
      <w:r w:rsidRPr="0009067D">
        <w:rPr>
          <w:szCs w:val="24"/>
        </w:rPr>
        <w:t>Follow the CMS standards and guidelines as stated in the Special Terms and Conditions of the W</w:t>
      </w:r>
      <w:r>
        <w:rPr>
          <w:szCs w:val="24"/>
        </w:rPr>
        <w:t xml:space="preserve">est </w:t>
      </w:r>
      <w:r w:rsidRPr="0009067D">
        <w:rPr>
          <w:szCs w:val="24"/>
        </w:rPr>
        <w:t>V</w:t>
      </w:r>
      <w:r>
        <w:rPr>
          <w:szCs w:val="24"/>
        </w:rPr>
        <w:t>irginia</w:t>
      </w:r>
      <w:r w:rsidRPr="0009067D">
        <w:rPr>
          <w:szCs w:val="24"/>
        </w:rPr>
        <w:t xml:space="preserve"> approved 1115 SUD Waiver.</w:t>
      </w:r>
    </w:p>
    <w:p w14:paraId="5C63C611" w14:textId="77777777" w:rsidR="00B615BC" w:rsidRPr="0009067D" w:rsidRDefault="00B615BC" w:rsidP="00257641">
      <w:pPr>
        <w:rPr>
          <w:szCs w:val="24"/>
        </w:rPr>
      </w:pPr>
      <w:r w:rsidRPr="0009067D">
        <w:rPr>
          <w:szCs w:val="24"/>
        </w:rPr>
        <w:t xml:space="preserve">The Department has established standards of care for SUD demonstration waiver services that incorporate industry standard benchmarks from the ASAM® </w:t>
      </w:r>
      <w:r>
        <w:rPr>
          <w:szCs w:val="24"/>
        </w:rPr>
        <w:t>C</w:t>
      </w:r>
      <w:r w:rsidRPr="0009067D">
        <w:rPr>
          <w:szCs w:val="24"/>
        </w:rPr>
        <w:t xml:space="preserve">riteria for patient assessment and placement, service, and staffing specifications. </w:t>
      </w:r>
    </w:p>
    <w:p w14:paraId="61CBF576" w14:textId="1032C97D" w:rsidR="00274474" w:rsidRDefault="00274474" w:rsidP="00257641">
      <w:pPr>
        <w:pStyle w:val="Heading4"/>
      </w:pPr>
      <w:r>
        <w:lastRenderedPageBreak/>
        <w:t>11.11.3</w:t>
      </w:r>
      <w:r w:rsidR="003150A4">
        <w:t xml:space="preserve"> </w:t>
      </w:r>
      <w:r>
        <w:t>SUD Services</w:t>
      </w:r>
      <w:r w:rsidR="00B615BC" w:rsidRPr="00B615BC">
        <w:t xml:space="preserve"> </w:t>
      </w:r>
      <w:r w:rsidR="00B615BC">
        <w:t>Coninuum of Care</w:t>
      </w:r>
    </w:p>
    <w:p w14:paraId="24B753D5" w14:textId="105F503D" w:rsidR="00B615BC" w:rsidRDefault="00B615BC" w:rsidP="00257641">
      <w:pPr>
        <w:rPr>
          <w:szCs w:val="24"/>
        </w:rPr>
      </w:pPr>
      <w:r>
        <w:rPr>
          <w:szCs w:val="24"/>
        </w:rPr>
        <w:t xml:space="preserve">The MCO will be responsible for a seamless continuum of care for SUD treatment to all West Virginia Medicaid </w:t>
      </w:r>
      <w:r w:rsidR="00442E8D">
        <w:rPr>
          <w:szCs w:val="24"/>
        </w:rPr>
        <w:t xml:space="preserve">enrollees </w:t>
      </w:r>
      <w:r>
        <w:rPr>
          <w:szCs w:val="24"/>
        </w:rPr>
        <w:t xml:space="preserve">who meet medical necessity criteria for services. These services include standard SUD services authorized under the West Virginia Medicaid State Plan as well as SUD services authorized under West Virginia’s SUD 1115 demonstration waiver. The MCO must follow all standards and criteria adopted by the Department regarding SUD services as outlined in the </w:t>
      </w:r>
      <w:r w:rsidRPr="0099717A">
        <w:rPr>
          <w:szCs w:val="24"/>
        </w:rPr>
        <w:t>West Virginia Medicaid Provider Manual</w:t>
      </w:r>
      <w:r>
        <w:rPr>
          <w:szCs w:val="24"/>
        </w:rPr>
        <w:t xml:space="preserve">, Chapter 504: </w:t>
      </w:r>
      <w:r w:rsidRPr="0099717A">
        <w:rPr>
          <w:szCs w:val="24"/>
        </w:rPr>
        <w:t>Substance Use Disorder Services</w:t>
      </w:r>
      <w:r>
        <w:rPr>
          <w:szCs w:val="24"/>
        </w:rPr>
        <w:t>.</w:t>
      </w:r>
    </w:p>
    <w:p w14:paraId="53DE91DF" w14:textId="507CD73E" w:rsidR="006606F3" w:rsidRDefault="006606F3" w:rsidP="00257641">
      <w:pPr>
        <w:pStyle w:val="Heading5"/>
      </w:pPr>
      <w:r>
        <w:t>11.11.3.1</w:t>
      </w:r>
      <w:r w:rsidR="003150A4">
        <w:t xml:space="preserve"> </w:t>
      </w:r>
      <w:r>
        <w:t>Medicaid State Plan SUD services</w:t>
      </w:r>
    </w:p>
    <w:p w14:paraId="1D9A0D21" w14:textId="77777777" w:rsidR="00B615BC" w:rsidRPr="0009067D" w:rsidRDefault="00B615BC" w:rsidP="00257641">
      <w:pPr>
        <w:pStyle w:val="normal6"/>
        <w:rPr>
          <w:szCs w:val="24"/>
        </w:rPr>
      </w:pPr>
      <w:r w:rsidRPr="0009067D">
        <w:rPr>
          <w:szCs w:val="24"/>
        </w:rPr>
        <w:t>Medicaid State Plan SUD services include:</w:t>
      </w:r>
    </w:p>
    <w:p w14:paraId="39F666C8" w14:textId="77777777" w:rsidR="00B615BC" w:rsidRPr="00257641" w:rsidRDefault="00B615BC" w:rsidP="00257641">
      <w:pPr>
        <w:pStyle w:val="bullet1"/>
      </w:pPr>
      <w:r w:rsidRPr="00257641">
        <w:t xml:space="preserve">Targeted Case Management; </w:t>
      </w:r>
    </w:p>
    <w:p w14:paraId="3CD1DE8C" w14:textId="77777777" w:rsidR="00B615BC" w:rsidRPr="00257641" w:rsidRDefault="00B615BC" w:rsidP="00257641">
      <w:pPr>
        <w:pStyle w:val="bullet1"/>
      </w:pPr>
      <w:r w:rsidRPr="00257641">
        <w:t>Naloxone Administration Services;</w:t>
      </w:r>
    </w:p>
    <w:p w14:paraId="5A537D2B" w14:textId="77777777" w:rsidR="00B615BC" w:rsidRPr="00257641" w:rsidRDefault="00B615BC" w:rsidP="00257641">
      <w:pPr>
        <w:pStyle w:val="bullet1"/>
      </w:pPr>
      <w:r w:rsidRPr="00257641">
        <w:t xml:space="preserve">Screening, Brief Intervention and Referral to Treatment (0.5 ASAM® Level of Care); </w:t>
      </w:r>
    </w:p>
    <w:p w14:paraId="4FF5D26E" w14:textId="77777777" w:rsidR="00B615BC" w:rsidRPr="00257641" w:rsidRDefault="00B615BC" w:rsidP="00257641">
      <w:pPr>
        <w:pStyle w:val="bullet1"/>
      </w:pPr>
      <w:r w:rsidRPr="00257641">
        <w:t xml:space="preserve">Outpatient Services (1.0 ASAM® Level of Care); </w:t>
      </w:r>
    </w:p>
    <w:p w14:paraId="2496B0D0" w14:textId="77777777" w:rsidR="00B615BC" w:rsidRPr="00257641" w:rsidRDefault="00B615BC" w:rsidP="00257641">
      <w:pPr>
        <w:pStyle w:val="bullet1"/>
      </w:pPr>
      <w:r w:rsidRPr="00257641">
        <w:t>Intensive Outpatient Services (2.1 ASAM® Level of Care);</w:t>
      </w:r>
    </w:p>
    <w:p w14:paraId="4409CFCA" w14:textId="77777777" w:rsidR="00B615BC" w:rsidRPr="00257641" w:rsidRDefault="00B615BC" w:rsidP="00257641">
      <w:pPr>
        <w:pStyle w:val="bullet1"/>
      </w:pPr>
      <w:r w:rsidRPr="00257641">
        <w:t>Partial Hospitalization Services (2.5 ASAM® Level of Care);</w:t>
      </w:r>
    </w:p>
    <w:p w14:paraId="47754303" w14:textId="77777777" w:rsidR="00B615BC" w:rsidRPr="00257641" w:rsidRDefault="00B615BC" w:rsidP="00257641">
      <w:pPr>
        <w:pStyle w:val="bullet1"/>
      </w:pPr>
      <w:r w:rsidRPr="00257641">
        <w:t>Medically Monitored Intensive Inpatient Services (3.7 ASAM® Level of Care);</w:t>
      </w:r>
    </w:p>
    <w:p w14:paraId="7898A0A1" w14:textId="77777777" w:rsidR="00B615BC" w:rsidRPr="00257641" w:rsidRDefault="00B615BC" w:rsidP="00257641">
      <w:pPr>
        <w:pStyle w:val="bullet1"/>
      </w:pPr>
      <w:r w:rsidRPr="00257641">
        <w:t>Medically Managed Intensive Inpatient Services (4.0 ASAM® Level of Care);</w:t>
      </w:r>
    </w:p>
    <w:p w14:paraId="125738D4" w14:textId="77777777" w:rsidR="00B615BC" w:rsidRPr="00257641" w:rsidRDefault="00B615BC" w:rsidP="00257641">
      <w:pPr>
        <w:pStyle w:val="bullet1"/>
      </w:pPr>
      <w:r w:rsidRPr="00257641">
        <w:t>Ambulatory Withdrawal Management Services (1-WM &amp; 2-WM ASAM® Level of Care);</w:t>
      </w:r>
    </w:p>
    <w:p w14:paraId="372BC5B4" w14:textId="77777777" w:rsidR="00B615BC" w:rsidRPr="0009067D" w:rsidRDefault="00B615BC" w:rsidP="00257641">
      <w:pPr>
        <w:pStyle w:val="bullet1"/>
      </w:pPr>
      <w:r w:rsidRPr="00257641">
        <w:t>Medically Monitored Inpatient Withdrawal Management Services (3.7-WM ASAM® Level of</w:t>
      </w:r>
      <w:r w:rsidRPr="0009067D">
        <w:t xml:space="preserve"> </w:t>
      </w:r>
      <w:r>
        <w:t>C</w:t>
      </w:r>
      <w:r w:rsidRPr="0009067D">
        <w:t>are); and</w:t>
      </w:r>
    </w:p>
    <w:p w14:paraId="254C5612" w14:textId="77777777" w:rsidR="00B615BC" w:rsidRDefault="00B615BC" w:rsidP="00257641">
      <w:pPr>
        <w:pStyle w:val="bullet1"/>
        <w:spacing w:after="240"/>
        <w:rPr>
          <w:szCs w:val="24"/>
        </w:rPr>
      </w:pPr>
      <w:r w:rsidRPr="008477BE">
        <w:rPr>
          <w:szCs w:val="24"/>
        </w:rPr>
        <w:t xml:space="preserve">Non-Methadone </w:t>
      </w:r>
      <w:r w:rsidRPr="006B0F30">
        <w:rPr>
          <w:szCs w:val="24"/>
        </w:rPr>
        <w:t>Medication Assisted Treatment</w:t>
      </w:r>
      <w:r>
        <w:rPr>
          <w:szCs w:val="24"/>
        </w:rPr>
        <w:t xml:space="preserve"> (MAT)</w:t>
      </w:r>
      <w:r w:rsidRPr="006B0F30">
        <w:rPr>
          <w:szCs w:val="24"/>
        </w:rPr>
        <w:t>.</w:t>
      </w:r>
    </w:p>
    <w:p w14:paraId="34CC4F4B" w14:textId="0431A273" w:rsidR="006606F3" w:rsidRDefault="006606F3" w:rsidP="00257641">
      <w:pPr>
        <w:pStyle w:val="Heading5"/>
      </w:pPr>
      <w:r>
        <w:t>11.11.3.2</w:t>
      </w:r>
      <w:r w:rsidR="003150A4">
        <w:t xml:space="preserve"> </w:t>
      </w:r>
      <w:r w:rsidRPr="00A839F1">
        <w:t xml:space="preserve">SUD 1115 </w:t>
      </w:r>
      <w:r w:rsidR="00DC306C">
        <w:t>D</w:t>
      </w:r>
      <w:r w:rsidRPr="00A839F1">
        <w:t xml:space="preserve">emonstration </w:t>
      </w:r>
      <w:r w:rsidR="00DC306C">
        <w:t>W</w:t>
      </w:r>
      <w:r w:rsidRPr="00A839F1">
        <w:t xml:space="preserve">aiver </w:t>
      </w:r>
      <w:r w:rsidR="00DC306C">
        <w:t>S</w:t>
      </w:r>
      <w:r w:rsidRPr="00A839F1">
        <w:t>ervices</w:t>
      </w:r>
    </w:p>
    <w:p w14:paraId="2C43CF47" w14:textId="77777777" w:rsidR="00B615BC" w:rsidRPr="0009067D" w:rsidRDefault="00B615BC" w:rsidP="00257641">
      <w:pPr>
        <w:pStyle w:val="normal6"/>
        <w:rPr>
          <w:szCs w:val="24"/>
        </w:rPr>
      </w:pPr>
      <w:r w:rsidRPr="0009067D">
        <w:rPr>
          <w:szCs w:val="24"/>
        </w:rPr>
        <w:t>SUD 1115 demonstration waiver services include:</w:t>
      </w:r>
    </w:p>
    <w:p w14:paraId="40739249" w14:textId="77777777" w:rsidR="00B615BC" w:rsidRPr="00257641" w:rsidRDefault="00B615BC" w:rsidP="00257641">
      <w:pPr>
        <w:pStyle w:val="bullet1"/>
      </w:pPr>
      <w:r w:rsidRPr="0009067D">
        <w:t xml:space="preserve">Peer </w:t>
      </w:r>
      <w:r w:rsidRPr="00257641">
        <w:t>Recovery Support Services (1.0 ASAM® Level of Care);</w:t>
      </w:r>
    </w:p>
    <w:p w14:paraId="2CBFDCE7" w14:textId="77777777" w:rsidR="00B615BC" w:rsidRPr="00257641" w:rsidRDefault="00B615BC" w:rsidP="00257641">
      <w:pPr>
        <w:pStyle w:val="bullet1"/>
      </w:pPr>
      <w:r w:rsidRPr="00257641">
        <w:t>Clinically Managed Low Intensity Residential Services (3.1 ASAM® Level of Care);</w:t>
      </w:r>
    </w:p>
    <w:p w14:paraId="578A5059" w14:textId="77777777" w:rsidR="00B615BC" w:rsidRPr="00257641" w:rsidRDefault="00B615BC" w:rsidP="00257641">
      <w:pPr>
        <w:pStyle w:val="bullet1"/>
      </w:pPr>
      <w:r w:rsidRPr="00257641">
        <w:t>Clinically Managed Population-Specific High Intensity Residential Services (3.3 ASAM® Level of Care);</w:t>
      </w:r>
    </w:p>
    <w:p w14:paraId="70395CA4" w14:textId="77777777" w:rsidR="00B615BC" w:rsidRPr="00257641" w:rsidRDefault="00B615BC" w:rsidP="00257641">
      <w:pPr>
        <w:pStyle w:val="bullet1"/>
      </w:pPr>
      <w:r w:rsidRPr="00257641">
        <w:t>Clinically Managed High Intensity Residential Services (3.5 ASAM® Level of Care); and</w:t>
      </w:r>
    </w:p>
    <w:p w14:paraId="63A3F883" w14:textId="77777777" w:rsidR="00B615BC" w:rsidRPr="005721F1" w:rsidRDefault="00B615BC" w:rsidP="00257641">
      <w:pPr>
        <w:pStyle w:val="bullet1"/>
        <w:spacing w:after="240"/>
        <w:rPr>
          <w:szCs w:val="24"/>
        </w:rPr>
      </w:pPr>
      <w:r w:rsidRPr="0009067D">
        <w:rPr>
          <w:szCs w:val="24"/>
        </w:rPr>
        <w:t xml:space="preserve">Clinically Managed Residential Withdrawal Management Services (3.2-WM ASAM® </w:t>
      </w:r>
      <w:r>
        <w:rPr>
          <w:szCs w:val="24"/>
        </w:rPr>
        <w:t>L</w:t>
      </w:r>
      <w:r w:rsidRPr="0009067D">
        <w:rPr>
          <w:szCs w:val="24"/>
        </w:rPr>
        <w:t xml:space="preserve">evel of </w:t>
      </w:r>
      <w:r>
        <w:rPr>
          <w:szCs w:val="24"/>
        </w:rPr>
        <w:t>C</w:t>
      </w:r>
      <w:r w:rsidRPr="0009067D">
        <w:rPr>
          <w:szCs w:val="24"/>
        </w:rPr>
        <w:t>are)</w:t>
      </w:r>
      <w:r>
        <w:rPr>
          <w:szCs w:val="24"/>
        </w:rPr>
        <w:t>.</w:t>
      </w:r>
      <w:r w:rsidRPr="0009067D" w:rsidDel="002D2273">
        <w:rPr>
          <w:szCs w:val="24"/>
        </w:rPr>
        <w:t xml:space="preserve"> </w:t>
      </w:r>
    </w:p>
    <w:p w14:paraId="24819A06" w14:textId="3395EF21" w:rsidR="00B615BC" w:rsidRDefault="00B615BC" w:rsidP="00257641">
      <w:r w:rsidRPr="00371D12">
        <w:lastRenderedPageBreak/>
        <w:t xml:space="preserve">Opioid Treatment Program services </w:t>
      </w:r>
      <w:r w:rsidR="007864E1">
        <w:t>(</w:t>
      </w:r>
      <w:r w:rsidR="007864E1" w:rsidRPr="007864E1">
        <w:t>methadone only</w:t>
      </w:r>
      <w:r w:rsidR="007864E1">
        <w:t xml:space="preserve">) </w:t>
      </w:r>
      <w:r w:rsidRPr="00371D12">
        <w:t xml:space="preserve">included in the SUD waiver will be provided through Medicaid </w:t>
      </w:r>
      <w:r>
        <w:t>FFS</w:t>
      </w:r>
      <w:r w:rsidRPr="00371D12">
        <w:t>. The MCO will be responsible for assisting a</w:t>
      </w:r>
      <w:r w:rsidR="007D4A05">
        <w:t>n</w:t>
      </w:r>
      <w:r w:rsidRPr="00371D12">
        <w:t xml:space="preserve"> </w:t>
      </w:r>
      <w:r w:rsidR="007D4A05">
        <w:t>enrollee</w:t>
      </w:r>
      <w:r w:rsidR="007D4A05" w:rsidRPr="00371D12">
        <w:t xml:space="preserve"> </w:t>
      </w:r>
      <w:r w:rsidRPr="00371D12">
        <w:t xml:space="preserve">during the admission and discharge transition </w:t>
      </w:r>
      <w:r>
        <w:t xml:space="preserve">process </w:t>
      </w:r>
      <w:r w:rsidRPr="00371D12">
        <w:t>for Opio</w:t>
      </w:r>
      <w:r>
        <w:t>id Treatment Program services.</w:t>
      </w:r>
    </w:p>
    <w:p w14:paraId="1C188176" w14:textId="327E85BF" w:rsidR="00274474" w:rsidRDefault="006606F3" w:rsidP="00257641">
      <w:pPr>
        <w:pStyle w:val="Heading5"/>
      </w:pPr>
      <w:r>
        <w:t>11.11.3.3</w:t>
      </w:r>
      <w:r w:rsidR="003150A4">
        <w:t xml:space="preserve"> </w:t>
      </w:r>
      <w:r w:rsidRPr="00B064B1">
        <w:t>Peer Recovery Support Services</w:t>
      </w:r>
    </w:p>
    <w:p w14:paraId="29BFC76C" w14:textId="77777777" w:rsidR="008F617F" w:rsidRDefault="008F617F" w:rsidP="00257641">
      <w:pPr>
        <w:rPr>
          <w:szCs w:val="24"/>
        </w:rPr>
      </w:pPr>
      <w:r>
        <w:rPr>
          <w:szCs w:val="24"/>
        </w:rPr>
        <w:t xml:space="preserve">Peer recovery support services are designed and delivered by individuals called Peer Recovery Support Specialists who are in recovery from SUD. These Peer Recovery Support Specialists provide counseling support to help prevent relapse and promote recovery. Services must be provided by appropriately trained staff when working under the supervision of a competent behavioral health professional, as defined by the State. A Peer Recovery Support Specialist must be certified as outlined in the </w:t>
      </w:r>
      <w:r w:rsidRPr="0099717A">
        <w:rPr>
          <w:szCs w:val="24"/>
        </w:rPr>
        <w:t>West Virginia Medicaid Provider Manual</w:t>
      </w:r>
      <w:r>
        <w:rPr>
          <w:szCs w:val="24"/>
        </w:rPr>
        <w:t>, Chapter 504. The West Virginia Department-approved training program provides Peer Recovery Support Specialists with a basic set of competencies necessary to perform the peer support function. The Peer Recovery Support Specialist must demonstrate the ability to support the recovery of others from SUD. Similar to other provider types, ongoing continuing educational requirements for Peer Recovery Support Specialists must be in place.</w:t>
      </w:r>
    </w:p>
    <w:p w14:paraId="1E6B599C" w14:textId="3D523A39" w:rsidR="00896751" w:rsidRDefault="006606F3" w:rsidP="00257641">
      <w:pPr>
        <w:pStyle w:val="Heading5"/>
      </w:pPr>
      <w:r>
        <w:t xml:space="preserve">11.11.3.4 </w:t>
      </w:r>
      <w:r w:rsidR="008F617F">
        <w:t xml:space="preserve">SUD </w:t>
      </w:r>
      <w:r w:rsidRPr="006606F3">
        <w:t>Residential Treatment Services</w:t>
      </w:r>
    </w:p>
    <w:p w14:paraId="74D6D0A8" w14:textId="1A039CF5" w:rsidR="008F617F" w:rsidRPr="0009067D" w:rsidRDefault="008F617F" w:rsidP="00257641">
      <w:pPr>
        <w:pStyle w:val="normal6"/>
        <w:rPr>
          <w:szCs w:val="24"/>
        </w:rPr>
      </w:pPr>
      <w:r w:rsidRPr="0009067D">
        <w:rPr>
          <w:szCs w:val="24"/>
        </w:rPr>
        <w:t xml:space="preserve">Treatment services delivered to residents of an institutional care setting, including facilities that meet the definition of an IMD, are provided to West Virginia Medicaid </w:t>
      </w:r>
      <w:r w:rsidR="00442E8D">
        <w:rPr>
          <w:szCs w:val="24"/>
        </w:rPr>
        <w:t>enrollee</w:t>
      </w:r>
      <w:r w:rsidR="00442E8D" w:rsidRPr="0009067D">
        <w:rPr>
          <w:szCs w:val="24"/>
        </w:rPr>
        <w:t xml:space="preserve">s </w:t>
      </w:r>
      <w:r w:rsidRPr="0009067D">
        <w:rPr>
          <w:szCs w:val="24"/>
        </w:rPr>
        <w:t xml:space="preserve">with an SUD diagnosis when determined to be medically necessary by the MCO’s utilization staff and in accordance with an individualized service plan (ISP). The MCO’s utilization staff, physicians, or Medical Directors will perform independent </w:t>
      </w:r>
      <w:r>
        <w:rPr>
          <w:szCs w:val="24"/>
        </w:rPr>
        <w:t xml:space="preserve">reviews of </w:t>
      </w:r>
      <w:r w:rsidRPr="0009067D">
        <w:rPr>
          <w:szCs w:val="24"/>
        </w:rPr>
        <w:t>assessments to determine the level of care and length of stay recommendations based upon the ASAM® multidimensional assessment criteria.</w:t>
      </w:r>
    </w:p>
    <w:p w14:paraId="700FC267" w14:textId="77777777" w:rsidR="008F617F" w:rsidRPr="00257641" w:rsidRDefault="008F617F" w:rsidP="00257641">
      <w:pPr>
        <w:pStyle w:val="bullet1"/>
      </w:pPr>
      <w:r w:rsidRPr="0009067D">
        <w:t xml:space="preserve">Residential treatment services must be provided in a </w:t>
      </w:r>
      <w:r>
        <w:t>BMS</w:t>
      </w:r>
      <w:r w:rsidRPr="0009067D">
        <w:t xml:space="preserve">-certified facility that has been </w:t>
      </w:r>
      <w:r w:rsidRPr="00257641">
        <w:t>enrolled as a Medicaid provider and has been assessed by the Department as delivering care consistent with ASAM® Levels 3.1. 3.3, 3.5, and/or 3.7.</w:t>
      </w:r>
    </w:p>
    <w:p w14:paraId="27A1CF8C" w14:textId="66B8865D" w:rsidR="008F617F" w:rsidRPr="00257641" w:rsidRDefault="008F617F" w:rsidP="00257641">
      <w:pPr>
        <w:pStyle w:val="bullet1"/>
      </w:pPr>
      <w:r w:rsidRPr="00257641">
        <w:t>The BMS-certified facility must be credentialed and enrolled by an MCO as a network provider. Each residential treatment provider will be certified as meeting the provider and service specifications described in the West Virginia Medicaid Provider Manual, Chapter 504 consistent with the ASAM®</w:t>
      </w:r>
      <w:r w:rsidR="003150A4" w:rsidRPr="00257641">
        <w:t xml:space="preserve"> </w:t>
      </w:r>
      <w:r w:rsidRPr="00257641">
        <w:t>criteria for the requisite level or sublevel of care prior to participating in the West Virginia Medicaid program under the SUD 1115 demonstration waiver. The MCOs will provide credentialing for ASAM® Levels 3.1, 3.3, 3.5 and/or 3.7 contingent on the providers receiving certification from the state.</w:t>
      </w:r>
    </w:p>
    <w:p w14:paraId="05A3F785" w14:textId="77777777" w:rsidR="008F617F" w:rsidRPr="0009067D" w:rsidRDefault="008F617F" w:rsidP="00257641">
      <w:pPr>
        <w:pStyle w:val="bullet1"/>
      </w:pPr>
      <w:r w:rsidRPr="00257641">
        <w:t>Residential</w:t>
      </w:r>
      <w:r w:rsidRPr="0009067D">
        <w:t xml:space="preserve"> treatment services can be provided in settings of any size.</w:t>
      </w:r>
    </w:p>
    <w:p w14:paraId="7E5B4BA1" w14:textId="77777777" w:rsidR="008F617F" w:rsidRPr="0009067D" w:rsidRDefault="008F617F" w:rsidP="00257641">
      <w:pPr>
        <w:pStyle w:val="bullet1"/>
        <w:spacing w:after="240"/>
        <w:rPr>
          <w:szCs w:val="24"/>
        </w:rPr>
      </w:pPr>
      <w:r w:rsidRPr="0009067D">
        <w:rPr>
          <w:szCs w:val="24"/>
        </w:rPr>
        <w:t xml:space="preserve">Room and board costs are not considered allowable costs for residential treatment service providers unless they qualify as inpatient facilities under section 1905(a) </w:t>
      </w:r>
      <w:r>
        <w:rPr>
          <w:szCs w:val="24"/>
        </w:rPr>
        <w:t>o</w:t>
      </w:r>
      <w:r w:rsidRPr="0009067D">
        <w:rPr>
          <w:szCs w:val="24"/>
        </w:rPr>
        <w:t>f the Act.</w:t>
      </w:r>
    </w:p>
    <w:p w14:paraId="0F716709" w14:textId="77777777" w:rsidR="008F617F" w:rsidRPr="0009067D" w:rsidRDefault="008F617F" w:rsidP="00257641">
      <w:pPr>
        <w:pStyle w:val="normal6"/>
        <w:rPr>
          <w:szCs w:val="24"/>
        </w:rPr>
      </w:pPr>
      <w:r w:rsidRPr="0009067D">
        <w:rPr>
          <w:szCs w:val="24"/>
        </w:rPr>
        <w:t xml:space="preserve">Covered </w:t>
      </w:r>
      <w:r w:rsidRPr="00A046AC">
        <w:rPr>
          <w:szCs w:val="24"/>
        </w:rPr>
        <w:t xml:space="preserve">Residential Treatment </w:t>
      </w:r>
      <w:r w:rsidRPr="0009067D">
        <w:rPr>
          <w:szCs w:val="24"/>
        </w:rPr>
        <w:t>services include:</w:t>
      </w:r>
    </w:p>
    <w:p w14:paraId="0C8A8E61" w14:textId="77777777" w:rsidR="008F617F" w:rsidRPr="00257641" w:rsidRDefault="008F617F" w:rsidP="00257641">
      <w:pPr>
        <w:pStyle w:val="bullet1"/>
      </w:pPr>
      <w:r w:rsidRPr="00257641">
        <w:lastRenderedPageBreak/>
        <w:t>Clinically-directed therapeutic treatment to facilitate recovery skills, relapse prevention, and emotional coping strategies;</w:t>
      </w:r>
    </w:p>
    <w:p w14:paraId="3A84C501" w14:textId="77777777" w:rsidR="008F617F" w:rsidRPr="00257641" w:rsidRDefault="008F617F" w:rsidP="00257641">
      <w:pPr>
        <w:pStyle w:val="bullet1"/>
      </w:pPr>
      <w:r w:rsidRPr="00257641">
        <w:t>Addiction pharmacotherapy and drug screening;</w:t>
      </w:r>
    </w:p>
    <w:p w14:paraId="12867FD2" w14:textId="77777777" w:rsidR="008F617F" w:rsidRPr="00257641" w:rsidRDefault="008F617F" w:rsidP="00257641">
      <w:pPr>
        <w:pStyle w:val="bullet1"/>
      </w:pPr>
      <w:r w:rsidRPr="00257641">
        <w:t>Motivational enhancement and engagement strategies;</w:t>
      </w:r>
    </w:p>
    <w:p w14:paraId="4CE26791" w14:textId="77777777" w:rsidR="008F617F" w:rsidRPr="00257641" w:rsidRDefault="008F617F" w:rsidP="00257641">
      <w:pPr>
        <w:pStyle w:val="bullet1"/>
      </w:pPr>
      <w:r w:rsidRPr="00257641">
        <w:t>Counseling and clinical monitoring;</w:t>
      </w:r>
    </w:p>
    <w:p w14:paraId="24ABFC12" w14:textId="77777777" w:rsidR="008F617F" w:rsidRPr="00257641" w:rsidRDefault="008F617F" w:rsidP="00257641">
      <w:pPr>
        <w:pStyle w:val="bullet1"/>
      </w:pPr>
      <w:r w:rsidRPr="00257641">
        <w:t>Withdrawal management and related treatment designed to alleviate acute emotional, behavioral, cognitive, or biomedical distress resulting from or occurring with an individual's use of alcohol and other drugs;</w:t>
      </w:r>
    </w:p>
    <w:p w14:paraId="74F20292" w14:textId="77777777" w:rsidR="008F617F" w:rsidRPr="00257641" w:rsidRDefault="008F617F" w:rsidP="00257641">
      <w:pPr>
        <w:pStyle w:val="bullet1"/>
      </w:pPr>
      <w:r w:rsidRPr="00257641">
        <w:t>Regular monitoring of the individual's medication adherence;</w:t>
      </w:r>
    </w:p>
    <w:p w14:paraId="0359988C" w14:textId="77777777" w:rsidR="008F617F" w:rsidRPr="00257641" w:rsidRDefault="008F617F" w:rsidP="00257641">
      <w:pPr>
        <w:pStyle w:val="bullet1"/>
      </w:pPr>
      <w:r w:rsidRPr="00257641">
        <w:t>Recovery support services;</w:t>
      </w:r>
    </w:p>
    <w:p w14:paraId="1F3DEFEE" w14:textId="77777777" w:rsidR="008F617F" w:rsidRPr="0009067D" w:rsidRDefault="008F617F" w:rsidP="00257641">
      <w:pPr>
        <w:pStyle w:val="bullet1"/>
      </w:pPr>
      <w:r w:rsidRPr="00257641">
        <w:t>Counseling services involving the beneficiary's family and significant others to advance the beneficiary's treatment goals, when (l ) the counseling with the family member and significant others is for the direct benefit of the beneficiary, (2) the counseling is not aimed at addressing treatment needs of the beneficiary's family or significant others, and (3) the beneficiary is present except when it is clinically appropriate for the beneficiary to be absent in order to advance the beneficiary's treatment goals</w:t>
      </w:r>
      <w:r w:rsidRPr="0009067D">
        <w:t>; and</w:t>
      </w:r>
    </w:p>
    <w:p w14:paraId="262A325D" w14:textId="77777777" w:rsidR="008F617F" w:rsidRDefault="008F617F" w:rsidP="00257641">
      <w:pPr>
        <w:pStyle w:val="bullet1"/>
        <w:spacing w:after="240"/>
        <w:rPr>
          <w:szCs w:val="24"/>
        </w:rPr>
      </w:pPr>
      <w:r w:rsidRPr="0009067D">
        <w:rPr>
          <w:szCs w:val="24"/>
        </w:rPr>
        <w:t xml:space="preserve">Education on benefits of </w:t>
      </w:r>
      <w:r>
        <w:rPr>
          <w:szCs w:val="24"/>
        </w:rPr>
        <w:t>MAT</w:t>
      </w:r>
      <w:r w:rsidRPr="0009067D">
        <w:rPr>
          <w:szCs w:val="24"/>
        </w:rPr>
        <w:t xml:space="preserve"> and referral to treatment as necessary.</w:t>
      </w:r>
    </w:p>
    <w:p w14:paraId="4C799387" w14:textId="4ECC0A03" w:rsidR="0066204E" w:rsidRPr="004B2855" w:rsidRDefault="0066204E" w:rsidP="00257641">
      <w:pPr>
        <w:pStyle w:val="Heading4"/>
      </w:pPr>
      <w:r w:rsidRPr="004B2855">
        <w:t>11.11.</w:t>
      </w:r>
      <w:r w:rsidR="008F617F">
        <w:t>4</w:t>
      </w:r>
      <w:r w:rsidR="003150A4">
        <w:t xml:space="preserve"> </w:t>
      </w:r>
      <w:r w:rsidRPr="004B2855">
        <w:t>Use of ASAM® Criteria</w:t>
      </w:r>
    </w:p>
    <w:p w14:paraId="20A6DDAD" w14:textId="77777777" w:rsidR="008F617F" w:rsidRDefault="008F617F" w:rsidP="00257641">
      <w:pPr>
        <w:rPr>
          <w:szCs w:val="24"/>
        </w:rPr>
      </w:pPr>
      <w:r>
        <w:rPr>
          <w:szCs w:val="24"/>
        </w:rPr>
        <w:t>The MCO and all SUD providers are required to incorporate the national patient assessment and placement guidelines as established in the ASAM® Criteria, into current assessment and level of care determination processes. The multidimensional assessment framework will be implemented as a standard component of the bio-psychosocial assessment and level of care determination process.</w:t>
      </w:r>
    </w:p>
    <w:p w14:paraId="5EA24B76" w14:textId="62C2D106" w:rsidR="0066204E" w:rsidRPr="00E87E48" w:rsidRDefault="0066204E" w:rsidP="00257641">
      <w:pPr>
        <w:pStyle w:val="Heading4"/>
      </w:pPr>
      <w:r>
        <w:t>11.11.</w:t>
      </w:r>
      <w:r w:rsidR="008F617F">
        <w:t>5</w:t>
      </w:r>
      <w:r w:rsidR="003150A4">
        <w:t xml:space="preserve"> </w:t>
      </w:r>
      <w:r w:rsidR="008F617F">
        <w:t xml:space="preserve">SUD Provider Certification, </w:t>
      </w:r>
      <w:r w:rsidR="008F617F" w:rsidRPr="00CE165C">
        <w:t>Credentialing</w:t>
      </w:r>
      <w:r w:rsidR="008F617F">
        <w:t>, and Network</w:t>
      </w:r>
    </w:p>
    <w:p w14:paraId="6B4162F0" w14:textId="77777777" w:rsidR="008F617F" w:rsidRPr="009C3D57" w:rsidRDefault="008F617F" w:rsidP="00257641">
      <w:pPr>
        <w:rPr>
          <w:szCs w:val="24"/>
        </w:rPr>
      </w:pPr>
      <w:r w:rsidRPr="009C3D57">
        <w:rPr>
          <w:szCs w:val="24"/>
        </w:rPr>
        <w:t xml:space="preserve">The Department’s Administrative Services Organization (ASO) contractor will complete the SUD provider certification process and provide a report to the Department. Final certification letters will be sent out by the Department and the MCO will be notified of the certified providers by the Department. </w:t>
      </w:r>
    </w:p>
    <w:p w14:paraId="467D7BE3" w14:textId="77777777" w:rsidR="008F617F" w:rsidRDefault="008F617F" w:rsidP="00257641">
      <w:pPr>
        <w:rPr>
          <w:szCs w:val="24"/>
        </w:rPr>
      </w:pPr>
      <w:r w:rsidRPr="00647334">
        <w:rPr>
          <w:szCs w:val="24"/>
        </w:rPr>
        <w:t>Contingent on the SUD providers receiving certification from the state, the MCO</w:t>
      </w:r>
      <w:r w:rsidRPr="009C3D57">
        <w:rPr>
          <w:szCs w:val="24"/>
        </w:rPr>
        <w:t xml:space="preserve"> will credential all SUD providers consistent with the key benchmarks from ASAM® Criteria as set forth in the Medicaid Provider Manual, Chapter 504.</w:t>
      </w:r>
    </w:p>
    <w:p w14:paraId="5706801E" w14:textId="17A91FEC" w:rsidR="008F617F" w:rsidRDefault="008F617F" w:rsidP="00257641">
      <w:pPr>
        <w:rPr>
          <w:szCs w:val="24"/>
        </w:rPr>
      </w:pPr>
      <w:r>
        <w:rPr>
          <w:szCs w:val="24"/>
        </w:rPr>
        <w:t xml:space="preserve">The MCO </w:t>
      </w:r>
      <w:r w:rsidR="007D2FC5">
        <w:rPr>
          <w:szCs w:val="24"/>
        </w:rPr>
        <w:t xml:space="preserve">must </w:t>
      </w:r>
      <w:r>
        <w:rPr>
          <w:szCs w:val="24"/>
        </w:rPr>
        <w:t>meet the SUD provider network standards as outlined in Appendix K.</w:t>
      </w:r>
    </w:p>
    <w:p w14:paraId="718830AE" w14:textId="78EBCE43" w:rsidR="008F617F" w:rsidRDefault="008F617F" w:rsidP="00257641">
      <w:pPr>
        <w:pStyle w:val="Heading4"/>
      </w:pPr>
      <w:r>
        <w:t>11.11.6 SUD Provider Training and Education Requirements</w:t>
      </w:r>
    </w:p>
    <w:p w14:paraId="10C06CA3" w14:textId="773ED763" w:rsidR="008F617F" w:rsidRDefault="008F617F" w:rsidP="00257641">
      <w:pPr>
        <w:rPr>
          <w:szCs w:val="24"/>
        </w:rPr>
      </w:pPr>
      <w:r>
        <w:rPr>
          <w:szCs w:val="24"/>
        </w:rPr>
        <w:t>SUD providers are</w:t>
      </w:r>
      <w:r w:rsidRPr="00167D95">
        <w:rPr>
          <w:szCs w:val="24"/>
        </w:rPr>
        <w:t xml:space="preserve"> </w:t>
      </w:r>
      <w:r w:rsidRPr="009103DC">
        <w:rPr>
          <w:szCs w:val="24"/>
        </w:rPr>
        <w:t xml:space="preserve">responsible for providing training and education </w:t>
      </w:r>
      <w:r>
        <w:rPr>
          <w:szCs w:val="24"/>
        </w:rPr>
        <w:t xml:space="preserve">to their staff </w:t>
      </w:r>
      <w:r w:rsidRPr="009103DC">
        <w:rPr>
          <w:szCs w:val="24"/>
        </w:rPr>
        <w:t xml:space="preserve">on the ASAM® Level of Care criteria and the application of the ASAM® Criteria in the assessment process. </w:t>
      </w:r>
      <w:r w:rsidRPr="00167D95">
        <w:rPr>
          <w:szCs w:val="24"/>
        </w:rPr>
        <w:t xml:space="preserve">During provider enrollment, the MCO will obtain attestation from the SUD provider that </w:t>
      </w:r>
      <w:r w:rsidRPr="00167D95">
        <w:rPr>
          <w:szCs w:val="24"/>
        </w:rPr>
        <w:lastRenderedPageBreak/>
        <w:t>ASAM</w:t>
      </w:r>
      <w:r w:rsidRPr="009103DC">
        <w:rPr>
          <w:szCs w:val="24"/>
        </w:rPr>
        <w:t>®</w:t>
      </w:r>
      <w:r w:rsidRPr="00167D95">
        <w:rPr>
          <w:szCs w:val="24"/>
        </w:rPr>
        <w:t xml:space="preserve"> </w:t>
      </w:r>
      <w:r>
        <w:rPr>
          <w:szCs w:val="24"/>
        </w:rPr>
        <w:t>C</w:t>
      </w:r>
      <w:r w:rsidRPr="00167D95">
        <w:rPr>
          <w:szCs w:val="24"/>
        </w:rPr>
        <w:t xml:space="preserve">riteria will be </w:t>
      </w:r>
      <w:r>
        <w:rPr>
          <w:szCs w:val="24"/>
        </w:rPr>
        <w:t>applied</w:t>
      </w:r>
      <w:r w:rsidRPr="00167D95">
        <w:rPr>
          <w:szCs w:val="24"/>
        </w:rPr>
        <w:t xml:space="preserve"> appropriately by </w:t>
      </w:r>
      <w:r>
        <w:rPr>
          <w:szCs w:val="24"/>
        </w:rPr>
        <w:t xml:space="preserve">the provider’s </w:t>
      </w:r>
      <w:r w:rsidRPr="00167D95">
        <w:rPr>
          <w:szCs w:val="24"/>
        </w:rPr>
        <w:t>SUD program staff.</w:t>
      </w:r>
      <w:r w:rsidR="003150A4">
        <w:rPr>
          <w:szCs w:val="24"/>
        </w:rPr>
        <w:t xml:space="preserve"> </w:t>
      </w:r>
      <w:r>
        <w:rPr>
          <w:szCs w:val="24"/>
        </w:rPr>
        <w:t>A</w:t>
      </w:r>
      <w:r w:rsidRPr="00167D95">
        <w:rPr>
          <w:szCs w:val="24"/>
        </w:rPr>
        <w:t xml:space="preserve">s part of the </w:t>
      </w:r>
      <w:r>
        <w:rPr>
          <w:szCs w:val="24"/>
        </w:rPr>
        <w:t xml:space="preserve">Department’s </w:t>
      </w:r>
      <w:r w:rsidRPr="00167D95">
        <w:rPr>
          <w:szCs w:val="24"/>
        </w:rPr>
        <w:t xml:space="preserve">quality monitoring strategy, personnel and clinical records of a sample of the provider network </w:t>
      </w:r>
      <w:r>
        <w:rPr>
          <w:szCs w:val="24"/>
        </w:rPr>
        <w:t xml:space="preserve">will be reviewed </w:t>
      </w:r>
      <w:r w:rsidRPr="00167D95">
        <w:rPr>
          <w:szCs w:val="24"/>
        </w:rPr>
        <w:t xml:space="preserve">to </w:t>
      </w:r>
      <w:r>
        <w:rPr>
          <w:szCs w:val="24"/>
        </w:rPr>
        <w:t>evaluate if there is</w:t>
      </w:r>
      <w:r w:rsidRPr="00167D95">
        <w:rPr>
          <w:szCs w:val="24"/>
        </w:rPr>
        <w:t xml:space="preserve"> appropriate application </w:t>
      </w:r>
      <w:r>
        <w:rPr>
          <w:szCs w:val="24"/>
        </w:rPr>
        <w:t xml:space="preserve">of </w:t>
      </w:r>
      <w:r w:rsidRPr="00167D95">
        <w:rPr>
          <w:szCs w:val="24"/>
        </w:rPr>
        <w:t>and fidelity to the ASAM</w:t>
      </w:r>
      <w:r w:rsidRPr="009103DC">
        <w:rPr>
          <w:szCs w:val="24"/>
        </w:rPr>
        <w:t>®</w:t>
      </w:r>
      <w:r w:rsidRPr="00167D95">
        <w:rPr>
          <w:szCs w:val="24"/>
        </w:rPr>
        <w:t xml:space="preserve"> Levels of Care and the Medicaid Provider Manual. The Department’s </w:t>
      </w:r>
      <w:r>
        <w:rPr>
          <w:szCs w:val="24"/>
        </w:rPr>
        <w:t>ASO</w:t>
      </w:r>
      <w:r w:rsidRPr="00167D95">
        <w:rPr>
          <w:szCs w:val="24"/>
        </w:rPr>
        <w:t xml:space="preserve"> contractor will perform</w:t>
      </w:r>
      <w:r>
        <w:rPr>
          <w:szCs w:val="24"/>
        </w:rPr>
        <w:t xml:space="preserve"> these</w:t>
      </w:r>
      <w:r w:rsidRPr="00167D95">
        <w:rPr>
          <w:szCs w:val="24"/>
        </w:rPr>
        <w:t xml:space="preserve"> retro reviews of providers to ensure SUD program</w:t>
      </w:r>
      <w:r>
        <w:rPr>
          <w:szCs w:val="24"/>
        </w:rPr>
        <w:t xml:space="preserve"> provider</w:t>
      </w:r>
      <w:r w:rsidRPr="00167D95">
        <w:rPr>
          <w:szCs w:val="24"/>
        </w:rPr>
        <w:t xml:space="preserve">s are </w:t>
      </w:r>
      <w:r>
        <w:rPr>
          <w:szCs w:val="24"/>
        </w:rPr>
        <w:t>consistently applying</w:t>
      </w:r>
      <w:r w:rsidRPr="00167D95">
        <w:rPr>
          <w:szCs w:val="24"/>
        </w:rPr>
        <w:t xml:space="preserve"> ASAM</w:t>
      </w:r>
      <w:r w:rsidRPr="009103DC">
        <w:rPr>
          <w:szCs w:val="24"/>
        </w:rPr>
        <w:t>®</w:t>
      </w:r>
      <w:r>
        <w:rPr>
          <w:szCs w:val="24"/>
        </w:rPr>
        <w:t xml:space="preserve"> C</w:t>
      </w:r>
      <w:r w:rsidRPr="00167D95">
        <w:rPr>
          <w:szCs w:val="24"/>
        </w:rPr>
        <w:t>riteria throughout an individual’s stay and that documentation and personnel records meet established Medicaid standards.</w:t>
      </w:r>
      <w:r w:rsidR="003150A4">
        <w:rPr>
          <w:szCs w:val="24"/>
        </w:rPr>
        <w:t xml:space="preserve"> </w:t>
      </w:r>
    </w:p>
    <w:p w14:paraId="41147292" w14:textId="173A11A0" w:rsidR="008F617F" w:rsidRDefault="008F617F" w:rsidP="00257641">
      <w:pPr>
        <w:pStyle w:val="Heading4"/>
      </w:pPr>
      <w:r>
        <w:t xml:space="preserve">11.11.7 </w:t>
      </w:r>
      <w:r w:rsidRPr="00647334">
        <w:t>SUD Reporting Requirements</w:t>
      </w:r>
    </w:p>
    <w:p w14:paraId="487C1E36" w14:textId="77777777" w:rsidR="008F617F" w:rsidRPr="00647334" w:rsidRDefault="008F617F" w:rsidP="00257641">
      <w:r w:rsidRPr="00647334">
        <w:t>The MCO must follow all monitoring and evaluation requirements of the SUD Waiver</w:t>
      </w:r>
      <w:r>
        <w:t>.</w:t>
      </w:r>
    </w:p>
    <w:p w14:paraId="593CC07A" w14:textId="043CD090" w:rsidR="000342BF" w:rsidRPr="00B452D6" w:rsidRDefault="00262289" w:rsidP="007610FD">
      <w:pPr>
        <w:pStyle w:val="Heading2"/>
      </w:pPr>
      <w:bookmarkStart w:id="234" w:name="_Toc8129084"/>
      <w:r>
        <w:t xml:space="preserve">12. </w:t>
      </w:r>
      <w:r w:rsidR="00416494">
        <w:t>SOCIALLY NECESSARY SERVICES (SNS)</w:t>
      </w:r>
      <w:bookmarkEnd w:id="234"/>
    </w:p>
    <w:p w14:paraId="65C63C00" w14:textId="4E3A6E0F" w:rsidR="00416494" w:rsidRDefault="00416494" w:rsidP="00096A5D">
      <w:pPr>
        <w:pStyle w:val="BodyText"/>
      </w:pPr>
      <w:r>
        <w:t xml:space="preserve">The MCO </w:t>
      </w:r>
      <w:r w:rsidR="007D2FC5">
        <w:t xml:space="preserve">must </w:t>
      </w:r>
      <w:r>
        <w:t xml:space="preserve">be responsible for </w:t>
      </w:r>
      <w:r w:rsidR="00034A90" w:rsidRPr="00034A90">
        <w:t xml:space="preserve">serving as an Administrative Services Organization (ASO) for </w:t>
      </w:r>
      <w:r>
        <w:t xml:space="preserve">the </w:t>
      </w:r>
      <w:r w:rsidR="00034A90" w:rsidRPr="00034A90">
        <w:t>delivery</w:t>
      </w:r>
      <w:r>
        <w:t xml:space="preserve"> of SNS a</w:t>
      </w:r>
      <w:r w:rsidRPr="00257641">
        <w:t>s</w:t>
      </w:r>
      <w:r>
        <w:t xml:space="preserve"> defined by BCF and outlined within </w:t>
      </w:r>
      <w:r w:rsidR="00034A90">
        <w:t>the Department’s SNS Utilization Management Manual</w:t>
      </w:r>
      <w:r>
        <w:t xml:space="preserve">. </w:t>
      </w:r>
    </w:p>
    <w:p w14:paraId="5F7789D6" w14:textId="293C335E" w:rsidR="00416494" w:rsidRPr="00781340" w:rsidRDefault="001E0E80" w:rsidP="00257641">
      <w:pPr>
        <w:pStyle w:val="Heading3"/>
      </w:pPr>
      <w:bookmarkStart w:id="235" w:name="_Toc8129085"/>
      <w:r w:rsidRPr="00781340">
        <w:t xml:space="preserve">12.1 </w:t>
      </w:r>
      <w:r w:rsidR="00416494" w:rsidRPr="00781340">
        <w:t>Contrac</w:t>
      </w:r>
      <w:r w:rsidRPr="00781340">
        <w:t>ting</w:t>
      </w:r>
      <w:bookmarkEnd w:id="235"/>
    </w:p>
    <w:p w14:paraId="10DA86D4" w14:textId="5175269C" w:rsidR="00416494" w:rsidRDefault="007D2FC5" w:rsidP="00257641">
      <w:pPr>
        <w:rPr>
          <w:szCs w:val="22"/>
        </w:rPr>
      </w:pPr>
      <w:r>
        <w:rPr>
          <w:szCs w:val="22"/>
        </w:rPr>
        <w:t>The Department</w:t>
      </w:r>
      <w:r w:rsidRPr="00034A90">
        <w:rPr>
          <w:szCs w:val="22"/>
        </w:rPr>
        <w:t xml:space="preserve"> </w:t>
      </w:r>
      <w:r w:rsidR="00034A90" w:rsidRPr="00034A90">
        <w:rPr>
          <w:szCs w:val="22"/>
        </w:rPr>
        <w:t>shall retain authority for screening, enrollment and contracting with SNS providers to administe</w:t>
      </w:r>
      <w:r w:rsidR="00034A90">
        <w:rPr>
          <w:szCs w:val="22"/>
        </w:rPr>
        <w:t>r services for youth.</w:t>
      </w:r>
      <w:r w:rsidR="00034A90" w:rsidRPr="00034A90">
        <w:rPr>
          <w:szCs w:val="22"/>
        </w:rPr>
        <w:t xml:space="preserve"> </w:t>
      </w:r>
      <w:r w:rsidR="00416494" w:rsidRPr="004D1244">
        <w:rPr>
          <w:szCs w:val="22"/>
        </w:rPr>
        <w:t xml:space="preserve">The MCO </w:t>
      </w:r>
      <w:r>
        <w:rPr>
          <w:szCs w:val="22"/>
        </w:rPr>
        <w:t>must</w:t>
      </w:r>
      <w:r w:rsidRPr="004D1244">
        <w:rPr>
          <w:szCs w:val="22"/>
        </w:rPr>
        <w:t xml:space="preserve"> </w:t>
      </w:r>
      <w:r w:rsidR="00034A90" w:rsidRPr="00034A90">
        <w:rPr>
          <w:szCs w:val="22"/>
        </w:rPr>
        <w:t>allow for the authorization of services to any provider approved by BCF.</w:t>
      </w:r>
      <w:r w:rsidR="003150A4">
        <w:rPr>
          <w:szCs w:val="22"/>
        </w:rPr>
        <w:t xml:space="preserve"> </w:t>
      </w:r>
      <w:r w:rsidR="00034A90" w:rsidRPr="00034A90">
        <w:rPr>
          <w:szCs w:val="22"/>
        </w:rPr>
        <w:t xml:space="preserve">BCF shall provide a monthly enrollment report of all qualified providers permitted to serve </w:t>
      </w:r>
      <w:r w:rsidR="007D4A05">
        <w:rPr>
          <w:szCs w:val="22"/>
        </w:rPr>
        <w:t>enrollee</w:t>
      </w:r>
      <w:r w:rsidR="007D4A05" w:rsidRPr="00034A90">
        <w:rPr>
          <w:szCs w:val="22"/>
        </w:rPr>
        <w:t xml:space="preserve">s </w:t>
      </w:r>
      <w:r w:rsidR="00034A90" w:rsidRPr="00034A90">
        <w:rPr>
          <w:szCs w:val="22"/>
        </w:rPr>
        <w:t>as a validation tool</w:t>
      </w:r>
      <w:r w:rsidR="00034A90">
        <w:rPr>
          <w:szCs w:val="22"/>
        </w:rPr>
        <w:t xml:space="preserve"> by which to authorize services</w:t>
      </w:r>
      <w:r w:rsidR="00416494" w:rsidRPr="00EF2E16">
        <w:rPr>
          <w:szCs w:val="22"/>
        </w:rPr>
        <w:t xml:space="preserve">. </w:t>
      </w:r>
    </w:p>
    <w:p w14:paraId="0AB9D64F" w14:textId="27AD1501" w:rsidR="001F1D68" w:rsidRPr="005C7D1E" w:rsidRDefault="001E0E80" w:rsidP="00257641">
      <w:pPr>
        <w:pStyle w:val="Heading3"/>
      </w:pPr>
      <w:bookmarkStart w:id="236" w:name="_Toc8129086"/>
      <w:r w:rsidRPr="00781340">
        <w:t>12.2 Invoicing</w:t>
      </w:r>
      <w:bookmarkEnd w:id="236"/>
      <w:r w:rsidR="00416494" w:rsidRPr="00781340">
        <w:t xml:space="preserve"> </w:t>
      </w:r>
    </w:p>
    <w:p w14:paraId="39D94493" w14:textId="5AF616CE" w:rsidR="00416494" w:rsidRPr="004D1244" w:rsidRDefault="00034A90" w:rsidP="00257641">
      <w:pPr>
        <w:rPr>
          <w:szCs w:val="22"/>
        </w:rPr>
      </w:pPr>
      <w:r w:rsidRPr="00034A90">
        <w:rPr>
          <w:szCs w:val="22"/>
        </w:rPr>
        <w:t>Invoicing shall remain the responsibility of BCF.</w:t>
      </w:r>
      <w:r w:rsidR="003150A4">
        <w:rPr>
          <w:szCs w:val="22"/>
        </w:rPr>
        <w:t xml:space="preserve"> </w:t>
      </w:r>
      <w:r w:rsidRPr="00034A90">
        <w:rPr>
          <w:szCs w:val="22"/>
        </w:rPr>
        <w:t xml:space="preserve">The provider </w:t>
      </w:r>
      <w:r w:rsidR="007D2FC5">
        <w:rPr>
          <w:szCs w:val="22"/>
        </w:rPr>
        <w:t>must</w:t>
      </w:r>
      <w:r w:rsidR="007D2FC5" w:rsidRPr="00034A90">
        <w:rPr>
          <w:szCs w:val="22"/>
        </w:rPr>
        <w:t xml:space="preserve"> </w:t>
      </w:r>
      <w:r w:rsidRPr="00034A90">
        <w:rPr>
          <w:szCs w:val="22"/>
        </w:rPr>
        <w:t>continue to submit invoices directly to BCF for payment.</w:t>
      </w:r>
      <w:r w:rsidR="003150A4">
        <w:rPr>
          <w:szCs w:val="22"/>
        </w:rPr>
        <w:t xml:space="preserve"> </w:t>
      </w:r>
      <w:r w:rsidRPr="00034A90">
        <w:rPr>
          <w:szCs w:val="22"/>
        </w:rPr>
        <w:t xml:space="preserve">The MCO </w:t>
      </w:r>
      <w:r w:rsidR="007D2FC5">
        <w:rPr>
          <w:szCs w:val="22"/>
        </w:rPr>
        <w:t>must</w:t>
      </w:r>
      <w:r w:rsidR="007D2FC5" w:rsidRPr="00034A90">
        <w:rPr>
          <w:szCs w:val="22"/>
        </w:rPr>
        <w:t xml:space="preserve"> </w:t>
      </w:r>
      <w:r w:rsidRPr="00034A90">
        <w:rPr>
          <w:szCs w:val="22"/>
        </w:rPr>
        <w:t>assist the provider with validating any information needed for invoicing purposes by providing information as needed (e.g. total authorized units of a service for the month</w:t>
      </w:r>
      <w:r>
        <w:rPr>
          <w:szCs w:val="22"/>
        </w:rPr>
        <w:t>) upon request of the provider.</w:t>
      </w:r>
      <w:r w:rsidRPr="00034A90">
        <w:rPr>
          <w:szCs w:val="22"/>
        </w:rPr>
        <w:t xml:space="preserve"> The MCO </w:t>
      </w:r>
      <w:r w:rsidR="007D2FC5">
        <w:rPr>
          <w:szCs w:val="22"/>
        </w:rPr>
        <w:t>must</w:t>
      </w:r>
      <w:r w:rsidR="007D2FC5" w:rsidRPr="00034A90">
        <w:rPr>
          <w:szCs w:val="22"/>
        </w:rPr>
        <w:t xml:space="preserve"> </w:t>
      </w:r>
      <w:r w:rsidRPr="00034A90">
        <w:rPr>
          <w:szCs w:val="22"/>
        </w:rPr>
        <w:t>provide such information back to the provider</w:t>
      </w:r>
      <w:r>
        <w:rPr>
          <w:szCs w:val="22"/>
        </w:rPr>
        <w:t xml:space="preserve"> within three (3) calendar days</w:t>
      </w:r>
      <w:r w:rsidR="00416494" w:rsidRPr="004D1244">
        <w:rPr>
          <w:szCs w:val="22"/>
        </w:rPr>
        <w:t>.</w:t>
      </w:r>
      <w:r w:rsidR="003150A4">
        <w:rPr>
          <w:szCs w:val="22"/>
        </w:rPr>
        <w:t xml:space="preserve"> </w:t>
      </w:r>
    </w:p>
    <w:p w14:paraId="354B3C0D" w14:textId="0D5C56FA" w:rsidR="00416494" w:rsidRPr="00781340" w:rsidRDefault="001E0E80" w:rsidP="00257641">
      <w:pPr>
        <w:pStyle w:val="Heading3"/>
      </w:pPr>
      <w:bookmarkStart w:id="237" w:name="_Toc8129087"/>
      <w:r w:rsidRPr="00781340">
        <w:t>12.3 Reporting</w:t>
      </w:r>
      <w:bookmarkEnd w:id="237"/>
      <w:r w:rsidR="00416494" w:rsidRPr="00781340">
        <w:t xml:space="preserve"> </w:t>
      </w:r>
    </w:p>
    <w:p w14:paraId="29D85EA0" w14:textId="22A21310" w:rsidR="00416494" w:rsidRDefault="00416494" w:rsidP="00257641">
      <w:r>
        <w:t xml:space="preserve">The MCO </w:t>
      </w:r>
      <w:r w:rsidR="007D2FC5">
        <w:t xml:space="preserve">must </w:t>
      </w:r>
      <w:r>
        <w:t xml:space="preserve">collect a monthly progress report </w:t>
      </w:r>
      <w:r w:rsidR="00034A90">
        <w:t xml:space="preserve">from the provider </w:t>
      </w:r>
      <w:r>
        <w:t>for each family served by the 10</w:t>
      </w:r>
      <w:r w:rsidRPr="00781340">
        <w:rPr>
          <w:vertAlign w:val="superscript"/>
        </w:rPr>
        <w:t>th</w:t>
      </w:r>
      <w:r>
        <w:t xml:space="preserve"> day of each month. This document is the same as that to be submitted to the Department.</w:t>
      </w:r>
      <w:r w:rsidR="003150A4">
        <w:t xml:space="preserve"> </w:t>
      </w:r>
      <w:r>
        <w:t>Providers of home studies, clinical reviews and</w:t>
      </w:r>
      <w:r w:rsidR="00EB263C" w:rsidRPr="00EB263C">
        <w:t xml:space="preserve"> Clinician Administered PTSD Scale (</w:t>
      </w:r>
      <w:r>
        <w:t>CAPS</w:t>
      </w:r>
      <w:r w:rsidR="00EB263C">
        <w:t>)</w:t>
      </w:r>
      <w:r>
        <w:t xml:space="preserve"> reports are not required to submit monthly progress reports, but may only submit their invoice once the home study, clinical review or CAPS report has been provided to the </w:t>
      </w:r>
      <w:r w:rsidR="00EF2E16">
        <w:t xml:space="preserve">CPS </w:t>
      </w:r>
      <w:r>
        <w:t xml:space="preserve">caseworker. The MCO </w:t>
      </w:r>
      <w:r w:rsidR="007D2FC5">
        <w:t xml:space="preserve">must </w:t>
      </w:r>
      <w:r>
        <w:t xml:space="preserve">coordinate with the </w:t>
      </w:r>
      <w:r w:rsidR="00EF2E16">
        <w:t xml:space="preserve">CPS </w:t>
      </w:r>
      <w:r>
        <w:t xml:space="preserve">caseworker </w:t>
      </w:r>
      <w:r w:rsidR="00EB263C">
        <w:t xml:space="preserve">and BCF </w:t>
      </w:r>
      <w:r>
        <w:t>to determine if this deliverable has been met</w:t>
      </w:r>
      <w:r w:rsidR="00EB263C" w:rsidRPr="00EB263C">
        <w:t xml:space="preserve"> </w:t>
      </w:r>
      <w:r w:rsidR="00EB263C">
        <w:t xml:space="preserve">so </w:t>
      </w:r>
      <w:r w:rsidR="00CC6F56">
        <w:t xml:space="preserve">the Department </w:t>
      </w:r>
      <w:r w:rsidR="00EB263C">
        <w:t>may issue payment</w:t>
      </w:r>
      <w:r>
        <w:t>.</w:t>
      </w:r>
    </w:p>
    <w:p w14:paraId="2D437988" w14:textId="3EC20A2E" w:rsidR="00CC6F56" w:rsidRDefault="00CC6F56" w:rsidP="00937B46">
      <w:pPr>
        <w:pStyle w:val="BodyText"/>
      </w:pPr>
      <w:r>
        <w:t xml:space="preserve">The MCO </w:t>
      </w:r>
      <w:r w:rsidR="007D2FC5">
        <w:t xml:space="preserve">must </w:t>
      </w:r>
      <w:r>
        <w:t>report monthly to the Department on underserved areas of the State where they believe additional SNS providers should be permitted to enroll to address a gap in care.</w:t>
      </w:r>
    </w:p>
    <w:p w14:paraId="0B0F4BDD" w14:textId="77777777" w:rsidR="00CC6F56" w:rsidRDefault="00CC6F56" w:rsidP="00937B46">
      <w:pPr>
        <w:pStyle w:val="BodyText"/>
      </w:pPr>
    </w:p>
    <w:p w14:paraId="323F8308" w14:textId="1D8E1C10" w:rsidR="00416494" w:rsidRPr="00781340" w:rsidRDefault="001E0E80" w:rsidP="00257641">
      <w:pPr>
        <w:pStyle w:val="Heading3"/>
      </w:pPr>
      <w:bookmarkStart w:id="238" w:name="_Toc8129088"/>
      <w:r w:rsidRPr="00781340">
        <w:lastRenderedPageBreak/>
        <w:t>12.4 Retrospective Reviews</w:t>
      </w:r>
      <w:bookmarkEnd w:id="238"/>
    </w:p>
    <w:p w14:paraId="1570784D" w14:textId="74035DD1" w:rsidR="00416494" w:rsidRDefault="00416494" w:rsidP="00257641">
      <w:r>
        <w:t xml:space="preserve">The MCO </w:t>
      </w:r>
      <w:r w:rsidR="007D2FC5">
        <w:t xml:space="preserve">must </w:t>
      </w:r>
      <w:r>
        <w:t xml:space="preserve">administer retrospective reviews of the SNS providers. Any such review must be conducted within three (3) years of the term of the </w:t>
      </w:r>
      <w:r w:rsidR="00EB263C">
        <w:t xml:space="preserve">BCF </w:t>
      </w:r>
      <w:r>
        <w:t>agreement with the provider.</w:t>
      </w:r>
      <w:r w:rsidR="003150A4">
        <w:t xml:space="preserve"> </w:t>
      </w:r>
      <w:r>
        <w:t xml:space="preserve">Providers must score at least </w:t>
      </w:r>
      <w:r w:rsidR="00501BA5">
        <w:t>eighty (</w:t>
      </w:r>
      <w:r>
        <w:t>80</w:t>
      </w:r>
      <w:r w:rsidR="00501BA5">
        <w:t>) percent</w:t>
      </w:r>
      <w:r>
        <w:t xml:space="preserve"> during their retrospective review for each service reviewed. Providers failing to meet </w:t>
      </w:r>
      <w:r w:rsidR="00707A3D">
        <w:t>eighty (</w:t>
      </w:r>
      <w:r>
        <w:t>80</w:t>
      </w:r>
      <w:r w:rsidR="00707A3D">
        <w:t>) percent</w:t>
      </w:r>
      <w:r>
        <w:t xml:space="preserve"> will be placed on a probation period for each respective service failing to meet that threshold. The MCO </w:t>
      </w:r>
      <w:r w:rsidR="007D2FC5">
        <w:t xml:space="preserve">must </w:t>
      </w:r>
      <w:r>
        <w:t xml:space="preserve">provide a written notice that the probation period is in effect. At the end of the probation period, the MCO </w:t>
      </w:r>
      <w:r w:rsidR="007D2FC5">
        <w:t xml:space="preserve">must </w:t>
      </w:r>
      <w:r>
        <w:t xml:space="preserve">conduct another assessment. If the provider continues to score less than </w:t>
      </w:r>
      <w:r w:rsidR="00707A3D">
        <w:t>eighty (</w:t>
      </w:r>
      <w:r>
        <w:t>80</w:t>
      </w:r>
      <w:r w:rsidR="00707A3D">
        <w:t>) percent</w:t>
      </w:r>
      <w:r>
        <w:t xml:space="preserve"> for that service, the service will be closed for that provider and the provider will no longer be eligible for referrals for that service. If the provider scores a </w:t>
      </w:r>
      <w:r w:rsidR="00707A3D">
        <w:t>zero (</w:t>
      </w:r>
      <w:r>
        <w:t>0</w:t>
      </w:r>
      <w:r w:rsidR="00707A3D">
        <w:t>)</w:t>
      </w:r>
      <w:r>
        <w:t xml:space="preserve"> on any safety related service during any re</w:t>
      </w:r>
      <w:r w:rsidR="001E0E80">
        <w:t>view, the service will be automati</w:t>
      </w:r>
      <w:r>
        <w:t>cally closed for the provider.</w:t>
      </w:r>
      <w:r w:rsidR="003150A4">
        <w:t xml:space="preserve"> </w:t>
      </w:r>
    </w:p>
    <w:p w14:paraId="235EEF67" w14:textId="1278B410" w:rsidR="00EB263C" w:rsidRDefault="00416494" w:rsidP="00257641">
      <w:r>
        <w:t xml:space="preserve">The MCO </w:t>
      </w:r>
      <w:r w:rsidR="007D2FC5">
        <w:t xml:space="preserve">must </w:t>
      </w:r>
      <w:r>
        <w:t xml:space="preserve">provide a report on each provider assessment to </w:t>
      </w:r>
      <w:r w:rsidR="00EB263C">
        <w:t>BCF</w:t>
      </w:r>
      <w:r>
        <w:t xml:space="preserve"> outlining the </w:t>
      </w:r>
      <w:r w:rsidR="00EB263C">
        <w:t xml:space="preserve">results of </w:t>
      </w:r>
      <w:r>
        <w:t xml:space="preserve">each of the services under review, the methodology by which the provider was reviewed, the scores for each service area, provider strengths, weaknesses (opportunities for improvement), documentation that all staff have met background check, licensure and educational requirements, as applicable, and recommendations for next steps to improve provider processes. </w:t>
      </w:r>
      <w:r w:rsidR="00EB263C">
        <w:t xml:space="preserve">BCF shall take appropriate action to provider contracts based on the feedback submitted by the MCO. The MCO </w:t>
      </w:r>
      <w:r w:rsidR="007D2FC5">
        <w:t xml:space="preserve">must </w:t>
      </w:r>
      <w:r w:rsidR="00EB263C">
        <w:t xml:space="preserve">provide its reports to BCF within thirty (30) calendar days of completion of the assessment and </w:t>
      </w:r>
      <w:r w:rsidR="007D2FC5">
        <w:t xml:space="preserve">must </w:t>
      </w:r>
      <w:r w:rsidR="00EB263C">
        <w:t xml:space="preserve">coordinate with BCF throughout the process to expedite any necessary action. </w:t>
      </w:r>
    </w:p>
    <w:p w14:paraId="28D24C62" w14:textId="1999B309" w:rsidR="00416494" w:rsidRDefault="00EB263C" w:rsidP="00257641">
      <w:r>
        <w:t xml:space="preserve">The MCO </w:t>
      </w:r>
      <w:r w:rsidR="007D2FC5">
        <w:t xml:space="preserve">must </w:t>
      </w:r>
      <w:r>
        <w:t xml:space="preserve">continuously monitor the utilization of services and provide monthly reports, due fifteen (15) days after the conclusion of the month, that highlight geographic areas in which there is a high utilization of services required with low provider enrollment (e.g. providers must travel greater than forty-five (45) minutes to render services) or the use of providers that are not most geographically appropriate in the requested service area. The report </w:t>
      </w:r>
      <w:r w:rsidR="007D2FC5">
        <w:t xml:space="preserve">must </w:t>
      </w:r>
      <w:r>
        <w:t>provide recommendations to BCF on how to address such service gaps and misutilization of providers.</w:t>
      </w:r>
      <w:r w:rsidR="003150A4">
        <w:t xml:space="preserve"> </w:t>
      </w:r>
    </w:p>
    <w:p w14:paraId="064895DF" w14:textId="74BC9B36" w:rsidR="00416494" w:rsidRPr="00781340" w:rsidRDefault="001E0E80" w:rsidP="00257641">
      <w:pPr>
        <w:pStyle w:val="Heading3"/>
      </w:pPr>
      <w:bookmarkStart w:id="239" w:name="_Toc8129089"/>
      <w:r w:rsidRPr="00781340">
        <w:t xml:space="preserve">12.5 </w:t>
      </w:r>
      <w:r w:rsidR="00416494" w:rsidRPr="00781340">
        <w:t xml:space="preserve">Authorization </w:t>
      </w:r>
      <w:r w:rsidR="00EF2E16">
        <w:t>R</w:t>
      </w:r>
      <w:r w:rsidR="00416494" w:rsidRPr="00781340">
        <w:t>equirements</w:t>
      </w:r>
      <w:bookmarkEnd w:id="239"/>
    </w:p>
    <w:p w14:paraId="2F4E7FC8" w14:textId="6ADE88EC" w:rsidR="00374A67" w:rsidRDefault="00416494" w:rsidP="00257641">
      <w:r>
        <w:t xml:space="preserve">The MCO </w:t>
      </w:r>
      <w:r w:rsidR="007D2FC5">
        <w:t xml:space="preserve">must </w:t>
      </w:r>
      <w:r>
        <w:t>establish a</w:t>
      </w:r>
      <w:r w:rsidR="0063167A">
        <w:t xml:space="preserve"> </w:t>
      </w:r>
      <w:r w:rsidR="0063167A" w:rsidRPr="0063167A">
        <w:t>bidirectional</w:t>
      </w:r>
      <w:r>
        <w:t xml:space="preserve"> IT solution by which the MCO can receive SNS authorization requests entered by the </w:t>
      </w:r>
      <w:r w:rsidR="00EF2E16">
        <w:t xml:space="preserve">CPS </w:t>
      </w:r>
      <w:r>
        <w:t>caseworker into the State’s FACTS system</w:t>
      </w:r>
      <w:r w:rsidR="0063167A" w:rsidRPr="0063167A">
        <w:t xml:space="preserve"> </w:t>
      </w:r>
      <w:r w:rsidR="0063167A">
        <w:t>and return authorization approvals</w:t>
      </w:r>
      <w:r>
        <w:t xml:space="preserve">. The MCO </w:t>
      </w:r>
      <w:r w:rsidR="007D2FC5">
        <w:t xml:space="preserve">must </w:t>
      </w:r>
      <w:r>
        <w:t>authorize services entered into the system within twenty-four (24) hours of entry.</w:t>
      </w:r>
      <w:r w:rsidR="003150A4">
        <w:t xml:space="preserve"> </w:t>
      </w:r>
      <w:r w:rsidR="00374A67" w:rsidRPr="00374A67">
        <w:t xml:space="preserve">The MCO </w:t>
      </w:r>
      <w:r w:rsidR="007D2FC5">
        <w:t>must</w:t>
      </w:r>
      <w:r w:rsidR="007D2FC5" w:rsidRPr="00374A67">
        <w:t xml:space="preserve"> </w:t>
      </w:r>
      <w:r w:rsidR="00374A67" w:rsidRPr="00374A67">
        <w:t>not require authorization for emergency services.</w:t>
      </w:r>
      <w:r w:rsidR="003150A4">
        <w:t xml:space="preserve"> </w:t>
      </w:r>
      <w:r w:rsidR="00374A67" w:rsidRPr="00374A67">
        <w:t xml:space="preserve">The CPS caseworker shall retain the authority to select the vendor to be used for SNS, however, the MCO </w:t>
      </w:r>
      <w:r w:rsidR="007D2FC5">
        <w:t>must</w:t>
      </w:r>
      <w:r w:rsidR="007D2FC5" w:rsidRPr="00374A67">
        <w:t xml:space="preserve"> </w:t>
      </w:r>
      <w:r w:rsidR="00374A67" w:rsidRPr="00374A67">
        <w:t>be available to assist the worker with identification of a provider, if needed.</w:t>
      </w:r>
      <w:r w:rsidR="003150A4">
        <w:t xml:space="preserve"> </w:t>
      </w:r>
    </w:p>
    <w:p w14:paraId="27D011AD" w14:textId="23212DF7" w:rsidR="00374A67" w:rsidRDefault="00416494" w:rsidP="00257641">
      <w:r>
        <w:t xml:space="preserve">The MCO </w:t>
      </w:r>
      <w:r w:rsidR="007D2FC5">
        <w:t xml:space="preserve">must </w:t>
      </w:r>
      <w:r>
        <w:t xml:space="preserve">authorize the services for the scope and duration of the request by the </w:t>
      </w:r>
      <w:r w:rsidR="00EF2E16">
        <w:t xml:space="preserve">CPS </w:t>
      </w:r>
      <w:r>
        <w:t xml:space="preserve">caseworker, </w:t>
      </w:r>
      <w:r w:rsidR="00374A67" w:rsidRPr="00374A67">
        <w:t>as appropriate</w:t>
      </w:r>
      <w:r w:rsidR="00374A67">
        <w:t>,</w:t>
      </w:r>
      <w:r w:rsidR="00374A67" w:rsidRPr="00374A67">
        <w:t xml:space="preserve"> </w:t>
      </w:r>
      <w:r>
        <w:t xml:space="preserve">and may reauthorize services pending review of progress by the </w:t>
      </w:r>
      <w:r w:rsidR="00781654">
        <w:t>enrollee</w:t>
      </w:r>
      <w:r>
        <w:t xml:space="preserve">. In the event the duration of services is not outlined within the request, the MCO </w:t>
      </w:r>
      <w:r w:rsidR="007D2FC5">
        <w:t xml:space="preserve">must </w:t>
      </w:r>
      <w:r>
        <w:t xml:space="preserve">coordinate with the </w:t>
      </w:r>
      <w:r w:rsidR="00EF2E16">
        <w:t xml:space="preserve">CPS </w:t>
      </w:r>
      <w:r>
        <w:t>caseworker to determine the most appropriate level of service for the initial authorization.</w:t>
      </w:r>
      <w:r w:rsidR="00374A67">
        <w:t xml:space="preserve"> During contract year one (1), the MCO </w:t>
      </w:r>
      <w:r w:rsidR="007D2FC5">
        <w:t xml:space="preserve">must </w:t>
      </w:r>
      <w:r w:rsidR="00374A67">
        <w:t>utilize the existing BCF Utilization Management Manual for its authorization review process.</w:t>
      </w:r>
      <w:r w:rsidR="003150A4">
        <w:t xml:space="preserve"> </w:t>
      </w:r>
    </w:p>
    <w:p w14:paraId="229A8D0B" w14:textId="4AED191F" w:rsidR="00416494" w:rsidRDefault="00374A67" w:rsidP="00257641">
      <w:r>
        <w:t xml:space="preserve">The MCO </w:t>
      </w:r>
      <w:r w:rsidR="007D2FC5">
        <w:t xml:space="preserve">must </w:t>
      </w:r>
      <w:r>
        <w:t>also establish a provider portal by which the provider may review their authorizations to determine the scope and duration of services authorized by the MCO.</w:t>
      </w:r>
      <w:r w:rsidR="003150A4">
        <w:t xml:space="preserve"> </w:t>
      </w:r>
      <w:r>
        <w:lastRenderedPageBreak/>
        <w:t>Authorization information must be uploaded within twenty-four (24) hours of approval.</w:t>
      </w:r>
      <w:r w:rsidR="003150A4">
        <w:t xml:space="preserve"> </w:t>
      </w:r>
      <w:r>
        <w:t>In contract year one (1), the provider portal must replicate the elements of the existing provider tool for accessing referrals, requesting additional services, and meeting other provider needs. The MCO may develop its own system in parallel for implementation in future contract periods.</w:t>
      </w:r>
    </w:p>
    <w:p w14:paraId="2E61D20E" w14:textId="4278E00A" w:rsidR="00416494" w:rsidRPr="00781340" w:rsidRDefault="001E0E80" w:rsidP="00257641">
      <w:pPr>
        <w:pStyle w:val="Heading3"/>
      </w:pPr>
      <w:bookmarkStart w:id="240" w:name="_Toc8129090"/>
      <w:r w:rsidRPr="00781340">
        <w:t xml:space="preserve">12.6 </w:t>
      </w:r>
      <w:r w:rsidR="00416494" w:rsidRPr="00781340">
        <w:t>Focus Groups</w:t>
      </w:r>
      <w:bookmarkEnd w:id="240"/>
      <w:r w:rsidR="00416494" w:rsidRPr="00781340">
        <w:t xml:space="preserve"> </w:t>
      </w:r>
    </w:p>
    <w:p w14:paraId="77372F37" w14:textId="61A03CC3" w:rsidR="00416494" w:rsidRDefault="00416494" w:rsidP="00257641">
      <w:pPr>
        <w:pStyle w:val="normal6"/>
      </w:pPr>
      <w:r>
        <w:t xml:space="preserve">The MCO </w:t>
      </w:r>
      <w:r w:rsidR="007D2FC5">
        <w:t xml:space="preserve">must </w:t>
      </w:r>
      <w:r>
        <w:t xml:space="preserve">conduct at least twelve (12) focus groups throughout the year with youth, families and foster parents that reside in the community and utilize </w:t>
      </w:r>
      <w:r w:rsidR="00C22C51">
        <w:t>SNS</w:t>
      </w:r>
      <w:r>
        <w:t>.</w:t>
      </w:r>
      <w:r w:rsidR="003150A4">
        <w:t xml:space="preserve"> </w:t>
      </w:r>
      <w:r>
        <w:t xml:space="preserve">The focus groups should be used as an opportunity to provide the Department with feedback on where services are being most impactful, so programmatic changes may be made to improve the overall health of the program. The focus groups </w:t>
      </w:r>
      <w:r w:rsidR="007D2FC5">
        <w:t xml:space="preserve">must </w:t>
      </w:r>
      <w:r>
        <w:t>target, at a minimum, the following six (6) areas:</w:t>
      </w:r>
      <w:r w:rsidR="003150A4">
        <w:t xml:space="preserve"> </w:t>
      </w:r>
    </w:p>
    <w:p w14:paraId="1B1B577B" w14:textId="348378F1" w:rsidR="00416494" w:rsidRDefault="00416494" w:rsidP="00257641">
      <w:pPr>
        <w:spacing w:after="120"/>
        <w:ind w:left="720" w:hanging="360"/>
      </w:pPr>
      <w:r>
        <w:t>1.</w:t>
      </w:r>
      <w:r>
        <w:tab/>
        <w:t>Access</w:t>
      </w:r>
    </w:p>
    <w:p w14:paraId="02F7BEF6" w14:textId="77777777" w:rsidR="00416494" w:rsidRDefault="00416494" w:rsidP="00257641">
      <w:pPr>
        <w:spacing w:after="120"/>
        <w:ind w:left="720" w:hanging="360"/>
      </w:pPr>
      <w:r>
        <w:t>2.</w:t>
      </w:r>
      <w:r>
        <w:tab/>
        <w:t>Service Delivery</w:t>
      </w:r>
    </w:p>
    <w:p w14:paraId="75659C76" w14:textId="77777777" w:rsidR="00416494" w:rsidRDefault="00416494" w:rsidP="00257641">
      <w:pPr>
        <w:spacing w:after="120"/>
        <w:ind w:left="720" w:hanging="360"/>
      </w:pPr>
      <w:r>
        <w:t>3.</w:t>
      </w:r>
      <w:r>
        <w:tab/>
        <w:t>Gaps in Support Systems</w:t>
      </w:r>
    </w:p>
    <w:p w14:paraId="56304471" w14:textId="77777777" w:rsidR="00416494" w:rsidRDefault="00416494" w:rsidP="00257641">
      <w:pPr>
        <w:spacing w:after="120"/>
        <w:ind w:left="720" w:hanging="360"/>
      </w:pPr>
      <w:r>
        <w:t>4.</w:t>
      </w:r>
      <w:r>
        <w:tab/>
        <w:t>Engagement with System Staff</w:t>
      </w:r>
    </w:p>
    <w:p w14:paraId="14BE9146" w14:textId="77777777" w:rsidR="00416494" w:rsidRDefault="00416494" w:rsidP="00257641">
      <w:pPr>
        <w:spacing w:after="120"/>
        <w:ind w:left="720" w:hanging="360"/>
      </w:pPr>
      <w:r>
        <w:t>5.</w:t>
      </w:r>
      <w:r>
        <w:tab/>
        <w:t>Cultural Competency</w:t>
      </w:r>
    </w:p>
    <w:p w14:paraId="6DD7E552" w14:textId="77777777" w:rsidR="00416494" w:rsidRDefault="00416494" w:rsidP="00257641">
      <w:pPr>
        <w:ind w:left="720" w:hanging="360"/>
      </w:pPr>
      <w:r>
        <w:t>6.</w:t>
      </w:r>
      <w:r>
        <w:tab/>
        <w:t>Consumer Knowledge of Services and Supports</w:t>
      </w:r>
    </w:p>
    <w:p w14:paraId="0413076C" w14:textId="5B47F9E0" w:rsidR="00416494" w:rsidRDefault="00416494" w:rsidP="00257641">
      <w:r>
        <w:t xml:space="preserve">The MCO </w:t>
      </w:r>
      <w:r w:rsidR="007D2FC5">
        <w:t xml:space="preserve">must </w:t>
      </w:r>
      <w:r>
        <w:t xml:space="preserve">collaborate with </w:t>
      </w:r>
      <w:r w:rsidR="001E0E80">
        <w:t>BCF</w:t>
      </w:r>
      <w:r>
        <w:t xml:space="preserve"> on the questions to be used in the focus groups to ensure the most useful information is being collected. A sample template of questions is located in Appendix </w:t>
      </w:r>
      <w:r w:rsidR="000C0DE5">
        <w:t>J</w:t>
      </w:r>
      <w:r w:rsidR="001E0E80">
        <w:t>.</w:t>
      </w:r>
      <w:r w:rsidR="003150A4">
        <w:t xml:space="preserve"> </w:t>
      </w:r>
    </w:p>
    <w:p w14:paraId="351A1EA1" w14:textId="3AD7966B" w:rsidR="00416494" w:rsidRPr="00930871" w:rsidRDefault="00262289" w:rsidP="007610FD">
      <w:pPr>
        <w:pStyle w:val="Heading2"/>
      </w:pPr>
      <w:bookmarkStart w:id="241" w:name="_Toc8129091"/>
      <w:r>
        <w:t xml:space="preserve">13. </w:t>
      </w:r>
      <w:r w:rsidR="00BC5641">
        <w:t xml:space="preserve">CHILDREN’S </w:t>
      </w:r>
      <w:r w:rsidR="00416494" w:rsidRPr="00930871">
        <w:t>RESIDENTIAL TREATMENT FACILITIES</w:t>
      </w:r>
      <w:r w:rsidR="004C2BA0">
        <w:t>/EMERGENCY SHELTERS</w:t>
      </w:r>
      <w:bookmarkEnd w:id="241"/>
    </w:p>
    <w:p w14:paraId="507D6D3F" w14:textId="011C9AD9" w:rsidR="002D2731" w:rsidRPr="00781340" w:rsidRDefault="002D2731" w:rsidP="00257641">
      <w:pPr>
        <w:pStyle w:val="Heading3"/>
      </w:pPr>
      <w:bookmarkStart w:id="242" w:name="_Toc8129092"/>
      <w:r w:rsidRPr="00781340">
        <w:t>13.1 Provider Network</w:t>
      </w:r>
      <w:bookmarkEnd w:id="242"/>
    </w:p>
    <w:p w14:paraId="2B68CB29" w14:textId="3D731BF1" w:rsidR="00877B8B" w:rsidRPr="00877B8B" w:rsidRDefault="002D2731" w:rsidP="00257641">
      <w:pPr>
        <w:rPr>
          <w:u w:val="single"/>
        </w:rPr>
      </w:pPr>
      <w:r>
        <w:t xml:space="preserve">The MCO is required to </w:t>
      </w:r>
      <w:r w:rsidR="00374A67" w:rsidRPr="00374A67">
        <w:t xml:space="preserve">make all reasonable efforts to </w:t>
      </w:r>
      <w:r>
        <w:t>contract with all currently enrolled residential treatment facilities.</w:t>
      </w:r>
      <w:r w:rsidR="003150A4">
        <w:t xml:space="preserve"> </w:t>
      </w:r>
      <w:r>
        <w:t xml:space="preserve">The State shall define for the MCO the category by which each facility falls in alignment with </w:t>
      </w:r>
      <w:r w:rsidRPr="006E61D4">
        <w:t>FFPSA.</w:t>
      </w:r>
    </w:p>
    <w:p w14:paraId="2B00A5F0" w14:textId="0C625720" w:rsidR="00877B8B" w:rsidRDefault="002D2731" w:rsidP="00257641">
      <w:pPr>
        <w:pStyle w:val="Heading3"/>
      </w:pPr>
      <w:bookmarkStart w:id="243" w:name="_Toc8129093"/>
      <w:bookmarkStart w:id="244" w:name="_Hlk534723510"/>
      <w:r w:rsidRPr="00781340">
        <w:t xml:space="preserve">13.2 </w:t>
      </w:r>
      <w:r w:rsidR="00877B8B">
        <w:t>Qualified Residential Treatment Program (QRTP)</w:t>
      </w:r>
      <w:bookmarkEnd w:id="243"/>
    </w:p>
    <w:p w14:paraId="188AF4A8" w14:textId="77B4A342" w:rsidR="00EA027F" w:rsidRDefault="00EA027F" w:rsidP="00DD3C1D">
      <w:pPr>
        <w:pStyle w:val="normal6"/>
      </w:pPr>
      <w:r>
        <w:t>A QRTP must be a program that:</w:t>
      </w:r>
    </w:p>
    <w:p w14:paraId="3D403057" w14:textId="7B42B8D3" w:rsidR="00EA027F" w:rsidRDefault="00EA027F" w:rsidP="00DD3C1D">
      <w:pPr>
        <w:pStyle w:val="bullet1"/>
      </w:pPr>
      <w:r>
        <w:t>Has a trauma-informed treatment model that is designed to address the needs, including clinical needs as appropriate, of children with serious emotional or behavioral disorders or disturbances and, with respect to a child, is able to implement the treatment identified for the child by the required thirty (30) day assessment (described below) of the appropriateness of the QRTP placement;</w:t>
      </w:r>
    </w:p>
    <w:p w14:paraId="1685C8A8" w14:textId="4B388D4A" w:rsidR="00EA027F" w:rsidRDefault="00EA027F" w:rsidP="00DD3C1D">
      <w:pPr>
        <w:pStyle w:val="bullet1"/>
      </w:pPr>
      <w:r>
        <w:t>To extent appropriate, and in accordance with the child’s best interests, facilitates participation of family members in the child’s treatment program;</w:t>
      </w:r>
    </w:p>
    <w:p w14:paraId="1049A245" w14:textId="0B12BD48" w:rsidR="00EA027F" w:rsidRDefault="00EA027F" w:rsidP="00DD3C1D">
      <w:pPr>
        <w:pStyle w:val="bullet1"/>
      </w:pPr>
      <w:r>
        <w:t xml:space="preserve">Facilitates outreach to the family members of the child, including siblings, documents how the outreach is made (including contact information), and </w:t>
      </w:r>
      <w:r>
        <w:lastRenderedPageBreak/>
        <w:t>maintains contact information for any known biological family and fictive kin of the child;</w:t>
      </w:r>
    </w:p>
    <w:p w14:paraId="62DC54DD" w14:textId="17C5DD06" w:rsidR="00EA027F" w:rsidRDefault="00EA027F" w:rsidP="00DD3C1D">
      <w:pPr>
        <w:pStyle w:val="bullet1"/>
      </w:pPr>
      <w:r>
        <w:t>Documents how family members are integrated into the treatment process for the child, including post-discharge, and how sibling connections are maintained;</w:t>
      </w:r>
    </w:p>
    <w:p w14:paraId="45F50280" w14:textId="6CA466C2" w:rsidR="00EA027F" w:rsidRDefault="00EA027F" w:rsidP="00DD3C1D">
      <w:pPr>
        <w:pStyle w:val="bullet1"/>
      </w:pPr>
      <w:r>
        <w:t>Provides discharge planning and family-based aftercare support for at least 6 months post-discharge; and</w:t>
      </w:r>
    </w:p>
    <w:p w14:paraId="438FE108" w14:textId="48BEFFE3" w:rsidR="00DF65DF" w:rsidRDefault="00EA027F" w:rsidP="00DD3C1D">
      <w:pPr>
        <w:pStyle w:val="bullet1"/>
      </w:pPr>
      <w:r>
        <w:t xml:space="preserve">Is licensed in accordance with the title IV-E requirements (section 471(a)(10) of the </w:t>
      </w:r>
      <w:r w:rsidR="00DD4009">
        <w:t xml:space="preserve">Social Security </w:t>
      </w:r>
      <w:r>
        <w:t>Act) and is accredited by any of the following independent, not-for-profit organizations: The Commission on Accreditation of Rehabilitation Facilities (CARF), the Joint Commission on Accreditation of Healthcare Organizations (JCAHO), the Council on Accreditation</w:t>
      </w:r>
      <w:r w:rsidR="00DF65DF">
        <w:t xml:space="preserve"> (COA), or any other independent, not-for-profit accrediting organization approved by HHS; and</w:t>
      </w:r>
    </w:p>
    <w:p w14:paraId="0E2611A4" w14:textId="7349FBEF" w:rsidR="00877B8B" w:rsidRDefault="00DF65DF" w:rsidP="00DD3C1D">
      <w:pPr>
        <w:pStyle w:val="bullet1"/>
        <w:spacing w:after="240"/>
      </w:pPr>
      <w:r>
        <w:t xml:space="preserve">Has registered or licensed nursing staff and other licensed clinical staff who provide care within the scope of their practice as defined by state/tribal law, are on-site according to the treatment model, and are available twenty-four (24) hours a day and seven (7) days a week. This requirement </w:t>
      </w:r>
      <w:r w:rsidR="00315661">
        <w:t xml:space="preserve">must </w:t>
      </w:r>
      <w:r>
        <w:t>not be construed as requiring a QRTP to acquire nursing and behavioral health staff solely through means of a direct employer to employee relationship.</w:t>
      </w:r>
    </w:p>
    <w:p w14:paraId="466BD169" w14:textId="315B48C5" w:rsidR="00DF65DF" w:rsidRDefault="00D2321D" w:rsidP="00257641">
      <w:pPr>
        <w:pStyle w:val="Heading4"/>
      </w:pPr>
      <w:r>
        <w:t>13.2.1</w:t>
      </w:r>
      <w:r w:rsidR="00DF65DF">
        <w:t xml:space="preserve"> QRTP Placement Assessment</w:t>
      </w:r>
    </w:p>
    <w:p w14:paraId="327A7251" w14:textId="1F9F7ED9" w:rsidR="004B2855" w:rsidRDefault="00763236" w:rsidP="00DD3C1D">
      <w:r>
        <w:t>The MCO must ensure an independent assessment of the QRTP placement is completed within thirty (30) days after placement in the QRTP.</w:t>
      </w:r>
      <w:r w:rsidR="003150A4">
        <w:t xml:space="preserve"> </w:t>
      </w:r>
      <w:r w:rsidR="00DF65DF">
        <w:t xml:space="preserve">A “qualified individual” must assess a child to determine the appropriateness of a placement in a QRTP </w:t>
      </w:r>
      <w:r w:rsidR="004B2855">
        <w:t xml:space="preserve">within thirty (30) days after the placement is made </w:t>
      </w:r>
      <w:r w:rsidR="00DF65DF">
        <w:t>for purposes of approving the case plan and the case system review procedure</w:t>
      </w:r>
      <w:r>
        <w:t xml:space="preserve"> for the child</w:t>
      </w:r>
      <w:r w:rsidR="00DF65DF">
        <w:t xml:space="preserve"> (section 475A(c) of the </w:t>
      </w:r>
      <w:r w:rsidR="00DD4009">
        <w:t xml:space="preserve">Social Security </w:t>
      </w:r>
      <w:r w:rsidR="00DF65DF">
        <w:t xml:space="preserve">Act). A “qualified individual” is defined as a trained professional or licensed clinician who is not an employee of the agency, and who is not connected to, or affiliated with, any placement setting in which children are placed by the agency. </w:t>
      </w:r>
    </w:p>
    <w:p w14:paraId="5924909F" w14:textId="77777777" w:rsidR="004B2855" w:rsidRDefault="00DF65DF" w:rsidP="00DD3C1D">
      <w:pPr>
        <w:pStyle w:val="normal6"/>
      </w:pPr>
      <w:r>
        <w:t xml:space="preserve">The “qualified individual” must: </w:t>
      </w:r>
    </w:p>
    <w:p w14:paraId="566BC022" w14:textId="4C6FCD68" w:rsidR="004B2855" w:rsidRDefault="002E66A7" w:rsidP="00DD3C1D">
      <w:pPr>
        <w:pStyle w:val="bullet1"/>
      </w:pPr>
      <w:r>
        <w:t>A</w:t>
      </w:r>
      <w:r w:rsidR="00DF65DF">
        <w:t xml:space="preserve">ssess the strengths and needs of the child using an age-appropriate, evidence based, validated, functional assessment tool approved by the Secretary; </w:t>
      </w:r>
    </w:p>
    <w:p w14:paraId="51C820A0" w14:textId="2E44CB3D" w:rsidR="00DF65DF" w:rsidRDefault="002E66A7" w:rsidP="00DD3C1D">
      <w:pPr>
        <w:pStyle w:val="bullet1"/>
      </w:pPr>
      <w:r>
        <w:t>D</w:t>
      </w:r>
      <w:r w:rsidR="00DF65DF">
        <w:t xml:space="preserve">etermine whether the needs of the child can be met with family members or through placement in a foster family home or, if not, which allowable </w:t>
      </w:r>
      <w:r w:rsidR="004B2855">
        <w:t>Child Care Institution (CCI)</w:t>
      </w:r>
      <w:r w:rsidR="00DF65DF">
        <w:t xml:space="preserve"> setting would provide the most effective and appropriate level of care for the child in the least restrictive environment and be consistent with the short- and long-term goals for the child, as specified in the permanency plan for the child; </w:t>
      </w:r>
    </w:p>
    <w:p w14:paraId="78AB7752" w14:textId="43D23206" w:rsidR="00DF65DF" w:rsidRDefault="002E66A7" w:rsidP="00DD3C1D">
      <w:pPr>
        <w:pStyle w:val="bullet1"/>
      </w:pPr>
      <w:r>
        <w:t>D</w:t>
      </w:r>
      <w:r w:rsidR="00DF65DF">
        <w:t xml:space="preserve">evelop a list of child-specific short- and long-term mental and behavioral health goals; and </w:t>
      </w:r>
    </w:p>
    <w:p w14:paraId="4485FDD3" w14:textId="70073C05" w:rsidR="00DF65DF" w:rsidRDefault="002E66A7" w:rsidP="00DD3C1D">
      <w:pPr>
        <w:pStyle w:val="bullet1"/>
        <w:spacing w:after="240"/>
      </w:pPr>
      <w:r>
        <w:lastRenderedPageBreak/>
        <w:t>W</w:t>
      </w:r>
      <w:r w:rsidR="00DF65DF">
        <w:t xml:space="preserve">ork in conjunction with the child’s family and permanency team (further described below) while conducting and making the required </w:t>
      </w:r>
      <w:r>
        <w:t>thirty (</w:t>
      </w:r>
      <w:r w:rsidR="00DF65DF">
        <w:t>30</w:t>
      </w:r>
      <w:r>
        <w:t xml:space="preserve">) </w:t>
      </w:r>
      <w:r w:rsidR="00DF65DF">
        <w:t xml:space="preserve">day assessment. </w:t>
      </w:r>
    </w:p>
    <w:p w14:paraId="110E0532" w14:textId="60968FFD" w:rsidR="00DF65DF" w:rsidRDefault="00DF65DF" w:rsidP="00DD3C1D">
      <w:pPr>
        <w:pStyle w:val="normal6"/>
      </w:pPr>
      <w:r>
        <w:t xml:space="preserve">If the “qualified individual” determines the child should not be placed in a foster family home, he/she must specify in writing: </w:t>
      </w:r>
    </w:p>
    <w:p w14:paraId="222F8CEC" w14:textId="77777777" w:rsidR="002E66A7" w:rsidRDefault="002E66A7" w:rsidP="00DD3C1D">
      <w:pPr>
        <w:pStyle w:val="bullet1"/>
      </w:pPr>
      <w:r>
        <w:t>T</w:t>
      </w:r>
      <w:r w:rsidR="00DF65DF">
        <w:t xml:space="preserve">he reasons why the child’s needs can’t be met by the family or in a foster family home (a shortage of foster family homes is not an acceptable reason for determining the child’s needs cannot be met in a foster family home); and </w:t>
      </w:r>
    </w:p>
    <w:p w14:paraId="017CAAE4" w14:textId="51749D32" w:rsidR="00EA027F" w:rsidRDefault="002E66A7" w:rsidP="00DD3C1D">
      <w:pPr>
        <w:pStyle w:val="bullet1"/>
        <w:spacing w:after="240"/>
      </w:pPr>
      <w:r>
        <w:t>W</w:t>
      </w:r>
      <w:r w:rsidR="00DF65DF">
        <w:t xml:space="preserve">hy the recommended placement in a QRTP is the setting that will provide the child with the most effective and appropriate level of care in the least restrictive environment and how that placement is consistent with the short- and long-term goals for the child, as specified in the permanency plan for the child (section 475A(c)(1) of the </w:t>
      </w:r>
      <w:r w:rsidR="00DD4009">
        <w:t xml:space="preserve">Social Security </w:t>
      </w:r>
      <w:r w:rsidR="00DF65DF">
        <w:t>Act).</w:t>
      </w:r>
    </w:p>
    <w:p w14:paraId="613BB5A5" w14:textId="53AE18EA" w:rsidR="00763236" w:rsidRDefault="00763236" w:rsidP="00257641">
      <w:r w:rsidRPr="00C85784">
        <w:t xml:space="preserve">Failure </w:t>
      </w:r>
      <w:r w:rsidRPr="00D2321D">
        <w:t xml:space="preserve">by the MCO </w:t>
      </w:r>
      <w:r w:rsidRPr="00C85784">
        <w:t xml:space="preserve">to </w:t>
      </w:r>
      <w:r w:rsidRPr="00D2321D">
        <w:t xml:space="preserve">ensure the </w:t>
      </w:r>
      <w:r w:rsidRPr="00C85784">
        <w:t xml:space="preserve">independent assessment of appropriateness of the QRTP </w:t>
      </w:r>
      <w:r w:rsidRPr="00D2321D">
        <w:t xml:space="preserve">placement is completed within thirty (30) days after the </w:t>
      </w:r>
      <w:r w:rsidR="00C85784" w:rsidRPr="00D2321D">
        <w:t>child is placed in the QRTP</w:t>
      </w:r>
      <w:r w:rsidRPr="00D2321D">
        <w:t xml:space="preserve"> shall result in a penalty of </w:t>
      </w:r>
      <w:r w:rsidR="00C85784" w:rsidRPr="00D2321D">
        <w:t>$</w:t>
      </w:r>
      <w:r w:rsidRPr="00D2321D">
        <w:t xml:space="preserve">10,000 per child </w:t>
      </w:r>
      <w:r w:rsidR="000C0DE5">
        <w:t>as outlined in Appendix F</w:t>
      </w:r>
      <w:r w:rsidR="00374A67" w:rsidRPr="00374A67">
        <w:t xml:space="preserve"> plus any additional costs incurred by the State as a result of inability to obtain federal matching funds for the placement</w:t>
      </w:r>
      <w:r>
        <w:t xml:space="preserve">. </w:t>
      </w:r>
    </w:p>
    <w:p w14:paraId="6E60B676" w14:textId="0BD6863C" w:rsidR="004B2855" w:rsidRDefault="00D2321D" w:rsidP="00257641">
      <w:pPr>
        <w:pStyle w:val="Heading4"/>
      </w:pPr>
      <w:r>
        <w:t>13.2.2</w:t>
      </w:r>
      <w:r w:rsidR="004B2855">
        <w:t xml:space="preserve"> QRTP Court Review</w:t>
      </w:r>
    </w:p>
    <w:p w14:paraId="01AAC480" w14:textId="10DEBCD8" w:rsidR="004B2855" w:rsidRDefault="004B2855" w:rsidP="00DD3C1D">
      <w:pPr>
        <w:pStyle w:val="normal6"/>
      </w:pPr>
      <w:r>
        <w:t xml:space="preserve">Within </w:t>
      </w:r>
      <w:r w:rsidR="002E66A7">
        <w:t>sixty (</w:t>
      </w:r>
      <w:r>
        <w:t>60</w:t>
      </w:r>
      <w:r w:rsidR="002E66A7">
        <w:t>)</w:t>
      </w:r>
      <w:r>
        <w:t xml:space="preserve"> days of the start of each placement in a QRTP, a family or juvenile court or another court (including a tribal court) of competent jurisdiction, or an administrative body appointed or approved by the court, independently, must: </w:t>
      </w:r>
    </w:p>
    <w:p w14:paraId="4E42B183" w14:textId="5B44600D" w:rsidR="004B2855" w:rsidRDefault="002E66A7" w:rsidP="00DD3C1D">
      <w:pPr>
        <w:pStyle w:val="bullet1"/>
      </w:pPr>
      <w:r>
        <w:t>C</w:t>
      </w:r>
      <w:r w:rsidR="004B2855">
        <w:t xml:space="preserve">onsider the required </w:t>
      </w:r>
      <w:r>
        <w:t>thirty (</w:t>
      </w:r>
      <w:r w:rsidR="004B2855">
        <w:t>30</w:t>
      </w:r>
      <w:r>
        <w:t xml:space="preserve">) </w:t>
      </w:r>
      <w:r w:rsidR="004B2855">
        <w:t>day assessment of the appropriateness of the QRTP, and documentation made by the qualified indivi</w:t>
      </w:r>
      <w:r>
        <w:t>dual conducting the assessment;</w:t>
      </w:r>
    </w:p>
    <w:p w14:paraId="44011FB9" w14:textId="77777777" w:rsidR="002E66A7" w:rsidRDefault="002E66A7" w:rsidP="00DD3C1D">
      <w:pPr>
        <w:pStyle w:val="bullet1"/>
      </w:pPr>
      <w:r>
        <w:t>D</w:t>
      </w:r>
      <w:r w:rsidR="004B2855">
        <w:t>etermine whether the needs of the child can be met through placement in a foster family home or, if not, whether placement of the child in a QRTP provides the most effective and appropriate level of care for the child in the least restrictive environment and whether</w:t>
      </w:r>
      <w:r w:rsidRPr="002E66A7">
        <w:t xml:space="preserve"> </w:t>
      </w:r>
      <w:r>
        <w:t xml:space="preserve">that placement is consistent with the short- and long-term goals for the child, as specified in the permanency plan for the child; and </w:t>
      </w:r>
    </w:p>
    <w:p w14:paraId="21FCE75C" w14:textId="01BF7397" w:rsidR="004B2855" w:rsidRDefault="002E66A7" w:rsidP="00DD3C1D">
      <w:pPr>
        <w:pStyle w:val="bullet1"/>
        <w:spacing w:after="240"/>
      </w:pPr>
      <w:r>
        <w:t xml:space="preserve">Approve or disapprove the placement. Such approval or disapproval must be documented in the case plan (section 475A(c)(2) of the </w:t>
      </w:r>
      <w:r w:rsidR="00DD4009">
        <w:t xml:space="preserve">Social Security </w:t>
      </w:r>
      <w:r>
        <w:t>Act).</w:t>
      </w:r>
    </w:p>
    <w:p w14:paraId="0DFAECF2" w14:textId="1708D458" w:rsidR="004B2855" w:rsidRDefault="002E66A7" w:rsidP="00DD3C1D">
      <w:r w:rsidRPr="002E66A7">
        <w:t xml:space="preserve">The MCO is required to work with the court system as needed to complete the review and ensure coordination of the child’s care if </w:t>
      </w:r>
      <w:r w:rsidR="00D2321D">
        <w:t>transitioned</w:t>
      </w:r>
      <w:r w:rsidRPr="002E66A7">
        <w:t xml:space="preserve"> to a different placement.</w:t>
      </w:r>
    </w:p>
    <w:p w14:paraId="3369FBE9" w14:textId="33B52497" w:rsidR="002D2731" w:rsidRPr="00781340" w:rsidRDefault="00877B8B" w:rsidP="00257641">
      <w:pPr>
        <w:pStyle w:val="Heading3"/>
      </w:pPr>
      <w:bookmarkStart w:id="245" w:name="_Toc8129094"/>
      <w:r>
        <w:t xml:space="preserve">13.3 </w:t>
      </w:r>
      <w:r w:rsidR="002D2731" w:rsidRPr="00781340">
        <w:t>Focus Groups</w:t>
      </w:r>
      <w:bookmarkEnd w:id="245"/>
      <w:r w:rsidR="002D2731" w:rsidRPr="00781340">
        <w:t xml:space="preserve"> </w:t>
      </w:r>
    </w:p>
    <w:bookmarkEnd w:id="244"/>
    <w:p w14:paraId="15DF486E" w14:textId="77D189DA" w:rsidR="002D2731" w:rsidRDefault="002D2731" w:rsidP="00257641">
      <w:pPr>
        <w:pStyle w:val="normal6"/>
      </w:pPr>
      <w:r>
        <w:t xml:space="preserve">The MCO </w:t>
      </w:r>
      <w:r w:rsidR="00315661">
        <w:t>must</w:t>
      </w:r>
      <w:r>
        <w:t xml:space="preserve"> conduct at least twelve (12) focus groups throughout the year with youth, families and foster parents that have received services within a residential treatment facility.</w:t>
      </w:r>
      <w:r w:rsidR="003150A4">
        <w:t xml:space="preserve"> </w:t>
      </w:r>
      <w:r>
        <w:t xml:space="preserve">The focus groups should be used as an opportunity to provide the Department with feedback on where services are being most impactful, so programmatic changes may be made to improve the </w:t>
      </w:r>
      <w:r>
        <w:lastRenderedPageBreak/>
        <w:t>overall health of the program.</w:t>
      </w:r>
      <w:r w:rsidR="003150A4">
        <w:t xml:space="preserve"> </w:t>
      </w:r>
      <w:r>
        <w:t xml:space="preserve">The focus groups </w:t>
      </w:r>
      <w:r w:rsidR="00315661">
        <w:t xml:space="preserve">must </w:t>
      </w:r>
      <w:r>
        <w:t>target, at a minimum, the following six (6) areas:</w:t>
      </w:r>
    </w:p>
    <w:p w14:paraId="11CD5F01" w14:textId="77777777" w:rsidR="002D2731" w:rsidRPr="006E61D4" w:rsidRDefault="002D2731" w:rsidP="00257641">
      <w:pPr>
        <w:pStyle w:val="ListParagraph"/>
        <w:numPr>
          <w:ilvl w:val="0"/>
          <w:numId w:val="210"/>
        </w:numPr>
        <w:spacing w:after="120" w:line="240" w:lineRule="auto"/>
        <w:ind w:left="720"/>
        <w:contextualSpacing w:val="0"/>
        <w:rPr>
          <w:rFonts w:ascii="Times New Roman" w:hAnsi="Times New Roman"/>
          <w:noProof/>
        </w:rPr>
      </w:pPr>
      <w:r w:rsidRPr="006E61D4">
        <w:rPr>
          <w:rFonts w:ascii="Times New Roman" w:hAnsi="Times New Roman"/>
          <w:noProof/>
        </w:rPr>
        <w:t>Access</w:t>
      </w:r>
    </w:p>
    <w:p w14:paraId="0EC26409" w14:textId="77777777" w:rsidR="002D2731" w:rsidRPr="006E61D4" w:rsidRDefault="002D2731" w:rsidP="00257641">
      <w:pPr>
        <w:pStyle w:val="ListParagraph"/>
        <w:numPr>
          <w:ilvl w:val="0"/>
          <w:numId w:val="210"/>
        </w:numPr>
        <w:spacing w:after="120" w:line="240" w:lineRule="auto"/>
        <w:ind w:left="720"/>
        <w:contextualSpacing w:val="0"/>
        <w:rPr>
          <w:rFonts w:ascii="Times New Roman" w:hAnsi="Times New Roman"/>
          <w:noProof/>
        </w:rPr>
      </w:pPr>
      <w:r w:rsidRPr="006E61D4">
        <w:rPr>
          <w:rFonts w:ascii="Times New Roman" w:hAnsi="Times New Roman"/>
          <w:noProof/>
        </w:rPr>
        <w:t>Service Delivery</w:t>
      </w:r>
    </w:p>
    <w:p w14:paraId="5284695C" w14:textId="77777777" w:rsidR="002D2731" w:rsidRPr="006E61D4" w:rsidRDefault="002D2731" w:rsidP="00257641">
      <w:pPr>
        <w:pStyle w:val="ListParagraph"/>
        <w:numPr>
          <w:ilvl w:val="0"/>
          <w:numId w:val="210"/>
        </w:numPr>
        <w:spacing w:after="120" w:line="240" w:lineRule="auto"/>
        <w:ind w:left="720"/>
        <w:contextualSpacing w:val="0"/>
        <w:rPr>
          <w:rFonts w:ascii="Times New Roman" w:hAnsi="Times New Roman"/>
          <w:noProof/>
        </w:rPr>
      </w:pPr>
      <w:r w:rsidRPr="006E61D4">
        <w:rPr>
          <w:rFonts w:ascii="Times New Roman" w:hAnsi="Times New Roman"/>
          <w:noProof/>
        </w:rPr>
        <w:t>Gaps in Support Systems</w:t>
      </w:r>
    </w:p>
    <w:p w14:paraId="3CCAE230" w14:textId="77777777" w:rsidR="002D2731" w:rsidRPr="006E61D4" w:rsidRDefault="002D2731" w:rsidP="00257641">
      <w:pPr>
        <w:pStyle w:val="ListParagraph"/>
        <w:numPr>
          <w:ilvl w:val="0"/>
          <w:numId w:val="210"/>
        </w:numPr>
        <w:spacing w:after="120" w:line="240" w:lineRule="auto"/>
        <w:ind w:left="720"/>
        <w:contextualSpacing w:val="0"/>
        <w:rPr>
          <w:rFonts w:ascii="Times New Roman" w:hAnsi="Times New Roman"/>
          <w:noProof/>
        </w:rPr>
      </w:pPr>
      <w:r w:rsidRPr="006E61D4">
        <w:rPr>
          <w:rFonts w:ascii="Times New Roman" w:hAnsi="Times New Roman"/>
          <w:noProof/>
        </w:rPr>
        <w:t>Engagement with System Staff</w:t>
      </w:r>
    </w:p>
    <w:p w14:paraId="4E541744" w14:textId="77777777" w:rsidR="002D2731" w:rsidRPr="006E61D4" w:rsidRDefault="002D2731" w:rsidP="00257641">
      <w:pPr>
        <w:pStyle w:val="ListParagraph"/>
        <w:numPr>
          <w:ilvl w:val="0"/>
          <w:numId w:val="210"/>
        </w:numPr>
        <w:spacing w:after="120" w:line="240" w:lineRule="auto"/>
        <w:ind w:left="720"/>
        <w:contextualSpacing w:val="0"/>
        <w:rPr>
          <w:rFonts w:ascii="Times New Roman" w:hAnsi="Times New Roman"/>
          <w:noProof/>
        </w:rPr>
      </w:pPr>
      <w:r w:rsidRPr="006E61D4">
        <w:rPr>
          <w:rFonts w:ascii="Times New Roman" w:hAnsi="Times New Roman"/>
          <w:noProof/>
        </w:rPr>
        <w:t>Cultural Competency</w:t>
      </w:r>
    </w:p>
    <w:p w14:paraId="0B0D5EA7" w14:textId="77777777" w:rsidR="002D2731" w:rsidRPr="006E61D4" w:rsidRDefault="002D2731" w:rsidP="00257641">
      <w:pPr>
        <w:pStyle w:val="ListParagraph"/>
        <w:numPr>
          <w:ilvl w:val="0"/>
          <w:numId w:val="210"/>
        </w:numPr>
        <w:spacing w:after="240" w:line="240" w:lineRule="auto"/>
        <w:ind w:left="720"/>
        <w:contextualSpacing w:val="0"/>
        <w:rPr>
          <w:rFonts w:ascii="Times New Roman" w:hAnsi="Times New Roman"/>
          <w:noProof/>
        </w:rPr>
      </w:pPr>
      <w:r w:rsidRPr="006E61D4">
        <w:rPr>
          <w:rFonts w:ascii="Times New Roman" w:hAnsi="Times New Roman"/>
          <w:noProof/>
        </w:rPr>
        <w:t>Consumer Knowledge of Services and Supports</w:t>
      </w:r>
    </w:p>
    <w:p w14:paraId="2B141A1B" w14:textId="3CA27365" w:rsidR="002D2731" w:rsidRDefault="002D2731" w:rsidP="00DD3C1D">
      <w:r w:rsidRPr="002D2731">
        <w:t xml:space="preserve">The MCO </w:t>
      </w:r>
      <w:r w:rsidR="00315661">
        <w:t>must</w:t>
      </w:r>
      <w:r w:rsidR="00315661" w:rsidRPr="002D2731">
        <w:t xml:space="preserve"> </w:t>
      </w:r>
      <w:r w:rsidRPr="002D2731">
        <w:t xml:space="preserve">collaborate with the </w:t>
      </w:r>
      <w:r w:rsidR="003A7395">
        <w:t>BCF</w:t>
      </w:r>
      <w:r w:rsidRPr="002D2731">
        <w:t xml:space="preserve"> on the questions to be used in the focus groups to ensure the most useful information is being collected</w:t>
      </w:r>
      <w:r w:rsidR="003A7395">
        <w:t>.</w:t>
      </w:r>
    </w:p>
    <w:p w14:paraId="3EE66384" w14:textId="4100A2AE" w:rsidR="00BC5641" w:rsidRPr="00781340" w:rsidRDefault="00BC5641" w:rsidP="00257641">
      <w:pPr>
        <w:pStyle w:val="Heading3"/>
      </w:pPr>
      <w:bookmarkStart w:id="246" w:name="_Toc8129095"/>
      <w:r w:rsidRPr="00781340">
        <w:t>13.</w:t>
      </w:r>
      <w:r w:rsidR="00877B8B">
        <w:t>4</w:t>
      </w:r>
      <w:r w:rsidRPr="00781340">
        <w:t xml:space="preserve"> </w:t>
      </w:r>
      <w:r w:rsidR="004C2BA0">
        <w:t>Provider Requirements</w:t>
      </w:r>
      <w:bookmarkEnd w:id="246"/>
      <w:r w:rsidR="003150A4">
        <w:t xml:space="preserve"> </w:t>
      </w:r>
    </w:p>
    <w:p w14:paraId="54A5FCE6" w14:textId="4B6E0F98" w:rsidR="00BC5641" w:rsidRDefault="004C2BA0" w:rsidP="00DD3C1D">
      <w:r>
        <w:t xml:space="preserve">The MCO </w:t>
      </w:r>
      <w:r w:rsidR="00315661">
        <w:t>must</w:t>
      </w:r>
      <w:r>
        <w:t xml:space="preserve"> ensure that Children’s Residential Treatment Facilities and Emergency Shelters adhere to the requirements of their contract with </w:t>
      </w:r>
      <w:r w:rsidR="00B81927">
        <w:t>BCF</w:t>
      </w:r>
      <w:r>
        <w:t xml:space="preserve"> through collaboration with DHHR of this oversight.</w:t>
      </w:r>
      <w:r w:rsidR="003150A4">
        <w:t xml:space="preserve"> </w:t>
      </w:r>
      <w:r>
        <w:t xml:space="preserve">The MCO </w:t>
      </w:r>
      <w:r w:rsidR="00315661">
        <w:t xml:space="preserve">must </w:t>
      </w:r>
      <w:r>
        <w:t>monitor and validate that all services, referral standards, admission standards, discharge standards, personal needs of youth, medical service requirements, and reporting requirements are adhered to.</w:t>
      </w:r>
      <w:r w:rsidR="003150A4">
        <w:t xml:space="preserve"> </w:t>
      </w:r>
      <w:r w:rsidR="008E4A41">
        <w:t xml:space="preserve">Standards for both residential providers and emergency shelter providers are outlined within the BCF Provider Agreements. </w:t>
      </w:r>
    </w:p>
    <w:p w14:paraId="7D7493AA" w14:textId="7B008D36" w:rsidR="001730B8" w:rsidRPr="001730B8" w:rsidRDefault="001730B8" w:rsidP="007610FD">
      <w:pPr>
        <w:pStyle w:val="Heading2"/>
      </w:pPr>
      <w:bookmarkStart w:id="247" w:name="_Toc8129096"/>
      <w:r w:rsidRPr="001730B8">
        <w:t>14. P</w:t>
      </w:r>
      <w:r w:rsidR="0091605A">
        <w:t>ERSONAL</w:t>
      </w:r>
      <w:r w:rsidRPr="001730B8">
        <w:t xml:space="preserve"> C</w:t>
      </w:r>
      <w:r w:rsidR="0091605A">
        <w:t>ARE</w:t>
      </w:r>
      <w:r w:rsidRPr="001730B8">
        <w:t xml:space="preserve"> S</w:t>
      </w:r>
      <w:r w:rsidR="0091605A">
        <w:t>ERVICES</w:t>
      </w:r>
      <w:bookmarkEnd w:id="247"/>
    </w:p>
    <w:p w14:paraId="2E58E444" w14:textId="6C3B16EE" w:rsidR="001730B8" w:rsidRPr="00D978C8" w:rsidRDefault="001730B8" w:rsidP="00DD3C1D">
      <w:r w:rsidRPr="0091605A">
        <w:t xml:space="preserve">The MCO </w:t>
      </w:r>
      <w:r w:rsidR="008101E4">
        <w:t>is</w:t>
      </w:r>
      <w:r w:rsidRPr="0091605A">
        <w:t xml:space="preserve"> required to cover personal care services for </w:t>
      </w:r>
      <w:r w:rsidR="00781654">
        <w:t>enrollee</w:t>
      </w:r>
      <w:r w:rsidR="00781654" w:rsidRPr="0091605A">
        <w:t>s</w:t>
      </w:r>
      <w:r w:rsidRPr="0091605A">
        <w:t>.</w:t>
      </w:r>
      <w:r w:rsidR="003150A4">
        <w:t xml:space="preserve"> </w:t>
      </w:r>
      <w:r w:rsidRPr="0091605A">
        <w:t xml:space="preserve">The </w:t>
      </w:r>
      <w:r w:rsidR="00374A67">
        <w:t>MCO</w:t>
      </w:r>
      <w:r w:rsidR="00374A67" w:rsidRPr="0091605A">
        <w:t xml:space="preserve"> </w:t>
      </w:r>
      <w:r w:rsidR="00315661">
        <w:t>must</w:t>
      </w:r>
      <w:r w:rsidR="00315661" w:rsidRPr="0091605A">
        <w:t xml:space="preserve"> </w:t>
      </w:r>
      <w:r w:rsidRPr="0091605A">
        <w:t>leverage an independent assessor for all personal care services to be provided to determine if medical necessity is met and the service levels to be provided, in accordance with current state and federal policy regulations.</w:t>
      </w:r>
      <w:r w:rsidR="003150A4">
        <w:t xml:space="preserve"> </w:t>
      </w:r>
      <w:r w:rsidRPr="0091605A">
        <w:t xml:space="preserve">The MCO </w:t>
      </w:r>
      <w:r w:rsidR="008101E4">
        <w:t>is</w:t>
      </w:r>
      <w:r w:rsidRPr="0091605A">
        <w:t xml:space="preserve"> required to accept the findings of the assessor and authorize services as determined appropriate.</w:t>
      </w:r>
      <w:r w:rsidR="003150A4">
        <w:t xml:space="preserve"> </w:t>
      </w:r>
      <w:r w:rsidRPr="0091605A">
        <w:t>The MCO must collaborate with the assessor on the ongoing scope and duration of servi</w:t>
      </w:r>
      <w:r w:rsidRPr="00257F23">
        <w:t>ces to be received so the most appropriate care coordination plan can be established.</w:t>
      </w:r>
      <w:r w:rsidR="003150A4">
        <w:t xml:space="preserve"> </w:t>
      </w:r>
    </w:p>
    <w:p w14:paraId="3FE86185" w14:textId="7A55770E" w:rsidR="00D2321D" w:rsidRDefault="001F1D68" w:rsidP="007610FD">
      <w:pPr>
        <w:pStyle w:val="Heading2"/>
      </w:pPr>
      <w:bookmarkStart w:id="248" w:name="_Toc8129097"/>
      <w:r>
        <w:t>1</w:t>
      </w:r>
      <w:r w:rsidR="001730B8">
        <w:t>5</w:t>
      </w:r>
      <w:r w:rsidR="00851ED0">
        <w:t xml:space="preserve">. </w:t>
      </w:r>
      <w:r w:rsidR="00D2321D" w:rsidRPr="00D2321D">
        <w:t>C</w:t>
      </w:r>
      <w:r w:rsidR="00D2321D">
        <w:t>OMMUNITY ENGAGEMENT REQUIREMENTS</w:t>
      </w:r>
      <w:bookmarkEnd w:id="248"/>
      <w:r w:rsidR="00D2321D">
        <w:t xml:space="preserve"> </w:t>
      </w:r>
    </w:p>
    <w:p w14:paraId="7118718D" w14:textId="7C6F4C17" w:rsidR="00D2321D" w:rsidRDefault="008101E4" w:rsidP="00DD3C1D">
      <w:r>
        <w:t xml:space="preserve">The MCO is </w:t>
      </w:r>
      <w:r w:rsidR="006D4BA5">
        <w:t xml:space="preserve">required to </w:t>
      </w:r>
      <w:r w:rsidR="00D2321D" w:rsidRPr="00D2321D">
        <w:t xml:space="preserve">create a voluntary advisory group of foster, adoptive, and kinship parents, which </w:t>
      </w:r>
      <w:r w:rsidR="00315661">
        <w:t>must</w:t>
      </w:r>
      <w:r w:rsidR="00315661" w:rsidRPr="00D2321D">
        <w:t xml:space="preserve"> </w:t>
      </w:r>
      <w:r w:rsidR="00D2321D" w:rsidRPr="00D2321D">
        <w:t xml:space="preserve">meet every quarter for the first year and then every six </w:t>
      </w:r>
      <w:r w:rsidR="006D4BA5">
        <w:t xml:space="preserve">(6) </w:t>
      </w:r>
      <w:r w:rsidR="00D2321D" w:rsidRPr="00D2321D">
        <w:t xml:space="preserve">months thereafter, to discuss issues they are encountering with the </w:t>
      </w:r>
      <w:r w:rsidR="006D4BA5">
        <w:t>MCO</w:t>
      </w:r>
      <w:r w:rsidR="00D2321D" w:rsidRPr="00D2321D">
        <w:t xml:space="preserve"> and recommend solutions. The </w:t>
      </w:r>
      <w:r w:rsidR="006D4BA5">
        <w:t>MCO</w:t>
      </w:r>
      <w:r w:rsidR="00D2321D" w:rsidRPr="00D2321D">
        <w:t xml:space="preserve"> </w:t>
      </w:r>
      <w:r w:rsidR="00315661">
        <w:t>must</w:t>
      </w:r>
      <w:r w:rsidR="00315661" w:rsidRPr="00D2321D">
        <w:t xml:space="preserve"> </w:t>
      </w:r>
      <w:r w:rsidR="00D2321D" w:rsidRPr="00D2321D">
        <w:t>report</w:t>
      </w:r>
      <w:r w:rsidR="006D4BA5">
        <w:t xml:space="preserve"> to the Department as requested</w:t>
      </w:r>
      <w:r w:rsidR="00D2321D" w:rsidRPr="00D2321D">
        <w:t xml:space="preserve"> on the recommendations of the advisory group and address how and why procedures have or have not changed based on those recommendations. This report </w:t>
      </w:r>
      <w:r w:rsidR="00315661">
        <w:t>must</w:t>
      </w:r>
      <w:r w:rsidR="00315661" w:rsidRPr="00D2321D">
        <w:t xml:space="preserve"> </w:t>
      </w:r>
      <w:r w:rsidR="00D2321D" w:rsidRPr="00D2321D">
        <w:t xml:space="preserve">be submitted </w:t>
      </w:r>
      <w:r w:rsidR="006D4BA5">
        <w:t>by the Department to the S</w:t>
      </w:r>
      <w:r w:rsidR="00D2321D" w:rsidRPr="00D2321D">
        <w:t xml:space="preserve">ecretary and the Legislative Oversight Commission on Health and Human Resources Accountability and the public in a timely fashion and </w:t>
      </w:r>
      <w:r w:rsidR="00315661">
        <w:t>must</w:t>
      </w:r>
      <w:r w:rsidR="00315661" w:rsidRPr="00D2321D">
        <w:t xml:space="preserve"> </w:t>
      </w:r>
      <w:r w:rsidR="00D2321D" w:rsidRPr="00D2321D">
        <w:t xml:space="preserve">be available on the </w:t>
      </w:r>
      <w:r w:rsidR="006D4BA5">
        <w:t>MCO’s Specialized Managed Care Plan for Children and Y</w:t>
      </w:r>
      <w:r w:rsidR="006D4BA5" w:rsidRPr="007E0BD9">
        <w:t>outh</w:t>
      </w:r>
      <w:r w:rsidR="006D4BA5" w:rsidRPr="007E0BD9" w:rsidDel="009422F7">
        <w:t xml:space="preserve"> </w:t>
      </w:r>
      <w:r w:rsidR="006D4BA5">
        <w:t>website.</w:t>
      </w:r>
    </w:p>
    <w:p w14:paraId="4094F662" w14:textId="6F655091" w:rsidR="00D2321D" w:rsidRDefault="00374A67" w:rsidP="00DD3C1D">
      <w:r w:rsidRPr="00374A67">
        <w:t xml:space="preserve">The MCO </w:t>
      </w:r>
      <w:r w:rsidR="00315661">
        <w:t>must</w:t>
      </w:r>
      <w:r w:rsidR="00315661" w:rsidRPr="00374A67">
        <w:t xml:space="preserve"> </w:t>
      </w:r>
      <w:r w:rsidRPr="00374A67">
        <w:t xml:space="preserve">establish and maintain a statewide uniform reporting system to collect and analyze data relating to complaints for the purpose of identifying and resolving significant problems faced by foster children and foster parents as a class. The data </w:t>
      </w:r>
      <w:r w:rsidR="00315661">
        <w:t>must</w:t>
      </w:r>
      <w:r w:rsidR="00315661" w:rsidRPr="00374A67">
        <w:t xml:space="preserve"> </w:t>
      </w:r>
      <w:r w:rsidRPr="00374A67">
        <w:t xml:space="preserve">be submitted to the </w:t>
      </w:r>
      <w:r w:rsidR="00E4696F">
        <w:lastRenderedPageBreak/>
        <w:t>BCF</w:t>
      </w:r>
      <w:r w:rsidRPr="00374A67">
        <w:t xml:space="preserve"> within </w:t>
      </w:r>
      <w:r w:rsidR="00E4696F">
        <w:t>DHHR</w:t>
      </w:r>
      <w:r w:rsidRPr="00374A67">
        <w:t xml:space="preserve"> and the Legislative Oversight Commission on Health and Human Resources Accountability on a quarterly basis.</w:t>
      </w:r>
    </w:p>
    <w:p w14:paraId="1759700B" w14:textId="1E0D796C" w:rsidR="009A0060" w:rsidRPr="0093307D" w:rsidRDefault="00D2321D" w:rsidP="007610FD">
      <w:pPr>
        <w:pStyle w:val="Heading2"/>
      </w:pPr>
      <w:bookmarkStart w:id="249" w:name="_Toc8129098"/>
      <w:r>
        <w:t xml:space="preserve">16. </w:t>
      </w:r>
      <w:r w:rsidR="0050055A" w:rsidRPr="0093307D">
        <w:t>DELEGATION</w:t>
      </w:r>
      <w:bookmarkEnd w:id="249"/>
    </w:p>
    <w:p w14:paraId="5D2C1C94" w14:textId="4819416A" w:rsidR="009A0060" w:rsidRDefault="009A0060" w:rsidP="00DD3C1D">
      <w:r w:rsidRPr="00DF1D1C">
        <w:t xml:space="preserve">The MCO oversees and is accountable for any functions or responsibilities that are described in this </w:t>
      </w:r>
      <w:r w:rsidR="009B19C2">
        <w:t xml:space="preserve">Contract </w:t>
      </w:r>
      <w:r w:rsidRPr="00DF1D1C">
        <w:t>that are delega</w:t>
      </w:r>
      <w:r w:rsidR="00212647">
        <w:t>ted to other entities; and must</w:t>
      </w:r>
      <w:r w:rsidRPr="00DF1D1C">
        <w:t xml:space="preserve"> have in place policies and procedures for effectively assigning and monitoring activities to those entities</w:t>
      </w:r>
      <w:r w:rsidR="0078080B" w:rsidRPr="00DF1D1C">
        <w:t xml:space="preserve">. </w:t>
      </w:r>
      <w:r w:rsidRPr="00DF1D1C">
        <w:t>All delegated functions must have a written agreement between the MCO and delegated entity, specifying the delegated activities and reporting responsibilities of the entity and providing for revocation of the delegation or other remedies for inadequate performance</w:t>
      </w:r>
      <w:r w:rsidR="0078080B" w:rsidRPr="00DF1D1C">
        <w:t xml:space="preserve">. </w:t>
      </w:r>
      <w:r w:rsidRPr="00DF1D1C">
        <w:t>The MCO must evaluate the entity</w:t>
      </w:r>
      <w:r w:rsidR="00FA1C0C" w:rsidRPr="00DF1D1C">
        <w:t>’</w:t>
      </w:r>
      <w:r w:rsidRPr="00DF1D1C">
        <w:t>s ability to perform the delegated activities prior to delegation, monitor the entity</w:t>
      </w:r>
      <w:r w:rsidR="00FA1C0C" w:rsidRPr="00DF1D1C">
        <w:t>’</w:t>
      </w:r>
      <w:r w:rsidRPr="00DF1D1C">
        <w:t>s performance on an ongoing basis, and formally review performance at least annually</w:t>
      </w:r>
      <w:r w:rsidR="0078080B" w:rsidRPr="00DF1D1C">
        <w:t xml:space="preserve">. </w:t>
      </w:r>
      <w:r w:rsidRPr="00DF1D1C">
        <w:t>If the MCO identifies deficiencies or areas for improvement, the MCO and the entity must take corrective action. If the MCO delegates selection of providers to another entity, the MCO must retain the right to approve, suspend, or terminate any provider selected by that entity.</w:t>
      </w:r>
    </w:p>
    <w:p w14:paraId="226890F8" w14:textId="77777777" w:rsidR="001C500D" w:rsidRPr="00DF1D1C" w:rsidRDefault="001C500D" w:rsidP="00096A5D">
      <w:pPr>
        <w:pStyle w:val="BodyText"/>
      </w:pPr>
    </w:p>
    <w:p w14:paraId="005137A8" w14:textId="77777777" w:rsidR="009A0060" w:rsidRPr="00DF1D1C" w:rsidRDefault="009A0060" w:rsidP="00257641">
      <w:pPr>
        <w:rPr>
          <w:b/>
        </w:rPr>
        <w:sectPr w:rsidR="009A0060" w:rsidRPr="00DF1D1C" w:rsidSect="00F232A6">
          <w:headerReference w:type="default" r:id="rId20"/>
          <w:endnotePr>
            <w:numFmt w:val="lowerLetter"/>
          </w:endnotePr>
          <w:pgSz w:w="12240" w:h="15840" w:code="1"/>
          <w:pgMar w:top="1440" w:right="1440" w:bottom="1440" w:left="1440" w:header="720" w:footer="720" w:gutter="0"/>
          <w:cols w:space="720"/>
        </w:sectPr>
      </w:pPr>
    </w:p>
    <w:p w14:paraId="46D0CBFF" w14:textId="0014A188" w:rsidR="00784EDE" w:rsidRPr="009D5B3C" w:rsidRDefault="00F33B38" w:rsidP="00257641">
      <w:pPr>
        <w:pStyle w:val="Heading1"/>
      </w:pPr>
      <w:bookmarkStart w:id="250" w:name="_Toc8129099"/>
      <w:r>
        <w:lastRenderedPageBreak/>
        <w:t>Appendix</w:t>
      </w:r>
      <w:r w:rsidR="00784EDE" w:rsidRPr="009D5B3C">
        <w:t xml:space="preserve"> A</w:t>
      </w:r>
      <w:r w:rsidR="00142B1B">
        <w:t>:</w:t>
      </w:r>
      <w:r w:rsidR="009B17A3">
        <w:t xml:space="preserve"> </w:t>
      </w:r>
      <w:r w:rsidR="00784EDE" w:rsidRPr="009D5B3C">
        <w:t xml:space="preserve">Description of </w:t>
      </w:r>
      <w:r w:rsidR="00EF2889" w:rsidRPr="009D5B3C">
        <w:t xml:space="preserve">MCO </w:t>
      </w:r>
      <w:r w:rsidR="00B76508">
        <w:t>Medical</w:t>
      </w:r>
      <w:r w:rsidR="00D6210D">
        <w:t>,</w:t>
      </w:r>
      <w:r w:rsidR="00B76508">
        <w:t xml:space="preserve"> Behavioral Health</w:t>
      </w:r>
      <w:r w:rsidR="00D6210D">
        <w:t>,</w:t>
      </w:r>
      <w:r w:rsidR="00667ACB">
        <w:t xml:space="preserve"> and Socially Necessary Services</w:t>
      </w:r>
      <w:r w:rsidR="00B76508">
        <w:t xml:space="preserve"> </w:t>
      </w:r>
      <w:r w:rsidR="00724EFE">
        <w:t xml:space="preserve">(SNS) </w:t>
      </w:r>
      <w:r w:rsidR="00784EDE" w:rsidRPr="009D5B3C">
        <w:t>Covered and Excluded Services</w:t>
      </w:r>
      <w:bookmarkEnd w:id="250"/>
    </w:p>
    <w:p w14:paraId="532ED6AB" w14:textId="59827C37" w:rsidR="0063280E" w:rsidRDefault="00784EDE" w:rsidP="00257641">
      <w:r w:rsidRPr="00DF1D1C">
        <w:t>The following charts present an explanation of the medical</w:t>
      </w:r>
      <w:r w:rsidR="007333EB">
        <w:t xml:space="preserve">, </w:t>
      </w:r>
      <w:r w:rsidR="007333EB" w:rsidRPr="004D561C">
        <w:t xml:space="preserve">behavioral, </w:t>
      </w:r>
      <w:r w:rsidR="0056293A">
        <w:t xml:space="preserve">and </w:t>
      </w:r>
      <w:r w:rsidR="0087673B">
        <w:t>dental</w:t>
      </w:r>
      <w:r w:rsidR="00473AF3">
        <w:t xml:space="preserve"> </w:t>
      </w:r>
      <w:r w:rsidR="00591BAB">
        <w:t>services</w:t>
      </w:r>
      <w:r w:rsidR="00124358">
        <w:t xml:space="preserve"> </w:t>
      </w:r>
      <w:r w:rsidRPr="00DF1D1C">
        <w:t>which the MCO is required to provide</w:t>
      </w:r>
      <w:r w:rsidR="00473AF3">
        <w:t xml:space="preserve"> and</w:t>
      </w:r>
      <w:r w:rsidR="00591BAB">
        <w:t xml:space="preserve"> SNS delivered through the MCO as an</w:t>
      </w:r>
      <w:r w:rsidR="00591BAB" w:rsidRPr="00591BAB">
        <w:t xml:space="preserve"> Administrative Services Organization (ASO)</w:t>
      </w:r>
      <w:r w:rsidR="00591BAB">
        <w:t>.</w:t>
      </w:r>
      <w:r w:rsidRPr="00DF1D1C">
        <w:t xml:space="preserve"> </w:t>
      </w:r>
      <w:r w:rsidR="00591BAB">
        <w:t>H</w:t>
      </w:r>
      <w:r w:rsidRPr="00DF1D1C">
        <w:t xml:space="preserve">owever, the Medicaid </w:t>
      </w:r>
      <w:r w:rsidR="003A7395">
        <w:t xml:space="preserve">and BCF </w:t>
      </w:r>
      <w:r w:rsidR="00C201A5">
        <w:t>State Plan</w:t>
      </w:r>
      <w:r w:rsidR="003A7395">
        <w:t>s</w:t>
      </w:r>
      <w:r w:rsidR="00C201A5">
        <w:t xml:space="preserve"> and </w:t>
      </w:r>
      <w:r w:rsidRPr="00DF1D1C">
        <w:t xml:space="preserve">policy </w:t>
      </w:r>
      <w:r w:rsidR="003A7395">
        <w:t>are</w:t>
      </w:r>
      <w:r w:rsidRPr="00DF1D1C">
        <w:t xml:space="preserve"> the final source</w:t>
      </w:r>
      <w:r w:rsidR="003A7395">
        <w:t>s</w:t>
      </w:r>
      <w:r w:rsidRPr="00DF1D1C">
        <w:t xml:space="preserve"> for defining these services</w:t>
      </w:r>
      <w:r w:rsidR="0078080B" w:rsidRPr="00DF1D1C">
        <w:t xml:space="preserve">. </w:t>
      </w:r>
      <w:r w:rsidRPr="00DF1D1C">
        <w:t xml:space="preserve">The MCO should refer to the Medicaid provider manual </w:t>
      </w:r>
      <w:r w:rsidR="003A7395">
        <w:t xml:space="preserve">and BCF </w:t>
      </w:r>
      <w:r w:rsidR="00724EFE">
        <w:t xml:space="preserve">utilization management </w:t>
      </w:r>
      <w:r w:rsidR="003A7395">
        <w:t xml:space="preserve">manual </w:t>
      </w:r>
      <w:r w:rsidRPr="00DF1D1C">
        <w:t>available on the DHHR website for an explanation of service limitations</w:t>
      </w:r>
      <w:r w:rsidR="0078080B" w:rsidRPr="00DF1D1C">
        <w:t xml:space="preserve">. </w:t>
      </w:r>
      <w:r w:rsidRPr="00DF1D1C">
        <w:t>The MCO must promptly provide or arrange to ma</w:t>
      </w:r>
      <w:r w:rsidR="0055753A">
        <w:t>ke available for enrollees all Medically N</w:t>
      </w:r>
      <w:r w:rsidRPr="00DF1D1C">
        <w:t>ecessary services listed below and assume financial responsibility for the provision of these services</w:t>
      </w:r>
      <w:r w:rsidR="0078080B" w:rsidRPr="00DF1D1C">
        <w:t xml:space="preserve">. </w:t>
      </w:r>
      <w:r w:rsidRPr="00DF1D1C">
        <w:t xml:space="preserve">Please note that these charts, which list the definitions of services provided under the fee-for-service </w:t>
      </w:r>
      <w:r w:rsidR="00724EFE">
        <w:t xml:space="preserve">(FFS) </w:t>
      </w:r>
      <w:r w:rsidRPr="00DF1D1C">
        <w:t>Medicaid program, are provided as a reference for the MCO</w:t>
      </w:r>
      <w:r w:rsidR="0078080B" w:rsidRPr="00DF1D1C">
        <w:t xml:space="preserve">. </w:t>
      </w:r>
      <w:r w:rsidRPr="00DF1D1C">
        <w:t>The MCO is responsible for de</w:t>
      </w:r>
      <w:r w:rsidR="0055753A">
        <w:t>termining whether services are Medically</w:t>
      </w:r>
      <w:r w:rsidR="003A7395">
        <w:t xml:space="preserve"> or Socially</w:t>
      </w:r>
      <w:r w:rsidR="0055753A">
        <w:t xml:space="preserve"> N</w:t>
      </w:r>
      <w:r w:rsidRPr="00DF1D1C">
        <w:t>ecessary and whether the MCO will require prior approval for services</w:t>
      </w:r>
      <w:r w:rsidR="00A75554">
        <w:t>.</w:t>
      </w:r>
      <w:r w:rsidR="002F6BEE">
        <w:t xml:space="preserve"> </w:t>
      </w:r>
    </w:p>
    <w:p w14:paraId="46EE4EF7" w14:textId="15C66E1F" w:rsidR="00784EDE" w:rsidRPr="005028CE" w:rsidRDefault="00784EDE" w:rsidP="00257641">
      <w:pPr>
        <w:rPr>
          <w:b/>
        </w:rPr>
      </w:pPr>
      <w:r w:rsidRPr="00DF1D1C">
        <w:t xml:space="preserve">The following charts present the covered services under </w:t>
      </w:r>
      <w:r w:rsidR="00984052">
        <w:t>this contract</w:t>
      </w:r>
      <w:r w:rsidRPr="00DF1D1C">
        <w:t>.</w:t>
      </w:r>
      <w:r w:rsidRPr="00DF1D1C">
        <w:rPr>
          <w:b/>
        </w:rPr>
        <w:t xml:space="preserve"> </w:t>
      </w:r>
    </w:p>
    <w:p w14:paraId="3F582256" w14:textId="2C3D7BDB" w:rsidR="00320DB0" w:rsidRPr="00CC2D47" w:rsidRDefault="00784EDE" w:rsidP="00257641">
      <w:pPr>
        <w:keepNext/>
        <w:keepLines/>
        <w:ind w:firstLine="720"/>
        <w:jc w:val="center"/>
        <w:outlineLvl w:val="2"/>
        <w:rPr>
          <w:rFonts w:ascii="Arial" w:hAnsi="Arial" w:cs="Arial"/>
          <w:b/>
          <w:bCs/>
          <w:noProof w:val="0"/>
          <w:szCs w:val="24"/>
        </w:rPr>
      </w:pPr>
      <w:r w:rsidRPr="00CC2D47">
        <w:rPr>
          <w:rFonts w:ascii="Arial" w:hAnsi="Arial" w:cs="Arial"/>
          <w:b/>
          <w:bCs/>
          <w:noProof w:val="0"/>
          <w:szCs w:val="24"/>
        </w:rPr>
        <w:t xml:space="preserve">MCO Covered </w:t>
      </w:r>
      <w:r w:rsidR="00667ACB" w:rsidRPr="00CC2D47">
        <w:rPr>
          <w:rFonts w:ascii="Arial" w:hAnsi="Arial" w:cs="Arial"/>
          <w:b/>
          <w:bCs/>
          <w:noProof w:val="0"/>
          <w:szCs w:val="24"/>
        </w:rPr>
        <w:t xml:space="preserve">Medical </w:t>
      </w:r>
      <w:r w:rsidRPr="00CC2D47">
        <w:rPr>
          <w:rFonts w:ascii="Arial" w:hAnsi="Arial" w:cs="Arial"/>
          <w:b/>
          <w:bCs/>
          <w:noProof w:val="0"/>
          <w:szCs w:val="24"/>
        </w:rPr>
        <w:t xml:space="preserve">Services </w:t>
      </w:r>
    </w:p>
    <w:tbl>
      <w:tblPr>
        <w:tblW w:w="12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600"/>
        <w:gridCol w:w="3600"/>
        <w:gridCol w:w="3225"/>
      </w:tblGrid>
      <w:tr w:rsidR="00274CC0" w:rsidRPr="00FD5D51" w14:paraId="7018E1C2" w14:textId="77777777" w:rsidTr="00FD5D51">
        <w:trPr>
          <w:cantSplit/>
          <w:tblHeader/>
        </w:trPr>
        <w:tc>
          <w:tcPr>
            <w:tcW w:w="2520" w:type="dxa"/>
            <w:tcBorders>
              <w:right w:val="single" w:sz="4" w:space="0" w:color="FFFFFF" w:themeColor="background1"/>
            </w:tcBorders>
            <w:shd w:val="clear" w:color="auto" w:fill="004250"/>
            <w:vAlign w:val="center"/>
          </w:tcPr>
          <w:p w14:paraId="70D2B1A7" w14:textId="45F7C5C3" w:rsidR="00274CC0" w:rsidRPr="00FD5D51" w:rsidRDefault="00FD5D51" w:rsidP="00257641">
            <w:pPr>
              <w:spacing w:before="40" w:after="40"/>
              <w:jc w:val="center"/>
              <w:rPr>
                <w:rFonts w:asciiTheme="minorHAnsi" w:hAnsiTheme="minorHAnsi" w:cs="Arial"/>
                <w:b/>
                <w:sz w:val="20"/>
              </w:rPr>
            </w:pPr>
            <w:r w:rsidRPr="00FD5D51">
              <w:rPr>
                <w:rFonts w:asciiTheme="minorHAnsi" w:hAnsiTheme="minorHAnsi" w:cs="Arial"/>
                <w:b/>
                <w:sz w:val="20"/>
              </w:rPr>
              <w:t>MEDICAL SERVICE</w:t>
            </w:r>
          </w:p>
        </w:tc>
        <w:tc>
          <w:tcPr>
            <w:tcW w:w="3600" w:type="dxa"/>
            <w:tcBorders>
              <w:left w:val="single" w:sz="4" w:space="0" w:color="FFFFFF" w:themeColor="background1"/>
              <w:right w:val="single" w:sz="4" w:space="0" w:color="FFFFFF" w:themeColor="background1"/>
            </w:tcBorders>
            <w:shd w:val="clear" w:color="auto" w:fill="004250"/>
            <w:vAlign w:val="center"/>
          </w:tcPr>
          <w:p w14:paraId="5DF63ED0" w14:textId="0D5B6FCD" w:rsidR="00274CC0" w:rsidRPr="00FD5D51" w:rsidRDefault="00FD5D51" w:rsidP="00257641">
            <w:pPr>
              <w:spacing w:before="40" w:after="40"/>
              <w:jc w:val="center"/>
              <w:rPr>
                <w:rFonts w:asciiTheme="minorHAnsi" w:hAnsiTheme="minorHAnsi" w:cs="Arial"/>
                <w:b/>
                <w:sz w:val="20"/>
              </w:rPr>
            </w:pPr>
            <w:r w:rsidRPr="00FD5D51">
              <w:rPr>
                <w:rFonts w:asciiTheme="minorHAnsi" w:hAnsiTheme="minorHAnsi" w:cs="Arial"/>
                <w:b/>
                <w:sz w:val="20"/>
              </w:rPr>
              <w:t>DEFINITION</w:t>
            </w:r>
          </w:p>
        </w:tc>
        <w:tc>
          <w:tcPr>
            <w:tcW w:w="3600" w:type="dxa"/>
            <w:tcBorders>
              <w:left w:val="single" w:sz="4" w:space="0" w:color="FFFFFF" w:themeColor="background1"/>
              <w:right w:val="single" w:sz="4" w:space="0" w:color="FFFFFF" w:themeColor="background1"/>
            </w:tcBorders>
            <w:shd w:val="clear" w:color="auto" w:fill="004250"/>
            <w:vAlign w:val="center"/>
          </w:tcPr>
          <w:p w14:paraId="4AD4A82C" w14:textId="3DA41EC6" w:rsidR="00274CC0" w:rsidRPr="00FD5D51" w:rsidRDefault="00FD5D51" w:rsidP="00257641">
            <w:pPr>
              <w:spacing w:before="40" w:after="40"/>
              <w:jc w:val="center"/>
              <w:rPr>
                <w:rFonts w:asciiTheme="minorHAnsi" w:hAnsiTheme="minorHAnsi" w:cs="Arial"/>
                <w:b/>
                <w:sz w:val="20"/>
              </w:rPr>
            </w:pPr>
            <w:r w:rsidRPr="00FD5D51">
              <w:rPr>
                <w:rFonts w:asciiTheme="minorHAnsi" w:hAnsiTheme="minorHAnsi" w:cs="Arial"/>
                <w:b/>
                <w:sz w:val="20"/>
              </w:rPr>
              <w:t>SCOPE OF BENEFITS</w:t>
            </w:r>
          </w:p>
        </w:tc>
        <w:tc>
          <w:tcPr>
            <w:tcW w:w="3225" w:type="dxa"/>
            <w:tcBorders>
              <w:left w:val="single" w:sz="4" w:space="0" w:color="FFFFFF" w:themeColor="background1"/>
            </w:tcBorders>
            <w:shd w:val="clear" w:color="auto" w:fill="004250"/>
            <w:vAlign w:val="center"/>
          </w:tcPr>
          <w:p w14:paraId="5B448E6D" w14:textId="29C44686" w:rsidR="00274CC0" w:rsidRPr="00FD5D51" w:rsidRDefault="00FD5D51" w:rsidP="00257641">
            <w:pPr>
              <w:spacing w:before="40" w:after="40"/>
              <w:jc w:val="center"/>
              <w:rPr>
                <w:rFonts w:asciiTheme="minorHAnsi" w:hAnsiTheme="minorHAnsi" w:cs="Arial"/>
                <w:b/>
                <w:sz w:val="20"/>
              </w:rPr>
            </w:pPr>
            <w:r w:rsidRPr="00FD5D51">
              <w:rPr>
                <w:rFonts w:asciiTheme="minorHAnsi" w:hAnsiTheme="minorHAnsi" w:cs="Arial"/>
                <w:b/>
                <w:sz w:val="20"/>
              </w:rPr>
              <w:t>LIMITATION ON SERVICES</w:t>
            </w:r>
          </w:p>
        </w:tc>
      </w:tr>
      <w:tr w:rsidR="00274CC0" w:rsidRPr="00DF1D1C" w14:paraId="5E6D8811" w14:textId="77777777" w:rsidTr="00FD5D51">
        <w:trPr>
          <w:cantSplit/>
        </w:trPr>
        <w:tc>
          <w:tcPr>
            <w:tcW w:w="2520" w:type="dxa"/>
            <w:vAlign w:val="center"/>
          </w:tcPr>
          <w:p w14:paraId="0599BA7A"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Ambulatory Surgical Center Services</w:t>
            </w:r>
          </w:p>
        </w:tc>
        <w:tc>
          <w:tcPr>
            <w:tcW w:w="3600" w:type="dxa"/>
            <w:vAlign w:val="center"/>
          </w:tcPr>
          <w:p w14:paraId="75939C7B"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Any distinct entity that operates exclusively for the purpose of providing surgical services to patients not requiring hospitalization, as well as private practitioners.</w:t>
            </w:r>
          </w:p>
        </w:tc>
        <w:tc>
          <w:tcPr>
            <w:tcW w:w="3600" w:type="dxa"/>
            <w:vAlign w:val="center"/>
          </w:tcPr>
          <w:p w14:paraId="3AE7036F"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Nursing, technicians, and related services. Use of the facilities where surgical procedures are performed; drugs, biologicals, surgical dressings, splints, casts, appliances, and equipment directly related to the provision of the surgical procedure; diagnostic or therapeutic services or items directly related to the provision of a surgical procedure. Materials for anesthesia.</w:t>
            </w:r>
          </w:p>
        </w:tc>
        <w:tc>
          <w:tcPr>
            <w:tcW w:w="3225" w:type="dxa"/>
            <w:vAlign w:val="center"/>
          </w:tcPr>
          <w:p w14:paraId="4B7B90C4"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Physician services; lab &amp; x-ray; prosthetic devices; ambulance; leg, arm, back, and neck braces; artificial limbs and DME are excluded.</w:t>
            </w:r>
          </w:p>
        </w:tc>
      </w:tr>
      <w:tr w:rsidR="00274CC0" w:rsidRPr="00DF1D1C" w14:paraId="7CB08267" w14:textId="77777777" w:rsidTr="00FD5D51">
        <w:trPr>
          <w:cantSplit/>
        </w:trPr>
        <w:tc>
          <w:tcPr>
            <w:tcW w:w="2520" w:type="dxa"/>
            <w:shd w:val="clear" w:color="auto" w:fill="DEEAF6" w:themeFill="accent1" w:themeFillTint="33"/>
            <w:vAlign w:val="center"/>
          </w:tcPr>
          <w:p w14:paraId="2B09DE5A"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Cardiac Rehabilitation</w:t>
            </w:r>
          </w:p>
        </w:tc>
        <w:tc>
          <w:tcPr>
            <w:tcW w:w="3600" w:type="dxa"/>
            <w:shd w:val="clear" w:color="auto" w:fill="DEEAF6" w:themeFill="accent1" w:themeFillTint="33"/>
            <w:vAlign w:val="center"/>
          </w:tcPr>
          <w:p w14:paraId="34A3E4EF" w14:textId="1CD0ADCF" w:rsidR="00274CC0" w:rsidRPr="00FD5D51" w:rsidRDefault="00274CC0" w:rsidP="00781654">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A comprehensive outpatient program of medical evaluation, prescribed exercise, cardiac risk factor modification, and education and counseling that is designed to restore </w:t>
            </w:r>
            <w:r w:rsidR="00781654">
              <w:rPr>
                <w:rFonts w:asciiTheme="minorHAnsi" w:hAnsiTheme="minorHAnsi" w:cs="Arial"/>
                <w:noProof w:val="0"/>
                <w:sz w:val="18"/>
                <w:szCs w:val="18"/>
              </w:rPr>
              <w:t>enrollee</w:t>
            </w:r>
            <w:r w:rsidR="00781654" w:rsidRPr="00FD5D51">
              <w:rPr>
                <w:rFonts w:asciiTheme="minorHAnsi" w:hAnsiTheme="minorHAnsi" w:cs="Arial"/>
                <w:noProof w:val="0"/>
                <w:sz w:val="18"/>
                <w:szCs w:val="18"/>
              </w:rPr>
              <w:t xml:space="preserve">s </w:t>
            </w:r>
            <w:r w:rsidRPr="00FD5D51">
              <w:rPr>
                <w:rFonts w:asciiTheme="minorHAnsi" w:hAnsiTheme="minorHAnsi" w:cs="Arial"/>
                <w:noProof w:val="0"/>
                <w:sz w:val="18"/>
                <w:szCs w:val="18"/>
              </w:rPr>
              <w:t>with heart disease to active, productive lives. Cardiac rehabilitation can be performed in a specialized, freestanding physician directed clinic or in an outpatient hospital department.</w:t>
            </w:r>
          </w:p>
        </w:tc>
        <w:tc>
          <w:tcPr>
            <w:tcW w:w="3600" w:type="dxa"/>
            <w:shd w:val="clear" w:color="auto" w:fill="DEEAF6" w:themeFill="accent1" w:themeFillTint="33"/>
            <w:vAlign w:val="center"/>
          </w:tcPr>
          <w:p w14:paraId="0E926E2F" w14:textId="0CA89DAB" w:rsidR="00274CC0" w:rsidRPr="00FD5D51" w:rsidRDefault="00274CC0" w:rsidP="00781654">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Supervised exercise sessions with continuous electrocardiograph monitoring. The medically necessary frequency and duration of cardiac rehabilitation is determined by the </w:t>
            </w:r>
            <w:r w:rsidR="00781654">
              <w:rPr>
                <w:rFonts w:asciiTheme="minorHAnsi" w:hAnsiTheme="minorHAnsi" w:cs="Arial"/>
                <w:noProof w:val="0"/>
                <w:sz w:val="18"/>
                <w:szCs w:val="18"/>
              </w:rPr>
              <w:t>enrollee</w:t>
            </w:r>
            <w:r w:rsidR="00781654" w:rsidRPr="00FD5D51">
              <w:rPr>
                <w:rFonts w:asciiTheme="minorHAnsi" w:hAnsiTheme="minorHAnsi" w:cs="Arial"/>
                <w:noProof w:val="0"/>
                <w:sz w:val="18"/>
                <w:szCs w:val="18"/>
              </w:rPr>
              <w:t xml:space="preserve">’s </w:t>
            </w:r>
            <w:r w:rsidRPr="00FD5D51">
              <w:rPr>
                <w:rFonts w:asciiTheme="minorHAnsi" w:hAnsiTheme="minorHAnsi" w:cs="Arial"/>
                <w:noProof w:val="0"/>
                <w:sz w:val="18"/>
                <w:szCs w:val="18"/>
              </w:rPr>
              <w:t>level of cardiac risk stratification.</w:t>
            </w:r>
          </w:p>
        </w:tc>
        <w:tc>
          <w:tcPr>
            <w:tcW w:w="3225" w:type="dxa"/>
            <w:shd w:val="clear" w:color="auto" w:fill="DEEAF6" w:themeFill="accent1" w:themeFillTint="33"/>
            <w:vAlign w:val="center"/>
          </w:tcPr>
          <w:p w14:paraId="2299ADE2" w14:textId="77777777" w:rsidR="00274CC0" w:rsidRPr="00FD5D51" w:rsidRDefault="00274CC0" w:rsidP="00257641">
            <w:pPr>
              <w:spacing w:before="40" w:after="40"/>
              <w:rPr>
                <w:rFonts w:asciiTheme="minorHAnsi" w:hAnsiTheme="minorHAnsi" w:cs="Arial"/>
                <w:noProof w:val="0"/>
                <w:sz w:val="18"/>
                <w:szCs w:val="18"/>
              </w:rPr>
            </w:pPr>
          </w:p>
        </w:tc>
      </w:tr>
      <w:tr w:rsidR="002C627A" w:rsidRPr="00DF1D1C" w14:paraId="36F1D35A" w14:textId="77777777" w:rsidTr="00FD5D51">
        <w:trPr>
          <w:cantSplit/>
        </w:trPr>
        <w:tc>
          <w:tcPr>
            <w:tcW w:w="2520" w:type="dxa"/>
            <w:vAlign w:val="center"/>
          </w:tcPr>
          <w:p w14:paraId="6AC7D93F" w14:textId="5F62D15E" w:rsidR="002C627A" w:rsidRPr="00FD5D51" w:rsidRDefault="002C627A"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Children’s Residential Services</w:t>
            </w:r>
          </w:p>
        </w:tc>
        <w:tc>
          <w:tcPr>
            <w:tcW w:w="3600" w:type="dxa"/>
            <w:vAlign w:val="center"/>
          </w:tcPr>
          <w:p w14:paraId="0FE62B45" w14:textId="7FF85C05" w:rsidR="002C627A" w:rsidRPr="00FD5D51" w:rsidRDefault="002C627A"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Services provided by Children’s Residential Facility</w:t>
            </w:r>
          </w:p>
        </w:tc>
        <w:tc>
          <w:tcPr>
            <w:tcW w:w="3600" w:type="dxa"/>
            <w:vAlign w:val="center"/>
          </w:tcPr>
          <w:p w14:paraId="0C16A068" w14:textId="5191B46E" w:rsidR="002C627A" w:rsidRPr="00FD5D51" w:rsidRDefault="008E4A41"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All children’s residential providers and services. </w:t>
            </w:r>
          </w:p>
        </w:tc>
        <w:tc>
          <w:tcPr>
            <w:tcW w:w="3225" w:type="dxa"/>
            <w:vAlign w:val="center"/>
          </w:tcPr>
          <w:p w14:paraId="5B145AF2" w14:textId="49F92B4E" w:rsidR="002C627A" w:rsidRPr="00FD5D51" w:rsidRDefault="008E4A41"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NA</w:t>
            </w:r>
          </w:p>
        </w:tc>
      </w:tr>
      <w:tr w:rsidR="00274CC0" w:rsidRPr="00DF1D1C" w14:paraId="4E926C58" w14:textId="77777777" w:rsidTr="00FD5D51">
        <w:trPr>
          <w:cantSplit/>
          <w:trHeight w:val="687"/>
        </w:trPr>
        <w:tc>
          <w:tcPr>
            <w:tcW w:w="2520" w:type="dxa"/>
            <w:shd w:val="clear" w:color="auto" w:fill="DEEAF6" w:themeFill="accent1" w:themeFillTint="33"/>
            <w:vAlign w:val="center"/>
          </w:tcPr>
          <w:p w14:paraId="1A879850"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lastRenderedPageBreak/>
              <w:t>Chiropractor Services</w:t>
            </w:r>
          </w:p>
        </w:tc>
        <w:tc>
          <w:tcPr>
            <w:tcW w:w="3600" w:type="dxa"/>
            <w:shd w:val="clear" w:color="auto" w:fill="DEEAF6" w:themeFill="accent1" w:themeFillTint="33"/>
            <w:vAlign w:val="center"/>
          </w:tcPr>
          <w:p w14:paraId="5EEB084E"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Services provided by a chiropractor consisting of manual manipulation of the spine.</w:t>
            </w:r>
          </w:p>
        </w:tc>
        <w:tc>
          <w:tcPr>
            <w:tcW w:w="3600" w:type="dxa"/>
            <w:shd w:val="clear" w:color="auto" w:fill="DEEAF6" w:themeFill="accent1" w:themeFillTint="33"/>
            <w:vAlign w:val="center"/>
          </w:tcPr>
          <w:p w14:paraId="79AA90F8"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Manipulation to correct subluxation. Radiological examinations related to the service.</w:t>
            </w:r>
          </w:p>
        </w:tc>
        <w:tc>
          <w:tcPr>
            <w:tcW w:w="3225" w:type="dxa"/>
            <w:shd w:val="clear" w:color="auto" w:fill="DEEAF6" w:themeFill="accent1" w:themeFillTint="33"/>
            <w:vAlign w:val="center"/>
          </w:tcPr>
          <w:p w14:paraId="1F8864DE"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Certain procedures may have service limits.</w:t>
            </w:r>
          </w:p>
        </w:tc>
      </w:tr>
      <w:tr w:rsidR="00274CC0" w:rsidRPr="00DF1D1C" w14:paraId="0438507A" w14:textId="77777777" w:rsidTr="00FD5D51">
        <w:trPr>
          <w:cantSplit/>
        </w:trPr>
        <w:tc>
          <w:tcPr>
            <w:tcW w:w="2520" w:type="dxa"/>
            <w:shd w:val="clear" w:color="auto" w:fill="auto"/>
            <w:vAlign w:val="center"/>
          </w:tcPr>
          <w:p w14:paraId="625341AF"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Clinic Services</w:t>
            </w:r>
          </w:p>
        </w:tc>
        <w:tc>
          <w:tcPr>
            <w:tcW w:w="3600" w:type="dxa"/>
            <w:shd w:val="clear" w:color="auto" w:fill="auto"/>
            <w:vAlign w:val="center"/>
          </w:tcPr>
          <w:p w14:paraId="2F0BCEFC"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Preventive, diagnostic, therapeutic, rehabilitative, or palliative services furnished by a clinic (that is not part of a hospital) on an outpatient basis.</w:t>
            </w:r>
          </w:p>
        </w:tc>
        <w:tc>
          <w:tcPr>
            <w:tcW w:w="3600" w:type="dxa"/>
            <w:shd w:val="clear" w:color="auto" w:fill="auto"/>
            <w:vAlign w:val="center"/>
          </w:tcPr>
          <w:p w14:paraId="73106F69" w14:textId="5EF3B919"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General clinics, birthing centers</w:t>
            </w:r>
            <w:r w:rsidR="0086175C" w:rsidRPr="00FD5D51">
              <w:rPr>
                <w:rFonts w:asciiTheme="minorHAnsi" w:hAnsiTheme="minorHAnsi" w:cs="Arial"/>
                <w:noProof w:val="0"/>
                <w:sz w:val="18"/>
                <w:szCs w:val="18"/>
              </w:rPr>
              <w:t>,</w:t>
            </w:r>
            <w:r w:rsidRPr="00FD5D51">
              <w:rPr>
                <w:rFonts w:asciiTheme="minorHAnsi" w:hAnsiTheme="minorHAnsi" w:cs="Arial"/>
                <w:noProof w:val="0"/>
                <w:sz w:val="18"/>
                <w:szCs w:val="18"/>
              </w:rPr>
              <w:t xml:space="preserve"> and health department clinics, including vaccinations for children. </w:t>
            </w:r>
          </w:p>
        </w:tc>
        <w:tc>
          <w:tcPr>
            <w:tcW w:w="3225" w:type="dxa"/>
            <w:shd w:val="clear" w:color="auto" w:fill="auto"/>
            <w:vAlign w:val="center"/>
          </w:tcPr>
          <w:p w14:paraId="588F157D" w14:textId="77777777" w:rsidR="00274CC0" w:rsidRPr="00FD5D51" w:rsidRDefault="00274CC0" w:rsidP="00257641">
            <w:pPr>
              <w:spacing w:before="40" w:after="40"/>
              <w:rPr>
                <w:rFonts w:asciiTheme="minorHAnsi" w:hAnsiTheme="minorHAnsi" w:cs="Arial"/>
                <w:noProof w:val="0"/>
                <w:sz w:val="18"/>
                <w:szCs w:val="18"/>
              </w:rPr>
            </w:pPr>
          </w:p>
        </w:tc>
      </w:tr>
      <w:tr w:rsidR="00274CC0" w:rsidRPr="00DF1D1C" w14:paraId="4C73A829" w14:textId="77777777" w:rsidTr="00FD5D51">
        <w:trPr>
          <w:cantSplit/>
        </w:trPr>
        <w:tc>
          <w:tcPr>
            <w:tcW w:w="2520" w:type="dxa"/>
            <w:shd w:val="clear" w:color="auto" w:fill="DEEAF6" w:themeFill="accent1" w:themeFillTint="33"/>
            <w:vAlign w:val="center"/>
          </w:tcPr>
          <w:p w14:paraId="3A4F5AC2"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Early and Periodic Screening, Diagnoses and Treatment (EPSDT)</w:t>
            </w:r>
          </w:p>
        </w:tc>
        <w:tc>
          <w:tcPr>
            <w:tcW w:w="3600" w:type="dxa"/>
            <w:shd w:val="clear" w:color="auto" w:fill="DEEAF6" w:themeFill="accent1" w:themeFillTint="33"/>
            <w:vAlign w:val="center"/>
          </w:tcPr>
          <w:p w14:paraId="1159A31D" w14:textId="3BB556D4" w:rsidR="00274CC0" w:rsidRPr="00FD5D51" w:rsidRDefault="00274CC0" w:rsidP="00442E8D">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Early and periodic screening, treatment, and diagnostic services to determine psychological or physical conditions in </w:t>
            </w:r>
            <w:r w:rsidR="00442E8D">
              <w:rPr>
                <w:rFonts w:asciiTheme="minorHAnsi" w:hAnsiTheme="minorHAnsi" w:cs="Arial"/>
                <w:noProof w:val="0"/>
                <w:sz w:val="18"/>
                <w:szCs w:val="18"/>
              </w:rPr>
              <w:t>enrollee</w:t>
            </w:r>
            <w:r w:rsidR="00442E8D" w:rsidRPr="00FD5D51">
              <w:rPr>
                <w:rFonts w:asciiTheme="minorHAnsi" w:hAnsiTheme="minorHAnsi" w:cs="Arial"/>
                <w:noProof w:val="0"/>
                <w:sz w:val="18"/>
                <w:szCs w:val="18"/>
              </w:rPr>
              <w:t xml:space="preserve">s </w:t>
            </w:r>
            <w:r w:rsidRPr="00FD5D51">
              <w:rPr>
                <w:rFonts w:asciiTheme="minorHAnsi" w:hAnsiTheme="minorHAnsi" w:cs="Arial"/>
                <w:noProof w:val="0"/>
                <w:sz w:val="18"/>
                <w:szCs w:val="18"/>
              </w:rPr>
              <w:t xml:space="preserve">under age </w:t>
            </w:r>
            <w:r w:rsidR="009E5297" w:rsidRPr="00FD5D51">
              <w:rPr>
                <w:rFonts w:asciiTheme="minorHAnsi" w:hAnsiTheme="minorHAnsi" w:cs="Arial"/>
                <w:noProof w:val="0"/>
                <w:sz w:val="18"/>
                <w:szCs w:val="18"/>
              </w:rPr>
              <w:t>twenty-one (</w:t>
            </w:r>
            <w:r w:rsidRPr="00FD5D51">
              <w:rPr>
                <w:rFonts w:asciiTheme="minorHAnsi" w:hAnsiTheme="minorHAnsi" w:cs="Arial"/>
                <w:noProof w:val="0"/>
                <w:sz w:val="18"/>
                <w:szCs w:val="18"/>
              </w:rPr>
              <w:t>21</w:t>
            </w:r>
            <w:r w:rsidR="009E5297" w:rsidRPr="00FD5D51">
              <w:rPr>
                <w:rFonts w:asciiTheme="minorHAnsi" w:hAnsiTheme="minorHAnsi" w:cs="Arial"/>
                <w:noProof w:val="0"/>
                <w:sz w:val="18"/>
                <w:szCs w:val="18"/>
              </w:rPr>
              <w:t>)</w:t>
            </w:r>
            <w:r w:rsidRPr="00FD5D51">
              <w:rPr>
                <w:rFonts w:asciiTheme="minorHAnsi" w:hAnsiTheme="minorHAnsi" w:cs="Arial"/>
                <w:noProof w:val="0"/>
                <w:sz w:val="18"/>
                <w:szCs w:val="18"/>
              </w:rPr>
              <w:t>. Based on a periodicity schedule. Includes services identified during an interperiodic and/or periodic screen if they are determined to be medically necessary.</w:t>
            </w:r>
          </w:p>
        </w:tc>
        <w:tc>
          <w:tcPr>
            <w:tcW w:w="3600" w:type="dxa"/>
            <w:shd w:val="clear" w:color="auto" w:fill="DEEAF6" w:themeFill="accent1" w:themeFillTint="33"/>
            <w:vAlign w:val="center"/>
          </w:tcPr>
          <w:p w14:paraId="36D352D2"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Health care, treatment, and other measures to correct or ameliorate any medical or psychological conditions discovered during a screening.</w:t>
            </w:r>
            <w:r w:rsidRPr="00FD5D51">
              <w:rPr>
                <w:rFonts w:asciiTheme="minorHAnsi" w:hAnsiTheme="minorHAnsi" w:cs="Arial"/>
                <w:sz w:val="18"/>
                <w:szCs w:val="18"/>
              </w:rPr>
              <w:t xml:space="preserve"> </w:t>
            </w:r>
            <w:r w:rsidRPr="00FD5D51">
              <w:rPr>
                <w:rFonts w:asciiTheme="minorHAnsi" w:hAnsiTheme="minorHAnsi" w:cs="Arial"/>
                <w:noProof w:val="0"/>
                <w:sz w:val="18"/>
                <w:szCs w:val="18"/>
              </w:rPr>
              <w:t>A service need not cure a condition in order to be covered under EPSDT. Services that maintain or improve a child’s current health condition are also covered in EPSDT because they “ameliorate” a condition. Maintenance services are defined as services that sustain or support rather than those that cure or improve health problems. Services are covered when they prevent a condition from worsening or prevent development of additional health problems.</w:t>
            </w:r>
          </w:p>
        </w:tc>
        <w:tc>
          <w:tcPr>
            <w:tcW w:w="3225" w:type="dxa"/>
            <w:shd w:val="clear" w:color="auto" w:fill="DEEAF6" w:themeFill="accent1" w:themeFillTint="33"/>
            <w:vAlign w:val="center"/>
          </w:tcPr>
          <w:p w14:paraId="641D2079" w14:textId="58A4058B"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Limited to individuals under age </w:t>
            </w:r>
            <w:r w:rsidR="009E5297" w:rsidRPr="00FD5D51">
              <w:rPr>
                <w:rFonts w:asciiTheme="minorHAnsi" w:hAnsiTheme="minorHAnsi" w:cs="Arial"/>
                <w:noProof w:val="0"/>
                <w:sz w:val="18"/>
                <w:szCs w:val="18"/>
              </w:rPr>
              <w:t>twenty-one (</w:t>
            </w:r>
            <w:r w:rsidRPr="00FD5D51">
              <w:rPr>
                <w:rFonts w:asciiTheme="minorHAnsi" w:hAnsiTheme="minorHAnsi" w:cs="Arial"/>
                <w:noProof w:val="0"/>
                <w:sz w:val="18"/>
                <w:szCs w:val="18"/>
              </w:rPr>
              <w:t>21</w:t>
            </w:r>
            <w:r w:rsidR="009E5297" w:rsidRPr="00FD5D51">
              <w:rPr>
                <w:rFonts w:asciiTheme="minorHAnsi" w:hAnsiTheme="minorHAnsi" w:cs="Arial"/>
                <w:noProof w:val="0"/>
                <w:sz w:val="18"/>
                <w:szCs w:val="18"/>
              </w:rPr>
              <w:t>)</w:t>
            </w:r>
            <w:r w:rsidRPr="00FD5D51">
              <w:rPr>
                <w:rFonts w:asciiTheme="minorHAnsi" w:hAnsiTheme="minorHAnsi" w:cs="Arial"/>
                <w:noProof w:val="0"/>
                <w:sz w:val="18"/>
                <w:szCs w:val="18"/>
              </w:rPr>
              <w:t>.</w:t>
            </w:r>
          </w:p>
        </w:tc>
      </w:tr>
      <w:tr w:rsidR="00B92C59" w:rsidRPr="00DF1D1C" w14:paraId="0DA14F53" w14:textId="77777777" w:rsidTr="00FD5D51">
        <w:trPr>
          <w:cantSplit/>
        </w:trPr>
        <w:tc>
          <w:tcPr>
            <w:tcW w:w="2520" w:type="dxa"/>
            <w:shd w:val="clear" w:color="auto" w:fill="auto"/>
            <w:vAlign w:val="center"/>
          </w:tcPr>
          <w:p w14:paraId="6F8D7E14" w14:textId="09A8AC61" w:rsidR="00B92C59" w:rsidRPr="00FD5D51" w:rsidRDefault="00B92C59"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Emergency Shelter Services</w:t>
            </w:r>
          </w:p>
        </w:tc>
        <w:tc>
          <w:tcPr>
            <w:tcW w:w="3600" w:type="dxa"/>
            <w:shd w:val="clear" w:color="auto" w:fill="auto"/>
            <w:vAlign w:val="center"/>
          </w:tcPr>
          <w:p w14:paraId="222AA759" w14:textId="27490F05" w:rsidR="00B92C59" w:rsidRPr="00FD5D51" w:rsidRDefault="00B92C59"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Services provided by an emergency shelter provider.</w:t>
            </w:r>
          </w:p>
        </w:tc>
        <w:tc>
          <w:tcPr>
            <w:tcW w:w="3600" w:type="dxa"/>
            <w:shd w:val="clear" w:color="auto" w:fill="auto"/>
            <w:vAlign w:val="center"/>
          </w:tcPr>
          <w:p w14:paraId="5962D254" w14:textId="45AD8513" w:rsidR="00B92C59" w:rsidRPr="00FD5D51" w:rsidRDefault="008E4A41"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All emergency shelter providers and services.</w:t>
            </w:r>
          </w:p>
        </w:tc>
        <w:tc>
          <w:tcPr>
            <w:tcW w:w="3225" w:type="dxa"/>
            <w:shd w:val="clear" w:color="auto" w:fill="auto"/>
            <w:vAlign w:val="center"/>
          </w:tcPr>
          <w:p w14:paraId="3F2BC7EB" w14:textId="22884960" w:rsidR="00B92C59" w:rsidRPr="00FD5D51" w:rsidRDefault="008E4A41"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NA</w:t>
            </w:r>
          </w:p>
        </w:tc>
      </w:tr>
      <w:tr w:rsidR="00274CC0" w:rsidRPr="00DF1D1C" w14:paraId="655E376E" w14:textId="77777777" w:rsidTr="00FD5D51">
        <w:trPr>
          <w:cantSplit/>
        </w:trPr>
        <w:tc>
          <w:tcPr>
            <w:tcW w:w="2520" w:type="dxa"/>
            <w:shd w:val="clear" w:color="auto" w:fill="DEEAF6" w:themeFill="accent1" w:themeFillTint="33"/>
            <w:vAlign w:val="center"/>
          </w:tcPr>
          <w:p w14:paraId="0C06FD72"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Family Planning Services &amp; Supplies</w:t>
            </w:r>
          </w:p>
        </w:tc>
        <w:tc>
          <w:tcPr>
            <w:tcW w:w="3600" w:type="dxa"/>
            <w:shd w:val="clear" w:color="auto" w:fill="DEEAF6" w:themeFill="accent1" w:themeFillTint="33"/>
            <w:vAlign w:val="center"/>
          </w:tcPr>
          <w:p w14:paraId="0335BC02" w14:textId="36D0D536" w:rsidR="00274CC0" w:rsidRPr="00FD5D51" w:rsidRDefault="00274CC0" w:rsidP="00442E8D">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Services to aid </w:t>
            </w:r>
            <w:r w:rsidR="00442E8D">
              <w:rPr>
                <w:rFonts w:asciiTheme="minorHAnsi" w:hAnsiTheme="minorHAnsi" w:cs="Arial"/>
                <w:noProof w:val="0"/>
                <w:sz w:val="18"/>
                <w:szCs w:val="18"/>
              </w:rPr>
              <w:t>enrollee</w:t>
            </w:r>
            <w:r w:rsidR="00442E8D" w:rsidRPr="00FD5D51">
              <w:rPr>
                <w:rFonts w:asciiTheme="minorHAnsi" w:hAnsiTheme="minorHAnsi" w:cs="Arial"/>
                <w:noProof w:val="0"/>
                <w:sz w:val="18"/>
                <w:szCs w:val="18"/>
              </w:rPr>
              <w:t xml:space="preserve">s </w:t>
            </w:r>
            <w:r w:rsidRPr="00FD5D51">
              <w:rPr>
                <w:rFonts w:asciiTheme="minorHAnsi" w:hAnsiTheme="minorHAnsi" w:cs="Arial"/>
                <w:noProof w:val="0"/>
                <w:sz w:val="18"/>
                <w:szCs w:val="18"/>
              </w:rPr>
              <w:t>of child bearing age to voluntarily control family size or to avoid or delay an initial pregnancy.</w:t>
            </w:r>
          </w:p>
        </w:tc>
        <w:tc>
          <w:tcPr>
            <w:tcW w:w="3600" w:type="dxa"/>
            <w:shd w:val="clear" w:color="auto" w:fill="DEEAF6" w:themeFill="accent1" w:themeFillTint="33"/>
            <w:vAlign w:val="center"/>
          </w:tcPr>
          <w:p w14:paraId="3F7A580B"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All family planning providers, services, and supplies.</w:t>
            </w:r>
          </w:p>
        </w:tc>
        <w:tc>
          <w:tcPr>
            <w:tcW w:w="3225" w:type="dxa"/>
            <w:shd w:val="clear" w:color="auto" w:fill="DEEAF6" w:themeFill="accent1" w:themeFillTint="33"/>
            <w:vAlign w:val="center"/>
          </w:tcPr>
          <w:p w14:paraId="53906421" w14:textId="10E5AF33" w:rsidR="00274CC0" w:rsidRPr="00FD5D51" w:rsidRDefault="00274CC0" w:rsidP="00442E8D">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Sterilization is not covered for </w:t>
            </w:r>
            <w:r w:rsidR="00442E8D">
              <w:rPr>
                <w:rFonts w:asciiTheme="minorHAnsi" w:hAnsiTheme="minorHAnsi" w:cs="Arial"/>
                <w:noProof w:val="0"/>
                <w:sz w:val="18"/>
                <w:szCs w:val="18"/>
              </w:rPr>
              <w:t>enrollee</w:t>
            </w:r>
            <w:r w:rsidR="00442E8D" w:rsidRPr="00FD5D51">
              <w:rPr>
                <w:rFonts w:asciiTheme="minorHAnsi" w:hAnsiTheme="minorHAnsi" w:cs="Arial"/>
                <w:noProof w:val="0"/>
                <w:sz w:val="18"/>
                <w:szCs w:val="18"/>
              </w:rPr>
              <w:t xml:space="preserve">s </w:t>
            </w:r>
            <w:r w:rsidRPr="00FD5D51">
              <w:rPr>
                <w:rFonts w:asciiTheme="minorHAnsi" w:hAnsiTheme="minorHAnsi" w:cs="Arial"/>
                <w:noProof w:val="0"/>
                <w:sz w:val="18"/>
                <w:szCs w:val="18"/>
              </w:rPr>
              <w:t xml:space="preserve">under age </w:t>
            </w:r>
            <w:r w:rsidR="009E5297" w:rsidRPr="00FD5D51">
              <w:rPr>
                <w:rFonts w:asciiTheme="minorHAnsi" w:hAnsiTheme="minorHAnsi" w:cs="Arial"/>
                <w:noProof w:val="0"/>
                <w:sz w:val="18"/>
                <w:szCs w:val="18"/>
              </w:rPr>
              <w:t>twenty-one (</w:t>
            </w:r>
            <w:r w:rsidRPr="00FD5D51">
              <w:rPr>
                <w:rFonts w:asciiTheme="minorHAnsi" w:hAnsiTheme="minorHAnsi" w:cs="Arial"/>
                <w:noProof w:val="0"/>
                <w:sz w:val="18"/>
                <w:szCs w:val="18"/>
              </w:rPr>
              <w:t>21</w:t>
            </w:r>
            <w:r w:rsidR="009E5297" w:rsidRPr="00FD5D51">
              <w:rPr>
                <w:rFonts w:asciiTheme="minorHAnsi" w:hAnsiTheme="minorHAnsi" w:cs="Arial"/>
                <w:noProof w:val="0"/>
                <w:sz w:val="18"/>
                <w:szCs w:val="18"/>
              </w:rPr>
              <w:t>)</w:t>
            </w:r>
            <w:r w:rsidRPr="00FD5D51">
              <w:rPr>
                <w:rFonts w:asciiTheme="minorHAnsi" w:hAnsiTheme="minorHAnsi" w:cs="Arial"/>
                <w:noProof w:val="0"/>
                <w:sz w:val="18"/>
                <w:szCs w:val="18"/>
              </w:rPr>
              <w:t xml:space="preserve">, for </w:t>
            </w:r>
            <w:r w:rsidR="00442E8D">
              <w:rPr>
                <w:rFonts w:asciiTheme="minorHAnsi" w:hAnsiTheme="minorHAnsi" w:cs="Arial"/>
                <w:noProof w:val="0"/>
                <w:sz w:val="18"/>
                <w:szCs w:val="18"/>
              </w:rPr>
              <w:t>enrollee</w:t>
            </w:r>
            <w:r w:rsidR="00442E8D" w:rsidRPr="00FD5D51">
              <w:rPr>
                <w:rFonts w:asciiTheme="minorHAnsi" w:hAnsiTheme="minorHAnsi" w:cs="Arial"/>
                <w:noProof w:val="0"/>
                <w:sz w:val="18"/>
                <w:szCs w:val="18"/>
              </w:rPr>
              <w:t xml:space="preserve">s </w:t>
            </w:r>
            <w:r w:rsidRPr="00FD5D51">
              <w:rPr>
                <w:rFonts w:asciiTheme="minorHAnsi" w:hAnsiTheme="minorHAnsi" w:cs="Arial"/>
                <w:noProof w:val="0"/>
                <w:sz w:val="18"/>
                <w:szCs w:val="18"/>
              </w:rPr>
              <w:t xml:space="preserve">in institutions, or for those who are mentally incompetent. Hysterectomies and pregnancy terminations are not considered family planning services. Treatment for infertility is not covered. </w:t>
            </w:r>
          </w:p>
        </w:tc>
      </w:tr>
      <w:tr w:rsidR="00274CC0" w:rsidRPr="00DF1D1C" w14:paraId="65D33E7E" w14:textId="77777777" w:rsidTr="00FD5D51">
        <w:trPr>
          <w:cantSplit/>
        </w:trPr>
        <w:tc>
          <w:tcPr>
            <w:tcW w:w="2520" w:type="dxa"/>
            <w:shd w:val="clear" w:color="auto" w:fill="auto"/>
            <w:vAlign w:val="center"/>
          </w:tcPr>
          <w:p w14:paraId="6A8150F3"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Handicapped Children’s Services/</w:t>
            </w:r>
          </w:p>
          <w:p w14:paraId="7E0B59E2" w14:textId="73560885"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Children </w:t>
            </w:r>
            <w:r w:rsidR="004E71A1" w:rsidRPr="00FD5D51">
              <w:rPr>
                <w:rFonts w:asciiTheme="minorHAnsi" w:hAnsiTheme="minorHAnsi" w:cs="Arial"/>
                <w:noProof w:val="0"/>
                <w:sz w:val="18"/>
                <w:szCs w:val="18"/>
              </w:rPr>
              <w:t xml:space="preserve">and Youth </w:t>
            </w:r>
            <w:r w:rsidRPr="00FD5D51">
              <w:rPr>
                <w:rFonts w:asciiTheme="minorHAnsi" w:hAnsiTheme="minorHAnsi" w:cs="Arial"/>
                <w:noProof w:val="0"/>
                <w:sz w:val="18"/>
                <w:szCs w:val="18"/>
              </w:rPr>
              <w:t>with Special Health Care Needs Services</w:t>
            </w:r>
          </w:p>
        </w:tc>
        <w:tc>
          <w:tcPr>
            <w:tcW w:w="3600" w:type="dxa"/>
            <w:shd w:val="clear" w:color="auto" w:fill="auto"/>
            <w:vAlign w:val="center"/>
          </w:tcPr>
          <w:p w14:paraId="14842A9D"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Specialty services provided to handicapped children and those who may be at risk of handicapping conditions.</w:t>
            </w:r>
          </w:p>
        </w:tc>
        <w:tc>
          <w:tcPr>
            <w:tcW w:w="3600" w:type="dxa"/>
            <w:shd w:val="clear" w:color="auto" w:fill="auto"/>
            <w:vAlign w:val="center"/>
          </w:tcPr>
          <w:p w14:paraId="2D639816"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Provides linkage and coordination of services to all WV children with special needs and limited direct medical services, equipment, and supplies to those families that meet financial and other program eligibility requirements.</w:t>
            </w:r>
          </w:p>
        </w:tc>
        <w:tc>
          <w:tcPr>
            <w:tcW w:w="3225" w:type="dxa"/>
            <w:shd w:val="clear" w:color="auto" w:fill="auto"/>
            <w:vAlign w:val="center"/>
          </w:tcPr>
          <w:p w14:paraId="60CE4FAB" w14:textId="1FE8FAFE"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Services are provided to children under </w:t>
            </w:r>
            <w:r w:rsidR="009E5297" w:rsidRPr="00FD5D51">
              <w:rPr>
                <w:rFonts w:asciiTheme="minorHAnsi" w:hAnsiTheme="minorHAnsi" w:cs="Arial"/>
                <w:noProof w:val="0"/>
                <w:sz w:val="18"/>
                <w:szCs w:val="18"/>
              </w:rPr>
              <w:t>twenty-one (</w:t>
            </w:r>
            <w:r w:rsidRPr="00FD5D51">
              <w:rPr>
                <w:rFonts w:asciiTheme="minorHAnsi" w:hAnsiTheme="minorHAnsi" w:cs="Arial"/>
                <w:noProof w:val="0"/>
                <w:sz w:val="18"/>
                <w:szCs w:val="18"/>
              </w:rPr>
              <w:t>21</w:t>
            </w:r>
            <w:r w:rsidR="009E5297" w:rsidRPr="00FD5D51">
              <w:rPr>
                <w:rFonts w:asciiTheme="minorHAnsi" w:hAnsiTheme="minorHAnsi" w:cs="Arial"/>
                <w:noProof w:val="0"/>
                <w:sz w:val="18"/>
                <w:szCs w:val="18"/>
              </w:rPr>
              <w:t>)</w:t>
            </w:r>
            <w:r w:rsidRPr="00FD5D51">
              <w:rPr>
                <w:rFonts w:asciiTheme="minorHAnsi" w:hAnsiTheme="minorHAnsi" w:cs="Arial"/>
                <w:noProof w:val="0"/>
                <w:sz w:val="18"/>
                <w:szCs w:val="18"/>
              </w:rPr>
              <w:t xml:space="preserve"> with the following diagnoses, but not limited to: cystic fibrosis; myelocystomeningocele/ myelodysplasia; congenital heart defects; craniofacial deformities; seizure disorders; and metabolic disorders.</w:t>
            </w:r>
          </w:p>
        </w:tc>
      </w:tr>
      <w:tr w:rsidR="00274CC0" w:rsidRPr="00DF1D1C" w14:paraId="57D4CEBE" w14:textId="77777777" w:rsidTr="00FD5D51">
        <w:trPr>
          <w:cantSplit/>
        </w:trPr>
        <w:tc>
          <w:tcPr>
            <w:tcW w:w="2520" w:type="dxa"/>
            <w:shd w:val="clear" w:color="auto" w:fill="DEEAF6" w:themeFill="accent1" w:themeFillTint="33"/>
            <w:vAlign w:val="center"/>
          </w:tcPr>
          <w:p w14:paraId="74114CC6"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lastRenderedPageBreak/>
              <w:t>Home Health Care Services</w:t>
            </w:r>
          </w:p>
        </w:tc>
        <w:tc>
          <w:tcPr>
            <w:tcW w:w="3600" w:type="dxa"/>
            <w:shd w:val="clear" w:color="auto" w:fill="DEEAF6" w:themeFill="accent1" w:themeFillTint="33"/>
            <w:vAlign w:val="center"/>
          </w:tcPr>
          <w:p w14:paraId="56BB4270"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Nursing services, home health aide services, medical supplies suitable for use in the home.</w:t>
            </w:r>
          </w:p>
        </w:tc>
        <w:tc>
          <w:tcPr>
            <w:tcW w:w="3600" w:type="dxa"/>
            <w:shd w:val="clear" w:color="auto" w:fill="DEEAF6" w:themeFill="accent1" w:themeFillTint="33"/>
            <w:vAlign w:val="center"/>
          </w:tcPr>
          <w:p w14:paraId="68F09BED" w14:textId="567EEADA" w:rsidR="00274CC0" w:rsidRPr="00FD5D51" w:rsidRDefault="00274CC0" w:rsidP="00442E8D">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Provided at </w:t>
            </w:r>
            <w:r w:rsidR="00442E8D">
              <w:rPr>
                <w:rFonts w:asciiTheme="minorHAnsi" w:hAnsiTheme="minorHAnsi" w:cs="Arial"/>
                <w:noProof w:val="0"/>
                <w:sz w:val="18"/>
                <w:szCs w:val="18"/>
              </w:rPr>
              <w:t>the enrollee</w:t>
            </w:r>
            <w:r w:rsidR="00442E8D" w:rsidRPr="00FD5D51">
              <w:rPr>
                <w:rFonts w:asciiTheme="minorHAnsi" w:hAnsiTheme="minorHAnsi" w:cs="Arial"/>
                <w:noProof w:val="0"/>
                <w:sz w:val="18"/>
                <w:szCs w:val="18"/>
              </w:rPr>
              <w:t>’</w:t>
            </w:r>
            <w:r w:rsidR="00442E8D">
              <w:rPr>
                <w:rFonts w:asciiTheme="minorHAnsi" w:hAnsiTheme="minorHAnsi" w:cs="Arial"/>
                <w:noProof w:val="0"/>
                <w:sz w:val="18"/>
                <w:szCs w:val="18"/>
              </w:rPr>
              <w:t>s</w:t>
            </w:r>
            <w:r w:rsidR="00442E8D" w:rsidRPr="00FD5D51">
              <w:rPr>
                <w:rFonts w:asciiTheme="minorHAnsi" w:hAnsiTheme="minorHAnsi" w:cs="Arial"/>
                <w:noProof w:val="0"/>
                <w:sz w:val="18"/>
                <w:szCs w:val="18"/>
              </w:rPr>
              <w:t xml:space="preserve"> </w:t>
            </w:r>
            <w:r w:rsidRPr="00FD5D51">
              <w:rPr>
                <w:rFonts w:asciiTheme="minorHAnsi" w:hAnsiTheme="minorHAnsi" w:cs="Arial"/>
                <w:noProof w:val="0"/>
                <w:sz w:val="18"/>
                <w:szCs w:val="18"/>
              </w:rPr>
              <w:t>place of residence on orders of a physician.</w:t>
            </w:r>
          </w:p>
        </w:tc>
        <w:tc>
          <w:tcPr>
            <w:tcW w:w="3225" w:type="dxa"/>
            <w:shd w:val="clear" w:color="auto" w:fill="DEEAF6" w:themeFill="accent1" w:themeFillTint="33"/>
            <w:vAlign w:val="center"/>
          </w:tcPr>
          <w:p w14:paraId="719AB9BF"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Residence does not include hospital nursing facility, ICF/MR, or state institution. Certain suppliers have service limits. </w:t>
            </w:r>
          </w:p>
        </w:tc>
      </w:tr>
      <w:tr w:rsidR="00274CC0" w:rsidRPr="00DF1D1C" w14:paraId="469E1D77" w14:textId="77777777" w:rsidTr="00FD5D51">
        <w:trPr>
          <w:cantSplit/>
        </w:trPr>
        <w:tc>
          <w:tcPr>
            <w:tcW w:w="2520" w:type="dxa"/>
            <w:shd w:val="clear" w:color="auto" w:fill="auto"/>
            <w:vAlign w:val="center"/>
          </w:tcPr>
          <w:p w14:paraId="1A0C40B1"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Hospice</w:t>
            </w:r>
          </w:p>
        </w:tc>
        <w:tc>
          <w:tcPr>
            <w:tcW w:w="3600" w:type="dxa"/>
            <w:shd w:val="clear" w:color="auto" w:fill="auto"/>
            <w:vAlign w:val="center"/>
          </w:tcPr>
          <w:p w14:paraId="631A8ED4"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In-home care provided to a terminally ill individual as an alternative to hospitalization.</w:t>
            </w:r>
          </w:p>
        </w:tc>
        <w:tc>
          <w:tcPr>
            <w:tcW w:w="3600" w:type="dxa"/>
            <w:shd w:val="clear" w:color="auto" w:fill="auto"/>
            <w:vAlign w:val="center"/>
          </w:tcPr>
          <w:p w14:paraId="0CE654A1"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Nursing care, physician services, medical social services, short-term inpatient care, durable medical equipment, drugs, biologicals, home health aide, and homemaker.</w:t>
            </w:r>
          </w:p>
        </w:tc>
        <w:tc>
          <w:tcPr>
            <w:tcW w:w="3225" w:type="dxa"/>
            <w:shd w:val="clear" w:color="auto" w:fill="auto"/>
            <w:vAlign w:val="center"/>
          </w:tcPr>
          <w:p w14:paraId="7B495065" w14:textId="712CF9E0" w:rsidR="00274CC0" w:rsidRPr="00FD5D51" w:rsidRDefault="00274CC0" w:rsidP="00442E8D">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Must have physician certification that </w:t>
            </w:r>
            <w:r w:rsidR="00442E8D">
              <w:rPr>
                <w:rFonts w:asciiTheme="minorHAnsi" w:hAnsiTheme="minorHAnsi" w:cs="Arial"/>
                <w:noProof w:val="0"/>
                <w:sz w:val="18"/>
                <w:szCs w:val="18"/>
              </w:rPr>
              <w:t>enrollee</w:t>
            </w:r>
            <w:r w:rsidR="00442E8D" w:rsidRPr="00FD5D51">
              <w:rPr>
                <w:rFonts w:asciiTheme="minorHAnsi" w:hAnsiTheme="minorHAnsi" w:cs="Arial"/>
                <w:noProof w:val="0"/>
                <w:sz w:val="18"/>
                <w:szCs w:val="18"/>
              </w:rPr>
              <w:t xml:space="preserve"> </w:t>
            </w:r>
            <w:r w:rsidRPr="00FD5D51">
              <w:rPr>
                <w:rFonts w:asciiTheme="minorHAnsi" w:hAnsiTheme="minorHAnsi" w:cs="Arial"/>
                <w:noProof w:val="0"/>
                <w:sz w:val="18"/>
                <w:szCs w:val="18"/>
              </w:rPr>
              <w:t xml:space="preserve">has a life expectancy of </w:t>
            </w:r>
            <w:r w:rsidR="009E5297" w:rsidRPr="00FD5D51">
              <w:rPr>
                <w:rFonts w:asciiTheme="minorHAnsi" w:hAnsiTheme="minorHAnsi" w:cs="Arial"/>
                <w:noProof w:val="0"/>
                <w:sz w:val="18"/>
                <w:szCs w:val="18"/>
              </w:rPr>
              <w:t>six (</w:t>
            </w:r>
            <w:r w:rsidRPr="00FD5D51">
              <w:rPr>
                <w:rFonts w:asciiTheme="minorHAnsi" w:hAnsiTheme="minorHAnsi" w:cs="Arial"/>
                <w:noProof w:val="0"/>
                <w:sz w:val="18"/>
                <w:szCs w:val="18"/>
              </w:rPr>
              <w:t>6</w:t>
            </w:r>
            <w:r w:rsidR="009E5297" w:rsidRPr="00FD5D51">
              <w:rPr>
                <w:rFonts w:asciiTheme="minorHAnsi" w:hAnsiTheme="minorHAnsi" w:cs="Arial"/>
                <w:noProof w:val="0"/>
                <w:sz w:val="18"/>
                <w:szCs w:val="18"/>
              </w:rPr>
              <w:t>)</w:t>
            </w:r>
            <w:r w:rsidRPr="00FD5D51">
              <w:rPr>
                <w:rFonts w:asciiTheme="minorHAnsi" w:hAnsiTheme="minorHAnsi" w:cs="Arial"/>
                <w:noProof w:val="0"/>
                <w:sz w:val="18"/>
                <w:szCs w:val="18"/>
              </w:rPr>
              <w:t xml:space="preserve"> months or less. </w:t>
            </w:r>
            <w:r w:rsidR="00442E8D">
              <w:rPr>
                <w:rFonts w:asciiTheme="minorHAnsi" w:hAnsiTheme="minorHAnsi" w:cs="Arial"/>
                <w:noProof w:val="0"/>
                <w:sz w:val="18"/>
                <w:szCs w:val="18"/>
              </w:rPr>
              <w:t>Enrollee</w:t>
            </w:r>
            <w:r w:rsidR="00442E8D" w:rsidRPr="00FD5D51">
              <w:rPr>
                <w:rFonts w:asciiTheme="minorHAnsi" w:hAnsiTheme="minorHAnsi" w:cs="Arial"/>
                <w:noProof w:val="0"/>
                <w:sz w:val="18"/>
                <w:szCs w:val="18"/>
              </w:rPr>
              <w:t xml:space="preserve">s </w:t>
            </w:r>
            <w:r w:rsidRPr="00FD5D51">
              <w:rPr>
                <w:rFonts w:asciiTheme="minorHAnsi" w:hAnsiTheme="minorHAnsi" w:cs="Arial"/>
                <w:noProof w:val="0"/>
                <w:sz w:val="18"/>
                <w:szCs w:val="18"/>
              </w:rPr>
              <w:t xml:space="preserve">age </w:t>
            </w:r>
            <w:r w:rsidR="009E5297" w:rsidRPr="00FD5D51">
              <w:rPr>
                <w:rFonts w:asciiTheme="minorHAnsi" w:hAnsiTheme="minorHAnsi" w:cs="Arial"/>
                <w:noProof w:val="0"/>
                <w:sz w:val="18"/>
                <w:szCs w:val="18"/>
              </w:rPr>
              <w:t>twenty-one (</w:t>
            </w:r>
            <w:r w:rsidRPr="00FD5D51">
              <w:rPr>
                <w:rFonts w:asciiTheme="minorHAnsi" w:hAnsiTheme="minorHAnsi" w:cs="Arial"/>
                <w:noProof w:val="0"/>
                <w:sz w:val="18"/>
                <w:szCs w:val="18"/>
              </w:rPr>
              <w:t>21</w:t>
            </w:r>
            <w:r w:rsidR="009E5297" w:rsidRPr="00FD5D51">
              <w:rPr>
                <w:rFonts w:asciiTheme="minorHAnsi" w:hAnsiTheme="minorHAnsi" w:cs="Arial"/>
                <w:noProof w:val="0"/>
                <w:sz w:val="18"/>
                <w:szCs w:val="18"/>
              </w:rPr>
              <w:t>)</w:t>
            </w:r>
            <w:r w:rsidRPr="00FD5D51">
              <w:rPr>
                <w:rFonts w:asciiTheme="minorHAnsi" w:hAnsiTheme="minorHAnsi" w:cs="Arial"/>
                <w:noProof w:val="0"/>
                <w:sz w:val="18"/>
                <w:szCs w:val="18"/>
              </w:rPr>
              <w:t xml:space="preserve"> and over waive right to other Medicaid services related to the</w:t>
            </w:r>
            <w:r w:rsidR="00AE6880" w:rsidRPr="00FD5D51">
              <w:rPr>
                <w:rFonts w:asciiTheme="minorHAnsi" w:hAnsiTheme="minorHAnsi" w:cs="Arial"/>
                <w:noProof w:val="0"/>
                <w:sz w:val="18"/>
                <w:szCs w:val="18"/>
              </w:rPr>
              <w:t xml:space="preserve"> treatment of</w:t>
            </w:r>
            <w:r w:rsidRPr="00FD5D51">
              <w:rPr>
                <w:rFonts w:asciiTheme="minorHAnsi" w:hAnsiTheme="minorHAnsi" w:cs="Arial"/>
                <w:noProof w:val="0"/>
                <w:sz w:val="18"/>
                <w:szCs w:val="18"/>
              </w:rPr>
              <w:t xml:space="preserve"> terminal illness.</w:t>
            </w:r>
          </w:p>
        </w:tc>
      </w:tr>
      <w:tr w:rsidR="00274CC0" w:rsidRPr="00DF1D1C" w14:paraId="4C395723" w14:textId="77777777" w:rsidTr="00FD5D51">
        <w:trPr>
          <w:cantSplit/>
        </w:trPr>
        <w:tc>
          <w:tcPr>
            <w:tcW w:w="2520" w:type="dxa"/>
            <w:shd w:val="clear" w:color="auto" w:fill="DEEAF6" w:themeFill="accent1" w:themeFillTint="33"/>
            <w:vAlign w:val="center"/>
          </w:tcPr>
          <w:p w14:paraId="3ADD31ED"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Hospital Services, Inpatient</w:t>
            </w:r>
          </w:p>
        </w:tc>
        <w:tc>
          <w:tcPr>
            <w:tcW w:w="3600" w:type="dxa"/>
            <w:shd w:val="clear" w:color="auto" w:fill="DEEAF6" w:themeFill="accent1" w:themeFillTint="33"/>
            <w:vAlign w:val="center"/>
          </w:tcPr>
          <w:p w14:paraId="52D126D1" w14:textId="657AFA36" w:rsidR="00274CC0" w:rsidRPr="00FD5D51" w:rsidRDefault="00274CC0" w:rsidP="00442E8D">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Hospital services, provided for all </w:t>
            </w:r>
            <w:r w:rsidR="00442E8D">
              <w:rPr>
                <w:rFonts w:asciiTheme="minorHAnsi" w:hAnsiTheme="minorHAnsi" w:cs="Arial"/>
                <w:noProof w:val="0"/>
                <w:sz w:val="18"/>
                <w:szCs w:val="18"/>
              </w:rPr>
              <w:t>enrollee</w:t>
            </w:r>
            <w:r w:rsidR="00442E8D" w:rsidRPr="00FD5D51">
              <w:rPr>
                <w:rFonts w:asciiTheme="minorHAnsi" w:hAnsiTheme="minorHAnsi" w:cs="Arial"/>
                <w:noProof w:val="0"/>
                <w:sz w:val="18"/>
                <w:szCs w:val="18"/>
              </w:rPr>
              <w:t xml:space="preserve">s </w:t>
            </w:r>
            <w:r w:rsidRPr="00FD5D51">
              <w:rPr>
                <w:rFonts w:asciiTheme="minorHAnsi" w:hAnsiTheme="minorHAnsi" w:cs="Arial"/>
                <w:noProof w:val="0"/>
                <w:sz w:val="18"/>
                <w:szCs w:val="18"/>
              </w:rPr>
              <w:t xml:space="preserve">on an inpatient basis under the direction of a physician. </w:t>
            </w:r>
          </w:p>
        </w:tc>
        <w:tc>
          <w:tcPr>
            <w:tcW w:w="3600" w:type="dxa"/>
            <w:shd w:val="clear" w:color="auto" w:fill="DEEAF6" w:themeFill="accent1" w:themeFillTint="33"/>
            <w:vAlign w:val="center"/>
          </w:tcPr>
          <w:p w14:paraId="3CCAF1F9" w14:textId="6622D552"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All inpatient services, including bariatric surgery, and, </w:t>
            </w:r>
            <w:r w:rsidR="00604812" w:rsidRPr="00FD5D51">
              <w:rPr>
                <w:rFonts w:asciiTheme="minorHAnsi" w:hAnsiTheme="minorHAnsi" w:cs="Arial"/>
                <w:noProof w:val="0"/>
                <w:sz w:val="18"/>
                <w:szCs w:val="18"/>
              </w:rPr>
              <w:t>corneal</w:t>
            </w:r>
            <w:r w:rsidRPr="00FD5D51">
              <w:rPr>
                <w:rFonts w:asciiTheme="minorHAnsi" w:hAnsiTheme="minorHAnsi" w:cs="Arial"/>
                <w:noProof w:val="0"/>
                <w:sz w:val="18"/>
                <w:szCs w:val="18"/>
              </w:rPr>
              <w:t xml:space="preserve"> transplants. </w:t>
            </w:r>
          </w:p>
        </w:tc>
        <w:tc>
          <w:tcPr>
            <w:tcW w:w="3225" w:type="dxa"/>
            <w:shd w:val="clear" w:color="auto" w:fill="DEEAF6" w:themeFill="accent1" w:themeFillTint="33"/>
            <w:vAlign w:val="center"/>
          </w:tcPr>
          <w:p w14:paraId="50B1B353"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Excludes those adults in institutions for mental diseases. Excludes behavioral health inpatient stays with a DRG of 425-433 or 521-523 or MS-DRG 880-887 or 894-897. Unlimited medically necessary days based on diagnosis related groups. Transplant services must be in a facility approved as a transplant center by Medicare and prior authorized by Medicaid. </w:t>
            </w:r>
          </w:p>
        </w:tc>
      </w:tr>
      <w:tr w:rsidR="00274CC0" w:rsidRPr="00DF1D1C" w14:paraId="414BE67B" w14:textId="77777777" w:rsidTr="00FD5D51">
        <w:trPr>
          <w:cantSplit/>
        </w:trPr>
        <w:tc>
          <w:tcPr>
            <w:tcW w:w="2520" w:type="dxa"/>
            <w:shd w:val="clear" w:color="auto" w:fill="auto"/>
            <w:vAlign w:val="center"/>
          </w:tcPr>
          <w:p w14:paraId="4ED0A757"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Hospital Services, Outpatient</w:t>
            </w:r>
          </w:p>
        </w:tc>
        <w:tc>
          <w:tcPr>
            <w:tcW w:w="3600" w:type="dxa"/>
            <w:shd w:val="clear" w:color="auto" w:fill="auto"/>
            <w:vAlign w:val="center"/>
          </w:tcPr>
          <w:p w14:paraId="35B09557"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Medical services furnished on an outpatient basis by a hospital, regardless of the type of provider ordering the service.</w:t>
            </w:r>
          </w:p>
        </w:tc>
        <w:tc>
          <w:tcPr>
            <w:tcW w:w="3600" w:type="dxa"/>
            <w:shd w:val="clear" w:color="auto" w:fill="auto"/>
            <w:vAlign w:val="center"/>
          </w:tcPr>
          <w:p w14:paraId="525DF130"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Preventive, diagnostic, therapeutic, all emergency services, or rehabilitative medical services.</w:t>
            </w:r>
          </w:p>
        </w:tc>
        <w:tc>
          <w:tcPr>
            <w:tcW w:w="3225" w:type="dxa"/>
            <w:shd w:val="clear" w:color="auto" w:fill="auto"/>
            <w:vAlign w:val="center"/>
          </w:tcPr>
          <w:p w14:paraId="78FA9C52"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Services not generally furnished on an inpatient basis by most hospitals in the state. Only technical component of certain services. </w:t>
            </w:r>
          </w:p>
        </w:tc>
      </w:tr>
      <w:tr w:rsidR="00274CC0" w:rsidRPr="00DF1D1C" w14:paraId="3F493699" w14:textId="77777777" w:rsidTr="00FD5D51">
        <w:trPr>
          <w:cantSplit/>
        </w:trPr>
        <w:tc>
          <w:tcPr>
            <w:tcW w:w="2520" w:type="dxa"/>
            <w:shd w:val="clear" w:color="auto" w:fill="DEEAF6" w:themeFill="accent1" w:themeFillTint="33"/>
            <w:vAlign w:val="center"/>
          </w:tcPr>
          <w:p w14:paraId="17D5DDB8"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Inpatient Rehabilitation </w:t>
            </w:r>
          </w:p>
        </w:tc>
        <w:tc>
          <w:tcPr>
            <w:tcW w:w="3600" w:type="dxa"/>
            <w:shd w:val="clear" w:color="auto" w:fill="DEEAF6" w:themeFill="accent1" w:themeFillTint="33"/>
            <w:vAlign w:val="center"/>
          </w:tcPr>
          <w:p w14:paraId="02A797F1" w14:textId="332A9CFC"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Services related to inpatient facilities that provide rehabilitation services for Medicaid eligible individuals under the age of </w:t>
            </w:r>
            <w:r w:rsidR="009E5297" w:rsidRPr="00FD5D51">
              <w:rPr>
                <w:rFonts w:asciiTheme="minorHAnsi" w:hAnsiTheme="minorHAnsi" w:cs="Arial"/>
                <w:noProof w:val="0"/>
                <w:sz w:val="18"/>
                <w:szCs w:val="18"/>
              </w:rPr>
              <w:t>twenty-one (</w:t>
            </w:r>
            <w:r w:rsidRPr="00FD5D51">
              <w:rPr>
                <w:rFonts w:asciiTheme="minorHAnsi" w:hAnsiTheme="minorHAnsi" w:cs="Arial"/>
                <w:noProof w:val="0"/>
                <w:sz w:val="18"/>
                <w:szCs w:val="18"/>
              </w:rPr>
              <w:t>21</w:t>
            </w:r>
            <w:r w:rsidR="009E5297" w:rsidRPr="00FD5D51">
              <w:rPr>
                <w:rFonts w:asciiTheme="minorHAnsi" w:hAnsiTheme="minorHAnsi" w:cs="Arial"/>
                <w:noProof w:val="0"/>
                <w:sz w:val="18"/>
                <w:szCs w:val="18"/>
              </w:rPr>
              <w:t>)</w:t>
            </w:r>
          </w:p>
        </w:tc>
        <w:tc>
          <w:tcPr>
            <w:tcW w:w="3600" w:type="dxa"/>
            <w:shd w:val="clear" w:color="auto" w:fill="DEEAF6" w:themeFill="accent1" w:themeFillTint="33"/>
            <w:vAlign w:val="center"/>
          </w:tcPr>
          <w:p w14:paraId="727C9F96" w14:textId="24722C0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Services that are medical inpatient rehabilitation services for Medicaid eligible individuals under </w:t>
            </w:r>
            <w:r w:rsidR="00B92C59" w:rsidRPr="00FD5D51">
              <w:rPr>
                <w:rFonts w:asciiTheme="minorHAnsi" w:hAnsiTheme="minorHAnsi" w:cs="Arial"/>
                <w:noProof w:val="0"/>
                <w:sz w:val="18"/>
                <w:szCs w:val="18"/>
              </w:rPr>
              <w:t>twenty-one (</w:t>
            </w:r>
            <w:r w:rsidRPr="00FD5D51">
              <w:rPr>
                <w:rFonts w:asciiTheme="minorHAnsi" w:hAnsiTheme="minorHAnsi" w:cs="Arial"/>
                <w:noProof w:val="0"/>
                <w:sz w:val="18"/>
                <w:szCs w:val="18"/>
              </w:rPr>
              <w:t>21</w:t>
            </w:r>
            <w:r w:rsidR="00B92C59" w:rsidRPr="00FD5D51">
              <w:rPr>
                <w:rFonts w:asciiTheme="minorHAnsi" w:hAnsiTheme="minorHAnsi" w:cs="Arial"/>
                <w:noProof w:val="0"/>
                <w:sz w:val="18"/>
                <w:szCs w:val="18"/>
              </w:rPr>
              <w:t>)</w:t>
            </w:r>
            <w:r w:rsidRPr="00FD5D51">
              <w:rPr>
                <w:rFonts w:asciiTheme="minorHAnsi" w:hAnsiTheme="minorHAnsi" w:cs="Arial"/>
                <w:noProof w:val="0"/>
                <w:sz w:val="18"/>
                <w:szCs w:val="18"/>
              </w:rPr>
              <w:t>, and general medical outpatient services which meet certification requirements of the Office of Facility, Licensure and Certification.</w:t>
            </w:r>
          </w:p>
        </w:tc>
        <w:tc>
          <w:tcPr>
            <w:tcW w:w="3225" w:type="dxa"/>
            <w:shd w:val="clear" w:color="auto" w:fill="DEEAF6" w:themeFill="accent1" w:themeFillTint="33"/>
            <w:vAlign w:val="center"/>
          </w:tcPr>
          <w:p w14:paraId="32032FB0" w14:textId="223A6DA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Limited to individuals under age </w:t>
            </w:r>
            <w:r w:rsidR="00B92C59" w:rsidRPr="00FD5D51">
              <w:rPr>
                <w:rFonts w:asciiTheme="minorHAnsi" w:hAnsiTheme="minorHAnsi" w:cs="Arial"/>
                <w:noProof w:val="0"/>
                <w:sz w:val="18"/>
                <w:szCs w:val="18"/>
              </w:rPr>
              <w:t>twenty-one (</w:t>
            </w:r>
            <w:r w:rsidRPr="00FD5D51">
              <w:rPr>
                <w:rFonts w:asciiTheme="minorHAnsi" w:hAnsiTheme="minorHAnsi" w:cs="Arial"/>
                <w:noProof w:val="0"/>
                <w:sz w:val="18"/>
                <w:szCs w:val="18"/>
              </w:rPr>
              <w:t>21</w:t>
            </w:r>
            <w:r w:rsidR="00B92C59" w:rsidRPr="00FD5D51">
              <w:rPr>
                <w:rFonts w:asciiTheme="minorHAnsi" w:hAnsiTheme="minorHAnsi" w:cs="Arial"/>
                <w:noProof w:val="0"/>
                <w:sz w:val="18"/>
                <w:szCs w:val="18"/>
              </w:rPr>
              <w:t>)</w:t>
            </w:r>
            <w:r w:rsidRPr="00FD5D51">
              <w:rPr>
                <w:rFonts w:asciiTheme="minorHAnsi" w:hAnsiTheme="minorHAnsi" w:cs="Arial"/>
                <w:noProof w:val="0"/>
                <w:sz w:val="18"/>
                <w:szCs w:val="18"/>
              </w:rPr>
              <w:t>.</w:t>
            </w:r>
          </w:p>
        </w:tc>
      </w:tr>
      <w:tr w:rsidR="00274CC0" w:rsidRPr="00DF1D1C" w14:paraId="36E53AD2" w14:textId="77777777" w:rsidTr="00FD5D51">
        <w:trPr>
          <w:cantSplit/>
        </w:trPr>
        <w:tc>
          <w:tcPr>
            <w:tcW w:w="2520" w:type="dxa"/>
            <w:shd w:val="clear" w:color="auto" w:fill="auto"/>
            <w:vAlign w:val="center"/>
          </w:tcPr>
          <w:p w14:paraId="76C0663E"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Laboratory and X-Ray Services. Non-Hospital</w:t>
            </w:r>
          </w:p>
        </w:tc>
        <w:tc>
          <w:tcPr>
            <w:tcW w:w="3600" w:type="dxa"/>
            <w:shd w:val="clear" w:color="auto" w:fill="auto"/>
            <w:vAlign w:val="center"/>
          </w:tcPr>
          <w:p w14:paraId="4E1F507C"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Laboratory and x-ray services provided in a facility other than a hospital outpatient department.</w:t>
            </w:r>
          </w:p>
        </w:tc>
        <w:tc>
          <w:tcPr>
            <w:tcW w:w="3600" w:type="dxa"/>
            <w:shd w:val="clear" w:color="auto" w:fill="auto"/>
            <w:vAlign w:val="center"/>
          </w:tcPr>
          <w:p w14:paraId="225F778C"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All laboratory and x-ray services ordered and provided by or under the direction of a physician. Includes laboratory services related to the treatment of substance abuse.</w:t>
            </w:r>
          </w:p>
        </w:tc>
        <w:tc>
          <w:tcPr>
            <w:tcW w:w="3225" w:type="dxa"/>
            <w:shd w:val="clear" w:color="auto" w:fill="auto"/>
            <w:vAlign w:val="center"/>
          </w:tcPr>
          <w:p w14:paraId="4379E8D0"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Must be ordered by physician. Certain procedures may have service limits.</w:t>
            </w:r>
          </w:p>
        </w:tc>
      </w:tr>
      <w:tr w:rsidR="00274CC0" w:rsidRPr="00DF1D1C" w14:paraId="346D70A4" w14:textId="77777777" w:rsidTr="00FD5D51">
        <w:trPr>
          <w:cantSplit/>
        </w:trPr>
        <w:tc>
          <w:tcPr>
            <w:tcW w:w="2520" w:type="dxa"/>
            <w:shd w:val="clear" w:color="auto" w:fill="DEEAF6" w:themeFill="accent1" w:themeFillTint="33"/>
            <w:vAlign w:val="center"/>
          </w:tcPr>
          <w:p w14:paraId="130E5A2A"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Nurse Practitioners’ Services</w:t>
            </w:r>
          </w:p>
        </w:tc>
        <w:tc>
          <w:tcPr>
            <w:tcW w:w="3600" w:type="dxa"/>
            <w:shd w:val="clear" w:color="auto" w:fill="DEEAF6" w:themeFill="accent1" w:themeFillTint="33"/>
            <w:vAlign w:val="center"/>
          </w:tcPr>
          <w:p w14:paraId="28A5C8DD"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Services provided by a nurse midwife, nurse anesthetist, family or pediatric nurse practitioner.</w:t>
            </w:r>
          </w:p>
        </w:tc>
        <w:tc>
          <w:tcPr>
            <w:tcW w:w="3600" w:type="dxa"/>
            <w:shd w:val="clear" w:color="auto" w:fill="DEEAF6" w:themeFill="accent1" w:themeFillTint="33"/>
            <w:vAlign w:val="center"/>
          </w:tcPr>
          <w:p w14:paraId="7B178453"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Specific services within specialty.</w:t>
            </w:r>
          </w:p>
        </w:tc>
        <w:tc>
          <w:tcPr>
            <w:tcW w:w="3225" w:type="dxa"/>
            <w:shd w:val="clear" w:color="auto" w:fill="DEEAF6" w:themeFill="accent1" w:themeFillTint="33"/>
            <w:vAlign w:val="center"/>
          </w:tcPr>
          <w:p w14:paraId="503C4D47"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Certain procedures may have service limits.</w:t>
            </w:r>
          </w:p>
        </w:tc>
      </w:tr>
      <w:tr w:rsidR="00274CC0" w:rsidRPr="00DF1D1C" w14:paraId="0248206E" w14:textId="77777777" w:rsidTr="00FD5D51">
        <w:trPr>
          <w:cantSplit/>
        </w:trPr>
        <w:tc>
          <w:tcPr>
            <w:tcW w:w="2520" w:type="dxa"/>
            <w:shd w:val="clear" w:color="auto" w:fill="auto"/>
            <w:vAlign w:val="center"/>
          </w:tcPr>
          <w:p w14:paraId="658700DE"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lastRenderedPageBreak/>
              <w:t>Other Services</w:t>
            </w:r>
          </w:p>
          <w:p w14:paraId="073934D2"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 Speech Therapy</w:t>
            </w:r>
          </w:p>
          <w:p w14:paraId="38AC0C8B"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 Physical therapy</w:t>
            </w:r>
          </w:p>
          <w:p w14:paraId="3B6A0970"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 Occupational Therapy</w:t>
            </w:r>
          </w:p>
        </w:tc>
        <w:tc>
          <w:tcPr>
            <w:tcW w:w="3600" w:type="dxa"/>
            <w:shd w:val="clear" w:color="auto" w:fill="auto"/>
            <w:vAlign w:val="center"/>
          </w:tcPr>
          <w:p w14:paraId="6DF8D877"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NA</w:t>
            </w:r>
          </w:p>
        </w:tc>
        <w:tc>
          <w:tcPr>
            <w:tcW w:w="3600" w:type="dxa"/>
            <w:shd w:val="clear" w:color="auto" w:fill="auto"/>
            <w:vAlign w:val="center"/>
          </w:tcPr>
          <w:p w14:paraId="7E9531B5"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Treatment or other measures provided by speech, physical or occupational therapists to correct or ameliorate any condition within the scope of their practice. </w:t>
            </w:r>
          </w:p>
        </w:tc>
        <w:tc>
          <w:tcPr>
            <w:tcW w:w="3225" w:type="dxa"/>
            <w:shd w:val="clear" w:color="auto" w:fill="auto"/>
            <w:vAlign w:val="center"/>
          </w:tcPr>
          <w:p w14:paraId="3CA0DCEC" w14:textId="39DDE2ED" w:rsidR="00274CC0" w:rsidRPr="00FD5D51" w:rsidRDefault="00274CC0" w:rsidP="00442E8D">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Hearing aid evaluations, hearing aids, hearing aid supplies, batteries and repairs are limited to </w:t>
            </w:r>
            <w:r w:rsidR="00442E8D">
              <w:rPr>
                <w:rFonts w:asciiTheme="minorHAnsi" w:hAnsiTheme="minorHAnsi" w:cs="Arial"/>
                <w:noProof w:val="0"/>
                <w:sz w:val="18"/>
                <w:szCs w:val="18"/>
              </w:rPr>
              <w:t>enrollee</w:t>
            </w:r>
            <w:r w:rsidR="00442E8D" w:rsidRPr="00FD5D51">
              <w:rPr>
                <w:rFonts w:asciiTheme="minorHAnsi" w:hAnsiTheme="minorHAnsi" w:cs="Arial"/>
                <w:noProof w:val="0"/>
                <w:sz w:val="18"/>
                <w:szCs w:val="18"/>
              </w:rPr>
              <w:t xml:space="preserve">s </w:t>
            </w:r>
            <w:r w:rsidRPr="00FD5D51">
              <w:rPr>
                <w:rFonts w:asciiTheme="minorHAnsi" w:hAnsiTheme="minorHAnsi" w:cs="Arial"/>
                <w:noProof w:val="0"/>
                <w:sz w:val="18"/>
                <w:szCs w:val="18"/>
              </w:rPr>
              <w:t xml:space="preserve">under age </w:t>
            </w:r>
            <w:r w:rsidR="00B92C59" w:rsidRPr="00FD5D51">
              <w:rPr>
                <w:rFonts w:asciiTheme="minorHAnsi" w:hAnsiTheme="minorHAnsi" w:cs="Arial"/>
                <w:noProof w:val="0"/>
                <w:sz w:val="18"/>
                <w:szCs w:val="18"/>
              </w:rPr>
              <w:t>twenty-one (</w:t>
            </w:r>
            <w:r w:rsidRPr="00FD5D51">
              <w:rPr>
                <w:rFonts w:asciiTheme="minorHAnsi" w:hAnsiTheme="minorHAnsi" w:cs="Arial"/>
                <w:noProof w:val="0"/>
                <w:sz w:val="18"/>
                <w:szCs w:val="18"/>
              </w:rPr>
              <w:t>21</w:t>
            </w:r>
            <w:r w:rsidR="00B92C59" w:rsidRPr="00FD5D51">
              <w:rPr>
                <w:rFonts w:asciiTheme="minorHAnsi" w:hAnsiTheme="minorHAnsi" w:cs="Arial"/>
                <w:noProof w:val="0"/>
                <w:sz w:val="18"/>
                <w:szCs w:val="18"/>
              </w:rPr>
              <w:t>)</w:t>
            </w:r>
            <w:r w:rsidRPr="00FD5D51">
              <w:rPr>
                <w:rFonts w:asciiTheme="minorHAnsi" w:hAnsiTheme="minorHAnsi" w:cs="Arial"/>
                <w:noProof w:val="0"/>
                <w:sz w:val="18"/>
                <w:szCs w:val="18"/>
              </w:rPr>
              <w:t xml:space="preserve"> Certain procedures may have service limits, or require prior authorization. Augmentation communication devices limited to children under </w:t>
            </w:r>
            <w:r w:rsidR="00B92C59" w:rsidRPr="00FD5D51">
              <w:rPr>
                <w:rFonts w:asciiTheme="minorHAnsi" w:hAnsiTheme="minorHAnsi" w:cs="Arial"/>
                <w:noProof w:val="0"/>
                <w:sz w:val="18"/>
                <w:szCs w:val="18"/>
              </w:rPr>
              <w:t>twenty-one (</w:t>
            </w:r>
            <w:r w:rsidRPr="00FD5D51">
              <w:rPr>
                <w:rFonts w:asciiTheme="minorHAnsi" w:hAnsiTheme="minorHAnsi" w:cs="Arial"/>
                <w:noProof w:val="0"/>
                <w:sz w:val="18"/>
                <w:szCs w:val="18"/>
              </w:rPr>
              <w:t>21</w:t>
            </w:r>
            <w:r w:rsidR="00B92C59" w:rsidRPr="00FD5D51">
              <w:rPr>
                <w:rFonts w:asciiTheme="minorHAnsi" w:hAnsiTheme="minorHAnsi" w:cs="Arial"/>
                <w:noProof w:val="0"/>
                <w:sz w:val="18"/>
                <w:szCs w:val="18"/>
              </w:rPr>
              <w:t>)</w:t>
            </w:r>
            <w:r w:rsidRPr="00FD5D51">
              <w:rPr>
                <w:rFonts w:asciiTheme="minorHAnsi" w:hAnsiTheme="minorHAnsi" w:cs="Arial"/>
                <w:noProof w:val="0"/>
                <w:sz w:val="18"/>
                <w:szCs w:val="18"/>
              </w:rPr>
              <w:t xml:space="preserve"> years of age and require prior approval.</w:t>
            </w:r>
          </w:p>
        </w:tc>
      </w:tr>
      <w:tr w:rsidR="00B92C59" w:rsidRPr="00DF1D1C" w14:paraId="045EC909" w14:textId="77777777" w:rsidTr="00FD5D51">
        <w:trPr>
          <w:cantSplit/>
        </w:trPr>
        <w:tc>
          <w:tcPr>
            <w:tcW w:w="2520" w:type="dxa"/>
            <w:shd w:val="clear" w:color="auto" w:fill="DEEAF6" w:themeFill="accent1" w:themeFillTint="33"/>
            <w:vAlign w:val="center"/>
          </w:tcPr>
          <w:p w14:paraId="2B5A4859" w14:textId="3FDA2B16" w:rsidR="00B92C59" w:rsidRPr="00FD5D51" w:rsidRDefault="00B92C59"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Personal Care Services</w:t>
            </w:r>
          </w:p>
        </w:tc>
        <w:tc>
          <w:tcPr>
            <w:tcW w:w="3600" w:type="dxa"/>
            <w:shd w:val="clear" w:color="auto" w:fill="DEEAF6" w:themeFill="accent1" w:themeFillTint="33"/>
            <w:vAlign w:val="center"/>
          </w:tcPr>
          <w:p w14:paraId="41963C4C" w14:textId="1460614F" w:rsidR="00B92C59" w:rsidRPr="00FD5D51" w:rsidRDefault="00B92C59"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Medically necessary activities or tasks ordered by a physician, which are implemented according to a Nursing Plan of Care developed and supervised by a registered nurse. These services enable people to meet their physical needs and be treated by their physicians as outpatients, rather than on an inpatient or institutional basis.</w:t>
            </w:r>
          </w:p>
        </w:tc>
        <w:tc>
          <w:tcPr>
            <w:tcW w:w="3600" w:type="dxa"/>
            <w:shd w:val="clear" w:color="auto" w:fill="DEEAF6" w:themeFill="accent1" w:themeFillTint="33"/>
            <w:vAlign w:val="center"/>
          </w:tcPr>
          <w:p w14:paraId="3B9411C4" w14:textId="1D5144DA" w:rsidR="00B92C59" w:rsidRPr="00FD5D51" w:rsidRDefault="00B92C59"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Services include those activities related to personal hygiene, dressing, feeding, nutrition, environmental support functions, and health-related tasks.</w:t>
            </w:r>
          </w:p>
        </w:tc>
        <w:tc>
          <w:tcPr>
            <w:tcW w:w="3225" w:type="dxa"/>
            <w:shd w:val="clear" w:color="auto" w:fill="DEEAF6" w:themeFill="accent1" w:themeFillTint="33"/>
            <w:vAlign w:val="center"/>
          </w:tcPr>
          <w:p w14:paraId="3A7A6418" w14:textId="10577ADD" w:rsidR="00B92C59" w:rsidRPr="00FD5D51" w:rsidRDefault="00B92C59" w:rsidP="00781654">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Room and board services, services which have not been certified by a physician on a Personal Care Medical Eligibility Assessment (PCMEA) or are not in the approved plan of medically necessary care developed by the registered nurse, hours that exceed the sixty (60) hours per member per month</w:t>
            </w:r>
            <w:r w:rsidR="00781654">
              <w:rPr>
                <w:rFonts w:asciiTheme="minorHAnsi" w:hAnsiTheme="minorHAnsi" w:cs="Arial"/>
                <w:noProof w:val="0"/>
                <w:sz w:val="18"/>
                <w:szCs w:val="18"/>
              </w:rPr>
              <w:t xml:space="preserve"> (PMPM)</w:t>
            </w:r>
            <w:r w:rsidRPr="00FD5D51">
              <w:rPr>
                <w:rFonts w:asciiTheme="minorHAnsi" w:hAnsiTheme="minorHAnsi" w:cs="Arial"/>
                <w:noProof w:val="0"/>
                <w:sz w:val="18"/>
                <w:szCs w:val="18"/>
              </w:rPr>
              <w:t xml:space="preserve"> limitation that have not been prior authorized, services provided by a</w:t>
            </w:r>
            <w:r w:rsidR="00781654">
              <w:rPr>
                <w:rFonts w:asciiTheme="minorHAnsi" w:hAnsiTheme="minorHAnsi" w:cs="Arial"/>
                <w:noProof w:val="0"/>
                <w:sz w:val="18"/>
                <w:szCs w:val="18"/>
              </w:rPr>
              <w:t>n</w:t>
            </w:r>
            <w:r w:rsidRPr="00FD5D51">
              <w:rPr>
                <w:rFonts w:asciiTheme="minorHAnsi" w:hAnsiTheme="minorHAnsi" w:cs="Arial"/>
                <w:noProof w:val="0"/>
                <w:sz w:val="18"/>
                <w:szCs w:val="18"/>
              </w:rPr>
              <w:t xml:space="preserve"> </w:t>
            </w:r>
            <w:r w:rsidR="00781654">
              <w:rPr>
                <w:rFonts w:asciiTheme="minorHAnsi" w:hAnsiTheme="minorHAnsi" w:cs="Arial"/>
                <w:noProof w:val="0"/>
                <w:sz w:val="18"/>
                <w:szCs w:val="18"/>
              </w:rPr>
              <w:t>enrollee</w:t>
            </w:r>
            <w:r w:rsidR="00781654" w:rsidRPr="00FD5D51">
              <w:rPr>
                <w:rFonts w:asciiTheme="minorHAnsi" w:hAnsiTheme="minorHAnsi" w:cs="Arial"/>
                <w:noProof w:val="0"/>
                <w:sz w:val="18"/>
                <w:szCs w:val="18"/>
              </w:rPr>
              <w:t xml:space="preserve">’s </w:t>
            </w:r>
            <w:r w:rsidRPr="00FD5D51">
              <w:rPr>
                <w:rFonts w:asciiTheme="minorHAnsi" w:hAnsiTheme="minorHAnsi" w:cs="Arial"/>
                <w:noProof w:val="0"/>
                <w:sz w:val="18"/>
                <w:szCs w:val="18"/>
              </w:rPr>
              <w:t>spouse or parents of a minor child, and supervision that is considered normal childcare.</w:t>
            </w:r>
          </w:p>
        </w:tc>
      </w:tr>
      <w:tr w:rsidR="00274CC0" w:rsidRPr="00DF1D1C" w14:paraId="164707A3" w14:textId="77777777" w:rsidTr="00FD5D51">
        <w:trPr>
          <w:cantSplit/>
        </w:trPr>
        <w:tc>
          <w:tcPr>
            <w:tcW w:w="2520" w:type="dxa"/>
            <w:shd w:val="clear" w:color="auto" w:fill="auto"/>
            <w:vAlign w:val="center"/>
          </w:tcPr>
          <w:p w14:paraId="64419970"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Physician Services</w:t>
            </w:r>
          </w:p>
        </w:tc>
        <w:tc>
          <w:tcPr>
            <w:tcW w:w="3600" w:type="dxa"/>
            <w:shd w:val="clear" w:color="auto" w:fill="auto"/>
            <w:vAlign w:val="center"/>
          </w:tcPr>
          <w:p w14:paraId="43A83CD9" w14:textId="07111ED2" w:rsidR="00274CC0" w:rsidRPr="00FD5D51" w:rsidRDefault="00274CC0" w:rsidP="00442E8D">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Services of a physician to a</w:t>
            </w:r>
            <w:r w:rsidR="00442E8D">
              <w:rPr>
                <w:rFonts w:asciiTheme="minorHAnsi" w:hAnsiTheme="minorHAnsi" w:cs="Arial"/>
                <w:noProof w:val="0"/>
                <w:sz w:val="18"/>
                <w:szCs w:val="18"/>
              </w:rPr>
              <w:t>n</w:t>
            </w:r>
            <w:r w:rsidRPr="00FD5D51">
              <w:rPr>
                <w:rFonts w:asciiTheme="minorHAnsi" w:hAnsiTheme="minorHAnsi" w:cs="Arial"/>
                <w:noProof w:val="0"/>
                <w:sz w:val="18"/>
                <w:szCs w:val="18"/>
              </w:rPr>
              <w:t xml:space="preserve"> </w:t>
            </w:r>
            <w:r w:rsidR="00442E8D">
              <w:rPr>
                <w:rFonts w:asciiTheme="minorHAnsi" w:hAnsiTheme="minorHAnsi" w:cs="Arial"/>
                <w:noProof w:val="0"/>
                <w:sz w:val="18"/>
                <w:szCs w:val="18"/>
              </w:rPr>
              <w:t>enrollee</w:t>
            </w:r>
            <w:r w:rsidR="00442E8D" w:rsidRPr="00FD5D51">
              <w:rPr>
                <w:rFonts w:asciiTheme="minorHAnsi" w:hAnsiTheme="minorHAnsi" w:cs="Arial"/>
                <w:noProof w:val="0"/>
                <w:sz w:val="18"/>
                <w:szCs w:val="18"/>
              </w:rPr>
              <w:t xml:space="preserve"> </w:t>
            </w:r>
            <w:r w:rsidRPr="00FD5D51">
              <w:rPr>
                <w:rFonts w:asciiTheme="minorHAnsi" w:hAnsiTheme="minorHAnsi" w:cs="Arial"/>
                <w:noProof w:val="0"/>
                <w:sz w:val="18"/>
                <w:szCs w:val="18"/>
              </w:rPr>
              <w:t>on an inpatient or outpatient basis.</w:t>
            </w:r>
          </w:p>
        </w:tc>
        <w:tc>
          <w:tcPr>
            <w:tcW w:w="3600" w:type="dxa"/>
            <w:shd w:val="clear" w:color="auto" w:fill="auto"/>
            <w:vAlign w:val="center"/>
          </w:tcPr>
          <w:p w14:paraId="28331E89"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Services are provided within the scope of medical practice of an MD or D.O. Includes medical or surgical services of a dentist, medical services related to the treatment of substance abuse, and fluoride varnish services. Physician services may be delivered using telehealth.</w:t>
            </w:r>
          </w:p>
        </w:tc>
        <w:tc>
          <w:tcPr>
            <w:tcW w:w="3225" w:type="dxa"/>
            <w:shd w:val="clear" w:color="auto" w:fill="auto"/>
            <w:vAlign w:val="center"/>
          </w:tcPr>
          <w:p w14:paraId="4C272F1B" w14:textId="388A5629"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Certain procedures may have service limits, or require prior authorization. Fluoride varnish services may only be provided to children ages six</w:t>
            </w:r>
            <w:r w:rsidR="00AE6880" w:rsidRPr="00FD5D51">
              <w:rPr>
                <w:rFonts w:asciiTheme="minorHAnsi" w:hAnsiTheme="minorHAnsi" w:cs="Arial"/>
                <w:noProof w:val="0"/>
                <w:sz w:val="18"/>
                <w:szCs w:val="18"/>
              </w:rPr>
              <w:t xml:space="preserve"> (6)</w:t>
            </w:r>
            <w:r w:rsidRPr="00FD5D51">
              <w:rPr>
                <w:rFonts w:asciiTheme="minorHAnsi" w:hAnsiTheme="minorHAnsi" w:cs="Arial"/>
                <w:noProof w:val="0"/>
                <w:sz w:val="18"/>
                <w:szCs w:val="18"/>
              </w:rPr>
              <w:t xml:space="preserve"> months to three </w:t>
            </w:r>
            <w:r w:rsidR="00AE6880" w:rsidRPr="00FD5D51">
              <w:rPr>
                <w:rFonts w:asciiTheme="minorHAnsi" w:hAnsiTheme="minorHAnsi" w:cs="Arial"/>
                <w:noProof w:val="0"/>
                <w:sz w:val="18"/>
                <w:szCs w:val="18"/>
              </w:rPr>
              <w:t xml:space="preserve">(3) </w:t>
            </w:r>
            <w:r w:rsidRPr="00FD5D51">
              <w:rPr>
                <w:rFonts w:asciiTheme="minorHAnsi" w:hAnsiTheme="minorHAnsi" w:cs="Arial"/>
                <w:noProof w:val="0"/>
                <w:sz w:val="18"/>
                <w:szCs w:val="18"/>
              </w:rPr>
              <w:t>years.</w:t>
            </w:r>
          </w:p>
        </w:tc>
      </w:tr>
      <w:tr w:rsidR="00274CC0" w:rsidRPr="00DF1D1C" w14:paraId="526253F9" w14:textId="77777777" w:rsidTr="00FD5D51">
        <w:trPr>
          <w:cantSplit/>
          <w:trHeight w:val="912"/>
        </w:trPr>
        <w:tc>
          <w:tcPr>
            <w:tcW w:w="2520" w:type="dxa"/>
            <w:shd w:val="clear" w:color="auto" w:fill="DEEAF6" w:themeFill="accent1" w:themeFillTint="33"/>
            <w:vAlign w:val="center"/>
          </w:tcPr>
          <w:p w14:paraId="3DFCB01D"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Podiatry Services</w:t>
            </w:r>
          </w:p>
        </w:tc>
        <w:tc>
          <w:tcPr>
            <w:tcW w:w="3600" w:type="dxa"/>
            <w:shd w:val="clear" w:color="auto" w:fill="DEEAF6" w:themeFill="accent1" w:themeFillTint="33"/>
            <w:vAlign w:val="center"/>
          </w:tcPr>
          <w:p w14:paraId="21FD0F58"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Foot care services.</w:t>
            </w:r>
          </w:p>
        </w:tc>
        <w:tc>
          <w:tcPr>
            <w:tcW w:w="3600" w:type="dxa"/>
            <w:shd w:val="clear" w:color="auto" w:fill="DEEAF6" w:themeFill="accent1" w:themeFillTint="33"/>
            <w:vAlign w:val="center"/>
          </w:tcPr>
          <w:p w14:paraId="04426F66"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Treatment for acute conditions, i.e. infections, inflammations, ulcers, bursitis, etc. Surgeries for bunions, ingrown toe nails. Reduction of fractures, dislocation, and treatment of sprains. Orthotics.</w:t>
            </w:r>
          </w:p>
        </w:tc>
        <w:tc>
          <w:tcPr>
            <w:tcW w:w="3225" w:type="dxa"/>
            <w:shd w:val="clear" w:color="auto" w:fill="DEEAF6" w:themeFill="accent1" w:themeFillTint="33"/>
            <w:vAlign w:val="center"/>
          </w:tcPr>
          <w:p w14:paraId="03B85A06"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Treatment of children limited to acute conditions. Routine foot care treatment for flat foot, and sublucations of the foot are not covered.</w:t>
            </w:r>
          </w:p>
        </w:tc>
      </w:tr>
      <w:tr w:rsidR="00274CC0" w:rsidRPr="00DF1D1C" w14:paraId="4A726227" w14:textId="77777777" w:rsidTr="00FD5D51">
        <w:trPr>
          <w:cantSplit/>
        </w:trPr>
        <w:tc>
          <w:tcPr>
            <w:tcW w:w="2520" w:type="dxa"/>
            <w:shd w:val="clear" w:color="auto" w:fill="auto"/>
            <w:vAlign w:val="center"/>
          </w:tcPr>
          <w:p w14:paraId="213C4F5A"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lastRenderedPageBreak/>
              <w:t>Private Duty Nursing</w:t>
            </w:r>
          </w:p>
        </w:tc>
        <w:tc>
          <w:tcPr>
            <w:tcW w:w="3600" w:type="dxa"/>
            <w:shd w:val="clear" w:color="auto" w:fill="auto"/>
            <w:vAlign w:val="center"/>
          </w:tcPr>
          <w:p w14:paraId="21BCE5A5" w14:textId="36D80A0C" w:rsidR="00274CC0" w:rsidRPr="00FD5D51" w:rsidRDefault="00274CC0" w:rsidP="0005492C">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Nursing services for </w:t>
            </w:r>
            <w:r w:rsidR="0005492C">
              <w:rPr>
                <w:rFonts w:asciiTheme="minorHAnsi" w:hAnsiTheme="minorHAnsi" w:cs="Arial"/>
                <w:noProof w:val="0"/>
                <w:sz w:val="18"/>
                <w:szCs w:val="18"/>
              </w:rPr>
              <w:t>enrollee</w:t>
            </w:r>
            <w:r w:rsidR="0005492C" w:rsidRPr="00FD5D51">
              <w:rPr>
                <w:rFonts w:asciiTheme="minorHAnsi" w:hAnsiTheme="minorHAnsi" w:cs="Arial"/>
                <w:noProof w:val="0"/>
                <w:sz w:val="18"/>
                <w:szCs w:val="18"/>
              </w:rPr>
              <w:t xml:space="preserve">s </w:t>
            </w:r>
            <w:r w:rsidRPr="00FD5D51">
              <w:rPr>
                <w:rFonts w:asciiTheme="minorHAnsi" w:hAnsiTheme="minorHAnsi" w:cs="Arial"/>
                <w:noProof w:val="0"/>
                <w:sz w:val="18"/>
                <w:szCs w:val="18"/>
              </w:rPr>
              <w:t>who require more individual and continuous care than is available from a visiting nurse or routinely provided by hospitals or skilled nursing facilities.</w:t>
            </w:r>
          </w:p>
        </w:tc>
        <w:tc>
          <w:tcPr>
            <w:tcW w:w="3600" w:type="dxa"/>
            <w:shd w:val="clear" w:color="auto" w:fill="auto"/>
            <w:vAlign w:val="center"/>
          </w:tcPr>
          <w:p w14:paraId="66C2BC63" w14:textId="73A3394A"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Twenty-four</w:t>
            </w:r>
            <w:r w:rsidR="009E5297" w:rsidRPr="00FD5D51">
              <w:rPr>
                <w:rFonts w:asciiTheme="minorHAnsi" w:hAnsiTheme="minorHAnsi" w:cs="Arial"/>
                <w:noProof w:val="0"/>
                <w:sz w:val="18"/>
                <w:szCs w:val="18"/>
              </w:rPr>
              <w:t xml:space="preserve"> (24)</w:t>
            </w:r>
            <w:r w:rsidRPr="00FD5D51">
              <w:rPr>
                <w:rFonts w:asciiTheme="minorHAnsi" w:hAnsiTheme="minorHAnsi" w:cs="Arial"/>
                <w:noProof w:val="0"/>
                <w:sz w:val="18"/>
                <w:szCs w:val="18"/>
              </w:rPr>
              <w:t xml:space="preserve"> hour nursing care if medically necessary.</w:t>
            </w:r>
          </w:p>
        </w:tc>
        <w:tc>
          <w:tcPr>
            <w:tcW w:w="3225" w:type="dxa"/>
            <w:shd w:val="clear" w:color="auto" w:fill="auto"/>
            <w:vAlign w:val="center"/>
          </w:tcPr>
          <w:p w14:paraId="57C20CD0" w14:textId="058FAB1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Prior approval may be required. Limited to children under </w:t>
            </w:r>
            <w:r w:rsidR="009E5297" w:rsidRPr="00FD5D51">
              <w:rPr>
                <w:rFonts w:asciiTheme="minorHAnsi" w:hAnsiTheme="minorHAnsi" w:cs="Arial"/>
                <w:noProof w:val="0"/>
                <w:sz w:val="18"/>
                <w:szCs w:val="18"/>
              </w:rPr>
              <w:t>twenty-one (</w:t>
            </w:r>
            <w:r w:rsidRPr="00FD5D51">
              <w:rPr>
                <w:rFonts w:asciiTheme="minorHAnsi" w:hAnsiTheme="minorHAnsi" w:cs="Arial"/>
                <w:noProof w:val="0"/>
                <w:sz w:val="18"/>
                <w:szCs w:val="18"/>
              </w:rPr>
              <w:t>21</w:t>
            </w:r>
            <w:r w:rsidR="009E5297" w:rsidRPr="00FD5D51">
              <w:rPr>
                <w:rFonts w:asciiTheme="minorHAnsi" w:hAnsiTheme="minorHAnsi" w:cs="Arial"/>
                <w:noProof w:val="0"/>
                <w:sz w:val="18"/>
                <w:szCs w:val="18"/>
              </w:rPr>
              <w:t>)</w:t>
            </w:r>
            <w:r w:rsidRPr="00FD5D51">
              <w:rPr>
                <w:rFonts w:asciiTheme="minorHAnsi" w:hAnsiTheme="minorHAnsi" w:cs="Arial"/>
                <w:noProof w:val="0"/>
                <w:sz w:val="18"/>
                <w:szCs w:val="18"/>
              </w:rPr>
              <w:t xml:space="preserve"> years of age.</w:t>
            </w:r>
          </w:p>
        </w:tc>
      </w:tr>
      <w:tr w:rsidR="00274CC0" w:rsidRPr="00DF1D1C" w14:paraId="77C8626C" w14:textId="77777777" w:rsidTr="00FD5D51">
        <w:trPr>
          <w:cantSplit/>
        </w:trPr>
        <w:tc>
          <w:tcPr>
            <w:tcW w:w="2520" w:type="dxa"/>
            <w:shd w:val="clear" w:color="auto" w:fill="DEEAF6" w:themeFill="accent1" w:themeFillTint="33"/>
            <w:vAlign w:val="center"/>
          </w:tcPr>
          <w:p w14:paraId="212C3CCC"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Prosthetic Devices and Durable Medical Equipment</w:t>
            </w:r>
          </w:p>
        </w:tc>
        <w:tc>
          <w:tcPr>
            <w:tcW w:w="3600" w:type="dxa"/>
            <w:shd w:val="clear" w:color="auto" w:fill="DEEAF6" w:themeFill="accent1" w:themeFillTint="33"/>
            <w:vAlign w:val="center"/>
          </w:tcPr>
          <w:p w14:paraId="392534A7"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Devices and medical equipment prescribed by a physician to ameliorate disease, illness, or injury.</w:t>
            </w:r>
          </w:p>
        </w:tc>
        <w:tc>
          <w:tcPr>
            <w:tcW w:w="3600" w:type="dxa"/>
            <w:shd w:val="clear" w:color="auto" w:fill="DEEAF6" w:themeFill="accent1" w:themeFillTint="33"/>
            <w:vAlign w:val="center"/>
          </w:tcPr>
          <w:p w14:paraId="6361BCA3"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Medically necessary supplies, orthotics, prosthetics and durable medical equipment.</w:t>
            </w:r>
          </w:p>
        </w:tc>
        <w:tc>
          <w:tcPr>
            <w:tcW w:w="3225" w:type="dxa"/>
            <w:shd w:val="clear" w:color="auto" w:fill="DEEAF6" w:themeFill="accent1" w:themeFillTint="33"/>
            <w:vAlign w:val="center"/>
          </w:tcPr>
          <w:p w14:paraId="378EAE7A"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Certain orthotics, prosthetics, and durable medical equipment require prior approval. Certain procedures have service limits. Medical supplies and durable medical equipment in nursing facilities and ICF/MRs are covered in the per diem paid to these providers. Customized special equipment considered.</w:t>
            </w:r>
          </w:p>
        </w:tc>
      </w:tr>
      <w:tr w:rsidR="00274CC0" w:rsidRPr="00DF1D1C" w14:paraId="7977CD58" w14:textId="77777777" w:rsidTr="00FD5D51">
        <w:trPr>
          <w:cantSplit/>
        </w:trPr>
        <w:tc>
          <w:tcPr>
            <w:tcW w:w="2520" w:type="dxa"/>
            <w:shd w:val="clear" w:color="auto" w:fill="auto"/>
            <w:vAlign w:val="center"/>
          </w:tcPr>
          <w:p w14:paraId="5D74BCD9"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Pulmonary Rehabilitation</w:t>
            </w:r>
          </w:p>
        </w:tc>
        <w:tc>
          <w:tcPr>
            <w:tcW w:w="3600" w:type="dxa"/>
            <w:shd w:val="clear" w:color="auto" w:fill="auto"/>
            <w:vAlign w:val="center"/>
          </w:tcPr>
          <w:p w14:paraId="627DB529" w14:textId="19064B33" w:rsidR="00274CC0" w:rsidRPr="00FD5D51" w:rsidRDefault="00274CC0" w:rsidP="00781654">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Individually tailored multidisciplinary approach to the rehabilitation of </w:t>
            </w:r>
            <w:r w:rsidR="00781654">
              <w:rPr>
                <w:rFonts w:asciiTheme="minorHAnsi" w:hAnsiTheme="minorHAnsi" w:cs="Arial"/>
                <w:noProof w:val="0"/>
                <w:sz w:val="18"/>
                <w:szCs w:val="18"/>
              </w:rPr>
              <w:t>enrollee</w:t>
            </w:r>
            <w:r w:rsidR="00781654" w:rsidRPr="00FD5D51">
              <w:rPr>
                <w:rFonts w:asciiTheme="minorHAnsi" w:hAnsiTheme="minorHAnsi" w:cs="Arial"/>
                <w:noProof w:val="0"/>
                <w:sz w:val="18"/>
                <w:szCs w:val="18"/>
              </w:rPr>
              <w:t xml:space="preserve">s </w:t>
            </w:r>
            <w:r w:rsidRPr="00FD5D51">
              <w:rPr>
                <w:rFonts w:asciiTheme="minorHAnsi" w:hAnsiTheme="minorHAnsi" w:cs="Arial"/>
                <w:noProof w:val="0"/>
                <w:sz w:val="18"/>
                <w:szCs w:val="18"/>
              </w:rPr>
              <w:t xml:space="preserve">who have pulmonary disease. </w:t>
            </w:r>
          </w:p>
        </w:tc>
        <w:tc>
          <w:tcPr>
            <w:tcW w:w="3600" w:type="dxa"/>
            <w:shd w:val="clear" w:color="auto" w:fill="auto"/>
            <w:vAlign w:val="center"/>
          </w:tcPr>
          <w:p w14:paraId="0B9BC80E"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One-on-one therapeutic procedures to increase strength or endurance of respiratory muscles and functions. </w:t>
            </w:r>
          </w:p>
        </w:tc>
        <w:tc>
          <w:tcPr>
            <w:tcW w:w="3225" w:type="dxa"/>
            <w:shd w:val="clear" w:color="auto" w:fill="auto"/>
            <w:vAlign w:val="center"/>
          </w:tcPr>
          <w:p w14:paraId="7256729C" w14:textId="77777777" w:rsidR="00274CC0" w:rsidRPr="00FD5D51" w:rsidRDefault="00274CC0" w:rsidP="00257641">
            <w:pPr>
              <w:spacing w:before="40" w:after="40"/>
              <w:rPr>
                <w:rFonts w:asciiTheme="minorHAnsi" w:hAnsiTheme="minorHAnsi" w:cs="Arial"/>
                <w:noProof w:val="0"/>
                <w:sz w:val="18"/>
                <w:szCs w:val="18"/>
              </w:rPr>
            </w:pPr>
          </w:p>
        </w:tc>
      </w:tr>
      <w:tr w:rsidR="00274CC0" w:rsidRPr="00DF1D1C" w14:paraId="66FA3691" w14:textId="77777777" w:rsidTr="00FD5D51">
        <w:trPr>
          <w:cantSplit/>
        </w:trPr>
        <w:tc>
          <w:tcPr>
            <w:tcW w:w="2520" w:type="dxa"/>
            <w:shd w:val="clear" w:color="auto" w:fill="DEEAF6" w:themeFill="accent1" w:themeFillTint="33"/>
            <w:vAlign w:val="center"/>
          </w:tcPr>
          <w:p w14:paraId="040DA0C8"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Right from the Start Services</w:t>
            </w:r>
          </w:p>
        </w:tc>
        <w:tc>
          <w:tcPr>
            <w:tcW w:w="3600" w:type="dxa"/>
            <w:shd w:val="clear" w:color="auto" w:fill="DEEAF6" w:themeFill="accent1" w:themeFillTint="33"/>
            <w:vAlign w:val="center"/>
          </w:tcPr>
          <w:p w14:paraId="19DDDD38"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Services aimed at early access to prenatal care, lower infant mortality and improved pregnancy outcomes.</w:t>
            </w:r>
          </w:p>
        </w:tc>
        <w:tc>
          <w:tcPr>
            <w:tcW w:w="3600" w:type="dxa"/>
            <w:shd w:val="clear" w:color="auto" w:fill="DEEAF6" w:themeFill="accent1" w:themeFillTint="33"/>
            <w:vAlign w:val="center"/>
          </w:tcPr>
          <w:p w14:paraId="6F7C6889"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Care coordination and enhanced prenatal care services.</w:t>
            </w:r>
          </w:p>
        </w:tc>
        <w:tc>
          <w:tcPr>
            <w:tcW w:w="3225" w:type="dxa"/>
            <w:shd w:val="clear" w:color="auto" w:fill="DEEAF6" w:themeFill="accent1" w:themeFillTint="33"/>
            <w:vAlign w:val="center"/>
          </w:tcPr>
          <w:p w14:paraId="12C33CA5" w14:textId="3595DE86"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Pregnant women (including adolescent females) </w:t>
            </w:r>
            <w:r w:rsidR="0032431A" w:rsidRPr="00FD5D51">
              <w:rPr>
                <w:rFonts w:asciiTheme="minorHAnsi" w:hAnsiTheme="minorHAnsi" w:cs="Arial"/>
                <w:noProof w:val="0"/>
                <w:sz w:val="18"/>
                <w:szCs w:val="18"/>
              </w:rPr>
              <w:t>through</w:t>
            </w:r>
            <w:r w:rsidRPr="00FD5D51">
              <w:rPr>
                <w:rFonts w:asciiTheme="minorHAnsi" w:hAnsiTheme="minorHAnsi" w:cs="Arial"/>
                <w:noProof w:val="0"/>
                <w:sz w:val="18"/>
                <w:szCs w:val="18"/>
              </w:rPr>
              <w:t xml:space="preserve"> </w:t>
            </w:r>
            <w:r w:rsidR="00D970E0" w:rsidRPr="00FD5D51">
              <w:rPr>
                <w:rFonts w:asciiTheme="minorHAnsi" w:hAnsiTheme="minorHAnsi" w:cs="Arial"/>
                <w:noProof w:val="0"/>
                <w:sz w:val="18"/>
                <w:szCs w:val="18"/>
              </w:rPr>
              <w:t>sixty (</w:t>
            </w:r>
            <w:r w:rsidRPr="00FD5D51">
              <w:rPr>
                <w:rFonts w:asciiTheme="minorHAnsi" w:hAnsiTheme="minorHAnsi" w:cs="Arial"/>
                <w:noProof w:val="0"/>
                <w:sz w:val="18"/>
                <w:szCs w:val="18"/>
              </w:rPr>
              <w:t>60</w:t>
            </w:r>
            <w:r w:rsidR="00D970E0" w:rsidRPr="00FD5D51">
              <w:rPr>
                <w:rFonts w:asciiTheme="minorHAnsi" w:hAnsiTheme="minorHAnsi" w:cs="Arial"/>
                <w:noProof w:val="0"/>
                <w:sz w:val="18"/>
                <w:szCs w:val="18"/>
              </w:rPr>
              <w:t>)</w:t>
            </w:r>
            <w:r w:rsidRPr="00FD5D51">
              <w:rPr>
                <w:rFonts w:asciiTheme="minorHAnsi" w:hAnsiTheme="minorHAnsi" w:cs="Arial"/>
                <w:noProof w:val="0"/>
                <w:sz w:val="18"/>
                <w:szCs w:val="18"/>
              </w:rPr>
              <w:t xml:space="preserve"> day postpartum </w:t>
            </w:r>
            <w:r w:rsidR="0032431A" w:rsidRPr="00FD5D51">
              <w:rPr>
                <w:rFonts w:asciiTheme="minorHAnsi" w:hAnsiTheme="minorHAnsi" w:cs="Arial"/>
                <w:noProof w:val="0"/>
                <w:sz w:val="18"/>
                <w:szCs w:val="18"/>
              </w:rPr>
              <w:t xml:space="preserve">period </w:t>
            </w:r>
            <w:r w:rsidRPr="00FD5D51">
              <w:rPr>
                <w:rFonts w:asciiTheme="minorHAnsi" w:hAnsiTheme="minorHAnsi" w:cs="Arial"/>
                <w:noProof w:val="0"/>
                <w:sz w:val="18"/>
                <w:szCs w:val="18"/>
              </w:rPr>
              <w:t>and infants less than one</w:t>
            </w:r>
            <w:r w:rsidR="00D970E0" w:rsidRPr="00FD5D51">
              <w:rPr>
                <w:rFonts w:asciiTheme="minorHAnsi" w:hAnsiTheme="minorHAnsi" w:cs="Arial"/>
                <w:noProof w:val="0"/>
                <w:sz w:val="18"/>
                <w:szCs w:val="18"/>
              </w:rPr>
              <w:t xml:space="preserve"> (1)</w:t>
            </w:r>
            <w:r w:rsidRPr="00FD5D51">
              <w:rPr>
                <w:rFonts w:asciiTheme="minorHAnsi" w:hAnsiTheme="minorHAnsi" w:cs="Arial"/>
                <w:noProof w:val="0"/>
                <w:sz w:val="18"/>
                <w:szCs w:val="18"/>
              </w:rPr>
              <w:t xml:space="preserve"> year of age. No prior authorizations can be required for RFTS services.</w:t>
            </w:r>
          </w:p>
        </w:tc>
      </w:tr>
      <w:tr w:rsidR="00274CC0" w:rsidRPr="00DF1D1C" w14:paraId="67BF825C" w14:textId="77777777" w:rsidTr="00FD5D51">
        <w:trPr>
          <w:cantSplit/>
        </w:trPr>
        <w:tc>
          <w:tcPr>
            <w:tcW w:w="2520" w:type="dxa"/>
            <w:shd w:val="clear" w:color="auto" w:fill="auto"/>
            <w:vAlign w:val="center"/>
          </w:tcPr>
          <w:p w14:paraId="280C5476"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Rural Health Clinic Services: Including Federally Qualified Health Centers</w:t>
            </w:r>
          </w:p>
        </w:tc>
        <w:tc>
          <w:tcPr>
            <w:tcW w:w="3600" w:type="dxa"/>
            <w:shd w:val="clear" w:color="auto" w:fill="auto"/>
            <w:vAlign w:val="center"/>
          </w:tcPr>
          <w:p w14:paraId="7C10E909"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Physician, physician assistant, and nurse practitioner providing primary care in a clinic setting.</w:t>
            </w:r>
          </w:p>
        </w:tc>
        <w:tc>
          <w:tcPr>
            <w:tcW w:w="3600" w:type="dxa"/>
            <w:shd w:val="clear" w:color="auto" w:fill="auto"/>
            <w:vAlign w:val="center"/>
          </w:tcPr>
          <w:p w14:paraId="2FC90AFC"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Physician, physician assistant, nurse practitioner, nurse midwife services, supplies, and intermittent visiting nurse care in designated shortage areas. </w:t>
            </w:r>
          </w:p>
        </w:tc>
        <w:tc>
          <w:tcPr>
            <w:tcW w:w="3225" w:type="dxa"/>
            <w:shd w:val="clear" w:color="auto" w:fill="auto"/>
            <w:vAlign w:val="center"/>
          </w:tcPr>
          <w:p w14:paraId="4EB7442E" w14:textId="77777777" w:rsidR="00274CC0" w:rsidRPr="00FD5D51" w:rsidRDefault="00274CC0" w:rsidP="00257641">
            <w:pPr>
              <w:spacing w:before="40" w:after="40"/>
              <w:rPr>
                <w:rFonts w:asciiTheme="minorHAnsi" w:hAnsiTheme="minorHAnsi" w:cs="Arial"/>
                <w:noProof w:val="0"/>
                <w:sz w:val="18"/>
                <w:szCs w:val="18"/>
              </w:rPr>
            </w:pPr>
          </w:p>
        </w:tc>
      </w:tr>
      <w:tr w:rsidR="00274CC0" w:rsidRPr="00DF1D1C" w14:paraId="56D7B2CC" w14:textId="77777777" w:rsidTr="00FD5D51">
        <w:trPr>
          <w:cantSplit/>
        </w:trPr>
        <w:tc>
          <w:tcPr>
            <w:tcW w:w="2520" w:type="dxa"/>
            <w:shd w:val="clear" w:color="auto" w:fill="DEEAF6" w:themeFill="accent1" w:themeFillTint="33"/>
            <w:vAlign w:val="center"/>
          </w:tcPr>
          <w:p w14:paraId="38F8E19C"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Tobacco Cessation</w:t>
            </w:r>
          </w:p>
        </w:tc>
        <w:tc>
          <w:tcPr>
            <w:tcW w:w="3600" w:type="dxa"/>
            <w:shd w:val="clear" w:color="auto" w:fill="DEEAF6" w:themeFill="accent1" w:themeFillTint="33"/>
            <w:vAlign w:val="center"/>
          </w:tcPr>
          <w:p w14:paraId="3EF3DD83"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Treatment for tobacco use and dependence.</w:t>
            </w:r>
          </w:p>
        </w:tc>
        <w:tc>
          <w:tcPr>
            <w:tcW w:w="3600" w:type="dxa"/>
            <w:shd w:val="clear" w:color="auto" w:fill="DEEAF6" w:themeFill="accent1" w:themeFillTint="33"/>
            <w:vAlign w:val="center"/>
          </w:tcPr>
          <w:p w14:paraId="2C85BB24" w14:textId="615E9F00"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Diagnostic, therapy, counseling services, </w:t>
            </w:r>
            <w:r w:rsidR="0053485F" w:rsidRPr="00FD5D51">
              <w:rPr>
                <w:rFonts w:asciiTheme="minorHAnsi" w:hAnsiTheme="minorHAnsi" w:cs="Arial"/>
                <w:noProof w:val="0"/>
                <w:sz w:val="18"/>
                <w:szCs w:val="18"/>
              </w:rPr>
              <w:t xml:space="preserve">and </w:t>
            </w:r>
            <w:r w:rsidR="001E0E70" w:rsidRPr="00FD5D51">
              <w:rPr>
                <w:rFonts w:asciiTheme="minorHAnsi" w:hAnsiTheme="minorHAnsi" w:cs="Arial"/>
                <w:noProof w:val="0"/>
                <w:sz w:val="18"/>
                <w:szCs w:val="18"/>
              </w:rPr>
              <w:t>quit line</w:t>
            </w:r>
            <w:r w:rsidRPr="00FD5D51">
              <w:rPr>
                <w:rFonts w:asciiTheme="minorHAnsi" w:hAnsiTheme="minorHAnsi" w:cs="Arial"/>
                <w:noProof w:val="0"/>
                <w:sz w:val="18"/>
                <w:szCs w:val="18"/>
              </w:rPr>
              <w:t xml:space="preserve"> services. The children’s benefit also includes the provision of anticipatory guidance and risk-reduction counseling with regard to tobacco use during routine well-child visits.</w:t>
            </w:r>
          </w:p>
        </w:tc>
        <w:tc>
          <w:tcPr>
            <w:tcW w:w="3225" w:type="dxa"/>
            <w:shd w:val="clear" w:color="auto" w:fill="DEEAF6" w:themeFill="accent1" w:themeFillTint="33"/>
            <w:vAlign w:val="center"/>
          </w:tcPr>
          <w:p w14:paraId="216911AC" w14:textId="77777777" w:rsidR="00274CC0" w:rsidRPr="00FD5D51" w:rsidRDefault="00274CC0" w:rsidP="00257641">
            <w:pPr>
              <w:spacing w:before="40" w:after="40"/>
              <w:rPr>
                <w:rFonts w:asciiTheme="minorHAnsi" w:hAnsiTheme="minorHAnsi" w:cs="Arial"/>
                <w:noProof w:val="0"/>
                <w:sz w:val="18"/>
                <w:szCs w:val="18"/>
              </w:rPr>
            </w:pPr>
          </w:p>
        </w:tc>
      </w:tr>
      <w:tr w:rsidR="00274CC0" w:rsidRPr="00DF1D1C" w14:paraId="1B26CEAD" w14:textId="77777777" w:rsidTr="00FD5D51">
        <w:trPr>
          <w:cantSplit/>
        </w:trPr>
        <w:tc>
          <w:tcPr>
            <w:tcW w:w="2520" w:type="dxa"/>
            <w:shd w:val="clear" w:color="auto" w:fill="auto"/>
            <w:vAlign w:val="center"/>
          </w:tcPr>
          <w:p w14:paraId="2BF3289B"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Transportation, Emergency</w:t>
            </w:r>
          </w:p>
        </w:tc>
        <w:tc>
          <w:tcPr>
            <w:tcW w:w="3600" w:type="dxa"/>
            <w:shd w:val="clear" w:color="auto" w:fill="auto"/>
            <w:vAlign w:val="center"/>
          </w:tcPr>
          <w:p w14:paraId="2A699CC0"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Transportation to secure medical care and treatment on a scheduled or emergency basis.</w:t>
            </w:r>
          </w:p>
        </w:tc>
        <w:tc>
          <w:tcPr>
            <w:tcW w:w="3600" w:type="dxa"/>
            <w:shd w:val="clear" w:color="auto" w:fill="auto"/>
            <w:vAlign w:val="center"/>
          </w:tcPr>
          <w:p w14:paraId="4B9583D6" w14:textId="537DD495"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Emergency ambulance and air ambulance.</w:t>
            </w:r>
          </w:p>
        </w:tc>
        <w:tc>
          <w:tcPr>
            <w:tcW w:w="3225" w:type="dxa"/>
            <w:shd w:val="clear" w:color="auto" w:fill="auto"/>
            <w:vAlign w:val="center"/>
          </w:tcPr>
          <w:p w14:paraId="41EF79F7" w14:textId="51868EAC"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 xml:space="preserve">Emergency transportation provided to the nearest resource. By most economical means determined by patient needs. </w:t>
            </w:r>
          </w:p>
        </w:tc>
      </w:tr>
      <w:tr w:rsidR="00274CC0" w:rsidRPr="00DF1D1C" w14:paraId="7F66871B" w14:textId="77777777" w:rsidTr="00FD5D51">
        <w:trPr>
          <w:cantSplit/>
        </w:trPr>
        <w:tc>
          <w:tcPr>
            <w:tcW w:w="2520" w:type="dxa"/>
            <w:shd w:val="clear" w:color="auto" w:fill="DEEAF6" w:themeFill="accent1" w:themeFillTint="33"/>
            <w:vAlign w:val="center"/>
          </w:tcPr>
          <w:p w14:paraId="3AD38370"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lastRenderedPageBreak/>
              <w:t xml:space="preserve">Vision Services </w:t>
            </w:r>
          </w:p>
        </w:tc>
        <w:tc>
          <w:tcPr>
            <w:tcW w:w="3600" w:type="dxa"/>
            <w:shd w:val="clear" w:color="auto" w:fill="DEEAF6" w:themeFill="accent1" w:themeFillTint="33"/>
            <w:vAlign w:val="center"/>
          </w:tcPr>
          <w:p w14:paraId="5F662931"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Services provided by optometrists, ophthalmologists, surgeons providing medical eye care and opticians. Professional services, lenses including frames, and other aids to vision. Vision therapy.</w:t>
            </w:r>
          </w:p>
        </w:tc>
        <w:tc>
          <w:tcPr>
            <w:tcW w:w="3600" w:type="dxa"/>
            <w:shd w:val="clear" w:color="auto" w:fill="DEEAF6" w:themeFill="accent1" w:themeFillTint="33"/>
            <w:vAlign w:val="center"/>
          </w:tcPr>
          <w:p w14:paraId="6D471DE8"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Children-exam, lenses, frames, and needed repairs.</w:t>
            </w:r>
          </w:p>
        </w:tc>
        <w:tc>
          <w:tcPr>
            <w:tcW w:w="3225" w:type="dxa"/>
            <w:shd w:val="clear" w:color="auto" w:fill="DEEAF6" w:themeFill="accent1" w:themeFillTint="33"/>
            <w:vAlign w:val="center"/>
          </w:tcPr>
          <w:p w14:paraId="5C5336B4" w14:textId="77777777" w:rsidR="00274CC0" w:rsidRPr="00FD5D51" w:rsidRDefault="00274CC0" w:rsidP="00257641">
            <w:pPr>
              <w:spacing w:before="40" w:after="40"/>
              <w:rPr>
                <w:rFonts w:asciiTheme="minorHAnsi" w:hAnsiTheme="minorHAnsi" w:cs="Arial"/>
                <w:noProof w:val="0"/>
                <w:sz w:val="18"/>
                <w:szCs w:val="18"/>
              </w:rPr>
            </w:pPr>
            <w:r w:rsidRPr="00FD5D51">
              <w:rPr>
                <w:rFonts w:asciiTheme="minorHAnsi" w:hAnsiTheme="minorHAnsi" w:cs="Arial"/>
                <w:noProof w:val="0"/>
                <w:sz w:val="18"/>
                <w:szCs w:val="18"/>
              </w:rPr>
              <w:t>Adults limited to medical treatment only. Prescription sunglasses and designer frames are excluded. First pair of eyeglasses after cataract surgery. Contact lenses for adults and children covered for certain diagnosis.</w:t>
            </w:r>
          </w:p>
        </w:tc>
      </w:tr>
    </w:tbl>
    <w:p w14:paraId="6931CB6B" w14:textId="36349A62" w:rsidR="005621F6" w:rsidRPr="00CC2D47" w:rsidRDefault="005621F6" w:rsidP="00257641">
      <w:pPr>
        <w:keepNext/>
        <w:keepLines/>
        <w:spacing w:before="200"/>
        <w:ind w:firstLine="720"/>
        <w:jc w:val="center"/>
        <w:outlineLvl w:val="2"/>
        <w:rPr>
          <w:rFonts w:ascii="Arial" w:hAnsi="Arial" w:cs="Arial"/>
          <w:b/>
        </w:rPr>
      </w:pPr>
      <w:r w:rsidRPr="00CC2D47">
        <w:rPr>
          <w:rFonts w:ascii="Arial" w:hAnsi="Arial" w:cs="Arial"/>
          <w:b/>
          <w:bCs/>
          <w:noProof w:val="0"/>
          <w:szCs w:val="24"/>
        </w:rPr>
        <w:t xml:space="preserve">MCO Covered Dental Services </w:t>
      </w:r>
    </w:p>
    <w:tbl>
      <w:tblPr>
        <w:tblW w:w="12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600"/>
        <w:gridCol w:w="3600"/>
        <w:gridCol w:w="3225"/>
      </w:tblGrid>
      <w:tr w:rsidR="005621F6" w:rsidRPr="00F85B8B" w14:paraId="3FA45FCE" w14:textId="77777777" w:rsidTr="00FD5D51">
        <w:trPr>
          <w:cantSplit/>
        </w:trPr>
        <w:tc>
          <w:tcPr>
            <w:tcW w:w="2520" w:type="dxa"/>
            <w:tcBorders>
              <w:right w:val="single" w:sz="4" w:space="0" w:color="FFFFFF" w:themeColor="background1"/>
            </w:tcBorders>
            <w:shd w:val="clear" w:color="auto" w:fill="004250"/>
            <w:vAlign w:val="center"/>
          </w:tcPr>
          <w:p w14:paraId="1367F866" w14:textId="77777777" w:rsidR="005621F6" w:rsidRPr="00FD5D51" w:rsidRDefault="0077537D" w:rsidP="00257641">
            <w:pPr>
              <w:spacing w:before="40" w:after="40"/>
              <w:jc w:val="center"/>
              <w:rPr>
                <w:rFonts w:asciiTheme="minorHAnsi" w:hAnsiTheme="minorHAnsi" w:cs="Arial"/>
                <w:b/>
                <w:noProof w:val="0"/>
                <w:sz w:val="20"/>
              </w:rPr>
            </w:pPr>
            <w:r w:rsidRPr="00FD5D51">
              <w:rPr>
                <w:rFonts w:asciiTheme="minorHAnsi" w:hAnsiTheme="minorHAnsi" w:cs="Arial"/>
                <w:b/>
                <w:noProof w:val="0"/>
                <w:sz w:val="20"/>
              </w:rPr>
              <w:t>MHT</w:t>
            </w:r>
            <w:r w:rsidR="005621F6" w:rsidRPr="00FD5D51">
              <w:rPr>
                <w:rFonts w:asciiTheme="minorHAnsi" w:hAnsiTheme="minorHAnsi" w:cs="Arial"/>
                <w:b/>
                <w:noProof w:val="0"/>
                <w:sz w:val="20"/>
              </w:rPr>
              <w:t xml:space="preserve">DENTAL </w:t>
            </w:r>
            <w:r w:rsidR="005621F6" w:rsidRPr="00FD5D51">
              <w:rPr>
                <w:rFonts w:asciiTheme="minorHAnsi" w:hAnsiTheme="minorHAnsi" w:cs="Arial"/>
                <w:b/>
                <w:sz w:val="20"/>
              </w:rPr>
              <w:t>SERVICE</w:t>
            </w:r>
          </w:p>
        </w:tc>
        <w:tc>
          <w:tcPr>
            <w:tcW w:w="3600" w:type="dxa"/>
            <w:tcBorders>
              <w:left w:val="single" w:sz="4" w:space="0" w:color="FFFFFF" w:themeColor="background1"/>
              <w:right w:val="single" w:sz="4" w:space="0" w:color="FFFFFF" w:themeColor="background1"/>
            </w:tcBorders>
            <w:shd w:val="clear" w:color="auto" w:fill="004250"/>
            <w:vAlign w:val="center"/>
          </w:tcPr>
          <w:p w14:paraId="16B10DB7" w14:textId="77777777" w:rsidR="005621F6" w:rsidRPr="00FD5D51" w:rsidRDefault="005621F6" w:rsidP="00257641">
            <w:pPr>
              <w:spacing w:before="40" w:after="40"/>
              <w:jc w:val="center"/>
              <w:rPr>
                <w:rFonts w:asciiTheme="minorHAnsi" w:hAnsiTheme="minorHAnsi" w:cs="Arial"/>
                <w:b/>
                <w:noProof w:val="0"/>
                <w:sz w:val="20"/>
              </w:rPr>
            </w:pPr>
            <w:r w:rsidRPr="00FD5D51">
              <w:rPr>
                <w:rFonts w:asciiTheme="minorHAnsi" w:hAnsiTheme="minorHAnsi" w:cs="Arial"/>
                <w:b/>
                <w:noProof w:val="0"/>
                <w:sz w:val="20"/>
              </w:rPr>
              <w:t>DEFINITION</w:t>
            </w:r>
          </w:p>
        </w:tc>
        <w:tc>
          <w:tcPr>
            <w:tcW w:w="3600" w:type="dxa"/>
            <w:tcBorders>
              <w:left w:val="single" w:sz="4" w:space="0" w:color="FFFFFF" w:themeColor="background1"/>
              <w:right w:val="single" w:sz="4" w:space="0" w:color="FFFFFF" w:themeColor="background1"/>
            </w:tcBorders>
            <w:shd w:val="clear" w:color="auto" w:fill="004250"/>
            <w:vAlign w:val="center"/>
          </w:tcPr>
          <w:p w14:paraId="2167E2D9" w14:textId="77777777" w:rsidR="005621F6" w:rsidRPr="00FD5D51" w:rsidRDefault="005621F6" w:rsidP="00257641">
            <w:pPr>
              <w:spacing w:before="40" w:after="40"/>
              <w:jc w:val="center"/>
              <w:rPr>
                <w:rFonts w:asciiTheme="minorHAnsi" w:hAnsiTheme="minorHAnsi" w:cs="Arial"/>
                <w:b/>
                <w:noProof w:val="0"/>
                <w:sz w:val="20"/>
              </w:rPr>
            </w:pPr>
            <w:r w:rsidRPr="00FD5D51">
              <w:rPr>
                <w:rFonts w:asciiTheme="minorHAnsi" w:hAnsiTheme="minorHAnsi" w:cs="Arial"/>
                <w:b/>
                <w:noProof w:val="0"/>
                <w:sz w:val="20"/>
              </w:rPr>
              <w:t>SCOPE OF BENEFITS</w:t>
            </w:r>
          </w:p>
        </w:tc>
        <w:tc>
          <w:tcPr>
            <w:tcW w:w="3225" w:type="dxa"/>
            <w:tcBorders>
              <w:left w:val="single" w:sz="4" w:space="0" w:color="FFFFFF" w:themeColor="background1"/>
            </w:tcBorders>
            <w:shd w:val="clear" w:color="auto" w:fill="004250"/>
            <w:vAlign w:val="center"/>
          </w:tcPr>
          <w:p w14:paraId="29766F9B" w14:textId="77777777" w:rsidR="005621F6" w:rsidRPr="00FD5D51" w:rsidRDefault="005621F6" w:rsidP="00257641">
            <w:pPr>
              <w:spacing w:before="40" w:after="40"/>
              <w:jc w:val="center"/>
              <w:rPr>
                <w:rFonts w:asciiTheme="minorHAnsi" w:hAnsiTheme="minorHAnsi" w:cs="Arial"/>
                <w:b/>
                <w:noProof w:val="0"/>
                <w:sz w:val="20"/>
              </w:rPr>
            </w:pPr>
            <w:r w:rsidRPr="00FD5D51">
              <w:rPr>
                <w:rFonts w:asciiTheme="minorHAnsi" w:hAnsiTheme="minorHAnsi" w:cs="Arial"/>
                <w:b/>
                <w:noProof w:val="0"/>
                <w:sz w:val="20"/>
              </w:rPr>
              <w:t>LIMITATION ON SERVICES</w:t>
            </w:r>
          </w:p>
        </w:tc>
      </w:tr>
      <w:tr w:rsidR="005621F6" w:rsidRPr="00F85B8B" w14:paraId="0EFDBE5B" w14:textId="77777777" w:rsidTr="00FD5D51">
        <w:trPr>
          <w:cantSplit/>
        </w:trPr>
        <w:tc>
          <w:tcPr>
            <w:tcW w:w="2520" w:type="dxa"/>
            <w:vAlign w:val="center"/>
          </w:tcPr>
          <w:p w14:paraId="1FFC3B27" w14:textId="7777777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Dental Services (Adult)</w:t>
            </w:r>
          </w:p>
        </w:tc>
        <w:tc>
          <w:tcPr>
            <w:tcW w:w="3600" w:type="dxa"/>
            <w:vAlign w:val="center"/>
          </w:tcPr>
          <w:p w14:paraId="2A760E6D" w14:textId="7777777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Services provided by a dentist, orthodontist, or oral surgeon.</w:t>
            </w:r>
          </w:p>
        </w:tc>
        <w:tc>
          <w:tcPr>
            <w:tcW w:w="3600" w:type="dxa"/>
            <w:vAlign w:val="center"/>
          </w:tcPr>
          <w:p w14:paraId="0E143B79" w14:textId="7777777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Emergency services.</w:t>
            </w:r>
          </w:p>
        </w:tc>
        <w:tc>
          <w:tcPr>
            <w:tcW w:w="3225" w:type="dxa"/>
            <w:vAlign w:val="center"/>
          </w:tcPr>
          <w:p w14:paraId="393A5C8F" w14:textId="7777777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Adult coverage limited to treatment of fractures of mandible and manilla, biopsy, removal of tumors, and emergency extractions. TMJ surgery and treatment not covered for adults.</w:t>
            </w:r>
          </w:p>
        </w:tc>
      </w:tr>
      <w:tr w:rsidR="005621F6" w:rsidRPr="00F85B8B" w14:paraId="6BE298D1" w14:textId="77777777" w:rsidTr="00FD5D51">
        <w:trPr>
          <w:cantSplit/>
        </w:trPr>
        <w:tc>
          <w:tcPr>
            <w:tcW w:w="2520" w:type="dxa"/>
            <w:shd w:val="clear" w:color="auto" w:fill="DEEAF6" w:themeFill="accent1" w:themeFillTint="33"/>
            <w:vAlign w:val="center"/>
          </w:tcPr>
          <w:p w14:paraId="377C6BD2" w14:textId="1B137381"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Dental Services (Children)</w:t>
            </w:r>
          </w:p>
        </w:tc>
        <w:tc>
          <w:tcPr>
            <w:tcW w:w="3600" w:type="dxa"/>
            <w:shd w:val="clear" w:color="auto" w:fill="DEEAF6" w:themeFill="accent1" w:themeFillTint="33"/>
            <w:vAlign w:val="center"/>
          </w:tcPr>
          <w:p w14:paraId="3B412B0F" w14:textId="06B6EA4F"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Services provided by a dentist, orthodontist or oral surgeon or dental group to children under the age of</w:t>
            </w:r>
            <w:r w:rsidR="00AE6880" w:rsidRPr="00FD5D51">
              <w:rPr>
                <w:rFonts w:asciiTheme="minorHAnsi" w:hAnsiTheme="minorHAnsi" w:cs="Arial"/>
                <w:noProof w:val="0"/>
                <w:sz w:val="20"/>
              </w:rPr>
              <w:t xml:space="preserve"> twenty-one</w:t>
            </w:r>
            <w:r w:rsidRPr="00FD5D51">
              <w:rPr>
                <w:rFonts w:asciiTheme="minorHAnsi" w:hAnsiTheme="minorHAnsi" w:cs="Arial"/>
                <w:noProof w:val="0"/>
                <w:sz w:val="20"/>
              </w:rPr>
              <w:t xml:space="preserve"> </w:t>
            </w:r>
            <w:r w:rsidR="00AE6880" w:rsidRPr="00FD5D51">
              <w:rPr>
                <w:rFonts w:asciiTheme="minorHAnsi" w:hAnsiTheme="minorHAnsi" w:cs="Arial"/>
                <w:noProof w:val="0"/>
                <w:sz w:val="20"/>
              </w:rPr>
              <w:t>(</w:t>
            </w:r>
            <w:r w:rsidRPr="00FD5D51">
              <w:rPr>
                <w:rFonts w:asciiTheme="minorHAnsi" w:hAnsiTheme="minorHAnsi" w:cs="Arial"/>
                <w:noProof w:val="0"/>
                <w:sz w:val="20"/>
              </w:rPr>
              <w:t>21</w:t>
            </w:r>
            <w:r w:rsidR="00AE6880" w:rsidRPr="00FD5D51">
              <w:rPr>
                <w:rFonts w:asciiTheme="minorHAnsi" w:hAnsiTheme="minorHAnsi" w:cs="Arial"/>
                <w:noProof w:val="0"/>
                <w:sz w:val="20"/>
              </w:rPr>
              <w:t>)</w:t>
            </w:r>
            <w:r w:rsidRPr="00FD5D51">
              <w:rPr>
                <w:rFonts w:asciiTheme="minorHAnsi" w:hAnsiTheme="minorHAnsi" w:cs="Arial"/>
                <w:noProof w:val="0"/>
                <w:sz w:val="20"/>
              </w:rPr>
              <w:t>.</w:t>
            </w:r>
          </w:p>
        </w:tc>
        <w:tc>
          <w:tcPr>
            <w:tcW w:w="3600" w:type="dxa"/>
            <w:shd w:val="clear" w:color="auto" w:fill="DEEAF6" w:themeFill="accent1" w:themeFillTint="33"/>
            <w:vAlign w:val="center"/>
          </w:tcPr>
          <w:p w14:paraId="4E1DBB23" w14:textId="0606B8A4"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Emergency and non-emergency: surgical, diagnostic, preventive, and restorative treatment, periodontics, endodontics, orthodontics, prosthodontics, extractions, and complete or partial dentures.</w:t>
            </w:r>
            <w:r w:rsidR="00F24820" w:rsidRPr="00FD5D51">
              <w:rPr>
                <w:rFonts w:asciiTheme="minorHAnsi" w:hAnsiTheme="minorHAnsi" w:cs="Arial"/>
                <w:noProof w:val="0"/>
                <w:sz w:val="20"/>
              </w:rPr>
              <w:t xml:space="preserve"> </w:t>
            </w:r>
          </w:p>
        </w:tc>
        <w:tc>
          <w:tcPr>
            <w:tcW w:w="3225" w:type="dxa"/>
            <w:shd w:val="clear" w:color="auto" w:fill="DEEAF6" w:themeFill="accent1" w:themeFillTint="33"/>
            <w:vAlign w:val="center"/>
          </w:tcPr>
          <w:p w14:paraId="65A0FBA3" w14:textId="46F7724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 xml:space="preserve">Limited to individuals under age </w:t>
            </w:r>
            <w:r w:rsidR="00AE6880" w:rsidRPr="00FD5D51">
              <w:rPr>
                <w:rFonts w:asciiTheme="minorHAnsi" w:hAnsiTheme="minorHAnsi" w:cs="Arial"/>
                <w:noProof w:val="0"/>
                <w:sz w:val="20"/>
              </w:rPr>
              <w:t>twenty-one (</w:t>
            </w:r>
            <w:r w:rsidRPr="00FD5D51">
              <w:rPr>
                <w:rFonts w:asciiTheme="minorHAnsi" w:hAnsiTheme="minorHAnsi" w:cs="Arial"/>
                <w:noProof w:val="0"/>
                <w:sz w:val="20"/>
              </w:rPr>
              <w:t>21</w:t>
            </w:r>
            <w:r w:rsidR="00AE6880" w:rsidRPr="00FD5D51">
              <w:rPr>
                <w:rFonts w:asciiTheme="minorHAnsi" w:hAnsiTheme="minorHAnsi" w:cs="Arial"/>
                <w:noProof w:val="0"/>
                <w:sz w:val="20"/>
              </w:rPr>
              <w:t>)</w:t>
            </w:r>
            <w:r w:rsidRPr="00FD5D51">
              <w:rPr>
                <w:rFonts w:asciiTheme="minorHAnsi" w:hAnsiTheme="minorHAnsi" w:cs="Arial"/>
                <w:noProof w:val="0"/>
                <w:sz w:val="20"/>
              </w:rPr>
              <w:t>.</w:t>
            </w:r>
          </w:p>
        </w:tc>
      </w:tr>
    </w:tbl>
    <w:p w14:paraId="6F0D8CBF" w14:textId="77777777" w:rsidR="005621F6" w:rsidRPr="00F85B8B" w:rsidRDefault="005621F6" w:rsidP="00096A5D">
      <w:pPr>
        <w:pStyle w:val="normal6"/>
      </w:pPr>
    </w:p>
    <w:p w14:paraId="75DD8148" w14:textId="00F9B3C0" w:rsidR="005621F6" w:rsidRPr="00CC2D47" w:rsidRDefault="005621F6" w:rsidP="00257641">
      <w:pPr>
        <w:keepNext/>
        <w:keepLines/>
        <w:spacing w:before="200"/>
        <w:ind w:firstLine="720"/>
        <w:jc w:val="center"/>
        <w:outlineLvl w:val="2"/>
        <w:rPr>
          <w:rFonts w:ascii="Arial" w:hAnsi="Arial" w:cs="Arial"/>
          <w:b/>
          <w:bCs/>
          <w:noProof w:val="0"/>
          <w:szCs w:val="24"/>
        </w:rPr>
      </w:pPr>
      <w:r w:rsidRPr="00CC2D47">
        <w:rPr>
          <w:rFonts w:ascii="Arial" w:hAnsi="Arial" w:cs="Arial"/>
          <w:b/>
          <w:bCs/>
          <w:noProof w:val="0"/>
          <w:szCs w:val="24"/>
        </w:rPr>
        <w:t xml:space="preserve">MCO Covered Behavioral Services </w:t>
      </w:r>
      <w:r w:rsidR="00DE1E48" w:rsidRPr="00CC2D47">
        <w:rPr>
          <w:rFonts w:ascii="Arial" w:hAnsi="Arial" w:cs="Arial"/>
          <w:b/>
          <w:bCs/>
          <w:noProof w:val="0"/>
          <w:szCs w:val="24"/>
        </w:rPr>
        <w:t>*</w:t>
      </w:r>
      <w:r w:rsidRPr="00CC2D47" w:rsidDel="008E65C0">
        <w:rPr>
          <w:rFonts w:ascii="Arial" w:hAnsi="Arial" w:cs="Arial"/>
          <w:b/>
          <w:bCs/>
          <w:noProof w:val="0"/>
          <w:szCs w:val="24"/>
        </w:rPr>
        <w:t xml:space="preserve"> </w:t>
      </w:r>
    </w:p>
    <w:tbl>
      <w:tblPr>
        <w:tblW w:w="12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600"/>
        <w:gridCol w:w="3600"/>
        <w:gridCol w:w="3225"/>
      </w:tblGrid>
      <w:tr w:rsidR="005621F6" w:rsidRPr="00F85B8B" w14:paraId="0581F002" w14:textId="77777777" w:rsidTr="00FD5D51">
        <w:trPr>
          <w:cantSplit/>
          <w:tblHeader/>
        </w:trPr>
        <w:tc>
          <w:tcPr>
            <w:tcW w:w="2520" w:type="dxa"/>
            <w:tcBorders>
              <w:right w:val="single" w:sz="4" w:space="0" w:color="FFFFFF" w:themeColor="background1"/>
            </w:tcBorders>
            <w:shd w:val="clear" w:color="auto" w:fill="004250"/>
            <w:vAlign w:val="center"/>
          </w:tcPr>
          <w:p w14:paraId="4A8C6111" w14:textId="10F7CA0D" w:rsidR="005621F6" w:rsidRPr="00FD5D51" w:rsidRDefault="0077537D" w:rsidP="00257641">
            <w:pPr>
              <w:spacing w:before="40" w:after="40"/>
              <w:jc w:val="center"/>
              <w:rPr>
                <w:rFonts w:asciiTheme="minorHAnsi" w:hAnsiTheme="minorHAnsi" w:cs="Arial"/>
                <w:b/>
                <w:noProof w:val="0"/>
                <w:sz w:val="20"/>
              </w:rPr>
            </w:pPr>
            <w:r w:rsidRPr="00FD5D51">
              <w:rPr>
                <w:rFonts w:asciiTheme="minorHAnsi" w:hAnsiTheme="minorHAnsi" w:cs="Arial"/>
                <w:b/>
                <w:sz w:val="20"/>
              </w:rPr>
              <w:t>MHT</w:t>
            </w:r>
            <w:r w:rsidR="00105CBE" w:rsidRPr="00FD5D51">
              <w:rPr>
                <w:rFonts w:asciiTheme="minorHAnsi" w:hAnsiTheme="minorHAnsi" w:cs="Arial"/>
                <w:b/>
                <w:sz w:val="20"/>
              </w:rPr>
              <w:t xml:space="preserve"> </w:t>
            </w:r>
            <w:r w:rsidR="005621F6" w:rsidRPr="00FD5D51">
              <w:rPr>
                <w:rFonts w:asciiTheme="minorHAnsi" w:hAnsiTheme="minorHAnsi" w:cs="Arial"/>
                <w:b/>
                <w:sz w:val="20"/>
              </w:rPr>
              <w:t>BEHAVIORAL SERVICE</w:t>
            </w:r>
          </w:p>
        </w:tc>
        <w:tc>
          <w:tcPr>
            <w:tcW w:w="3600" w:type="dxa"/>
            <w:tcBorders>
              <w:left w:val="single" w:sz="4" w:space="0" w:color="FFFFFF" w:themeColor="background1"/>
              <w:right w:val="single" w:sz="4" w:space="0" w:color="FFFFFF" w:themeColor="background1"/>
            </w:tcBorders>
            <w:shd w:val="clear" w:color="auto" w:fill="004250"/>
            <w:vAlign w:val="center"/>
          </w:tcPr>
          <w:p w14:paraId="0674B6BA" w14:textId="77777777" w:rsidR="005621F6" w:rsidRPr="00FD5D51" w:rsidRDefault="005621F6" w:rsidP="00257641">
            <w:pPr>
              <w:spacing w:before="40" w:after="40"/>
              <w:jc w:val="center"/>
              <w:rPr>
                <w:rFonts w:asciiTheme="minorHAnsi" w:hAnsiTheme="minorHAnsi" w:cs="Arial"/>
                <w:b/>
                <w:noProof w:val="0"/>
                <w:sz w:val="20"/>
              </w:rPr>
            </w:pPr>
            <w:r w:rsidRPr="00FD5D51">
              <w:rPr>
                <w:rFonts w:asciiTheme="minorHAnsi" w:hAnsiTheme="minorHAnsi" w:cs="Arial"/>
                <w:b/>
                <w:noProof w:val="0"/>
                <w:sz w:val="20"/>
              </w:rPr>
              <w:t>DEFINITION</w:t>
            </w:r>
          </w:p>
        </w:tc>
        <w:tc>
          <w:tcPr>
            <w:tcW w:w="3600" w:type="dxa"/>
            <w:tcBorders>
              <w:left w:val="single" w:sz="4" w:space="0" w:color="FFFFFF" w:themeColor="background1"/>
              <w:right w:val="single" w:sz="4" w:space="0" w:color="FFFFFF" w:themeColor="background1"/>
            </w:tcBorders>
            <w:shd w:val="clear" w:color="auto" w:fill="004250"/>
            <w:vAlign w:val="center"/>
          </w:tcPr>
          <w:p w14:paraId="4692A01D" w14:textId="77777777" w:rsidR="005621F6" w:rsidRPr="00FD5D51" w:rsidRDefault="005621F6" w:rsidP="00257641">
            <w:pPr>
              <w:spacing w:before="40" w:after="40"/>
              <w:jc w:val="center"/>
              <w:rPr>
                <w:rFonts w:asciiTheme="minorHAnsi" w:hAnsiTheme="minorHAnsi" w:cs="Arial"/>
                <w:b/>
                <w:noProof w:val="0"/>
                <w:sz w:val="20"/>
              </w:rPr>
            </w:pPr>
            <w:r w:rsidRPr="00FD5D51">
              <w:rPr>
                <w:rFonts w:asciiTheme="minorHAnsi" w:hAnsiTheme="minorHAnsi" w:cs="Arial"/>
                <w:b/>
                <w:noProof w:val="0"/>
                <w:sz w:val="20"/>
              </w:rPr>
              <w:t>SCOPE OF BENEFITS</w:t>
            </w:r>
          </w:p>
        </w:tc>
        <w:tc>
          <w:tcPr>
            <w:tcW w:w="3225" w:type="dxa"/>
            <w:tcBorders>
              <w:left w:val="single" w:sz="4" w:space="0" w:color="FFFFFF" w:themeColor="background1"/>
            </w:tcBorders>
            <w:shd w:val="clear" w:color="auto" w:fill="004250"/>
            <w:vAlign w:val="center"/>
          </w:tcPr>
          <w:p w14:paraId="02154843" w14:textId="77777777" w:rsidR="005621F6" w:rsidRPr="00FD5D51" w:rsidRDefault="005621F6" w:rsidP="00257641">
            <w:pPr>
              <w:spacing w:before="40" w:after="40"/>
              <w:jc w:val="center"/>
              <w:rPr>
                <w:rFonts w:asciiTheme="minorHAnsi" w:hAnsiTheme="minorHAnsi" w:cs="Arial"/>
                <w:b/>
                <w:noProof w:val="0"/>
                <w:sz w:val="20"/>
              </w:rPr>
            </w:pPr>
            <w:r w:rsidRPr="00FD5D51">
              <w:rPr>
                <w:rFonts w:asciiTheme="minorHAnsi" w:hAnsiTheme="minorHAnsi" w:cs="Arial"/>
                <w:b/>
                <w:noProof w:val="0"/>
                <w:sz w:val="20"/>
              </w:rPr>
              <w:t>LIMITATION ON SERVICES</w:t>
            </w:r>
          </w:p>
        </w:tc>
      </w:tr>
      <w:tr w:rsidR="005621F6" w:rsidRPr="00F85B8B" w14:paraId="35A8EBF3" w14:textId="77777777" w:rsidTr="00FD5D51">
        <w:trPr>
          <w:cantSplit/>
        </w:trPr>
        <w:tc>
          <w:tcPr>
            <w:tcW w:w="2520" w:type="dxa"/>
            <w:vAlign w:val="center"/>
          </w:tcPr>
          <w:p w14:paraId="64E14302" w14:textId="68103253" w:rsidR="005621F6" w:rsidRPr="00FD5D51" w:rsidRDefault="004D7BD0" w:rsidP="00257641">
            <w:pPr>
              <w:spacing w:before="40" w:after="40"/>
              <w:rPr>
                <w:rFonts w:asciiTheme="minorHAnsi" w:hAnsiTheme="minorHAnsi" w:cs="Arial"/>
                <w:noProof w:val="0"/>
                <w:sz w:val="20"/>
              </w:rPr>
            </w:pPr>
            <w:r w:rsidRPr="00FD5D51">
              <w:rPr>
                <w:rFonts w:asciiTheme="minorHAnsi" w:hAnsiTheme="minorHAnsi" w:cs="Arial"/>
                <w:sz w:val="20"/>
              </w:rPr>
              <w:t xml:space="preserve">Behavioral Health Rehabilitation for Individuals Under Age </w:t>
            </w:r>
            <w:r w:rsidR="00AE6880" w:rsidRPr="00FD5D51">
              <w:rPr>
                <w:rFonts w:asciiTheme="minorHAnsi" w:hAnsiTheme="minorHAnsi" w:cs="Arial"/>
                <w:sz w:val="20"/>
              </w:rPr>
              <w:t>twenty-one (</w:t>
            </w:r>
            <w:r w:rsidRPr="00FD5D51">
              <w:rPr>
                <w:rFonts w:asciiTheme="minorHAnsi" w:hAnsiTheme="minorHAnsi" w:cs="Arial"/>
                <w:sz w:val="20"/>
              </w:rPr>
              <w:t>21</w:t>
            </w:r>
            <w:r w:rsidR="00AE6880" w:rsidRPr="00FD5D51">
              <w:rPr>
                <w:rFonts w:asciiTheme="minorHAnsi" w:hAnsiTheme="minorHAnsi" w:cs="Arial"/>
                <w:sz w:val="20"/>
              </w:rPr>
              <w:t>)</w:t>
            </w:r>
            <w:r w:rsidRPr="00FD5D51">
              <w:rPr>
                <w:rFonts w:asciiTheme="minorHAnsi" w:hAnsiTheme="minorHAnsi" w:cs="Arial"/>
                <w:sz w:val="20"/>
              </w:rPr>
              <w:t>, Psychiatric</w:t>
            </w:r>
            <w:r w:rsidR="00F24820" w:rsidRPr="00FD5D51">
              <w:rPr>
                <w:rFonts w:asciiTheme="minorHAnsi" w:hAnsiTheme="minorHAnsi" w:cs="Arial"/>
                <w:sz w:val="20"/>
              </w:rPr>
              <w:t xml:space="preserve"> </w:t>
            </w:r>
            <w:r w:rsidRPr="00FD5D51">
              <w:rPr>
                <w:rFonts w:asciiTheme="minorHAnsi" w:hAnsiTheme="minorHAnsi" w:cs="Arial"/>
                <w:sz w:val="20"/>
              </w:rPr>
              <w:t>Residential Treatment Facility</w:t>
            </w:r>
          </w:p>
        </w:tc>
        <w:tc>
          <w:tcPr>
            <w:tcW w:w="3600" w:type="dxa"/>
            <w:vAlign w:val="center"/>
          </w:tcPr>
          <w:p w14:paraId="6881B88B" w14:textId="16C137ED"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 xml:space="preserve">Behavioral health rehabilitation performed in a children’s residential treatment facility. </w:t>
            </w:r>
          </w:p>
        </w:tc>
        <w:tc>
          <w:tcPr>
            <w:tcW w:w="3600" w:type="dxa"/>
            <w:vAlign w:val="center"/>
          </w:tcPr>
          <w:p w14:paraId="53918AC1" w14:textId="7777777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Diagnosis, evaluation, therapies, and other program services for individuals with mental illness, mental retardation, and substance abuse.</w:t>
            </w:r>
          </w:p>
        </w:tc>
        <w:tc>
          <w:tcPr>
            <w:tcW w:w="3225" w:type="dxa"/>
            <w:vAlign w:val="center"/>
          </w:tcPr>
          <w:p w14:paraId="1184FB49" w14:textId="7777777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Procedure specific limits on frequency and units.</w:t>
            </w:r>
          </w:p>
        </w:tc>
      </w:tr>
      <w:tr w:rsidR="005621F6" w:rsidRPr="00F85B8B" w14:paraId="5AF476DE" w14:textId="77777777" w:rsidTr="00FD5D51">
        <w:trPr>
          <w:cantSplit/>
        </w:trPr>
        <w:tc>
          <w:tcPr>
            <w:tcW w:w="2520" w:type="dxa"/>
            <w:shd w:val="clear" w:color="auto" w:fill="DEEAF6" w:themeFill="accent1" w:themeFillTint="33"/>
            <w:vAlign w:val="center"/>
          </w:tcPr>
          <w:p w14:paraId="2C70873F" w14:textId="7777777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lastRenderedPageBreak/>
              <w:t>Behavioral Health Outpatient Services</w:t>
            </w:r>
          </w:p>
        </w:tc>
        <w:tc>
          <w:tcPr>
            <w:tcW w:w="3600" w:type="dxa"/>
            <w:shd w:val="clear" w:color="auto" w:fill="DEEAF6" w:themeFill="accent1" w:themeFillTint="33"/>
            <w:vAlign w:val="center"/>
          </w:tcPr>
          <w:p w14:paraId="740137AD" w14:textId="7777777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Behavioral health clinics, behavioral health rehabilitation, targeted case management, psychologists, and psychiatrists. (Emergency room services are included in the MCO benefits package.)</w:t>
            </w:r>
          </w:p>
        </w:tc>
        <w:tc>
          <w:tcPr>
            <w:tcW w:w="3600" w:type="dxa"/>
            <w:shd w:val="clear" w:color="auto" w:fill="DEEAF6" w:themeFill="accent1" w:themeFillTint="33"/>
            <w:vAlign w:val="center"/>
          </w:tcPr>
          <w:p w14:paraId="6DC1E619" w14:textId="7777777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Diagnosis, evaluation, therapies</w:t>
            </w:r>
            <w:r w:rsidR="00CC7C54" w:rsidRPr="00FD5D51">
              <w:rPr>
                <w:rFonts w:asciiTheme="minorHAnsi" w:hAnsiTheme="minorHAnsi" w:cs="Arial"/>
                <w:noProof w:val="0"/>
                <w:sz w:val="20"/>
              </w:rPr>
              <w:t>,</w:t>
            </w:r>
            <w:r w:rsidR="00CC7C54" w:rsidRPr="00FD5D51">
              <w:rPr>
                <w:rFonts w:asciiTheme="minorHAnsi" w:hAnsiTheme="minorHAnsi"/>
                <w:sz w:val="20"/>
              </w:rPr>
              <w:t xml:space="preserve"> i</w:t>
            </w:r>
            <w:r w:rsidR="00CC7C54" w:rsidRPr="00FD5D51">
              <w:rPr>
                <w:rFonts w:asciiTheme="minorHAnsi" w:hAnsiTheme="minorHAnsi" w:cs="Arial"/>
                <w:noProof w:val="0"/>
                <w:sz w:val="20"/>
              </w:rPr>
              <w:t>ncluding Medication Assisted Treatment,</w:t>
            </w:r>
            <w:r w:rsidRPr="00FD5D51">
              <w:rPr>
                <w:rFonts w:asciiTheme="minorHAnsi" w:hAnsiTheme="minorHAnsi" w:cs="Arial"/>
                <w:noProof w:val="0"/>
                <w:sz w:val="20"/>
              </w:rPr>
              <w:t xml:space="preserve"> and other program services for individuals with mental illness, mental retardation, and substance abuse.</w:t>
            </w:r>
          </w:p>
        </w:tc>
        <w:tc>
          <w:tcPr>
            <w:tcW w:w="3225" w:type="dxa"/>
            <w:shd w:val="clear" w:color="auto" w:fill="DEEAF6" w:themeFill="accent1" w:themeFillTint="33"/>
            <w:vAlign w:val="center"/>
          </w:tcPr>
          <w:p w14:paraId="42A54FD5" w14:textId="06718E1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 xml:space="preserve">Procedure specific limits on frequency and units. Only assertive community treatment (ACT) providers certified by </w:t>
            </w:r>
            <w:r w:rsidR="00B92C59" w:rsidRPr="00FD5D51">
              <w:rPr>
                <w:rFonts w:asciiTheme="minorHAnsi" w:hAnsiTheme="minorHAnsi" w:cs="Arial"/>
                <w:noProof w:val="0"/>
                <w:sz w:val="20"/>
              </w:rPr>
              <w:t xml:space="preserve">DHHR </w:t>
            </w:r>
            <w:r w:rsidRPr="00FD5D51">
              <w:rPr>
                <w:rFonts w:asciiTheme="minorHAnsi" w:hAnsiTheme="minorHAnsi" w:cs="Arial"/>
                <w:noProof w:val="0"/>
                <w:sz w:val="20"/>
              </w:rPr>
              <w:t xml:space="preserve">or the Bureau of Behavioral Health and Health Facilities may provide ACT services. Excludes children’s residential treatment. </w:t>
            </w:r>
          </w:p>
        </w:tc>
      </w:tr>
      <w:tr w:rsidR="005621F6" w:rsidRPr="00F85B8B" w14:paraId="204F1324" w14:textId="77777777" w:rsidTr="00FD5D51">
        <w:trPr>
          <w:cantSplit/>
        </w:trPr>
        <w:tc>
          <w:tcPr>
            <w:tcW w:w="2520" w:type="dxa"/>
            <w:vAlign w:val="center"/>
          </w:tcPr>
          <w:p w14:paraId="6F811057" w14:textId="7777777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Psychological Services</w:t>
            </w:r>
          </w:p>
        </w:tc>
        <w:tc>
          <w:tcPr>
            <w:tcW w:w="3600" w:type="dxa"/>
            <w:vAlign w:val="center"/>
          </w:tcPr>
          <w:p w14:paraId="455CD6D0" w14:textId="7777777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Services provided by a licensed psychologist in the treatment of psychological conditions.</w:t>
            </w:r>
          </w:p>
        </w:tc>
        <w:tc>
          <w:tcPr>
            <w:tcW w:w="3600" w:type="dxa"/>
            <w:vAlign w:val="center"/>
          </w:tcPr>
          <w:p w14:paraId="15A9B11F" w14:textId="77777777"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Evaluation and treatment, including individual, family, and group therapies. Psychological services may be delivered using telehealth.</w:t>
            </w:r>
          </w:p>
        </w:tc>
        <w:tc>
          <w:tcPr>
            <w:tcW w:w="3225" w:type="dxa"/>
            <w:vAlign w:val="center"/>
          </w:tcPr>
          <w:p w14:paraId="5F1E166C" w14:textId="37A51626" w:rsidR="005621F6" w:rsidRPr="00FD5D51" w:rsidRDefault="005621F6" w:rsidP="00257641">
            <w:pPr>
              <w:spacing w:before="40" w:after="40"/>
              <w:rPr>
                <w:rFonts w:asciiTheme="minorHAnsi" w:hAnsiTheme="minorHAnsi" w:cs="Arial"/>
                <w:noProof w:val="0"/>
                <w:sz w:val="20"/>
              </w:rPr>
            </w:pPr>
            <w:r w:rsidRPr="00FD5D51">
              <w:rPr>
                <w:rFonts w:asciiTheme="minorHAnsi" w:hAnsiTheme="minorHAnsi" w:cs="Arial"/>
                <w:noProof w:val="0"/>
                <w:sz w:val="20"/>
              </w:rPr>
              <w:t xml:space="preserve">Evaluation and testing procedures </w:t>
            </w:r>
            <w:r w:rsidR="00520F39" w:rsidRPr="00FD5D51">
              <w:rPr>
                <w:rFonts w:asciiTheme="minorHAnsi" w:hAnsiTheme="minorHAnsi" w:cs="Arial"/>
                <w:noProof w:val="0"/>
                <w:sz w:val="20"/>
              </w:rPr>
              <w:t xml:space="preserve">may </w:t>
            </w:r>
            <w:r w:rsidRPr="00FD5D51">
              <w:rPr>
                <w:rFonts w:asciiTheme="minorHAnsi" w:hAnsiTheme="minorHAnsi" w:cs="Arial"/>
                <w:noProof w:val="0"/>
                <w:sz w:val="20"/>
              </w:rPr>
              <w:t>have frequency restrictions.</w:t>
            </w:r>
          </w:p>
        </w:tc>
      </w:tr>
      <w:tr w:rsidR="00380FFB" w:rsidRPr="00F85B8B" w14:paraId="4B6E7FDC" w14:textId="77777777" w:rsidTr="00FD5D51">
        <w:trPr>
          <w:cantSplit/>
        </w:trPr>
        <w:tc>
          <w:tcPr>
            <w:tcW w:w="2520" w:type="dxa"/>
            <w:shd w:val="clear" w:color="auto" w:fill="DEEAF6" w:themeFill="accent1" w:themeFillTint="33"/>
            <w:vAlign w:val="center"/>
          </w:tcPr>
          <w:p w14:paraId="42360D78" w14:textId="6AE90672"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Hospital Services, Inpatient – Behavioral Health and Substance Abuse Stays</w:t>
            </w:r>
          </w:p>
        </w:tc>
        <w:tc>
          <w:tcPr>
            <w:tcW w:w="3600" w:type="dxa"/>
            <w:shd w:val="clear" w:color="auto" w:fill="DEEAF6" w:themeFill="accent1" w:themeFillTint="33"/>
            <w:vAlign w:val="center"/>
          </w:tcPr>
          <w:p w14:paraId="2EAF9BC5" w14:textId="41AAC271"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 xml:space="preserve">Inpatient hospital services related to the treatment of mental disorders or substance abuse disorders. </w:t>
            </w:r>
          </w:p>
        </w:tc>
        <w:tc>
          <w:tcPr>
            <w:tcW w:w="3600" w:type="dxa"/>
            <w:shd w:val="clear" w:color="auto" w:fill="DEEAF6" w:themeFill="accent1" w:themeFillTint="33"/>
            <w:vAlign w:val="center"/>
          </w:tcPr>
          <w:p w14:paraId="21F7B2FA" w14:textId="40364867"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Inpatient hospital services related to the diagnosis, evaluation, and treatment of behavioral health or substance abuse disorders.</w:t>
            </w:r>
          </w:p>
        </w:tc>
        <w:tc>
          <w:tcPr>
            <w:tcW w:w="3225" w:type="dxa"/>
            <w:shd w:val="clear" w:color="auto" w:fill="DEEAF6" w:themeFill="accent1" w:themeFillTint="33"/>
            <w:vAlign w:val="center"/>
          </w:tcPr>
          <w:p w14:paraId="3699F591" w14:textId="5E94D027"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NA</w:t>
            </w:r>
          </w:p>
        </w:tc>
      </w:tr>
      <w:tr w:rsidR="00380FFB" w:rsidRPr="00F85B8B" w14:paraId="183DFC17" w14:textId="77777777" w:rsidTr="00380FFB">
        <w:trPr>
          <w:cantSplit/>
        </w:trPr>
        <w:tc>
          <w:tcPr>
            <w:tcW w:w="2520" w:type="dxa"/>
            <w:shd w:val="clear" w:color="auto" w:fill="FFFFFF" w:themeFill="background1"/>
            <w:vAlign w:val="center"/>
          </w:tcPr>
          <w:p w14:paraId="52B074CF" w14:textId="42C01DF6"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Inpatient Psychiatric Services for Individuals Under Age twenty-one (21)</w:t>
            </w:r>
          </w:p>
        </w:tc>
        <w:tc>
          <w:tcPr>
            <w:tcW w:w="3600" w:type="dxa"/>
            <w:shd w:val="clear" w:color="auto" w:fill="FFFFFF" w:themeFill="background1"/>
            <w:vAlign w:val="center"/>
          </w:tcPr>
          <w:p w14:paraId="567E1B2A" w14:textId="5F4A3258"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 xml:space="preserve">Inpatient psychiatric facility services furnished at a psychiatric hospital or a distinct part psychiatric unit of an acute care or general hospital under the direction of a physician for individuals under age twenty-one (21). </w:t>
            </w:r>
          </w:p>
        </w:tc>
        <w:tc>
          <w:tcPr>
            <w:tcW w:w="3600" w:type="dxa"/>
            <w:shd w:val="clear" w:color="auto" w:fill="FFFFFF" w:themeFill="background1"/>
            <w:vAlign w:val="center"/>
          </w:tcPr>
          <w:p w14:paraId="3EE4FEAA" w14:textId="217F9907" w:rsidR="00380FFB" w:rsidRPr="00FD5D51" w:rsidRDefault="00380FFB" w:rsidP="0005492C">
            <w:pPr>
              <w:spacing w:before="40" w:after="40"/>
              <w:rPr>
                <w:rFonts w:asciiTheme="minorHAnsi" w:hAnsiTheme="minorHAnsi" w:cs="Arial"/>
                <w:noProof w:val="0"/>
                <w:sz w:val="20"/>
              </w:rPr>
            </w:pPr>
            <w:r w:rsidRPr="00FD5D51">
              <w:rPr>
                <w:rFonts w:asciiTheme="minorHAnsi" w:hAnsiTheme="minorHAnsi" w:cs="Arial"/>
                <w:noProof w:val="0"/>
                <w:sz w:val="20"/>
              </w:rPr>
              <w:t xml:space="preserve">Active treatment of psychiatric condition through an individual plan of care including post discharge plans for aftercare. Service is expected to improve the </w:t>
            </w:r>
            <w:r w:rsidR="0005492C">
              <w:rPr>
                <w:rFonts w:asciiTheme="minorHAnsi" w:hAnsiTheme="minorHAnsi" w:cs="Arial"/>
                <w:noProof w:val="0"/>
                <w:sz w:val="20"/>
              </w:rPr>
              <w:t>enrollee</w:t>
            </w:r>
            <w:r w:rsidR="0005492C" w:rsidRPr="00FD5D51">
              <w:rPr>
                <w:rFonts w:asciiTheme="minorHAnsi" w:hAnsiTheme="minorHAnsi" w:cs="Arial"/>
                <w:noProof w:val="0"/>
                <w:sz w:val="20"/>
              </w:rPr>
              <w:t xml:space="preserve">’s </w:t>
            </w:r>
            <w:r w:rsidRPr="00FD5D51">
              <w:rPr>
                <w:rFonts w:asciiTheme="minorHAnsi" w:hAnsiTheme="minorHAnsi" w:cs="Arial"/>
                <w:noProof w:val="0"/>
                <w:sz w:val="20"/>
              </w:rPr>
              <w:t>condition or prevent regression so the service will no longer be needed.</w:t>
            </w:r>
          </w:p>
        </w:tc>
        <w:tc>
          <w:tcPr>
            <w:tcW w:w="3225" w:type="dxa"/>
            <w:shd w:val="clear" w:color="auto" w:fill="FFFFFF" w:themeFill="background1"/>
            <w:vAlign w:val="center"/>
          </w:tcPr>
          <w:p w14:paraId="720A8284" w14:textId="371E6F8B" w:rsidR="00380FFB" w:rsidRPr="00FD5D51" w:rsidRDefault="00380FFB" w:rsidP="0005492C">
            <w:pPr>
              <w:spacing w:before="40" w:after="40"/>
              <w:rPr>
                <w:rFonts w:asciiTheme="minorHAnsi" w:hAnsiTheme="minorHAnsi" w:cs="Arial"/>
                <w:noProof w:val="0"/>
                <w:sz w:val="20"/>
              </w:rPr>
            </w:pPr>
            <w:r w:rsidRPr="00FD5D51">
              <w:rPr>
                <w:rFonts w:asciiTheme="minorHAnsi" w:hAnsiTheme="minorHAnsi" w:cs="Arial"/>
                <w:noProof w:val="0"/>
                <w:sz w:val="20"/>
              </w:rPr>
              <w:t xml:space="preserve">Certification must be made prior to admission that outpatient behavioral health resources available in the community did not meet the treatment needs of the </w:t>
            </w:r>
            <w:r w:rsidR="0005492C">
              <w:rPr>
                <w:rFonts w:asciiTheme="minorHAnsi" w:hAnsiTheme="minorHAnsi" w:cs="Arial"/>
                <w:noProof w:val="0"/>
                <w:sz w:val="20"/>
              </w:rPr>
              <w:t>enrollee</w:t>
            </w:r>
            <w:r w:rsidRPr="00FD5D51">
              <w:rPr>
                <w:rFonts w:asciiTheme="minorHAnsi" w:hAnsiTheme="minorHAnsi" w:cs="Arial"/>
                <w:noProof w:val="0"/>
                <w:sz w:val="20"/>
              </w:rPr>
              <w:t>. Pre-admission and continued stay prior authorization.</w:t>
            </w:r>
          </w:p>
        </w:tc>
      </w:tr>
      <w:tr w:rsidR="00380FFB" w:rsidRPr="00F85B8B" w14:paraId="4B933B4B" w14:textId="77777777" w:rsidTr="00FD5D51">
        <w:trPr>
          <w:cantSplit/>
        </w:trPr>
        <w:tc>
          <w:tcPr>
            <w:tcW w:w="2520" w:type="dxa"/>
            <w:shd w:val="clear" w:color="auto" w:fill="DEEAF6" w:themeFill="accent1" w:themeFillTint="33"/>
            <w:vAlign w:val="center"/>
          </w:tcPr>
          <w:p w14:paraId="1C6FD75B" w14:textId="42AA1F67"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Drug Screening</w:t>
            </w:r>
          </w:p>
        </w:tc>
        <w:tc>
          <w:tcPr>
            <w:tcW w:w="3600" w:type="dxa"/>
            <w:shd w:val="clear" w:color="auto" w:fill="DEEAF6" w:themeFill="accent1" w:themeFillTint="33"/>
            <w:vAlign w:val="center"/>
          </w:tcPr>
          <w:p w14:paraId="09A57775" w14:textId="13837F39"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 xml:space="preserve">Laboratory service to screen for presence of one or more drugs of abuse. </w:t>
            </w:r>
          </w:p>
        </w:tc>
        <w:tc>
          <w:tcPr>
            <w:tcW w:w="3600" w:type="dxa"/>
            <w:shd w:val="clear" w:color="auto" w:fill="DEEAF6" w:themeFill="accent1" w:themeFillTint="33"/>
            <w:vAlign w:val="center"/>
          </w:tcPr>
          <w:p w14:paraId="2BE47C3A" w14:textId="36B46827"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 xml:space="preserve">Screening ordered by the treating practitioner that is deemed medically necessary and reasonable within commonly accepted standards of practice. Results are intended.to alter patient management decisions. Full scope of benefits detailed in WV Provider Manual, Chapter 529. </w:t>
            </w:r>
          </w:p>
        </w:tc>
        <w:tc>
          <w:tcPr>
            <w:tcW w:w="3225" w:type="dxa"/>
            <w:shd w:val="clear" w:color="auto" w:fill="DEEAF6" w:themeFill="accent1" w:themeFillTint="33"/>
            <w:vAlign w:val="center"/>
          </w:tcPr>
          <w:p w14:paraId="777E83CD" w14:textId="25AA04B5" w:rsidR="00380FFB" w:rsidRPr="00FD5D51" w:rsidRDefault="00380FFB" w:rsidP="00781654">
            <w:pPr>
              <w:spacing w:before="40" w:after="40"/>
              <w:rPr>
                <w:rFonts w:asciiTheme="minorHAnsi" w:hAnsiTheme="minorHAnsi" w:cs="Arial"/>
                <w:noProof w:val="0"/>
                <w:sz w:val="20"/>
              </w:rPr>
            </w:pPr>
            <w:r w:rsidRPr="00FD5D51">
              <w:rPr>
                <w:rFonts w:asciiTheme="minorHAnsi" w:hAnsiTheme="minorHAnsi" w:cs="Arial"/>
                <w:noProof w:val="0"/>
                <w:sz w:val="20"/>
              </w:rPr>
              <w:t xml:space="preserve">Standing orders must be individualized for each </w:t>
            </w:r>
            <w:r w:rsidR="00781654">
              <w:rPr>
                <w:rFonts w:asciiTheme="minorHAnsi" w:hAnsiTheme="minorHAnsi" w:cs="Arial"/>
                <w:noProof w:val="0"/>
                <w:sz w:val="20"/>
              </w:rPr>
              <w:t>enrollee</w:t>
            </w:r>
            <w:r w:rsidR="00781654" w:rsidRPr="00FD5D51">
              <w:rPr>
                <w:rFonts w:asciiTheme="minorHAnsi" w:hAnsiTheme="minorHAnsi" w:cs="Arial"/>
                <w:noProof w:val="0"/>
                <w:sz w:val="20"/>
              </w:rPr>
              <w:t xml:space="preserve"> </w:t>
            </w:r>
            <w:r w:rsidRPr="00FD5D51">
              <w:rPr>
                <w:rFonts w:asciiTheme="minorHAnsi" w:hAnsiTheme="minorHAnsi" w:cs="Arial"/>
                <w:noProof w:val="0"/>
                <w:sz w:val="20"/>
              </w:rPr>
              <w:t>and updated every thirty (30) calendar days; drug screenings in excess of twenty-four (24) per calendar year are subject to prior authorization. All limitations are detailed in WV Medicaid Provider Manual, Chapter 529.2.</w:t>
            </w:r>
          </w:p>
        </w:tc>
      </w:tr>
      <w:tr w:rsidR="00380FFB" w:rsidRPr="00F85B8B" w14:paraId="372EADD9" w14:textId="77777777" w:rsidTr="00FD5D51">
        <w:trPr>
          <w:cantSplit/>
        </w:trPr>
        <w:tc>
          <w:tcPr>
            <w:tcW w:w="2520" w:type="dxa"/>
            <w:vAlign w:val="center"/>
          </w:tcPr>
          <w:p w14:paraId="7C33589B" w14:textId="0E025A23"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lastRenderedPageBreak/>
              <w:t xml:space="preserve">Substance Use Disorder (SUD) Services </w:t>
            </w:r>
          </w:p>
        </w:tc>
        <w:tc>
          <w:tcPr>
            <w:tcW w:w="3600" w:type="dxa"/>
            <w:vAlign w:val="center"/>
          </w:tcPr>
          <w:p w14:paraId="58DB222D" w14:textId="4049E54C" w:rsidR="00380FFB" w:rsidRPr="00FD5D51" w:rsidRDefault="00380FFB" w:rsidP="00380FFB">
            <w:pPr>
              <w:spacing w:before="40" w:after="40"/>
              <w:rPr>
                <w:rFonts w:asciiTheme="minorHAnsi" w:hAnsiTheme="minorHAnsi" w:cs="Arial"/>
                <w:noProof w:val="0"/>
                <w:sz w:val="20"/>
              </w:rPr>
            </w:pPr>
            <w:r>
              <w:rPr>
                <w:rFonts w:asciiTheme="minorHAnsi" w:hAnsiTheme="minorHAnsi" w:cs="Arial"/>
                <w:noProof w:val="0"/>
                <w:sz w:val="20"/>
              </w:rPr>
              <w:t>Targeted case management and p</w:t>
            </w:r>
            <w:r w:rsidRPr="00D753DB">
              <w:rPr>
                <w:rFonts w:asciiTheme="minorHAnsi" w:hAnsiTheme="minorHAnsi" w:cs="Arial"/>
                <w:noProof w:val="0"/>
                <w:sz w:val="20"/>
              </w:rPr>
              <w:t>hysician-supervised medication</w:t>
            </w:r>
            <w:r>
              <w:rPr>
                <w:rFonts w:asciiTheme="minorHAnsi" w:hAnsiTheme="minorHAnsi" w:cs="Arial"/>
                <w:noProof w:val="0"/>
                <w:sz w:val="20"/>
              </w:rPr>
              <w:t xml:space="preserve"> and </w:t>
            </w:r>
            <w:r w:rsidRPr="00D753DB">
              <w:rPr>
                <w:rFonts w:asciiTheme="minorHAnsi" w:hAnsiTheme="minorHAnsi" w:cs="Arial"/>
                <w:noProof w:val="0"/>
                <w:sz w:val="20"/>
              </w:rPr>
              <w:t xml:space="preserve">counseling services provided to </w:t>
            </w:r>
            <w:r>
              <w:rPr>
                <w:rFonts w:asciiTheme="minorHAnsi" w:hAnsiTheme="minorHAnsi" w:cs="Arial"/>
                <w:noProof w:val="0"/>
                <w:sz w:val="20"/>
              </w:rPr>
              <w:t>treat to those with a SUD.</w:t>
            </w:r>
          </w:p>
        </w:tc>
        <w:tc>
          <w:tcPr>
            <w:tcW w:w="3600" w:type="dxa"/>
            <w:vAlign w:val="center"/>
          </w:tcPr>
          <w:p w14:paraId="69BAF987" w14:textId="75CE5749" w:rsidR="00380FFB" w:rsidRPr="00FD5D51" w:rsidRDefault="00380FFB" w:rsidP="00380FFB">
            <w:pPr>
              <w:spacing w:before="40" w:after="40"/>
              <w:rPr>
                <w:rFonts w:asciiTheme="minorHAnsi" w:hAnsiTheme="minorHAnsi" w:cs="Arial"/>
                <w:noProof w:val="0"/>
                <w:sz w:val="20"/>
              </w:rPr>
            </w:pPr>
            <w:r w:rsidRPr="00D753DB">
              <w:rPr>
                <w:rFonts w:asciiTheme="minorHAnsi" w:hAnsiTheme="minorHAnsi" w:cs="Arial"/>
                <w:noProof w:val="0"/>
                <w:sz w:val="20"/>
              </w:rPr>
              <w:t xml:space="preserve">Comprehensive </w:t>
            </w:r>
            <w:r>
              <w:rPr>
                <w:rFonts w:asciiTheme="minorHAnsi" w:hAnsiTheme="minorHAnsi" w:cs="Arial"/>
                <w:noProof w:val="0"/>
                <w:sz w:val="20"/>
              </w:rPr>
              <w:t>SUD state plan and waiver services listed in Article III, Section 11.10</w:t>
            </w:r>
          </w:p>
        </w:tc>
        <w:tc>
          <w:tcPr>
            <w:tcW w:w="3225" w:type="dxa"/>
            <w:vAlign w:val="center"/>
          </w:tcPr>
          <w:p w14:paraId="4503A06F" w14:textId="6C12DAD9" w:rsidR="00380FFB" w:rsidRPr="00FD5D51" w:rsidRDefault="00380FFB" w:rsidP="00380FFB">
            <w:pPr>
              <w:spacing w:before="40" w:after="40"/>
              <w:rPr>
                <w:rFonts w:asciiTheme="minorHAnsi" w:hAnsiTheme="minorHAnsi" w:cs="Arial"/>
                <w:noProof w:val="0"/>
                <w:sz w:val="20"/>
              </w:rPr>
            </w:pPr>
            <w:r w:rsidRPr="00141612">
              <w:rPr>
                <w:rFonts w:ascii="Arial" w:hAnsi="Arial" w:cs="Arial"/>
                <w:noProof w:val="0"/>
                <w:sz w:val="18"/>
                <w:szCs w:val="18"/>
              </w:rPr>
              <w:t>Opioid Treatment Program services included in the SUD waiver will be provided through Medicaid FFS.</w:t>
            </w:r>
          </w:p>
        </w:tc>
      </w:tr>
      <w:tr w:rsidR="00380FFB" w:rsidRPr="00DF1D1C" w14:paraId="512E7FFF" w14:textId="77777777" w:rsidTr="00FD5D51">
        <w:trPr>
          <w:cantSplit/>
        </w:trPr>
        <w:tc>
          <w:tcPr>
            <w:tcW w:w="2520" w:type="dxa"/>
            <w:shd w:val="clear" w:color="auto" w:fill="DEEAF6" w:themeFill="accent1" w:themeFillTint="33"/>
            <w:vAlign w:val="center"/>
          </w:tcPr>
          <w:p w14:paraId="71D1F049" w14:textId="7873AEF3"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Serious Emotional Disturbance Waiver Services</w:t>
            </w:r>
          </w:p>
        </w:tc>
        <w:tc>
          <w:tcPr>
            <w:tcW w:w="3600" w:type="dxa"/>
            <w:shd w:val="clear" w:color="auto" w:fill="DEEAF6" w:themeFill="accent1" w:themeFillTint="33"/>
            <w:vAlign w:val="center"/>
          </w:tcPr>
          <w:p w14:paraId="1DFC02C1" w14:textId="5F07E67F"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Provides children with some mental health conditions, special intensive support to help them remain in their homes and communities</w:t>
            </w:r>
          </w:p>
        </w:tc>
        <w:tc>
          <w:tcPr>
            <w:tcW w:w="3600" w:type="dxa"/>
            <w:shd w:val="clear" w:color="auto" w:fill="DEEAF6" w:themeFill="accent1" w:themeFillTint="33"/>
            <w:vAlign w:val="center"/>
          </w:tcPr>
          <w:p w14:paraId="68025EAF" w14:textId="2DF91CBC"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To be defined, pending approval by CMS</w:t>
            </w:r>
          </w:p>
        </w:tc>
        <w:tc>
          <w:tcPr>
            <w:tcW w:w="3225" w:type="dxa"/>
            <w:shd w:val="clear" w:color="auto" w:fill="DEEAF6" w:themeFill="accent1" w:themeFillTint="33"/>
            <w:vAlign w:val="center"/>
          </w:tcPr>
          <w:p w14:paraId="3DF73EBC" w14:textId="48D0233A" w:rsidR="00380FFB" w:rsidRPr="00FD5D51" w:rsidRDefault="00380FFB" w:rsidP="00380FFB">
            <w:pPr>
              <w:spacing w:before="40" w:after="40"/>
              <w:rPr>
                <w:rFonts w:asciiTheme="minorHAnsi" w:hAnsiTheme="minorHAnsi" w:cs="Arial"/>
                <w:noProof w:val="0"/>
                <w:sz w:val="20"/>
              </w:rPr>
            </w:pPr>
            <w:r w:rsidRPr="00FD5D51">
              <w:rPr>
                <w:rFonts w:asciiTheme="minorHAnsi" w:hAnsiTheme="minorHAnsi" w:cs="Arial"/>
                <w:noProof w:val="0"/>
                <w:sz w:val="20"/>
              </w:rPr>
              <w:t>To be defined, pending approval by CMS.</w:t>
            </w:r>
          </w:p>
        </w:tc>
      </w:tr>
    </w:tbl>
    <w:p w14:paraId="5808DB1D" w14:textId="77777777" w:rsidR="005621F6" w:rsidRDefault="0078006C" w:rsidP="00096A5D">
      <w:pPr>
        <w:pStyle w:val="BodyText"/>
        <w:rPr>
          <w:u w:val="single"/>
        </w:rPr>
      </w:pPr>
      <w:r>
        <w:t>*</w:t>
      </w:r>
      <w:r w:rsidR="00DE1E48">
        <w:t xml:space="preserve"> </w:t>
      </w:r>
      <w:r w:rsidR="00EF2889" w:rsidRPr="00251FA6">
        <w:t>An</w:t>
      </w:r>
      <w:r w:rsidR="00EF2889" w:rsidRPr="00854077">
        <w:t xml:space="preserve"> outpatient follow-up session immediately following th</w:t>
      </w:r>
      <w:r w:rsidR="00EF2889" w:rsidRPr="00251FA6">
        <w:t>e discharge from the facility is a</w:t>
      </w:r>
      <w:r w:rsidR="009D3D05">
        <w:t xml:space="preserve"> MCO </w:t>
      </w:r>
      <w:r w:rsidR="00EF2889" w:rsidRPr="00251FA6">
        <w:t>covered benefit</w:t>
      </w:r>
      <w:r w:rsidR="00EF2889">
        <w:rPr>
          <w:rFonts w:ascii="Arial" w:hAnsi="Arial"/>
          <w:sz w:val="23"/>
        </w:rPr>
        <w:t>.</w:t>
      </w:r>
    </w:p>
    <w:p w14:paraId="6283688E" w14:textId="5CA68A75" w:rsidR="00784EDE" w:rsidRPr="00096A5D" w:rsidRDefault="00784EDE" w:rsidP="00096A5D">
      <w:pPr>
        <w:pStyle w:val="BodyText"/>
        <w:rPr>
          <w:b/>
        </w:rPr>
      </w:pPr>
      <w:r w:rsidRPr="00096A5D">
        <w:rPr>
          <w:b/>
        </w:rPr>
        <w:t xml:space="preserve">Medicaid Benefits Covered Under </w:t>
      </w:r>
      <w:r w:rsidR="00724EFE" w:rsidRPr="00096A5D">
        <w:rPr>
          <w:b/>
        </w:rPr>
        <w:t>FFS</w:t>
      </w:r>
      <w:r w:rsidRPr="00096A5D">
        <w:rPr>
          <w:b/>
        </w:rPr>
        <w:t xml:space="preserve"> Medicaid</w:t>
      </w:r>
    </w:p>
    <w:p w14:paraId="0079DCF1" w14:textId="7C1A89F6" w:rsidR="00784EDE" w:rsidRPr="00FD5D51" w:rsidRDefault="00784EDE" w:rsidP="00096A5D">
      <w:r w:rsidRPr="00FD5D51">
        <w:t>The following services are excluded from MCOs</w:t>
      </w:r>
      <w:r w:rsidR="00FA1C0C" w:rsidRPr="00FD5D51">
        <w:t>’</w:t>
      </w:r>
      <w:r w:rsidRPr="00FD5D51">
        <w:t xml:space="preserve"> capitation rate</w:t>
      </w:r>
      <w:r w:rsidR="001647D5" w:rsidRPr="00FD5D51">
        <w:t>s</w:t>
      </w:r>
      <w:r w:rsidRPr="00FD5D51">
        <w:t xml:space="preserve"> but will remain covered Medicaid services for persons who are enrolled in MCOs. The State will continue to reimburse the billing provider directly for these services on a </w:t>
      </w:r>
      <w:r w:rsidR="00724EFE" w:rsidRPr="00FD5D51">
        <w:t>FFS</w:t>
      </w:r>
      <w:r w:rsidRPr="00FD5D51">
        <w:t xml:space="preserve"> basis. The State may consider the use of specialized carve</w:t>
      </w:r>
      <w:r w:rsidR="00147A2A" w:rsidRPr="00FD5D51">
        <w:t>-</w:t>
      </w:r>
      <w:r w:rsidRPr="00FD5D51">
        <w:t>outs in the future.</w:t>
      </w:r>
    </w:p>
    <w:p w14:paraId="5E1DB070" w14:textId="212B8BF2" w:rsidR="00784EDE" w:rsidRPr="00CC2D47" w:rsidRDefault="00784EDE" w:rsidP="00257641">
      <w:pPr>
        <w:keepNext/>
        <w:keepLines/>
        <w:ind w:firstLine="720"/>
        <w:jc w:val="center"/>
        <w:outlineLvl w:val="2"/>
        <w:rPr>
          <w:rFonts w:ascii="Arial" w:hAnsi="Arial" w:cs="Arial"/>
          <w:b/>
          <w:bCs/>
          <w:noProof w:val="0"/>
          <w:szCs w:val="24"/>
        </w:rPr>
      </w:pPr>
      <w:r w:rsidRPr="00CC2D47">
        <w:rPr>
          <w:rFonts w:ascii="Arial" w:hAnsi="Arial" w:cs="Arial"/>
          <w:b/>
          <w:bCs/>
          <w:noProof w:val="0"/>
          <w:szCs w:val="24"/>
        </w:rPr>
        <w:t xml:space="preserve">Medicaid Benefits Covered Under </w:t>
      </w:r>
      <w:r w:rsidR="00724EFE">
        <w:rPr>
          <w:rFonts w:ascii="Arial" w:hAnsi="Arial" w:cs="Arial"/>
          <w:b/>
          <w:bCs/>
          <w:noProof w:val="0"/>
          <w:szCs w:val="24"/>
        </w:rPr>
        <w:t>FFS</w:t>
      </w:r>
      <w:r w:rsidRPr="00CC2D47">
        <w:rPr>
          <w:rFonts w:ascii="Arial" w:hAnsi="Arial" w:cs="Arial"/>
          <w:b/>
          <w:bCs/>
          <w:noProof w:val="0"/>
          <w:szCs w:val="24"/>
        </w:rPr>
        <w:t xml:space="preserve"> Medicaid</w:t>
      </w:r>
    </w:p>
    <w:tbl>
      <w:tblPr>
        <w:tblW w:w="12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600"/>
        <w:gridCol w:w="3600"/>
        <w:gridCol w:w="3225"/>
      </w:tblGrid>
      <w:tr w:rsidR="00784EDE" w:rsidRPr="00DF1D1C" w14:paraId="6DBC3553" w14:textId="77777777" w:rsidTr="00FD5D51">
        <w:trPr>
          <w:cantSplit/>
          <w:tblHeader/>
        </w:trPr>
        <w:tc>
          <w:tcPr>
            <w:tcW w:w="2520" w:type="dxa"/>
            <w:tcBorders>
              <w:right w:val="single" w:sz="4" w:space="0" w:color="FFFFFF" w:themeColor="background1"/>
            </w:tcBorders>
            <w:shd w:val="clear" w:color="auto" w:fill="004250"/>
          </w:tcPr>
          <w:p w14:paraId="7CBFB033" w14:textId="77777777" w:rsidR="00784EDE" w:rsidRPr="00FD5D51" w:rsidRDefault="00784EDE" w:rsidP="00257641">
            <w:pPr>
              <w:spacing w:before="40" w:after="40"/>
              <w:jc w:val="center"/>
              <w:rPr>
                <w:rFonts w:asciiTheme="minorHAnsi" w:hAnsiTheme="minorHAnsi" w:cs="Arial"/>
                <w:b/>
                <w:sz w:val="20"/>
              </w:rPr>
            </w:pPr>
            <w:r w:rsidRPr="00FD5D51">
              <w:rPr>
                <w:rFonts w:asciiTheme="minorHAnsi" w:hAnsiTheme="minorHAnsi" w:cs="Arial"/>
                <w:b/>
                <w:sz w:val="20"/>
              </w:rPr>
              <w:t>MEDICAL SERVICE</w:t>
            </w:r>
          </w:p>
        </w:tc>
        <w:tc>
          <w:tcPr>
            <w:tcW w:w="3600" w:type="dxa"/>
            <w:tcBorders>
              <w:left w:val="single" w:sz="4" w:space="0" w:color="FFFFFF" w:themeColor="background1"/>
              <w:right w:val="single" w:sz="4" w:space="0" w:color="FFFFFF" w:themeColor="background1"/>
            </w:tcBorders>
            <w:shd w:val="clear" w:color="auto" w:fill="004250"/>
          </w:tcPr>
          <w:p w14:paraId="60D78EE2" w14:textId="77777777" w:rsidR="00784EDE" w:rsidRPr="00FD5D51" w:rsidRDefault="00784EDE" w:rsidP="00257641">
            <w:pPr>
              <w:spacing w:before="40" w:after="40"/>
              <w:jc w:val="center"/>
              <w:rPr>
                <w:rFonts w:asciiTheme="minorHAnsi" w:hAnsiTheme="minorHAnsi" w:cs="Arial"/>
                <w:b/>
                <w:sz w:val="20"/>
              </w:rPr>
            </w:pPr>
            <w:r w:rsidRPr="00FD5D51">
              <w:rPr>
                <w:rFonts w:asciiTheme="minorHAnsi" w:hAnsiTheme="minorHAnsi" w:cs="Arial"/>
                <w:b/>
                <w:sz w:val="20"/>
              </w:rPr>
              <w:t>DEFINITION</w:t>
            </w:r>
          </w:p>
        </w:tc>
        <w:tc>
          <w:tcPr>
            <w:tcW w:w="3600" w:type="dxa"/>
            <w:tcBorders>
              <w:left w:val="single" w:sz="4" w:space="0" w:color="FFFFFF" w:themeColor="background1"/>
              <w:right w:val="single" w:sz="4" w:space="0" w:color="FFFFFF" w:themeColor="background1"/>
            </w:tcBorders>
            <w:shd w:val="clear" w:color="auto" w:fill="004250"/>
          </w:tcPr>
          <w:p w14:paraId="489165C5" w14:textId="77777777" w:rsidR="00784EDE" w:rsidRPr="00FD5D51" w:rsidRDefault="00784EDE" w:rsidP="00257641">
            <w:pPr>
              <w:spacing w:before="40" w:after="40"/>
              <w:jc w:val="center"/>
              <w:rPr>
                <w:rFonts w:asciiTheme="minorHAnsi" w:hAnsiTheme="minorHAnsi" w:cs="Arial"/>
                <w:b/>
                <w:sz w:val="20"/>
              </w:rPr>
            </w:pPr>
            <w:r w:rsidRPr="00FD5D51">
              <w:rPr>
                <w:rFonts w:asciiTheme="minorHAnsi" w:hAnsiTheme="minorHAnsi" w:cs="Arial"/>
                <w:b/>
                <w:sz w:val="20"/>
              </w:rPr>
              <w:t>SCOPE OF BENEFITS</w:t>
            </w:r>
          </w:p>
        </w:tc>
        <w:tc>
          <w:tcPr>
            <w:tcW w:w="3225" w:type="dxa"/>
            <w:tcBorders>
              <w:left w:val="single" w:sz="4" w:space="0" w:color="FFFFFF" w:themeColor="background1"/>
            </w:tcBorders>
            <w:shd w:val="clear" w:color="auto" w:fill="004250"/>
          </w:tcPr>
          <w:p w14:paraId="0CF9FF1A" w14:textId="77777777" w:rsidR="00784EDE" w:rsidRPr="00FD5D51" w:rsidRDefault="00784EDE" w:rsidP="00257641">
            <w:pPr>
              <w:spacing w:before="40" w:after="40"/>
              <w:jc w:val="center"/>
              <w:rPr>
                <w:rFonts w:asciiTheme="minorHAnsi" w:hAnsiTheme="minorHAnsi" w:cs="Arial"/>
                <w:b/>
                <w:sz w:val="20"/>
              </w:rPr>
            </w:pPr>
            <w:r w:rsidRPr="00FD5D51">
              <w:rPr>
                <w:rFonts w:asciiTheme="minorHAnsi" w:hAnsiTheme="minorHAnsi" w:cs="Arial"/>
                <w:b/>
                <w:sz w:val="20"/>
              </w:rPr>
              <w:t>LIMITATION ON SERVICES</w:t>
            </w:r>
          </w:p>
        </w:tc>
      </w:tr>
      <w:tr w:rsidR="00784EDE" w:rsidRPr="00DF1D1C" w14:paraId="7A7A5F20" w14:textId="77777777" w:rsidTr="00FD5D51">
        <w:trPr>
          <w:cantSplit/>
        </w:trPr>
        <w:tc>
          <w:tcPr>
            <w:tcW w:w="2520" w:type="dxa"/>
            <w:vAlign w:val="center"/>
          </w:tcPr>
          <w:p w14:paraId="6856A9C9" w14:textId="77777777" w:rsidR="00784EDE" w:rsidRPr="00FD5D51" w:rsidRDefault="00784EDE" w:rsidP="00257641">
            <w:pPr>
              <w:spacing w:before="40" w:after="40"/>
              <w:rPr>
                <w:rFonts w:asciiTheme="minorHAnsi" w:hAnsiTheme="minorHAnsi" w:cs="Arial"/>
                <w:noProof w:val="0"/>
                <w:sz w:val="20"/>
              </w:rPr>
            </w:pPr>
            <w:r w:rsidRPr="00FD5D51">
              <w:rPr>
                <w:rFonts w:asciiTheme="minorHAnsi" w:hAnsiTheme="minorHAnsi" w:cs="Arial"/>
                <w:noProof w:val="0"/>
                <w:sz w:val="20"/>
              </w:rPr>
              <w:t>Abortion</w:t>
            </w:r>
          </w:p>
        </w:tc>
        <w:tc>
          <w:tcPr>
            <w:tcW w:w="3600" w:type="dxa"/>
            <w:vAlign w:val="center"/>
          </w:tcPr>
          <w:p w14:paraId="5FBC6EF1" w14:textId="77777777" w:rsidR="00784EDE" w:rsidRPr="00FD5D51" w:rsidRDefault="00784EDE" w:rsidP="00257641">
            <w:pPr>
              <w:spacing w:before="40" w:after="40"/>
              <w:rPr>
                <w:rFonts w:asciiTheme="minorHAnsi" w:hAnsiTheme="minorHAnsi" w:cs="Arial"/>
                <w:noProof w:val="0"/>
                <w:sz w:val="20"/>
              </w:rPr>
            </w:pPr>
            <w:r w:rsidRPr="00FD5D51">
              <w:rPr>
                <w:rFonts w:asciiTheme="minorHAnsi" w:hAnsiTheme="minorHAnsi" w:cs="Arial"/>
                <w:noProof w:val="0"/>
                <w:sz w:val="20"/>
              </w:rPr>
              <w:t>Pregnanc</w:t>
            </w:r>
            <w:r w:rsidR="0094043B" w:rsidRPr="00FD5D51">
              <w:rPr>
                <w:rFonts w:asciiTheme="minorHAnsi" w:hAnsiTheme="minorHAnsi" w:cs="Arial"/>
                <w:noProof w:val="0"/>
                <w:sz w:val="20"/>
              </w:rPr>
              <w:t>y termination determined to be Medically N</w:t>
            </w:r>
            <w:r w:rsidRPr="00FD5D51">
              <w:rPr>
                <w:rFonts w:asciiTheme="minorHAnsi" w:hAnsiTheme="minorHAnsi" w:cs="Arial"/>
                <w:noProof w:val="0"/>
                <w:sz w:val="20"/>
              </w:rPr>
              <w:t>ecessary by the attending physician in consultation with the patient in light of physical, emotional, psychological, familial, or age factors (or a combination there of) relevant to the well-being of the patient.</w:t>
            </w:r>
          </w:p>
        </w:tc>
        <w:tc>
          <w:tcPr>
            <w:tcW w:w="3600" w:type="dxa"/>
            <w:vAlign w:val="center"/>
          </w:tcPr>
          <w:p w14:paraId="5AF8F51B" w14:textId="77777777" w:rsidR="00784EDE" w:rsidRPr="00FD5D51" w:rsidRDefault="00784EDE" w:rsidP="00257641">
            <w:pPr>
              <w:spacing w:before="40" w:after="40"/>
              <w:rPr>
                <w:rFonts w:asciiTheme="minorHAnsi" w:hAnsiTheme="minorHAnsi" w:cs="Arial"/>
                <w:noProof w:val="0"/>
                <w:sz w:val="20"/>
              </w:rPr>
            </w:pPr>
            <w:r w:rsidRPr="00FD5D51">
              <w:rPr>
                <w:rFonts w:asciiTheme="minorHAnsi" w:hAnsiTheme="minorHAnsi" w:cs="Arial"/>
                <w:noProof w:val="0"/>
                <w:sz w:val="20"/>
              </w:rPr>
              <w:t xml:space="preserve">Drugs or devices to prevent implantation of the fertilized ovum and for medical procedures necessary for the termination of an </w:t>
            </w:r>
            <w:r w:rsidR="00597059" w:rsidRPr="00FD5D51">
              <w:rPr>
                <w:rFonts w:asciiTheme="minorHAnsi" w:hAnsiTheme="minorHAnsi" w:cs="Arial"/>
                <w:noProof w:val="0"/>
                <w:sz w:val="20"/>
              </w:rPr>
              <w:t>e</w:t>
            </w:r>
            <w:r w:rsidRPr="00FD5D51">
              <w:rPr>
                <w:rFonts w:asciiTheme="minorHAnsi" w:hAnsiTheme="minorHAnsi" w:cs="Arial"/>
                <w:noProof w:val="0"/>
                <w:sz w:val="20"/>
              </w:rPr>
              <w:t>ctopic pregnancy.</w:t>
            </w:r>
          </w:p>
        </w:tc>
        <w:tc>
          <w:tcPr>
            <w:tcW w:w="3225" w:type="dxa"/>
            <w:vAlign w:val="center"/>
          </w:tcPr>
          <w:p w14:paraId="1BDFF9AF" w14:textId="77777777" w:rsidR="00784EDE" w:rsidRPr="00FD5D51" w:rsidRDefault="00784EDE" w:rsidP="00257641">
            <w:pPr>
              <w:spacing w:before="40" w:after="40"/>
              <w:rPr>
                <w:rFonts w:asciiTheme="minorHAnsi" w:hAnsiTheme="minorHAnsi" w:cs="Arial"/>
                <w:noProof w:val="0"/>
                <w:sz w:val="20"/>
              </w:rPr>
            </w:pPr>
            <w:r w:rsidRPr="00FD5D51">
              <w:rPr>
                <w:rFonts w:asciiTheme="minorHAnsi" w:hAnsiTheme="minorHAnsi" w:cs="Arial"/>
                <w:noProof w:val="0"/>
                <w:sz w:val="20"/>
              </w:rPr>
              <w:t xml:space="preserve">Written physician certification of medical necessity. All </w:t>
            </w:r>
            <w:r w:rsidR="00C81335" w:rsidRPr="00FD5D51">
              <w:rPr>
                <w:rFonts w:asciiTheme="minorHAnsi" w:hAnsiTheme="minorHAnsi" w:cs="Arial"/>
                <w:noProof w:val="0"/>
                <w:sz w:val="20"/>
              </w:rPr>
              <w:t>Federal and State law</w:t>
            </w:r>
            <w:r w:rsidRPr="00FD5D51">
              <w:rPr>
                <w:rFonts w:asciiTheme="minorHAnsi" w:hAnsiTheme="minorHAnsi" w:cs="Arial"/>
                <w:noProof w:val="0"/>
                <w:sz w:val="20"/>
              </w:rPr>
              <w:t>s regarding this benefit must be adhered to.</w:t>
            </w:r>
          </w:p>
        </w:tc>
      </w:tr>
      <w:tr w:rsidR="00F13D62" w:rsidRPr="00DF1D1C" w14:paraId="0E3E25A3" w14:textId="77777777" w:rsidTr="00FD5D51">
        <w:trPr>
          <w:cantSplit/>
          <w:trHeight w:val="84"/>
        </w:trPr>
        <w:tc>
          <w:tcPr>
            <w:tcW w:w="2520" w:type="dxa"/>
            <w:shd w:val="clear" w:color="auto" w:fill="DEEAF6" w:themeFill="accent1" w:themeFillTint="33"/>
            <w:vAlign w:val="center"/>
          </w:tcPr>
          <w:p w14:paraId="43A04370" w14:textId="76CF6FE4"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Early Intervention Services for Children Three</w:t>
            </w:r>
            <w:r w:rsidR="00AE6880" w:rsidRPr="00FD5D51">
              <w:rPr>
                <w:rFonts w:asciiTheme="minorHAnsi" w:hAnsiTheme="minorHAnsi" w:cs="Arial"/>
                <w:noProof w:val="0"/>
                <w:sz w:val="20"/>
              </w:rPr>
              <w:t xml:space="preserve"> (3)</w:t>
            </w:r>
            <w:r w:rsidRPr="00FD5D51">
              <w:rPr>
                <w:rFonts w:asciiTheme="minorHAnsi" w:hAnsiTheme="minorHAnsi" w:cs="Arial"/>
                <w:noProof w:val="0"/>
                <w:sz w:val="20"/>
              </w:rPr>
              <w:t xml:space="preserve"> Years and Under</w:t>
            </w:r>
          </w:p>
        </w:tc>
        <w:tc>
          <w:tcPr>
            <w:tcW w:w="3600" w:type="dxa"/>
            <w:shd w:val="clear" w:color="auto" w:fill="DEEAF6" w:themeFill="accent1" w:themeFillTint="33"/>
            <w:vAlign w:val="center"/>
          </w:tcPr>
          <w:p w14:paraId="7648006B" w14:textId="0F0465C2"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 xml:space="preserve">Early intervention services provided to children three years and under through the Birth to Three </w:t>
            </w:r>
            <w:r w:rsidR="00AE6880" w:rsidRPr="00FD5D51">
              <w:rPr>
                <w:rFonts w:asciiTheme="minorHAnsi" w:hAnsiTheme="minorHAnsi" w:cs="Arial"/>
                <w:noProof w:val="0"/>
                <w:sz w:val="20"/>
              </w:rPr>
              <w:t xml:space="preserve">(3) </w:t>
            </w:r>
            <w:r w:rsidRPr="00FD5D51">
              <w:rPr>
                <w:rFonts w:asciiTheme="minorHAnsi" w:hAnsiTheme="minorHAnsi" w:cs="Arial"/>
                <w:noProof w:val="0"/>
                <w:sz w:val="20"/>
              </w:rPr>
              <w:t xml:space="preserve">program. </w:t>
            </w:r>
          </w:p>
        </w:tc>
        <w:tc>
          <w:tcPr>
            <w:tcW w:w="3600" w:type="dxa"/>
            <w:shd w:val="clear" w:color="auto" w:fill="DEEAF6" w:themeFill="accent1" w:themeFillTint="33"/>
            <w:vAlign w:val="center"/>
          </w:tcPr>
          <w:p w14:paraId="4344F5D1" w14:textId="77777777"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Services provided by enrolled Birth to Three providers.</w:t>
            </w:r>
          </w:p>
        </w:tc>
        <w:tc>
          <w:tcPr>
            <w:tcW w:w="3225" w:type="dxa"/>
            <w:shd w:val="clear" w:color="auto" w:fill="DEEAF6" w:themeFill="accent1" w:themeFillTint="33"/>
            <w:vAlign w:val="center"/>
          </w:tcPr>
          <w:p w14:paraId="479730F6" w14:textId="77777777" w:rsidR="00F13D62" w:rsidRPr="00FD5D51" w:rsidRDefault="00F13D62" w:rsidP="00257641">
            <w:pPr>
              <w:spacing w:before="40" w:after="40"/>
              <w:rPr>
                <w:rFonts w:asciiTheme="minorHAnsi" w:hAnsiTheme="minorHAnsi" w:cs="Arial"/>
                <w:noProof w:val="0"/>
                <w:sz w:val="20"/>
              </w:rPr>
            </w:pPr>
          </w:p>
        </w:tc>
      </w:tr>
      <w:tr w:rsidR="00F13D62" w:rsidRPr="00DF1D1C" w14:paraId="30CDA765" w14:textId="77777777" w:rsidTr="00FD5D51">
        <w:trPr>
          <w:cantSplit/>
        </w:trPr>
        <w:tc>
          <w:tcPr>
            <w:tcW w:w="2520" w:type="dxa"/>
            <w:vAlign w:val="center"/>
          </w:tcPr>
          <w:p w14:paraId="013690A5" w14:textId="77777777"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lastRenderedPageBreak/>
              <w:t>ICF/MR-Intermediate Care Facility for the Mentally Retarded</w:t>
            </w:r>
          </w:p>
        </w:tc>
        <w:tc>
          <w:tcPr>
            <w:tcW w:w="3600" w:type="dxa"/>
            <w:vAlign w:val="center"/>
          </w:tcPr>
          <w:p w14:paraId="2557C6C9" w14:textId="77777777"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Community based services for the mentally retarded and those with related conditions.</w:t>
            </w:r>
          </w:p>
        </w:tc>
        <w:tc>
          <w:tcPr>
            <w:tcW w:w="3600" w:type="dxa"/>
            <w:vAlign w:val="center"/>
          </w:tcPr>
          <w:p w14:paraId="30C704B9" w14:textId="55569F74"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Services provided both in and out of a group living facility which include but are not limited to: physician services, nursing ser</w:t>
            </w:r>
            <w:r w:rsidR="00E23BC2" w:rsidRPr="00FD5D51">
              <w:rPr>
                <w:rFonts w:asciiTheme="minorHAnsi" w:hAnsiTheme="minorHAnsi" w:cs="Arial"/>
                <w:noProof w:val="0"/>
                <w:sz w:val="20"/>
              </w:rPr>
              <w:t xml:space="preserve">vices, dental, vision, </w:t>
            </w:r>
            <w:r w:rsidR="00597059" w:rsidRPr="00FD5D51">
              <w:rPr>
                <w:rFonts w:asciiTheme="minorHAnsi" w:hAnsiTheme="minorHAnsi" w:cs="Arial"/>
                <w:noProof w:val="0"/>
                <w:sz w:val="20"/>
              </w:rPr>
              <w:t>hearing, laboratory</w:t>
            </w:r>
            <w:r w:rsidRPr="00FD5D51">
              <w:rPr>
                <w:rFonts w:asciiTheme="minorHAnsi" w:hAnsiTheme="minorHAnsi" w:cs="Arial"/>
                <w:noProof w:val="0"/>
                <w:sz w:val="20"/>
              </w:rPr>
              <w:t>, dietary, recreational, social services, psychological services, habilitation, and active treatment</w:t>
            </w:r>
          </w:p>
        </w:tc>
        <w:tc>
          <w:tcPr>
            <w:tcW w:w="3225" w:type="dxa"/>
            <w:vAlign w:val="center"/>
          </w:tcPr>
          <w:p w14:paraId="5E0CEC2F" w14:textId="06836C19" w:rsidR="00F13D62" w:rsidRPr="00FD5D51" w:rsidRDefault="00F13D62" w:rsidP="0005492C">
            <w:pPr>
              <w:spacing w:before="40" w:after="40"/>
              <w:rPr>
                <w:rFonts w:asciiTheme="minorHAnsi" w:hAnsiTheme="minorHAnsi" w:cs="Arial"/>
                <w:noProof w:val="0"/>
                <w:sz w:val="20"/>
              </w:rPr>
            </w:pPr>
            <w:r w:rsidRPr="00FD5D51">
              <w:rPr>
                <w:rFonts w:asciiTheme="minorHAnsi" w:hAnsiTheme="minorHAnsi" w:cs="Arial"/>
                <w:noProof w:val="0"/>
                <w:sz w:val="20"/>
              </w:rPr>
              <w:t xml:space="preserve">Services are provided based on a plan of care developed by an interdisciplinary team headed by a physician. </w:t>
            </w:r>
            <w:r w:rsidR="0005492C">
              <w:rPr>
                <w:rFonts w:asciiTheme="minorHAnsi" w:hAnsiTheme="minorHAnsi" w:cs="Arial"/>
                <w:noProof w:val="0"/>
                <w:sz w:val="20"/>
              </w:rPr>
              <w:t>Enrollee</w:t>
            </w:r>
            <w:r w:rsidR="0005492C" w:rsidRPr="00FD5D51">
              <w:rPr>
                <w:rFonts w:asciiTheme="minorHAnsi" w:hAnsiTheme="minorHAnsi" w:cs="Arial"/>
                <w:noProof w:val="0"/>
                <w:sz w:val="20"/>
              </w:rPr>
              <w:t xml:space="preserve"> </w:t>
            </w:r>
            <w:r w:rsidRPr="00FD5D51">
              <w:rPr>
                <w:rFonts w:asciiTheme="minorHAnsi" w:hAnsiTheme="minorHAnsi" w:cs="Arial"/>
                <w:noProof w:val="0"/>
                <w:sz w:val="20"/>
              </w:rPr>
              <w:t xml:space="preserve">must be certified as needing ICF/MR level of care by physician and psychologist. Limited to the first </w:t>
            </w:r>
            <w:r w:rsidR="0032431A" w:rsidRPr="00FD5D51">
              <w:rPr>
                <w:rFonts w:asciiTheme="minorHAnsi" w:hAnsiTheme="minorHAnsi" w:cs="Arial"/>
                <w:noProof w:val="0"/>
                <w:sz w:val="20"/>
              </w:rPr>
              <w:t>thirty (</w:t>
            </w:r>
            <w:r w:rsidRPr="00FD5D51">
              <w:rPr>
                <w:rFonts w:asciiTheme="minorHAnsi" w:hAnsiTheme="minorHAnsi" w:cs="Arial"/>
                <w:noProof w:val="0"/>
                <w:sz w:val="20"/>
              </w:rPr>
              <w:t>30</w:t>
            </w:r>
            <w:r w:rsidR="0032431A" w:rsidRPr="00FD5D51">
              <w:rPr>
                <w:rFonts w:asciiTheme="minorHAnsi" w:hAnsiTheme="minorHAnsi" w:cs="Arial"/>
                <w:noProof w:val="0"/>
                <w:sz w:val="20"/>
              </w:rPr>
              <w:t>) calendar</w:t>
            </w:r>
            <w:r w:rsidRPr="00FD5D51">
              <w:rPr>
                <w:rFonts w:asciiTheme="minorHAnsi" w:hAnsiTheme="minorHAnsi" w:cs="Arial"/>
                <w:noProof w:val="0"/>
                <w:sz w:val="20"/>
              </w:rPr>
              <w:t xml:space="preserve"> days.</w:t>
            </w:r>
          </w:p>
        </w:tc>
      </w:tr>
      <w:tr w:rsidR="00F13D62" w:rsidRPr="00DF1D1C" w14:paraId="4A2EF55C" w14:textId="77777777" w:rsidTr="00FD5D51">
        <w:trPr>
          <w:cantSplit/>
        </w:trPr>
        <w:tc>
          <w:tcPr>
            <w:tcW w:w="2520" w:type="dxa"/>
            <w:shd w:val="clear" w:color="auto" w:fill="DEEAF6" w:themeFill="accent1" w:themeFillTint="33"/>
            <w:vAlign w:val="center"/>
          </w:tcPr>
          <w:p w14:paraId="5C9BA774" w14:textId="77777777"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Nursing Facility Services</w:t>
            </w:r>
          </w:p>
        </w:tc>
        <w:tc>
          <w:tcPr>
            <w:tcW w:w="3600" w:type="dxa"/>
            <w:shd w:val="clear" w:color="auto" w:fill="DEEAF6" w:themeFill="accent1" w:themeFillTint="33"/>
            <w:vAlign w:val="center"/>
          </w:tcPr>
          <w:p w14:paraId="5A73FE35" w14:textId="10444474"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 xml:space="preserve">Facility based nursing services to those who require </w:t>
            </w:r>
            <w:r w:rsidR="00AE6880" w:rsidRPr="00FD5D51">
              <w:rPr>
                <w:rFonts w:asciiTheme="minorHAnsi" w:hAnsiTheme="minorHAnsi" w:cs="Arial"/>
                <w:noProof w:val="0"/>
                <w:sz w:val="20"/>
              </w:rPr>
              <w:t>twenty-four (</w:t>
            </w:r>
            <w:r w:rsidRPr="00FD5D51">
              <w:rPr>
                <w:rFonts w:asciiTheme="minorHAnsi" w:hAnsiTheme="minorHAnsi" w:cs="Arial"/>
                <w:noProof w:val="0"/>
                <w:sz w:val="20"/>
              </w:rPr>
              <w:t>24</w:t>
            </w:r>
            <w:r w:rsidR="00AE6880" w:rsidRPr="00FD5D51">
              <w:rPr>
                <w:rFonts w:asciiTheme="minorHAnsi" w:hAnsiTheme="minorHAnsi" w:cs="Arial"/>
                <w:noProof w:val="0"/>
                <w:sz w:val="20"/>
              </w:rPr>
              <w:t>)</w:t>
            </w:r>
            <w:r w:rsidRPr="00FD5D51">
              <w:rPr>
                <w:rFonts w:asciiTheme="minorHAnsi" w:hAnsiTheme="minorHAnsi" w:cs="Arial"/>
                <w:noProof w:val="0"/>
                <w:sz w:val="20"/>
              </w:rPr>
              <w:t xml:space="preserve"> hour nursing level of care.</w:t>
            </w:r>
          </w:p>
        </w:tc>
        <w:tc>
          <w:tcPr>
            <w:tcW w:w="3600" w:type="dxa"/>
            <w:shd w:val="clear" w:color="auto" w:fill="DEEAF6" w:themeFill="accent1" w:themeFillTint="33"/>
            <w:vAlign w:val="center"/>
          </w:tcPr>
          <w:p w14:paraId="2EEC14C4" w14:textId="77777777"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Full range of nursing, social services and therapies.</w:t>
            </w:r>
          </w:p>
        </w:tc>
        <w:tc>
          <w:tcPr>
            <w:tcW w:w="3225" w:type="dxa"/>
            <w:shd w:val="clear" w:color="auto" w:fill="DEEAF6" w:themeFill="accent1" w:themeFillTint="33"/>
            <w:vAlign w:val="center"/>
          </w:tcPr>
          <w:p w14:paraId="31E5710E" w14:textId="77777777"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Not covered.</w:t>
            </w:r>
          </w:p>
        </w:tc>
      </w:tr>
      <w:tr w:rsidR="00F13D62" w:rsidRPr="00DF1D1C" w14:paraId="00096DBF" w14:textId="77777777" w:rsidTr="00FD5D51">
        <w:trPr>
          <w:cantSplit/>
        </w:trPr>
        <w:tc>
          <w:tcPr>
            <w:tcW w:w="2520" w:type="dxa"/>
            <w:vAlign w:val="center"/>
          </w:tcPr>
          <w:p w14:paraId="04A310B2" w14:textId="77777777"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 xml:space="preserve">Personal Care for Individuals Enrolled in the Aged/Disabled Waiver </w:t>
            </w:r>
          </w:p>
        </w:tc>
        <w:tc>
          <w:tcPr>
            <w:tcW w:w="3600" w:type="dxa"/>
            <w:vAlign w:val="center"/>
          </w:tcPr>
          <w:p w14:paraId="7EC41EFA" w14:textId="77777777"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Community care program for elderly.</w:t>
            </w:r>
          </w:p>
        </w:tc>
        <w:tc>
          <w:tcPr>
            <w:tcW w:w="3600" w:type="dxa"/>
            <w:vAlign w:val="center"/>
          </w:tcPr>
          <w:p w14:paraId="44E5645E" w14:textId="77777777"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Assistance with activities of daily living in a community living arrangement. Grooming, hygiene, nutrition, non-technical physical assistance, and environmental.</w:t>
            </w:r>
          </w:p>
        </w:tc>
        <w:tc>
          <w:tcPr>
            <w:tcW w:w="3225" w:type="dxa"/>
            <w:vAlign w:val="center"/>
          </w:tcPr>
          <w:p w14:paraId="2F483441" w14:textId="77777777" w:rsidR="00F13D62" w:rsidRPr="00FD5D51" w:rsidRDefault="00F13D62" w:rsidP="00257641">
            <w:pPr>
              <w:spacing w:before="40" w:after="40"/>
              <w:rPr>
                <w:rFonts w:asciiTheme="minorHAnsi" w:hAnsiTheme="minorHAnsi" w:cs="Arial"/>
                <w:noProof w:val="0"/>
                <w:sz w:val="20"/>
              </w:rPr>
            </w:pPr>
            <w:r w:rsidRPr="00FD5D51">
              <w:rPr>
                <w:rFonts w:asciiTheme="minorHAnsi" w:hAnsiTheme="minorHAnsi" w:cs="Arial"/>
                <w:noProof w:val="0"/>
                <w:sz w:val="20"/>
              </w:rPr>
              <w:t>Limited on a per unit per month basis. Physicians order and nursing plan of care is required.</w:t>
            </w:r>
          </w:p>
        </w:tc>
      </w:tr>
      <w:tr w:rsidR="001C57BE" w:rsidRPr="00DF1D1C" w14:paraId="7A2AC61E" w14:textId="77777777" w:rsidTr="00FD5D51">
        <w:trPr>
          <w:cantSplit/>
        </w:trPr>
        <w:tc>
          <w:tcPr>
            <w:tcW w:w="2520" w:type="dxa"/>
            <w:shd w:val="clear" w:color="auto" w:fill="DEEAF6" w:themeFill="accent1" w:themeFillTint="33"/>
            <w:vAlign w:val="center"/>
          </w:tcPr>
          <w:p w14:paraId="04C3DA7C" w14:textId="77777777" w:rsidR="001C57BE" w:rsidRPr="00FD5D51" w:rsidRDefault="001C57BE" w:rsidP="00257641">
            <w:pPr>
              <w:spacing w:before="40" w:after="40"/>
              <w:rPr>
                <w:rFonts w:asciiTheme="minorHAnsi" w:hAnsiTheme="minorHAnsi" w:cs="Arial"/>
                <w:noProof w:val="0"/>
                <w:sz w:val="20"/>
              </w:rPr>
            </w:pPr>
            <w:r w:rsidRPr="00FD5D51">
              <w:rPr>
                <w:rFonts w:asciiTheme="minorHAnsi" w:hAnsiTheme="minorHAnsi" w:cs="Arial"/>
                <w:noProof w:val="0"/>
                <w:sz w:val="20"/>
              </w:rPr>
              <w:t>Prescription Drugs</w:t>
            </w:r>
          </w:p>
        </w:tc>
        <w:tc>
          <w:tcPr>
            <w:tcW w:w="3600" w:type="dxa"/>
            <w:shd w:val="clear" w:color="auto" w:fill="DEEAF6" w:themeFill="accent1" w:themeFillTint="33"/>
            <w:vAlign w:val="center"/>
          </w:tcPr>
          <w:p w14:paraId="68A16CF6" w14:textId="77777777" w:rsidR="001C57BE" w:rsidRPr="00FD5D51" w:rsidRDefault="001C57BE" w:rsidP="00257641">
            <w:pPr>
              <w:spacing w:before="40" w:after="40"/>
              <w:rPr>
                <w:rFonts w:asciiTheme="minorHAnsi" w:hAnsiTheme="minorHAnsi" w:cs="Arial"/>
                <w:noProof w:val="0"/>
                <w:sz w:val="20"/>
              </w:rPr>
            </w:pPr>
            <w:r w:rsidRPr="00FD5D51">
              <w:rPr>
                <w:rFonts w:asciiTheme="minorHAnsi" w:hAnsiTheme="minorHAnsi" w:cs="Arial"/>
                <w:noProof w:val="0"/>
                <w:sz w:val="20"/>
              </w:rPr>
              <w:t>Simple or compound substances prescribed for the cure, mitigation, or prevention of disease, or for health maintenance.</w:t>
            </w:r>
          </w:p>
        </w:tc>
        <w:tc>
          <w:tcPr>
            <w:tcW w:w="3600" w:type="dxa"/>
            <w:shd w:val="clear" w:color="auto" w:fill="DEEAF6" w:themeFill="accent1" w:themeFillTint="33"/>
            <w:vAlign w:val="center"/>
          </w:tcPr>
          <w:p w14:paraId="13DDFD6B" w14:textId="25F4E7E4" w:rsidR="001C57BE" w:rsidRPr="00FD5D51" w:rsidRDefault="001C57BE" w:rsidP="00257641">
            <w:pPr>
              <w:spacing w:before="40" w:after="40"/>
              <w:rPr>
                <w:rFonts w:asciiTheme="minorHAnsi" w:hAnsiTheme="minorHAnsi" w:cs="Arial"/>
                <w:noProof w:val="0"/>
                <w:sz w:val="20"/>
              </w:rPr>
            </w:pPr>
            <w:r w:rsidRPr="00FD5D51">
              <w:rPr>
                <w:rFonts w:asciiTheme="minorHAnsi" w:hAnsiTheme="minorHAnsi" w:cs="Arial"/>
                <w:noProof w:val="0"/>
                <w:sz w:val="20"/>
              </w:rPr>
              <w:t xml:space="preserve">Prescription drugs dispensed on an ambulatory basis by a pharmacy, family planning supplies, diabetic supplies, vitamins for children to age </w:t>
            </w:r>
            <w:r w:rsidR="00AE6880" w:rsidRPr="00FD5D51">
              <w:rPr>
                <w:rFonts w:asciiTheme="minorHAnsi" w:hAnsiTheme="minorHAnsi" w:cs="Arial"/>
                <w:noProof w:val="0"/>
                <w:sz w:val="20"/>
              </w:rPr>
              <w:t>twenty-one (</w:t>
            </w:r>
            <w:r w:rsidRPr="00FD5D51">
              <w:rPr>
                <w:rFonts w:asciiTheme="minorHAnsi" w:hAnsiTheme="minorHAnsi" w:cs="Arial"/>
                <w:noProof w:val="0"/>
                <w:sz w:val="20"/>
              </w:rPr>
              <w:t>21</w:t>
            </w:r>
            <w:r w:rsidR="00AE6880" w:rsidRPr="00FD5D51">
              <w:rPr>
                <w:rFonts w:asciiTheme="minorHAnsi" w:hAnsiTheme="minorHAnsi" w:cs="Arial"/>
                <w:noProof w:val="0"/>
                <w:sz w:val="20"/>
              </w:rPr>
              <w:t>)</w:t>
            </w:r>
            <w:r w:rsidRPr="00FD5D51">
              <w:rPr>
                <w:rFonts w:asciiTheme="minorHAnsi" w:hAnsiTheme="minorHAnsi" w:cs="Arial"/>
                <w:noProof w:val="0"/>
                <w:sz w:val="20"/>
              </w:rPr>
              <w:t>, and prenatal vitamins.</w:t>
            </w:r>
          </w:p>
        </w:tc>
        <w:tc>
          <w:tcPr>
            <w:tcW w:w="3225" w:type="dxa"/>
            <w:shd w:val="clear" w:color="auto" w:fill="DEEAF6" w:themeFill="accent1" w:themeFillTint="33"/>
            <w:vAlign w:val="center"/>
          </w:tcPr>
          <w:p w14:paraId="464FB049" w14:textId="77777777" w:rsidR="001C57BE" w:rsidRPr="00FD5D51" w:rsidRDefault="001C57BE" w:rsidP="00257641">
            <w:pPr>
              <w:spacing w:before="40" w:after="40"/>
              <w:rPr>
                <w:rFonts w:asciiTheme="minorHAnsi" w:hAnsiTheme="minorHAnsi" w:cs="Arial"/>
                <w:noProof w:val="0"/>
                <w:sz w:val="20"/>
              </w:rPr>
            </w:pPr>
            <w:r w:rsidRPr="00FD5D51">
              <w:rPr>
                <w:rFonts w:asciiTheme="minorHAnsi" w:hAnsiTheme="minorHAnsi" w:cs="Arial"/>
                <w:noProof w:val="0"/>
                <w:sz w:val="20"/>
              </w:rPr>
              <w:t>Not Covered: Drugs for weight gain, cosmetic purposes, hair growth, fertility, less than effective drugs and experimental drugs. Hemophilia blood factors are covered by Medicaid fee-for-service. Drugs and supplies dispensed by a physician acquired by the physician at no cost are not covered.</w:t>
            </w:r>
            <w:r w:rsidRPr="00FD5D51">
              <w:rPr>
                <w:rFonts w:asciiTheme="minorHAnsi" w:hAnsiTheme="minorHAnsi" w:cs="Arial"/>
                <w:sz w:val="20"/>
              </w:rPr>
              <w:t xml:space="preserve"> </w:t>
            </w:r>
            <w:r w:rsidRPr="00FD5D51">
              <w:rPr>
                <w:rFonts w:asciiTheme="minorHAnsi" w:hAnsiTheme="minorHAnsi" w:cs="Arial"/>
                <w:noProof w:val="0"/>
                <w:sz w:val="20"/>
              </w:rPr>
              <w:t xml:space="preserve">Hemophilia-related clotting factor drugs and Hepatitis-C virus-related drugs are covered by FFS. </w:t>
            </w:r>
          </w:p>
        </w:tc>
      </w:tr>
      <w:tr w:rsidR="001C57BE" w:rsidRPr="00DF1D1C" w14:paraId="485164B1" w14:textId="77777777" w:rsidTr="00FD5D51">
        <w:trPr>
          <w:cantSplit/>
        </w:trPr>
        <w:tc>
          <w:tcPr>
            <w:tcW w:w="2520" w:type="dxa"/>
            <w:vAlign w:val="center"/>
          </w:tcPr>
          <w:p w14:paraId="55FF78CA" w14:textId="77777777" w:rsidR="001C57BE" w:rsidRPr="00FD5D51" w:rsidRDefault="001C57BE" w:rsidP="00257641">
            <w:pPr>
              <w:spacing w:before="40" w:after="40"/>
              <w:rPr>
                <w:rFonts w:asciiTheme="minorHAnsi" w:hAnsiTheme="minorHAnsi" w:cs="Arial"/>
                <w:noProof w:val="0"/>
                <w:sz w:val="20"/>
              </w:rPr>
            </w:pPr>
            <w:r w:rsidRPr="00FD5D51">
              <w:rPr>
                <w:rFonts w:asciiTheme="minorHAnsi" w:hAnsiTheme="minorHAnsi" w:cs="Arial"/>
                <w:noProof w:val="0"/>
                <w:sz w:val="20"/>
              </w:rPr>
              <w:t>School-based Services</w:t>
            </w:r>
          </w:p>
        </w:tc>
        <w:tc>
          <w:tcPr>
            <w:tcW w:w="3600" w:type="dxa"/>
            <w:vAlign w:val="center"/>
          </w:tcPr>
          <w:p w14:paraId="44C9BC04" w14:textId="07BADC4E" w:rsidR="001C57BE" w:rsidRPr="00FD5D51" w:rsidRDefault="001C57BE" w:rsidP="00257641">
            <w:pPr>
              <w:spacing w:before="40" w:after="40"/>
              <w:rPr>
                <w:rFonts w:asciiTheme="minorHAnsi" w:hAnsiTheme="minorHAnsi" w:cs="Arial"/>
                <w:noProof w:val="0"/>
                <w:sz w:val="20"/>
              </w:rPr>
            </w:pPr>
            <w:r w:rsidRPr="00FD5D51">
              <w:rPr>
                <w:rFonts w:asciiTheme="minorHAnsi" w:hAnsiTheme="minorHAnsi" w:cs="Arial"/>
                <w:noProof w:val="0"/>
                <w:sz w:val="20"/>
              </w:rPr>
              <w:t>Services provided by a</w:t>
            </w:r>
            <w:r w:rsidR="00F24820" w:rsidRPr="00FD5D51">
              <w:rPr>
                <w:rFonts w:asciiTheme="minorHAnsi" w:hAnsiTheme="minorHAnsi" w:cs="Arial"/>
                <w:noProof w:val="0"/>
                <w:sz w:val="20"/>
              </w:rPr>
              <w:t xml:space="preserve"> </w:t>
            </w:r>
            <w:r w:rsidRPr="00FD5D51">
              <w:rPr>
                <w:rFonts w:asciiTheme="minorHAnsi" w:hAnsiTheme="minorHAnsi" w:cs="Arial"/>
                <w:noProof w:val="0"/>
                <w:sz w:val="20"/>
              </w:rPr>
              <w:t>physical therapist, speech therapist, occupational therapist, nursing care agency, or audiologist in a school-based setting.</w:t>
            </w:r>
          </w:p>
        </w:tc>
        <w:tc>
          <w:tcPr>
            <w:tcW w:w="3600" w:type="dxa"/>
            <w:vAlign w:val="center"/>
          </w:tcPr>
          <w:p w14:paraId="0A3ECF1B" w14:textId="77777777" w:rsidR="001C57BE" w:rsidRPr="00FD5D51" w:rsidRDefault="001C57BE" w:rsidP="00257641">
            <w:pPr>
              <w:spacing w:before="40" w:after="40"/>
              <w:rPr>
                <w:rFonts w:asciiTheme="minorHAnsi" w:hAnsiTheme="minorHAnsi" w:cs="Arial"/>
                <w:noProof w:val="0"/>
                <w:sz w:val="20"/>
              </w:rPr>
            </w:pPr>
            <w:r w:rsidRPr="00FD5D51">
              <w:rPr>
                <w:rFonts w:asciiTheme="minorHAnsi" w:hAnsiTheme="minorHAnsi" w:cs="Arial"/>
                <w:noProof w:val="0"/>
                <w:sz w:val="20"/>
              </w:rPr>
              <w:t>Services provided in a school-based setting.</w:t>
            </w:r>
          </w:p>
        </w:tc>
        <w:tc>
          <w:tcPr>
            <w:tcW w:w="3225" w:type="dxa"/>
            <w:vAlign w:val="center"/>
          </w:tcPr>
          <w:p w14:paraId="269BF6A2" w14:textId="567027E0" w:rsidR="001C57BE" w:rsidRPr="00FD5D51" w:rsidRDefault="001C57BE" w:rsidP="00257641">
            <w:pPr>
              <w:spacing w:before="40" w:after="40"/>
              <w:rPr>
                <w:rFonts w:asciiTheme="minorHAnsi" w:hAnsiTheme="minorHAnsi" w:cs="Arial"/>
                <w:noProof w:val="0"/>
                <w:sz w:val="20"/>
              </w:rPr>
            </w:pPr>
            <w:r w:rsidRPr="00FD5D51">
              <w:rPr>
                <w:rFonts w:asciiTheme="minorHAnsi" w:hAnsiTheme="minorHAnsi" w:cs="Arial"/>
                <w:noProof w:val="0"/>
                <w:sz w:val="20"/>
              </w:rPr>
              <w:t xml:space="preserve">Limited to individuals under age </w:t>
            </w:r>
            <w:r w:rsidR="00AE6880" w:rsidRPr="00FD5D51">
              <w:rPr>
                <w:rFonts w:asciiTheme="minorHAnsi" w:hAnsiTheme="minorHAnsi" w:cs="Arial"/>
                <w:noProof w:val="0"/>
                <w:sz w:val="20"/>
              </w:rPr>
              <w:t>twenty-one (</w:t>
            </w:r>
            <w:r w:rsidRPr="00FD5D51">
              <w:rPr>
                <w:rFonts w:asciiTheme="minorHAnsi" w:hAnsiTheme="minorHAnsi" w:cs="Arial"/>
                <w:noProof w:val="0"/>
                <w:sz w:val="20"/>
              </w:rPr>
              <w:t>21</w:t>
            </w:r>
            <w:r w:rsidR="00AE6880" w:rsidRPr="00FD5D51">
              <w:rPr>
                <w:rFonts w:asciiTheme="minorHAnsi" w:hAnsiTheme="minorHAnsi" w:cs="Arial"/>
                <w:noProof w:val="0"/>
                <w:sz w:val="20"/>
              </w:rPr>
              <w:t>)</w:t>
            </w:r>
            <w:r w:rsidRPr="00FD5D51">
              <w:rPr>
                <w:rFonts w:asciiTheme="minorHAnsi" w:hAnsiTheme="minorHAnsi" w:cs="Arial"/>
                <w:noProof w:val="0"/>
                <w:sz w:val="20"/>
              </w:rPr>
              <w:t>. Refer to the FFS Medicaid provider manuals for an explanation of service limitations.</w:t>
            </w:r>
          </w:p>
        </w:tc>
      </w:tr>
      <w:tr w:rsidR="001C57BE" w:rsidRPr="00DF1D1C" w14:paraId="71165E1D" w14:textId="77777777" w:rsidTr="00FD5D51">
        <w:trPr>
          <w:cantSplit/>
        </w:trPr>
        <w:tc>
          <w:tcPr>
            <w:tcW w:w="2520" w:type="dxa"/>
            <w:shd w:val="clear" w:color="auto" w:fill="DEEAF6" w:themeFill="accent1" w:themeFillTint="33"/>
            <w:vAlign w:val="center"/>
          </w:tcPr>
          <w:p w14:paraId="7590AAD9" w14:textId="77777777" w:rsidR="001C57BE" w:rsidRPr="00FD5D51" w:rsidRDefault="001C57BE" w:rsidP="00257641">
            <w:pPr>
              <w:spacing w:before="40" w:after="40"/>
              <w:rPr>
                <w:rFonts w:asciiTheme="minorHAnsi" w:hAnsiTheme="minorHAnsi" w:cs="Arial"/>
                <w:noProof w:val="0"/>
                <w:sz w:val="20"/>
              </w:rPr>
            </w:pPr>
            <w:r w:rsidRPr="00FD5D51">
              <w:rPr>
                <w:rFonts w:asciiTheme="minorHAnsi" w:hAnsiTheme="minorHAnsi" w:cs="Arial"/>
                <w:noProof w:val="0"/>
                <w:sz w:val="20"/>
              </w:rPr>
              <w:lastRenderedPageBreak/>
              <w:t>Organ Transplant Services</w:t>
            </w:r>
          </w:p>
        </w:tc>
        <w:tc>
          <w:tcPr>
            <w:tcW w:w="3600" w:type="dxa"/>
            <w:shd w:val="clear" w:color="auto" w:fill="DEEAF6" w:themeFill="accent1" w:themeFillTint="33"/>
            <w:vAlign w:val="center"/>
          </w:tcPr>
          <w:p w14:paraId="49F72AC9" w14:textId="77777777" w:rsidR="001C57BE" w:rsidRPr="00FD5D51" w:rsidRDefault="001C57BE" w:rsidP="00257641">
            <w:pPr>
              <w:spacing w:before="40" w:after="40"/>
              <w:rPr>
                <w:rFonts w:asciiTheme="minorHAnsi" w:hAnsiTheme="minorHAnsi" w:cs="Arial"/>
                <w:noProof w:val="0"/>
                <w:sz w:val="20"/>
              </w:rPr>
            </w:pPr>
            <w:r w:rsidRPr="00FD5D51">
              <w:rPr>
                <w:rFonts w:asciiTheme="minorHAnsi" w:hAnsiTheme="minorHAnsi" w:cs="Arial"/>
                <w:noProof w:val="0"/>
                <w:sz w:val="20"/>
              </w:rPr>
              <w:t>Transplantation of organs and tissues</w:t>
            </w:r>
          </w:p>
        </w:tc>
        <w:tc>
          <w:tcPr>
            <w:tcW w:w="3600" w:type="dxa"/>
            <w:shd w:val="clear" w:color="auto" w:fill="DEEAF6" w:themeFill="accent1" w:themeFillTint="33"/>
            <w:vAlign w:val="center"/>
          </w:tcPr>
          <w:p w14:paraId="2A3146D9" w14:textId="26A250F0" w:rsidR="001C57BE" w:rsidRPr="00FD5D51" w:rsidRDefault="001C57BE" w:rsidP="00257641">
            <w:pPr>
              <w:spacing w:before="40" w:after="40"/>
              <w:rPr>
                <w:rFonts w:asciiTheme="minorHAnsi" w:hAnsiTheme="minorHAnsi" w:cs="Arial"/>
                <w:noProof w:val="0"/>
                <w:sz w:val="20"/>
              </w:rPr>
            </w:pPr>
            <w:r w:rsidRPr="00FD5D51">
              <w:rPr>
                <w:rFonts w:asciiTheme="minorHAnsi" w:hAnsiTheme="minorHAnsi" w:cs="Arial"/>
                <w:noProof w:val="0"/>
                <w:sz w:val="20"/>
              </w:rPr>
              <w:t>Organ transplant services are covered when considered generally safe, effective</w:t>
            </w:r>
            <w:r w:rsidR="00537804" w:rsidRPr="00FD5D51">
              <w:rPr>
                <w:rFonts w:asciiTheme="minorHAnsi" w:hAnsiTheme="minorHAnsi" w:cs="Arial"/>
                <w:noProof w:val="0"/>
                <w:sz w:val="20"/>
              </w:rPr>
              <w:t>,</w:t>
            </w:r>
            <w:r w:rsidRPr="00FD5D51">
              <w:rPr>
                <w:rFonts w:asciiTheme="minorHAnsi" w:hAnsiTheme="minorHAnsi" w:cs="Arial"/>
                <w:noProof w:val="0"/>
                <w:sz w:val="20"/>
              </w:rPr>
              <w:t xml:space="preserve"> and medically necessary, and when no alternative medical treatment as recognized by the medical community is available. The transplant must be utilized for the management of disease as a recognized standard treatment in the medical community and must not be of an investigational or research nature and must be used for end-stage diseases, not as prophylactic treatment.</w:t>
            </w:r>
          </w:p>
        </w:tc>
        <w:tc>
          <w:tcPr>
            <w:tcW w:w="3225" w:type="dxa"/>
            <w:shd w:val="clear" w:color="auto" w:fill="DEEAF6" w:themeFill="accent1" w:themeFillTint="33"/>
            <w:vAlign w:val="center"/>
          </w:tcPr>
          <w:p w14:paraId="3F77C6E7" w14:textId="3FFE05F1" w:rsidR="001C57BE" w:rsidRPr="00FD5D51" w:rsidRDefault="00604812" w:rsidP="00257641">
            <w:pPr>
              <w:spacing w:before="40" w:after="40"/>
              <w:rPr>
                <w:rFonts w:asciiTheme="minorHAnsi" w:hAnsiTheme="minorHAnsi" w:cs="Arial"/>
                <w:noProof w:val="0"/>
                <w:sz w:val="20"/>
              </w:rPr>
            </w:pPr>
            <w:r w:rsidRPr="00FD5D51">
              <w:rPr>
                <w:rFonts w:asciiTheme="minorHAnsi" w:hAnsiTheme="minorHAnsi" w:cs="Arial"/>
                <w:noProof w:val="0"/>
                <w:sz w:val="20"/>
              </w:rPr>
              <w:t>Corneal transplant services are covered under managed care, not FFS.</w:t>
            </w:r>
          </w:p>
        </w:tc>
      </w:tr>
      <w:tr w:rsidR="00124358" w:rsidRPr="00DF1D1C" w14:paraId="69C68DD8" w14:textId="77777777" w:rsidTr="00C6361E">
        <w:trPr>
          <w:cantSplit/>
        </w:trPr>
        <w:tc>
          <w:tcPr>
            <w:tcW w:w="2520" w:type="dxa"/>
            <w:shd w:val="clear" w:color="auto" w:fill="FFFFFF" w:themeFill="background1"/>
            <w:vAlign w:val="center"/>
          </w:tcPr>
          <w:p w14:paraId="1C18DBCC" w14:textId="306EFA97" w:rsidR="00124358" w:rsidRPr="00FD5D51" w:rsidRDefault="00DD27BC" w:rsidP="00257641">
            <w:pPr>
              <w:spacing w:before="40" w:after="40"/>
              <w:rPr>
                <w:rFonts w:asciiTheme="minorHAnsi" w:hAnsiTheme="minorHAnsi" w:cs="Arial"/>
                <w:noProof w:val="0"/>
                <w:sz w:val="20"/>
              </w:rPr>
            </w:pPr>
            <w:r w:rsidRPr="00C6361E">
              <w:rPr>
                <w:rFonts w:asciiTheme="minorHAnsi" w:hAnsiTheme="minorHAnsi" w:cs="Arial"/>
                <w:noProof w:val="0"/>
                <w:sz w:val="20"/>
              </w:rPr>
              <w:t>Substance Use Disorder (SUD) Services</w:t>
            </w:r>
          </w:p>
        </w:tc>
        <w:tc>
          <w:tcPr>
            <w:tcW w:w="3600" w:type="dxa"/>
            <w:shd w:val="clear" w:color="auto" w:fill="FFFFFF" w:themeFill="background1"/>
            <w:vAlign w:val="center"/>
          </w:tcPr>
          <w:p w14:paraId="00B4E646" w14:textId="23A6DE1D" w:rsidR="00124358" w:rsidRPr="00FD5D51" w:rsidRDefault="00DD27BC" w:rsidP="00257641">
            <w:pPr>
              <w:spacing w:before="40" w:after="40"/>
              <w:rPr>
                <w:rFonts w:asciiTheme="minorHAnsi" w:hAnsiTheme="minorHAnsi" w:cs="Arial"/>
                <w:noProof w:val="0"/>
                <w:sz w:val="20"/>
              </w:rPr>
            </w:pPr>
            <w:r w:rsidRPr="00C6361E">
              <w:rPr>
                <w:rFonts w:asciiTheme="minorHAnsi" w:hAnsiTheme="minorHAnsi" w:cs="Arial"/>
                <w:noProof w:val="0"/>
                <w:sz w:val="20"/>
              </w:rPr>
              <w:t>Physician-supervised daily or several times weekly opioid agonist medication and counseling services provided to maintain multidimensional stability to those with severe opioid use disorder</w:t>
            </w:r>
            <w:r>
              <w:rPr>
                <w:rFonts w:asciiTheme="minorHAnsi" w:hAnsiTheme="minorHAnsi" w:cs="Arial"/>
                <w:noProof w:val="0"/>
                <w:sz w:val="20"/>
              </w:rPr>
              <w:t>.</w:t>
            </w:r>
          </w:p>
        </w:tc>
        <w:tc>
          <w:tcPr>
            <w:tcW w:w="3600" w:type="dxa"/>
            <w:shd w:val="clear" w:color="auto" w:fill="FFFFFF" w:themeFill="background1"/>
            <w:vAlign w:val="center"/>
          </w:tcPr>
          <w:p w14:paraId="36F2B1A5" w14:textId="65B2F586" w:rsidR="00124358" w:rsidRPr="00FD5D51" w:rsidRDefault="00605533" w:rsidP="00257641">
            <w:pPr>
              <w:spacing w:before="40" w:after="40"/>
              <w:rPr>
                <w:rFonts w:asciiTheme="minorHAnsi" w:hAnsiTheme="minorHAnsi" w:cs="Arial"/>
                <w:noProof w:val="0"/>
                <w:sz w:val="20"/>
              </w:rPr>
            </w:pPr>
            <w:r w:rsidRPr="00605533">
              <w:rPr>
                <w:rFonts w:asciiTheme="minorHAnsi" w:hAnsiTheme="minorHAnsi" w:cs="Arial"/>
                <w:noProof w:val="0"/>
                <w:sz w:val="20"/>
              </w:rPr>
              <w:t>Opioid Treatment Program services (methadone only)</w:t>
            </w:r>
          </w:p>
        </w:tc>
        <w:tc>
          <w:tcPr>
            <w:tcW w:w="3225" w:type="dxa"/>
            <w:shd w:val="clear" w:color="auto" w:fill="FFFFFF" w:themeFill="background1"/>
            <w:vAlign w:val="center"/>
          </w:tcPr>
          <w:p w14:paraId="1795D2D9" w14:textId="2E1AC26B" w:rsidR="00124358" w:rsidRPr="00FD5D51" w:rsidRDefault="00DD27BC" w:rsidP="00A730BB">
            <w:pPr>
              <w:spacing w:before="40" w:after="40"/>
              <w:rPr>
                <w:rFonts w:asciiTheme="minorHAnsi" w:hAnsiTheme="minorHAnsi" w:cs="Arial"/>
                <w:noProof w:val="0"/>
                <w:sz w:val="20"/>
              </w:rPr>
            </w:pPr>
            <w:r w:rsidRPr="00DD27BC">
              <w:rPr>
                <w:rFonts w:asciiTheme="minorHAnsi" w:hAnsiTheme="minorHAnsi" w:cs="Arial"/>
                <w:noProof w:val="0"/>
                <w:sz w:val="20"/>
              </w:rPr>
              <w:t xml:space="preserve">Must be provided in a </w:t>
            </w:r>
            <w:r>
              <w:rPr>
                <w:rFonts w:asciiTheme="minorHAnsi" w:hAnsiTheme="minorHAnsi" w:cs="Arial"/>
                <w:noProof w:val="0"/>
                <w:sz w:val="20"/>
              </w:rPr>
              <w:t>Department</w:t>
            </w:r>
            <w:r w:rsidRPr="00DD27BC">
              <w:rPr>
                <w:rFonts w:asciiTheme="minorHAnsi" w:hAnsiTheme="minorHAnsi" w:cs="Arial"/>
                <w:noProof w:val="0"/>
                <w:sz w:val="20"/>
              </w:rPr>
              <w:t>-licensed methadone clinic and in accordance with ASAM® criteria.</w:t>
            </w:r>
          </w:p>
        </w:tc>
      </w:tr>
      <w:tr w:rsidR="00124358" w:rsidRPr="00DF1D1C" w14:paraId="4FBD319F" w14:textId="77777777" w:rsidTr="00FD5D51">
        <w:trPr>
          <w:cantSplit/>
        </w:trPr>
        <w:tc>
          <w:tcPr>
            <w:tcW w:w="2520" w:type="dxa"/>
            <w:shd w:val="clear" w:color="auto" w:fill="DEEAF6" w:themeFill="accent1" w:themeFillTint="33"/>
            <w:vAlign w:val="center"/>
          </w:tcPr>
          <w:p w14:paraId="41C417E2" w14:textId="1D31C179" w:rsidR="00124358" w:rsidRPr="00FD5D51" w:rsidRDefault="00124358" w:rsidP="00124358">
            <w:pPr>
              <w:spacing w:before="40" w:after="40"/>
              <w:rPr>
                <w:rFonts w:asciiTheme="minorHAnsi" w:hAnsiTheme="minorHAnsi" w:cs="Arial"/>
                <w:noProof w:val="0"/>
                <w:sz w:val="20"/>
              </w:rPr>
            </w:pPr>
            <w:r w:rsidRPr="00FD5D51">
              <w:rPr>
                <w:rFonts w:asciiTheme="minorHAnsi" w:hAnsiTheme="minorHAnsi" w:cs="Arial"/>
                <w:noProof w:val="0"/>
                <w:sz w:val="20"/>
              </w:rPr>
              <w:t>Transportation, Non-emergency</w:t>
            </w:r>
          </w:p>
        </w:tc>
        <w:tc>
          <w:tcPr>
            <w:tcW w:w="3600" w:type="dxa"/>
            <w:shd w:val="clear" w:color="auto" w:fill="DEEAF6" w:themeFill="accent1" w:themeFillTint="33"/>
            <w:vAlign w:val="center"/>
          </w:tcPr>
          <w:p w14:paraId="1AD507F7" w14:textId="18D7FF06" w:rsidR="00124358" w:rsidRPr="00FD5D51" w:rsidRDefault="00124358" w:rsidP="00124358">
            <w:pPr>
              <w:spacing w:before="40" w:after="40"/>
              <w:rPr>
                <w:rFonts w:asciiTheme="minorHAnsi" w:hAnsiTheme="minorHAnsi" w:cs="Arial"/>
                <w:noProof w:val="0"/>
                <w:sz w:val="20"/>
              </w:rPr>
            </w:pPr>
            <w:r w:rsidRPr="00FD5D51">
              <w:rPr>
                <w:rFonts w:asciiTheme="minorHAnsi" w:hAnsiTheme="minorHAnsi" w:cs="Arial"/>
                <w:noProof w:val="0"/>
                <w:sz w:val="20"/>
              </w:rPr>
              <w:t>Routine medical transportation to and from Medicaid covered scheduled medical appointments.</w:t>
            </w:r>
          </w:p>
        </w:tc>
        <w:tc>
          <w:tcPr>
            <w:tcW w:w="3600" w:type="dxa"/>
            <w:shd w:val="clear" w:color="auto" w:fill="DEEAF6" w:themeFill="accent1" w:themeFillTint="33"/>
            <w:vAlign w:val="center"/>
          </w:tcPr>
          <w:p w14:paraId="799F5C34" w14:textId="315F4845" w:rsidR="00124358" w:rsidRPr="00FD5D51" w:rsidRDefault="00124358" w:rsidP="00124358">
            <w:pPr>
              <w:spacing w:before="40" w:after="40"/>
              <w:rPr>
                <w:rFonts w:asciiTheme="minorHAnsi" w:hAnsiTheme="minorHAnsi" w:cs="Arial"/>
                <w:noProof w:val="0"/>
                <w:sz w:val="20"/>
              </w:rPr>
            </w:pPr>
            <w:r w:rsidRPr="00FD5D51">
              <w:rPr>
                <w:rFonts w:asciiTheme="minorHAnsi" w:hAnsiTheme="minorHAnsi" w:cs="Arial"/>
                <w:noProof w:val="0"/>
                <w:sz w:val="20"/>
              </w:rPr>
              <w:t>Includes transportation via multi-passenger van services and common carriers such as public railways, buses, cabs, airlines, and private vehicle transportation by individuals. Ambulance services as appropriate</w:t>
            </w:r>
          </w:p>
        </w:tc>
        <w:tc>
          <w:tcPr>
            <w:tcW w:w="3225" w:type="dxa"/>
            <w:shd w:val="clear" w:color="auto" w:fill="DEEAF6" w:themeFill="accent1" w:themeFillTint="33"/>
            <w:vAlign w:val="center"/>
          </w:tcPr>
          <w:p w14:paraId="71A1300C" w14:textId="2F6456A9" w:rsidR="00124358" w:rsidRPr="00FD5D51" w:rsidRDefault="00124358" w:rsidP="00124358">
            <w:pPr>
              <w:spacing w:before="40" w:after="40"/>
              <w:rPr>
                <w:rFonts w:asciiTheme="minorHAnsi" w:hAnsiTheme="minorHAnsi" w:cs="Arial"/>
                <w:noProof w:val="0"/>
                <w:sz w:val="20"/>
              </w:rPr>
            </w:pPr>
            <w:r w:rsidRPr="00FD5D51">
              <w:rPr>
                <w:rFonts w:asciiTheme="minorHAnsi" w:hAnsiTheme="minorHAnsi" w:cs="Arial"/>
                <w:noProof w:val="0"/>
                <w:sz w:val="20"/>
              </w:rPr>
              <w:t xml:space="preserve">Prior authorization by BMS is required for multi-passenger van services. Prior authorization by county DHHR staff is required for transportation by common carriers. </w:t>
            </w:r>
          </w:p>
        </w:tc>
      </w:tr>
    </w:tbl>
    <w:p w14:paraId="01ED6EC4" w14:textId="77777777" w:rsidR="00784EDE" w:rsidRPr="00DF1D1C" w:rsidRDefault="00784EDE" w:rsidP="00096A5D">
      <w:pPr>
        <w:pStyle w:val="normal6"/>
      </w:pPr>
    </w:p>
    <w:p w14:paraId="0CBEFC9E" w14:textId="77777777" w:rsidR="00784EDE" w:rsidRPr="00DF1D1C" w:rsidRDefault="00784EDE" w:rsidP="00257641">
      <w:pPr>
        <w:keepNext/>
        <w:rPr>
          <w:rFonts w:ascii="Arial" w:hAnsi="Arial" w:cs="Arial"/>
          <w:b/>
        </w:rPr>
      </w:pPr>
      <w:r w:rsidRPr="00DF1D1C">
        <w:rPr>
          <w:rFonts w:ascii="Arial" w:hAnsi="Arial" w:cs="Arial"/>
          <w:b/>
        </w:rPr>
        <w:t>Abortion Services</w:t>
      </w:r>
    </w:p>
    <w:p w14:paraId="66C45216" w14:textId="19D68B68" w:rsidR="00784EDE" w:rsidRDefault="00784EDE" w:rsidP="00096A5D">
      <w:r w:rsidRPr="00DF1D1C">
        <w:t xml:space="preserve">Under the terms of </w:t>
      </w:r>
      <w:r w:rsidR="00F33B38" w:rsidRPr="00DF1D1C">
        <w:t xml:space="preserve">this </w:t>
      </w:r>
      <w:r w:rsidR="00F33B38">
        <w:t>Contract</w:t>
      </w:r>
      <w:r w:rsidRPr="00DF1D1C">
        <w:t xml:space="preserve">, </w:t>
      </w:r>
      <w:r w:rsidR="00F33B38">
        <w:t xml:space="preserve">MCO </w:t>
      </w:r>
      <w:r w:rsidR="00F33B38" w:rsidRPr="00DF1D1C">
        <w:t>may</w:t>
      </w:r>
      <w:r w:rsidR="00F33B38">
        <w:t xml:space="preserve"> </w:t>
      </w:r>
      <w:r w:rsidR="00F33B38" w:rsidRPr="00DF1D1C">
        <w:t>not</w:t>
      </w:r>
      <w:r w:rsidR="003F6D2C">
        <w:t xml:space="preserve"> </w:t>
      </w:r>
      <w:r w:rsidRPr="00DF1D1C">
        <w:t xml:space="preserve">reimburse </w:t>
      </w:r>
      <w:r w:rsidR="004A3F80">
        <w:t xml:space="preserve">Medicaid </w:t>
      </w:r>
      <w:r w:rsidR="00F33B38">
        <w:t xml:space="preserve">providers </w:t>
      </w:r>
      <w:r w:rsidR="00F33B38" w:rsidRPr="00DF1D1C">
        <w:t>for</w:t>
      </w:r>
      <w:r w:rsidRPr="00DF1D1C">
        <w:t xml:space="preserve"> the services provided </w:t>
      </w:r>
      <w:r w:rsidR="00781654">
        <w:t>enrollees</w:t>
      </w:r>
      <w:r w:rsidR="00781654" w:rsidRPr="00DF1D1C">
        <w:t xml:space="preserve"> </w:t>
      </w:r>
      <w:r w:rsidRPr="00DF1D1C">
        <w:t>under</w:t>
      </w:r>
      <w:r w:rsidR="00B7726D">
        <w:t xml:space="preserve"> any</w:t>
      </w:r>
      <w:r w:rsidRPr="00DF1D1C">
        <w:t xml:space="preserve"> reported and verified abortion CPT codes. </w:t>
      </w:r>
      <w:r w:rsidR="00C817A7">
        <w:t xml:space="preserve">Abortion Services </w:t>
      </w:r>
      <w:r w:rsidR="004B760C">
        <w:t>will</w:t>
      </w:r>
      <w:r w:rsidR="00C817A7">
        <w:t xml:space="preserve"> be reimbursed under</w:t>
      </w:r>
      <w:r w:rsidR="00727A83">
        <w:t xml:space="preserve"> </w:t>
      </w:r>
      <w:r w:rsidR="00724EFE">
        <w:t>FFS</w:t>
      </w:r>
      <w:r w:rsidR="00DA30C4">
        <w:t xml:space="preserve"> </w:t>
      </w:r>
      <w:r w:rsidR="00C817A7">
        <w:t xml:space="preserve">Medicaid. </w:t>
      </w:r>
    </w:p>
    <w:p w14:paraId="74A1CA43" w14:textId="3FE0AF46" w:rsidR="00363A66" w:rsidRPr="00CC2D47" w:rsidRDefault="00363A66" w:rsidP="00257641">
      <w:pPr>
        <w:keepNext/>
        <w:keepLines/>
        <w:ind w:firstLine="720"/>
        <w:jc w:val="center"/>
        <w:outlineLvl w:val="2"/>
        <w:rPr>
          <w:rFonts w:ascii="Arial" w:hAnsi="Arial" w:cs="Arial"/>
          <w:b/>
          <w:bCs/>
          <w:noProof w:val="0"/>
          <w:szCs w:val="24"/>
        </w:rPr>
      </w:pPr>
      <w:r w:rsidRPr="00CC2D47">
        <w:rPr>
          <w:rFonts w:ascii="Arial" w:hAnsi="Arial" w:cs="Arial"/>
          <w:b/>
          <w:bCs/>
          <w:noProof w:val="0"/>
          <w:szCs w:val="24"/>
        </w:rPr>
        <w:lastRenderedPageBreak/>
        <w:t>Covered Socially Necessary Services</w:t>
      </w:r>
      <w:r w:rsidR="0056293A">
        <w:rPr>
          <w:rFonts w:ascii="Arial" w:hAnsi="Arial" w:cs="Arial"/>
          <w:b/>
          <w:bCs/>
          <w:noProof w:val="0"/>
          <w:szCs w:val="24"/>
        </w:rPr>
        <w:t xml:space="preserve"> Delivered Through the ASO</w:t>
      </w:r>
      <w:r w:rsidRPr="00CC2D47">
        <w:rPr>
          <w:rFonts w:ascii="Arial" w:hAnsi="Arial" w:cs="Arial"/>
          <w:b/>
          <w:bCs/>
          <w:noProof w:val="0"/>
          <w:szCs w:val="24"/>
        </w:rPr>
        <w:t xml:space="preserve"> </w:t>
      </w:r>
    </w:p>
    <w:tbl>
      <w:tblPr>
        <w:tblW w:w="12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2160"/>
        <w:gridCol w:w="2260"/>
        <w:gridCol w:w="2520"/>
        <w:gridCol w:w="2710"/>
      </w:tblGrid>
      <w:tr w:rsidR="000C487E" w:rsidRPr="00FD5D51" w14:paraId="251E8A27" w14:textId="77777777" w:rsidTr="00FD5D51">
        <w:trPr>
          <w:cantSplit/>
          <w:tblHeader/>
        </w:trPr>
        <w:tc>
          <w:tcPr>
            <w:tcW w:w="3235" w:type="dxa"/>
            <w:tcBorders>
              <w:right w:val="single" w:sz="4" w:space="0" w:color="FFFFFF" w:themeColor="background1"/>
            </w:tcBorders>
            <w:shd w:val="clear" w:color="auto" w:fill="004250"/>
            <w:vAlign w:val="center"/>
          </w:tcPr>
          <w:p w14:paraId="7DD9723C" w14:textId="7AFFABC4" w:rsidR="00363A66" w:rsidRPr="00FD5D51" w:rsidRDefault="00FD5D51" w:rsidP="00FD5D51">
            <w:pPr>
              <w:spacing w:before="40" w:after="40"/>
              <w:jc w:val="center"/>
              <w:rPr>
                <w:rFonts w:asciiTheme="minorHAnsi" w:hAnsiTheme="minorHAnsi" w:cs="Arial"/>
                <w:b/>
                <w:sz w:val="22"/>
                <w:szCs w:val="22"/>
              </w:rPr>
            </w:pPr>
            <w:r w:rsidRPr="00FD5D51">
              <w:rPr>
                <w:rFonts w:asciiTheme="minorHAnsi" w:hAnsiTheme="minorHAnsi" w:cs="Arial"/>
                <w:b/>
                <w:sz w:val="22"/>
                <w:szCs w:val="22"/>
              </w:rPr>
              <w:t>SNS PROGRAM CATEGORY</w:t>
            </w:r>
          </w:p>
        </w:tc>
        <w:tc>
          <w:tcPr>
            <w:tcW w:w="2160" w:type="dxa"/>
            <w:tcBorders>
              <w:left w:val="single" w:sz="4" w:space="0" w:color="FFFFFF" w:themeColor="background1"/>
              <w:right w:val="single" w:sz="4" w:space="0" w:color="FFFFFF" w:themeColor="background1"/>
            </w:tcBorders>
            <w:shd w:val="clear" w:color="auto" w:fill="004250"/>
            <w:vAlign w:val="center"/>
          </w:tcPr>
          <w:p w14:paraId="1A00586B" w14:textId="77777777" w:rsidR="00363A66" w:rsidRPr="00FD5D51" w:rsidRDefault="00363A66" w:rsidP="00FD5D51">
            <w:pPr>
              <w:spacing w:before="40" w:after="40"/>
              <w:jc w:val="center"/>
              <w:rPr>
                <w:rFonts w:asciiTheme="minorHAnsi" w:hAnsiTheme="minorHAnsi" w:cs="Arial"/>
                <w:b/>
                <w:sz w:val="22"/>
                <w:szCs w:val="22"/>
              </w:rPr>
            </w:pPr>
            <w:r w:rsidRPr="00FD5D51">
              <w:rPr>
                <w:rFonts w:asciiTheme="minorHAnsi" w:hAnsiTheme="minorHAnsi" w:cs="Arial"/>
                <w:b/>
                <w:sz w:val="22"/>
                <w:szCs w:val="22"/>
              </w:rPr>
              <w:t>SOCIALLY NECESSARY SERVICE</w:t>
            </w:r>
          </w:p>
        </w:tc>
        <w:tc>
          <w:tcPr>
            <w:tcW w:w="2260" w:type="dxa"/>
            <w:tcBorders>
              <w:left w:val="single" w:sz="4" w:space="0" w:color="FFFFFF" w:themeColor="background1"/>
              <w:right w:val="single" w:sz="4" w:space="0" w:color="FFFFFF" w:themeColor="background1"/>
            </w:tcBorders>
            <w:shd w:val="clear" w:color="auto" w:fill="004250"/>
            <w:vAlign w:val="center"/>
          </w:tcPr>
          <w:p w14:paraId="1A4CB4A6" w14:textId="77777777" w:rsidR="00363A66" w:rsidRPr="00FD5D51" w:rsidRDefault="00363A66" w:rsidP="00FD5D51">
            <w:pPr>
              <w:spacing w:before="40" w:after="40"/>
              <w:jc w:val="center"/>
              <w:rPr>
                <w:rFonts w:asciiTheme="minorHAnsi" w:hAnsiTheme="minorHAnsi" w:cs="Arial"/>
                <w:b/>
                <w:sz w:val="22"/>
                <w:szCs w:val="22"/>
              </w:rPr>
            </w:pPr>
            <w:r w:rsidRPr="00FD5D51">
              <w:rPr>
                <w:rFonts w:asciiTheme="minorHAnsi" w:hAnsiTheme="minorHAnsi" w:cs="Arial"/>
                <w:b/>
                <w:sz w:val="22"/>
                <w:szCs w:val="22"/>
              </w:rPr>
              <w:t>DEFINITION</w:t>
            </w:r>
          </w:p>
        </w:tc>
        <w:tc>
          <w:tcPr>
            <w:tcW w:w="2520" w:type="dxa"/>
            <w:tcBorders>
              <w:left w:val="single" w:sz="4" w:space="0" w:color="FFFFFF" w:themeColor="background1"/>
              <w:right w:val="single" w:sz="4" w:space="0" w:color="FFFFFF" w:themeColor="background1"/>
            </w:tcBorders>
            <w:shd w:val="clear" w:color="auto" w:fill="004250"/>
            <w:vAlign w:val="center"/>
          </w:tcPr>
          <w:p w14:paraId="0BBB0B7D" w14:textId="77777777" w:rsidR="00363A66" w:rsidRPr="00FD5D51" w:rsidRDefault="00363A66" w:rsidP="00FD5D51">
            <w:pPr>
              <w:spacing w:before="40" w:after="40"/>
              <w:jc w:val="center"/>
              <w:rPr>
                <w:rFonts w:asciiTheme="minorHAnsi" w:hAnsiTheme="minorHAnsi" w:cs="Arial"/>
                <w:b/>
                <w:sz w:val="22"/>
                <w:szCs w:val="22"/>
              </w:rPr>
            </w:pPr>
            <w:r w:rsidRPr="00FD5D51">
              <w:rPr>
                <w:rFonts w:asciiTheme="minorHAnsi" w:hAnsiTheme="minorHAnsi" w:cs="Arial"/>
                <w:b/>
                <w:sz w:val="22"/>
                <w:szCs w:val="22"/>
              </w:rPr>
              <w:t>SCOPE OF BENEFITS</w:t>
            </w:r>
          </w:p>
        </w:tc>
        <w:tc>
          <w:tcPr>
            <w:tcW w:w="2710" w:type="dxa"/>
            <w:tcBorders>
              <w:left w:val="single" w:sz="4" w:space="0" w:color="FFFFFF" w:themeColor="background1"/>
            </w:tcBorders>
            <w:shd w:val="clear" w:color="auto" w:fill="004250"/>
            <w:vAlign w:val="center"/>
          </w:tcPr>
          <w:p w14:paraId="21B48351" w14:textId="77777777" w:rsidR="00363A66" w:rsidRPr="00FD5D51" w:rsidRDefault="00363A66" w:rsidP="00FD5D51">
            <w:pPr>
              <w:spacing w:before="40" w:after="40"/>
              <w:jc w:val="center"/>
              <w:rPr>
                <w:rFonts w:asciiTheme="minorHAnsi" w:hAnsiTheme="minorHAnsi" w:cs="Arial"/>
                <w:b/>
                <w:sz w:val="22"/>
                <w:szCs w:val="22"/>
              </w:rPr>
            </w:pPr>
            <w:r w:rsidRPr="00FD5D51">
              <w:rPr>
                <w:rFonts w:asciiTheme="minorHAnsi" w:hAnsiTheme="minorHAnsi" w:cs="Arial"/>
                <w:b/>
                <w:sz w:val="22"/>
                <w:szCs w:val="22"/>
              </w:rPr>
              <w:t>LIMITATION ON SERVICES</w:t>
            </w:r>
          </w:p>
        </w:tc>
      </w:tr>
      <w:tr w:rsidR="00B378CE" w:rsidRPr="00FD5D51" w14:paraId="73A96E08" w14:textId="77777777" w:rsidTr="00FD5D51">
        <w:trPr>
          <w:cantSplit/>
          <w:tblHeader/>
        </w:trPr>
        <w:tc>
          <w:tcPr>
            <w:tcW w:w="3235" w:type="dxa"/>
          </w:tcPr>
          <w:p w14:paraId="1FA6B7D6" w14:textId="77777777" w:rsidR="00B378CE" w:rsidRPr="00FD5D51" w:rsidRDefault="00B378CE" w:rsidP="00257641">
            <w:pPr>
              <w:spacing w:before="40" w:after="40"/>
              <w:rPr>
                <w:rFonts w:asciiTheme="minorHAnsi" w:hAnsiTheme="minorHAnsi" w:cs="Arial"/>
                <w:sz w:val="22"/>
                <w:szCs w:val="22"/>
              </w:rPr>
            </w:pPr>
            <w:r w:rsidRPr="00FD5D51">
              <w:rPr>
                <w:rFonts w:asciiTheme="minorHAnsi" w:hAnsiTheme="minorHAnsi" w:cs="Arial"/>
                <w:sz w:val="22"/>
                <w:szCs w:val="22"/>
              </w:rPr>
              <w:t>CPS Family Support Services</w:t>
            </w:r>
          </w:p>
        </w:tc>
        <w:tc>
          <w:tcPr>
            <w:tcW w:w="9650" w:type="dxa"/>
            <w:gridSpan w:val="4"/>
            <w:vMerge w:val="restart"/>
            <w:vAlign w:val="center"/>
          </w:tcPr>
          <w:p w14:paraId="0BD7DF97" w14:textId="0D64CC35" w:rsidR="00B378CE" w:rsidRPr="00FD5D51" w:rsidRDefault="00B378CE" w:rsidP="00257641">
            <w:pPr>
              <w:spacing w:before="40" w:after="40"/>
              <w:rPr>
                <w:rFonts w:asciiTheme="minorHAnsi" w:hAnsiTheme="minorHAnsi" w:cs="Arial"/>
                <w:sz w:val="22"/>
                <w:szCs w:val="22"/>
              </w:rPr>
            </w:pPr>
            <w:r w:rsidRPr="00FD5D51">
              <w:rPr>
                <w:rFonts w:asciiTheme="minorHAnsi" w:hAnsiTheme="minorHAnsi" w:cs="Arial"/>
                <w:sz w:val="22"/>
                <w:szCs w:val="22"/>
              </w:rPr>
              <w:t>Refer to BCF utilization management manual</w:t>
            </w:r>
            <w:r w:rsidR="00473AF3" w:rsidRPr="00FD5D51">
              <w:rPr>
                <w:rFonts w:asciiTheme="minorHAnsi" w:hAnsiTheme="minorHAnsi" w:cs="Arial"/>
                <w:sz w:val="22"/>
                <w:szCs w:val="22"/>
              </w:rPr>
              <w:t xml:space="preserve"> available on the</w:t>
            </w:r>
            <w:r w:rsidRPr="00FD5D51">
              <w:rPr>
                <w:rFonts w:asciiTheme="minorHAnsi" w:hAnsiTheme="minorHAnsi" w:cs="Arial"/>
                <w:sz w:val="22"/>
                <w:szCs w:val="22"/>
              </w:rPr>
              <w:t xml:space="preserve"> DHHR website for an explanation of </w:t>
            </w:r>
            <w:r w:rsidR="00473AF3" w:rsidRPr="00FD5D51">
              <w:rPr>
                <w:rFonts w:asciiTheme="minorHAnsi" w:hAnsiTheme="minorHAnsi" w:cs="Arial"/>
                <w:sz w:val="22"/>
                <w:szCs w:val="22"/>
              </w:rPr>
              <w:t xml:space="preserve">the scope of benefits and </w:t>
            </w:r>
            <w:r w:rsidRPr="00FD5D51">
              <w:rPr>
                <w:rFonts w:asciiTheme="minorHAnsi" w:hAnsiTheme="minorHAnsi" w:cs="Arial"/>
                <w:sz w:val="22"/>
                <w:szCs w:val="22"/>
              </w:rPr>
              <w:t>service limitations</w:t>
            </w:r>
            <w:r w:rsidR="00473AF3" w:rsidRPr="00FD5D51">
              <w:rPr>
                <w:rFonts w:asciiTheme="minorHAnsi" w:hAnsiTheme="minorHAnsi" w:cs="Arial"/>
                <w:sz w:val="22"/>
                <w:szCs w:val="22"/>
              </w:rPr>
              <w:t>.</w:t>
            </w:r>
          </w:p>
        </w:tc>
      </w:tr>
      <w:tr w:rsidR="00B378CE" w:rsidRPr="00FD5D51" w14:paraId="19602423" w14:textId="77777777" w:rsidTr="00FD5D51">
        <w:trPr>
          <w:cantSplit/>
          <w:tblHeader/>
        </w:trPr>
        <w:tc>
          <w:tcPr>
            <w:tcW w:w="3235" w:type="dxa"/>
            <w:shd w:val="clear" w:color="auto" w:fill="DEEAF6" w:themeFill="accent1" w:themeFillTint="33"/>
          </w:tcPr>
          <w:p w14:paraId="3EAC7D6B" w14:textId="2FCDEE56" w:rsidR="00B378CE" w:rsidRPr="00FD5D51" w:rsidRDefault="00B378CE" w:rsidP="00257641">
            <w:pPr>
              <w:spacing w:before="40" w:after="40"/>
              <w:rPr>
                <w:rFonts w:asciiTheme="minorHAnsi" w:hAnsiTheme="minorHAnsi" w:cs="Arial"/>
                <w:sz w:val="22"/>
                <w:szCs w:val="22"/>
              </w:rPr>
            </w:pPr>
            <w:r w:rsidRPr="00FD5D51">
              <w:rPr>
                <w:rFonts w:asciiTheme="minorHAnsi" w:hAnsiTheme="minorHAnsi" w:cs="Arial"/>
                <w:sz w:val="22"/>
                <w:szCs w:val="22"/>
              </w:rPr>
              <w:t>CPS Family Preservation Services</w:t>
            </w:r>
          </w:p>
        </w:tc>
        <w:tc>
          <w:tcPr>
            <w:tcW w:w="9650" w:type="dxa"/>
            <w:gridSpan w:val="4"/>
            <w:vMerge/>
            <w:vAlign w:val="center"/>
          </w:tcPr>
          <w:p w14:paraId="72148C88" w14:textId="392EC2F1" w:rsidR="00B378CE" w:rsidRPr="00FD5D51" w:rsidRDefault="00B378CE" w:rsidP="00257641">
            <w:pPr>
              <w:spacing w:before="40" w:after="40"/>
              <w:rPr>
                <w:rFonts w:asciiTheme="minorHAnsi" w:hAnsiTheme="minorHAnsi" w:cs="Arial"/>
                <w:sz w:val="22"/>
                <w:szCs w:val="22"/>
              </w:rPr>
            </w:pPr>
          </w:p>
        </w:tc>
      </w:tr>
      <w:tr w:rsidR="00B378CE" w:rsidRPr="00FD5D51" w14:paraId="65B81AB4" w14:textId="77777777" w:rsidTr="00FD5D51">
        <w:trPr>
          <w:cantSplit/>
          <w:tblHeader/>
        </w:trPr>
        <w:tc>
          <w:tcPr>
            <w:tcW w:w="3235" w:type="dxa"/>
          </w:tcPr>
          <w:p w14:paraId="660F7565" w14:textId="63EC0C35" w:rsidR="00B378CE" w:rsidRPr="00FD5D51" w:rsidRDefault="00B378CE" w:rsidP="00257641">
            <w:pPr>
              <w:spacing w:before="40" w:after="40"/>
              <w:rPr>
                <w:rFonts w:asciiTheme="minorHAnsi" w:hAnsiTheme="minorHAnsi" w:cs="Arial"/>
                <w:sz w:val="22"/>
                <w:szCs w:val="22"/>
              </w:rPr>
            </w:pPr>
            <w:r w:rsidRPr="00FD5D51">
              <w:rPr>
                <w:rFonts w:asciiTheme="minorHAnsi" w:hAnsiTheme="minorHAnsi" w:cs="Arial"/>
                <w:sz w:val="22"/>
                <w:szCs w:val="22"/>
              </w:rPr>
              <w:t>CPS Foster Care Services</w:t>
            </w:r>
          </w:p>
        </w:tc>
        <w:tc>
          <w:tcPr>
            <w:tcW w:w="9650" w:type="dxa"/>
            <w:gridSpan w:val="4"/>
            <w:vMerge/>
          </w:tcPr>
          <w:p w14:paraId="704016D0" w14:textId="640A899E" w:rsidR="00B378CE" w:rsidRPr="00FD5D51" w:rsidRDefault="00B378CE" w:rsidP="00257641">
            <w:pPr>
              <w:spacing w:before="40" w:after="40"/>
              <w:rPr>
                <w:rFonts w:asciiTheme="minorHAnsi" w:hAnsiTheme="minorHAnsi" w:cs="Arial"/>
                <w:sz w:val="22"/>
                <w:szCs w:val="22"/>
              </w:rPr>
            </w:pPr>
          </w:p>
        </w:tc>
      </w:tr>
      <w:tr w:rsidR="00B378CE" w:rsidRPr="00FD5D51" w14:paraId="7F93CE01" w14:textId="77777777" w:rsidTr="00FD5D51">
        <w:trPr>
          <w:cantSplit/>
          <w:tblHeader/>
        </w:trPr>
        <w:tc>
          <w:tcPr>
            <w:tcW w:w="3235" w:type="dxa"/>
            <w:shd w:val="clear" w:color="auto" w:fill="DEEAF6" w:themeFill="accent1" w:themeFillTint="33"/>
          </w:tcPr>
          <w:p w14:paraId="583BCDE2" w14:textId="594F3671" w:rsidR="00B378CE" w:rsidRPr="00FD5D51" w:rsidRDefault="00B378CE" w:rsidP="00257641">
            <w:pPr>
              <w:spacing w:before="40" w:after="40"/>
              <w:rPr>
                <w:rFonts w:asciiTheme="minorHAnsi" w:hAnsiTheme="minorHAnsi" w:cs="Arial"/>
                <w:sz w:val="22"/>
                <w:szCs w:val="22"/>
              </w:rPr>
            </w:pPr>
            <w:r w:rsidRPr="00FD5D51">
              <w:rPr>
                <w:rFonts w:asciiTheme="minorHAnsi" w:hAnsiTheme="minorHAnsi" w:cs="Arial"/>
                <w:sz w:val="22"/>
                <w:szCs w:val="22"/>
              </w:rPr>
              <w:t>Chafee Foster Care Independence Program</w:t>
            </w:r>
          </w:p>
        </w:tc>
        <w:tc>
          <w:tcPr>
            <w:tcW w:w="9650" w:type="dxa"/>
            <w:gridSpan w:val="4"/>
            <w:vMerge/>
          </w:tcPr>
          <w:p w14:paraId="2A50FA01" w14:textId="0D82C2D7" w:rsidR="00B378CE" w:rsidRPr="00FD5D51" w:rsidRDefault="00B378CE" w:rsidP="00257641">
            <w:pPr>
              <w:spacing w:before="40" w:after="40"/>
              <w:rPr>
                <w:rFonts w:asciiTheme="minorHAnsi" w:hAnsiTheme="minorHAnsi" w:cs="Arial"/>
                <w:sz w:val="22"/>
                <w:szCs w:val="22"/>
              </w:rPr>
            </w:pPr>
          </w:p>
        </w:tc>
      </w:tr>
      <w:tr w:rsidR="00B378CE" w:rsidRPr="00FD5D51" w14:paraId="3865428B" w14:textId="77777777" w:rsidTr="00FD5D51">
        <w:trPr>
          <w:cantSplit/>
          <w:tblHeader/>
        </w:trPr>
        <w:tc>
          <w:tcPr>
            <w:tcW w:w="3235" w:type="dxa"/>
          </w:tcPr>
          <w:p w14:paraId="72F00D7F" w14:textId="0692DE6F" w:rsidR="00B378CE" w:rsidRPr="00FD5D51" w:rsidRDefault="00B378CE" w:rsidP="00257641">
            <w:pPr>
              <w:spacing w:before="40" w:after="40"/>
              <w:rPr>
                <w:rFonts w:asciiTheme="minorHAnsi" w:hAnsiTheme="minorHAnsi" w:cs="Arial"/>
                <w:sz w:val="22"/>
                <w:szCs w:val="22"/>
              </w:rPr>
            </w:pPr>
            <w:r w:rsidRPr="00FD5D51">
              <w:rPr>
                <w:rFonts w:asciiTheme="minorHAnsi" w:hAnsiTheme="minorHAnsi" w:cs="Arial"/>
                <w:sz w:val="22"/>
                <w:szCs w:val="22"/>
              </w:rPr>
              <w:t>CPS Reunification Services</w:t>
            </w:r>
          </w:p>
        </w:tc>
        <w:tc>
          <w:tcPr>
            <w:tcW w:w="9650" w:type="dxa"/>
            <w:gridSpan w:val="4"/>
            <w:vMerge/>
          </w:tcPr>
          <w:p w14:paraId="30B55AB3" w14:textId="0892281F" w:rsidR="00B378CE" w:rsidRPr="00FD5D51" w:rsidRDefault="00B378CE" w:rsidP="00257641">
            <w:pPr>
              <w:spacing w:before="40" w:after="40"/>
              <w:rPr>
                <w:rFonts w:asciiTheme="minorHAnsi" w:hAnsiTheme="minorHAnsi" w:cs="Arial"/>
                <w:sz w:val="22"/>
                <w:szCs w:val="22"/>
              </w:rPr>
            </w:pPr>
          </w:p>
        </w:tc>
      </w:tr>
      <w:tr w:rsidR="00B378CE" w:rsidRPr="00FD5D51" w14:paraId="78691D74" w14:textId="77777777" w:rsidTr="00FD5D51">
        <w:trPr>
          <w:cantSplit/>
          <w:tblHeader/>
        </w:trPr>
        <w:tc>
          <w:tcPr>
            <w:tcW w:w="3235" w:type="dxa"/>
            <w:shd w:val="clear" w:color="auto" w:fill="DEEAF6" w:themeFill="accent1" w:themeFillTint="33"/>
          </w:tcPr>
          <w:p w14:paraId="524BF775" w14:textId="1502B35D" w:rsidR="00B378CE" w:rsidRPr="00FD5D51" w:rsidRDefault="00B378CE" w:rsidP="00257641">
            <w:pPr>
              <w:spacing w:before="40" w:after="40"/>
              <w:rPr>
                <w:rFonts w:asciiTheme="minorHAnsi" w:hAnsiTheme="minorHAnsi" w:cs="Arial"/>
                <w:sz w:val="22"/>
                <w:szCs w:val="22"/>
              </w:rPr>
            </w:pPr>
            <w:r w:rsidRPr="00FD5D51">
              <w:rPr>
                <w:rFonts w:asciiTheme="minorHAnsi" w:hAnsiTheme="minorHAnsi" w:cs="Arial"/>
                <w:sz w:val="22"/>
                <w:szCs w:val="22"/>
              </w:rPr>
              <w:t>CPS Adoption Preservation Services</w:t>
            </w:r>
          </w:p>
        </w:tc>
        <w:tc>
          <w:tcPr>
            <w:tcW w:w="9650" w:type="dxa"/>
            <w:gridSpan w:val="4"/>
            <w:vMerge/>
          </w:tcPr>
          <w:p w14:paraId="5CF6856A" w14:textId="3553F155" w:rsidR="00B378CE" w:rsidRPr="00FD5D51" w:rsidRDefault="00B378CE" w:rsidP="00257641">
            <w:pPr>
              <w:spacing w:before="40" w:after="40"/>
              <w:rPr>
                <w:rFonts w:asciiTheme="minorHAnsi" w:hAnsiTheme="minorHAnsi" w:cs="Arial"/>
                <w:sz w:val="22"/>
                <w:szCs w:val="22"/>
              </w:rPr>
            </w:pPr>
          </w:p>
        </w:tc>
      </w:tr>
      <w:tr w:rsidR="00B378CE" w:rsidRPr="00FD5D51" w14:paraId="320EA7CE" w14:textId="77777777" w:rsidTr="00FD5D51">
        <w:trPr>
          <w:cantSplit/>
          <w:tblHeader/>
        </w:trPr>
        <w:tc>
          <w:tcPr>
            <w:tcW w:w="3235" w:type="dxa"/>
          </w:tcPr>
          <w:p w14:paraId="78EF7BB4" w14:textId="056FD0AA" w:rsidR="00B378CE" w:rsidRPr="00FD5D51" w:rsidRDefault="00B378CE" w:rsidP="00257641">
            <w:pPr>
              <w:spacing w:before="40" w:after="40"/>
              <w:rPr>
                <w:rFonts w:asciiTheme="minorHAnsi" w:hAnsiTheme="minorHAnsi" w:cs="Arial"/>
                <w:sz w:val="22"/>
                <w:szCs w:val="22"/>
              </w:rPr>
            </w:pPr>
            <w:r w:rsidRPr="00FD5D51">
              <w:rPr>
                <w:rFonts w:asciiTheme="minorHAnsi" w:hAnsiTheme="minorHAnsi" w:cs="Arial"/>
                <w:sz w:val="22"/>
                <w:szCs w:val="22"/>
              </w:rPr>
              <w:t>Youth Services Family Preservation Services</w:t>
            </w:r>
          </w:p>
        </w:tc>
        <w:tc>
          <w:tcPr>
            <w:tcW w:w="9650" w:type="dxa"/>
            <w:gridSpan w:val="4"/>
            <w:vMerge/>
          </w:tcPr>
          <w:p w14:paraId="519A9338" w14:textId="1CDC4D86" w:rsidR="00B378CE" w:rsidRPr="00FD5D51" w:rsidRDefault="00B378CE" w:rsidP="00257641">
            <w:pPr>
              <w:spacing w:before="40" w:after="40"/>
              <w:rPr>
                <w:rFonts w:asciiTheme="minorHAnsi" w:hAnsiTheme="minorHAnsi" w:cs="Arial"/>
                <w:sz w:val="22"/>
                <w:szCs w:val="22"/>
              </w:rPr>
            </w:pPr>
          </w:p>
        </w:tc>
      </w:tr>
      <w:tr w:rsidR="00B378CE" w:rsidRPr="00FD5D51" w14:paraId="7EBF54DD" w14:textId="77777777" w:rsidTr="00FD5D51">
        <w:trPr>
          <w:cantSplit/>
          <w:tblHeader/>
        </w:trPr>
        <w:tc>
          <w:tcPr>
            <w:tcW w:w="3235" w:type="dxa"/>
            <w:shd w:val="clear" w:color="auto" w:fill="DEEAF6" w:themeFill="accent1" w:themeFillTint="33"/>
          </w:tcPr>
          <w:p w14:paraId="6767F61F" w14:textId="5541E17D" w:rsidR="00B378CE" w:rsidRPr="00FD5D51" w:rsidRDefault="00B378CE" w:rsidP="00257641">
            <w:pPr>
              <w:spacing w:before="40" w:after="40"/>
              <w:rPr>
                <w:rFonts w:asciiTheme="minorHAnsi" w:hAnsiTheme="minorHAnsi" w:cs="Arial"/>
                <w:sz w:val="22"/>
                <w:szCs w:val="22"/>
              </w:rPr>
            </w:pPr>
            <w:r w:rsidRPr="00FD5D51">
              <w:rPr>
                <w:rFonts w:asciiTheme="minorHAnsi" w:hAnsiTheme="minorHAnsi" w:cs="Arial"/>
                <w:sz w:val="22"/>
                <w:szCs w:val="22"/>
              </w:rPr>
              <w:t>Youth Services Foster Care Services</w:t>
            </w:r>
          </w:p>
        </w:tc>
        <w:tc>
          <w:tcPr>
            <w:tcW w:w="9650" w:type="dxa"/>
            <w:gridSpan w:val="4"/>
            <w:vMerge/>
          </w:tcPr>
          <w:p w14:paraId="4558E7BF" w14:textId="20471E6A" w:rsidR="00B378CE" w:rsidRPr="00FD5D51" w:rsidRDefault="00B378CE" w:rsidP="00257641">
            <w:pPr>
              <w:spacing w:before="40" w:after="40"/>
              <w:rPr>
                <w:rFonts w:asciiTheme="minorHAnsi" w:hAnsiTheme="minorHAnsi" w:cs="Arial"/>
                <w:sz w:val="22"/>
                <w:szCs w:val="22"/>
              </w:rPr>
            </w:pPr>
          </w:p>
        </w:tc>
      </w:tr>
      <w:tr w:rsidR="00B378CE" w:rsidRPr="00FD5D51" w14:paraId="4C7C2C40" w14:textId="77777777" w:rsidTr="00FD5D51">
        <w:trPr>
          <w:cantSplit/>
          <w:tblHeader/>
        </w:trPr>
        <w:tc>
          <w:tcPr>
            <w:tcW w:w="3235" w:type="dxa"/>
          </w:tcPr>
          <w:p w14:paraId="345F1362" w14:textId="09A1A9F8" w:rsidR="00B378CE" w:rsidRPr="00FD5D51" w:rsidRDefault="00B378CE" w:rsidP="00257641">
            <w:pPr>
              <w:spacing w:before="40" w:after="40"/>
              <w:rPr>
                <w:rFonts w:asciiTheme="minorHAnsi" w:hAnsiTheme="minorHAnsi" w:cs="Arial"/>
                <w:sz w:val="22"/>
                <w:szCs w:val="22"/>
              </w:rPr>
            </w:pPr>
            <w:r w:rsidRPr="00FD5D51">
              <w:rPr>
                <w:rFonts w:asciiTheme="minorHAnsi" w:hAnsiTheme="minorHAnsi" w:cs="Arial"/>
                <w:sz w:val="22"/>
                <w:szCs w:val="22"/>
              </w:rPr>
              <w:t>Youth Services Chafee Foster Care Independence Program</w:t>
            </w:r>
          </w:p>
        </w:tc>
        <w:tc>
          <w:tcPr>
            <w:tcW w:w="9650" w:type="dxa"/>
            <w:gridSpan w:val="4"/>
            <w:vMerge/>
          </w:tcPr>
          <w:p w14:paraId="77D89FED" w14:textId="77777777" w:rsidR="00B378CE" w:rsidRPr="00FD5D51" w:rsidRDefault="00B378CE" w:rsidP="00257641">
            <w:pPr>
              <w:spacing w:before="40" w:after="40"/>
              <w:rPr>
                <w:rFonts w:asciiTheme="minorHAnsi" w:hAnsiTheme="minorHAnsi" w:cs="Arial"/>
                <w:sz w:val="22"/>
                <w:szCs w:val="22"/>
              </w:rPr>
            </w:pPr>
          </w:p>
        </w:tc>
      </w:tr>
      <w:tr w:rsidR="00B378CE" w:rsidRPr="00FD5D51" w14:paraId="056F33D1" w14:textId="77777777" w:rsidTr="00FD5D51">
        <w:trPr>
          <w:cantSplit/>
          <w:tblHeader/>
        </w:trPr>
        <w:tc>
          <w:tcPr>
            <w:tcW w:w="3235" w:type="dxa"/>
            <w:shd w:val="clear" w:color="auto" w:fill="DEEAF6" w:themeFill="accent1" w:themeFillTint="33"/>
          </w:tcPr>
          <w:p w14:paraId="52BA757B" w14:textId="37C3EBEF" w:rsidR="00B378CE" w:rsidRPr="00FD5D51" w:rsidRDefault="00B378CE" w:rsidP="00257641">
            <w:pPr>
              <w:spacing w:before="40" w:after="40"/>
              <w:rPr>
                <w:rFonts w:asciiTheme="minorHAnsi" w:hAnsiTheme="minorHAnsi" w:cs="Arial"/>
                <w:sz w:val="22"/>
                <w:szCs w:val="22"/>
              </w:rPr>
            </w:pPr>
            <w:r w:rsidRPr="00FD5D51">
              <w:rPr>
                <w:rFonts w:asciiTheme="minorHAnsi" w:hAnsiTheme="minorHAnsi" w:cs="Arial"/>
                <w:sz w:val="22"/>
                <w:szCs w:val="22"/>
              </w:rPr>
              <w:t>Youth Services Reunification Services</w:t>
            </w:r>
          </w:p>
        </w:tc>
        <w:tc>
          <w:tcPr>
            <w:tcW w:w="9650" w:type="dxa"/>
            <w:gridSpan w:val="4"/>
            <w:vMerge/>
          </w:tcPr>
          <w:p w14:paraId="6929D8CE" w14:textId="77777777" w:rsidR="00B378CE" w:rsidRPr="00FD5D51" w:rsidRDefault="00B378CE" w:rsidP="00257641">
            <w:pPr>
              <w:spacing w:before="40" w:after="40"/>
              <w:rPr>
                <w:rFonts w:asciiTheme="minorHAnsi" w:hAnsiTheme="minorHAnsi" w:cs="Arial"/>
                <w:sz w:val="22"/>
                <w:szCs w:val="22"/>
              </w:rPr>
            </w:pPr>
          </w:p>
        </w:tc>
      </w:tr>
    </w:tbl>
    <w:p w14:paraId="51106D15" w14:textId="77777777" w:rsidR="00F34033" w:rsidRDefault="00F34033" w:rsidP="00096A5D">
      <w:pPr>
        <w:pStyle w:val="BodyText"/>
        <w:sectPr w:rsidR="00F34033" w:rsidSect="00930871">
          <w:footerReference w:type="default" r:id="rId21"/>
          <w:pgSz w:w="15840" w:h="12240" w:orient="landscape" w:code="1"/>
          <w:pgMar w:top="1440" w:right="1440" w:bottom="1440" w:left="1440" w:header="720" w:footer="720" w:gutter="0"/>
          <w:pgNumType w:start="1"/>
          <w:cols w:space="720"/>
        </w:sectPr>
      </w:pPr>
    </w:p>
    <w:p w14:paraId="5C1BD1FA" w14:textId="7B15DBE2" w:rsidR="008E5992" w:rsidRPr="00DF1D1C" w:rsidRDefault="00F33B38" w:rsidP="00257641">
      <w:pPr>
        <w:pStyle w:val="Heading1"/>
      </w:pPr>
      <w:bookmarkStart w:id="251" w:name="_Toc8129100"/>
      <w:r>
        <w:lastRenderedPageBreak/>
        <w:t>Appendix</w:t>
      </w:r>
      <w:r w:rsidR="00ED5873" w:rsidRPr="00DF1D1C">
        <w:t xml:space="preserve"> B</w:t>
      </w:r>
      <w:r w:rsidR="000A6E62">
        <w:t xml:space="preserve">: </w:t>
      </w:r>
      <w:r w:rsidR="008E5992" w:rsidRPr="00DF1D1C">
        <w:t>Overview of West Virginia</w:t>
      </w:r>
      <w:r w:rsidR="00FA1C0C" w:rsidRPr="00DF1D1C">
        <w:t>’</w:t>
      </w:r>
      <w:r w:rsidR="008E5992" w:rsidRPr="00DF1D1C">
        <w:t xml:space="preserve">s </w:t>
      </w:r>
      <w:r w:rsidR="00BF19B2" w:rsidRPr="00DF1D1C">
        <w:t>SFY</w:t>
      </w:r>
      <w:r w:rsidR="00404D85" w:rsidRPr="00DF1D1C">
        <w:t xml:space="preserve"> </w:t>
      </w:r>
      <w:r w:rsidR="00496B54" w:rsidRPr="00DF1D1C">
        <w:t>20</w:t>
      </w:r>
      <w:r w:rsidR="006D2988">
        <w:t>20</w:t>
      </w:r>
      <w:r w:rsidR="00496B54" w:rsidRPr="00DF1D1C">
        <w:t xml:space="preserve"> </w:t>
      </w:r>
      <w:r w:rsidR="008E5992" w:rsidRPr="00DF1D1C">
        <w:t>Payment Methodology and Capitation Rates</w:t>
      </w:r>
      <w:r w:rsidR="006D2988" w:rsidRPr="006D2988">
        <w:t xml:space="preserve"> </w:t>
      </w:r>
      <w:r w:rsidR="006D2988">
        <w:t xml:space="preserve">for </w:t>
      </w:r>
      <w:r w:rsidR="007E0BD9">
        <w:t>Specialized Managed Care Plan for Children and Y</w:t>
      </w:r>
      <w:r w:rsidR="007E0BD9" w:rsidRPr="007E0BD9">
        <w:t>outh</w:t>
      </w:r>
      <w:bookmarkEnd w:id="251"/>
      <w:r w:rsidR="007E0BD9" w:rsidRPr="007E0BD9" w:rsidDel="009422F7">
        <w:t xml:space="preserve"> </w:t>
      </w:r>
    </w:p>
    <w:p w14:paraId="3F8DE143" w14:textId="77777777" w:rsidR="0032535C" w:rsidRPr="00DF1D1C" w:rsidRDefault="0032535C" w:rsidP="00257641">
      <w:pPr>
        <w:jc w:val="center"/>
        <w:rPr>
          <w:rFonts w:ascii="Arial" w:hAnsi="Arial" w:cs="Arial"/>
          <w:b/>
          <w:szCs w:val="22"/>
        </w:rPr>
      </w:pPr>
      <w:r w:rsidRPr="00DF1D1C">
        <w:rPr>
          <w:rFonts w:ascii="Arial" w:hAnsi="Arial" w:cs="Arial"/>
          <w:b/>
          <w:szCs w:val="22"/>
        </w:rPr>
        <w:t>(</w:t>
      </w:r>
      <w:r w:rsidR="00116818">
        <w:rPr>
          <w:rFonts w:ascii="Arial" w:hAnsi="Arial" w:cs="Arial"/>
          <w:b/>
          <w:szCs w:val="22"/>
        </w:rPr>
        <w:t>under a separate cover</w:t>
      </w:r>
      <w:r w:rsidRPr="00DF1D1C">
        <w:rPr>
          <w:rFonts w:ascii="Arial" w:hAnsi="Arial" w:cs="Arial"/>
          <w:b/>
          <w:szCs w:val="22"/>
        </w:rPr>
        <w:t>)</w:t>
      </w:r>
    </w:p>
    <w:p w14:paraId="4107AEBE" w14:textId="77777777" w:rsidR="00CD4383" w:rsidRPr="00DF1D1C" w:rsidRDefault="00CD4383" w:rsidP="00257641"/>
    <w:p w14:paraId="254C11D8" w14:textId="77777777" w:rsidR="00F34033" w:rsidRDefault="00F34033" w:rsidP="00257641">
      <w:pPr>
        <w:spacing w:after="0"/>
        <w:sectPr w:rsidR="00F34033" w:rsidSect="008D623B">
          <w:headerReference w:type="default" r:id="rId22"/>
          <w:footerReference w:type="default" r:id="rId23"/>
          <w:type w:val="continuous"/>
          <w:pgSz w:w="12240" w:h="15840" w:code="1"/>
          <w:pgMar w:top="1440" w:right="1440" w:bottom="1440" w:left="1440" w:header="720" w:footer="720" w:gutter="0"/>
          <w:pgNumType w:start="1"/>
          <w:cols w:space="720"/>
        </w:sectPr>
      </w:pPr>
    </w:p>
    <w:p w14:paraId="0751D31F" w14:textId="6A5FEAB6" w:rsidR="009A0060" w:rsidRDefault="00F33B38" w:rsidP="00257641">
      <w:pPr>
        <w:pStyle w:val="Heading1"/>
      </w:pPr>
      <w:bookmarkStart w:id="252" w:name="_Toc8129101"/>
      <w:r w:rsidRPr="00D15495">
        <w:lastRenderedPageBreak/>
        <w:t>Appendix</w:t>
      </w:r>
      <w:r w:rsidR="00CD4383" w:rsidRPr="00D15495">
        <w:t xml:space="preserve"> C</w:t>
      </w:r>
      <w:r w:rsidR="000A6E62" w:rsidRPr="00D15495">
        <w:t xml:space="preserve">: </w:t>
      </w:r>
      <w:r w:rsidR="009A0060" w:rsidRPr="00DF1D1C">
        <w:t xml:space="preserve">Marketing </w:t>
      </w:r>
      <w:r w:rsidR="00C77EC0" w:rsidRPr="00C77EC0">
        <w:t>Policies</w:t>
      </w:r>
      <w:bookmarkEnd w:id="252"/>
      <w:r w:rsidR="00C77EC0" w:rsidRPr="00C77EC0">
        <w:t xml:space="preserve"> </w:t>
      </w:r>
    </w:p>
    <w:p w14:paraId="025250F6" w14:textId="77777777" w:rsidR="00091D97" w:rsidRDefault="00091D97" w:rsidP="00257641">
      <w:pPr>
        <w:rPr>
          <w:noProof w:val="0"/>
        </w:rPr>
      </w:pPr>
      <w:r>
        <w:rPr>
          <w:noProof w:val="0"/>
        </w:rPr>
        <w:t>Applicable Legal Authorities:</w:t>
      </w:r>
    </w:p>
    <w:p w14:paraId="2AF8B1B4" w14:textId="77777777" w:rsidR="00091D97" w:rsidRDefault="00091D97" w:rsidP="00257641">
      <w:pPr>
        <w:rPr>
          <w:noProof w:val="0"/>
        </w:rPr>
      </w:pPr>
      <w:r>
        <w:rPr>
          <w:noProof w:val="0"/>
        </w:rPr>
        <w:t>42 U.S.C. §1396u-2</w:t>
      </w:r>
    </w:p>
    <w:p w14:paraId="21C6130C" w14:textId="77777777" w:rsidR="009A0060" w:rsidRPr="00DF1D1C" w:rsidRDefault="00091D97" w:rsidP="00257641">
      <w:r>
        <w:rPr>
          <w:noProof w:val="0"/>
        </w:rPr>
        <w:t>42 CFR §438.104</w:t>
      </w:r>
    </w:p>
    <w:p w14:paraId="46D576DF" w14:textId="5036795C" w:rsidR="00047098" w:rsidRDefault="00113686" w:rsidP="00096A5D">
      <w:pPr>
        <w:pStyle w:val="BodyText"/>
      </w:pPr>
      <w:r>
        <w:t xml:space="preserve">The </w:t>
      </w:r>
      <w:r w:rsidR="007445F8" w:rsidRPr="009B36D8">
        <w:t xml:space="preserve">MCO is required to comply with the Marketing Policies as they relate to </w:t>
      </w:r>
      <w:r w:rsidR="00187F09">
        <w:t>Medicaid</w:t>
      </w:r>
      <w:r w:rsidR="00775DE1">
        <w:t xml:space="preserve"> or </w:t>
      </w:r>
      <w:r w:rsidR="00782185">
        <w:t>BCF</w:t>
      </w:r>
      <w:r w:rsidR="00947FA0">
        <w:t xml:space="preserve"> programs</w:t>
      </w:r>
      <w:r w:rsidR="007445F8" w:rsidRPr="009B36D8">
        <w:t xml:space="preserve">. All Marketing Policies are applicable to the MCO, its </w:t>
      </w:r>
      <w:r w:rsidR="000908AC" w:rsidRPr="009B36D8">
        <w:t>a</w:t>
      </w:r>
      <w:r w:rsidR="007445F8" w:rsidRPr="009B36D8">
        <w:t xml:space="preserve">gents, </w:t>
      </w:r>
      <w:r w:rsidR="00642406">
        <w:t>S</w:t>
      </w:r>
      <w:r w:rsidR="007445F8" w:rsidRPr="009B36D8">
        <w:t>ubcontractors</w:t>
      </w:r>
      <w:r w:rsidR="004E2708">
        <w:t>,</w:t>
      </w:r>
      <w:r w:rsidR="007445F8" w:rsidRPr="009B36D8">
        <w:t xml:space="preserve"> and providers.</w:t>
      </w:r>
      <w:r w:rsidR="00EB1A21" w:rsidRPr="00EB1A21">
        <w:t xml:space="preserve"> </w:t>
      </w:r>
      <w:r w:rsidR="00EB1A21" w:rsidRPr="009B36D8">
        <w:t>The Marketing Policies</w:t>
      </w:r>
      <w:r w:rsidR="00E6135A" w:rsidRPr="009B36D8">
        <w:t xml:space="preserve">, </w:t>
      </w:r>
      <w:r w:rsidR="00F33B38">
        <w:t>Appendix</w:t>
      </w:r>
      <w:r w:rsidR="00E6135A" w:rsidRPr="009B36D8">
        <w:t xml:space="preserve"> </w:t>
      </w:r>
      <w:r w:rsidR="000C0DE5">
        <w:t>C</w:t>
      </w:r>
      <w:r w:rsidR="00053F9A" w:rsidRPr="009B36D8">
        <w:t xml:space="preserve"> may</w:t>
      </w:r>
      <w:r w:rsidR="00EB1A21" w:rsidRPr="009B36D8">
        <w:t xml:space="preserve"> be amended by the </w:t>
      </w:r>
      <w:r w:rsidR="00E6135A" w:rsidRPr="009B36D8">
        <w:t>Department</w:t>
      </w:r>
      <w:r w:rsidR="00EB1A21" w:rsidRPr="009B36D8">
        <w:t xml:space="preserve"> at any time and changes will be distributed to the MCO.</w:t>
      </w:r>
    </w:p>
    <w:p w14:paraId="063E15BE" w14:textId="77777777" w:rsidR="00047098" w:rsidRDefault="00047098" w:rsidP="00096A5D">
      <w:pPr>
        <w:pStyle w:val="BodyText"/>
      </w:pPr>
      <w:r w:rsidRPr="00047098">
        <w:t>Violation of any of the Marketing Policies is subj</w:t>
      </w:r>
      <w:r>
        <w:t>ect to remedies, as outlined in this Contract.</w:t>
      </w:r>
    </w:p>
    <w:p w14:paraId="7866FD8A" w14:textId="77777777" w:rsidR="00567363" w:rsidRDefault="00567363" w:rsidP="00096A5D">
      <w:pPr>
        <w:pStyle w:val="BodyText"/>
      </w:pPr>
    </w:p>
    <w:p w14:paraId="16D4CD81" w14:textId="54DAA5E6" w:rsidR="009B36D8" w:rsidRDefault="004D7640" w:rsidP="00257641">
      <w:pPr>
        <w:keepNext/>
        <w:keepLines/>
        <w:ind w:firstLine="360"/>
        <w:outlineLvl w:val="2"/>
        <w:rPr>
          <w:rFonts w:ascii="Arial" w:hAnsi="Arial" w:cs="Arial"/>
          <w:b/>
          <w:bCs/>
          <w:noProof w:val="0"/>
          <w:szCs w:val="24"/>
        </w:rPr>
      </w:pPr>
      <w:r>
        <w:rPr>
          <w:rFonts w:ascii="Arial" w:hAnsi="Arial" w:cs="Arial"/>
          <w:b/>
          <w:bCs/>
          <w:noProof w:val="0"/>
          <w:szCs w:val="24"/>
        </w:rPr>
        <w:t>C</w:t>
      </w:r>
      <w:r w:rsidR="00196DD8">
        <w:rPr>
          <w:rFonts w:ascii="Arial" w:hAnsi="Arial" w:cs="Arial"/>
          <w:b/>
          <w:bCs/>
          <w:noProof w:val="0"/>
          <w:szCs w:val="24"/>
        </w:rPr>
        <w:t xml:space="preserve">-1 </w:t>
      </w:r>
      <w:r w:rsidR="004116BB">
        <w:rPr>
          <w:rFonts w:ascii="Arial" w:hAnsi="Arial" w:cs="Arial"/>
          <w:b/>
          <w:bCs/>
          <w:noProof w:val="0"/>
          <w:szCs w:val="24"/>
        </w:rPr>
        <w:t>M</w:t>
      </w:r>
      <w:r w:rsidR="009B36D8" w:rsidRPr="009B36D8">
        <w:rPr>
          <w:rFonts w:ascii="Arial" w:hAnsi="Arial" w:cs="Arial"/>
          <w:b/>
          <w:bCs/>
          <w:noProof w:val="0"/>
          <w:szCs w:val="24"/>
        </w:rPr>
        <w:t xml:space="preserve">arketing Standards </w:t>
      </w:r>
    </w:p>
    <w:p w14:paraId="7CDC792B" w14:textId="56AEDB96" w:rsidR="00072FEC" w:rsidRDefault="00D04E30" w:rsidP="00096A5D">
      <w:pPr>
        <w:pStyle w:val="BodyText"/>
      </w:pPr>
      <w:r>
        <w:t xml:space="preserve">The </w:t>
      </w:r>
      <w:r w:rsidR="00F544B6">
        <w:t>MCO</w:t>
      </w:r>
      <w:r w:rsidR="00440F5D" w:rsidRPr="00440F5D">
        <w:t xml:space="preserve"> </w:t>
      </w:r>
      <w:r w:rsidR="00F544B6">
        <w:t>may</w:t>
      </w:r>
      <w:r w:rsidR="00440F5D" w:rsidRPr="00440F5D">
        <w:t xml:space="preserve"> conduct general advertising that does not specifically solicit the Medicaid population.</w:t>
      </w:r>
      <w:r w:rsidR="00C17CA7">
        <w:t xml:space="preserve"> </w:t>
      </w:r>
      <w:r w:rsidR="00CD7FAB">
        <w:t>E</w:t>
      </w:r>
      <w:r w:rsidR="0088288A" w:rsidRPr="00DF1D1C">
        <w:t xml:space="preserve">nrollment will be handled by </w:t>
      </w:r>
      <w:r w:rsidR="00853EA0">
        <w:t xml:space="preserve">the Department </w:t>
      </w:r>
      <w:r w:rsidR="0088288A" w:rsidRPr="00DF1D1C">
        <w:t xml:space="preserve">through a </w:t>
      </w:r>
      <w:r w:rsidR="009B19C2">
        <w:t xml:space="preserve">Contract </w:t>
      </w:r>
      <w:r w:rsidR="0088288A" w:rsidRPr="00DF1D1C">
        <w:t xml:space="preserve">with a central enrollment broker. </w:t>
      </w:r>
    </w:p>
    <w:p w14:paraId="31216660" w14:textId="451D3A7C" w:rsidR="0088288A" w:rsidRDefault="0088288A" w:rsidP="00096A5D">
      <w:pPr>
        <w:pStyle w:val="BodyText"/>
      </w:pPr>
      <w:r w:rsidRPr="00DF1D1C">
        <w:t xml:space="preserve">The MCO must submit to </w:t>
      </w:r>
      <w:r w:rsidR="00072FEC">
        <w:t xml:space="preserve">the Department </w:t>
      </w:r>
      <w:r w:rsidRPr="00DF1D1C">
        <w:t>for prior written approval a marketing plan and all marketing materials prepared pursuant to said plan</w:t>
      </w:r>
      <w:r>
        <w:t xml:space="preserve"> and this Contract</w:t>
      </w:r>
      <w:r w:rsidRPr="00DF1D1C">
        <w:t xml:space="preserve">. </w:t>
      </w:r>
      <w:r w:rsidR="00B55F1A">
        <w:t xml:space="preserve">The MCO must distribute the marketing materials to its entire service area. </w:t>
      </w:r>
      <w:r w:rsidRPr="00DF1D1C">
        <w:t xml:space="preserve">General </w:t>
      </w:r>
      <w:r w:rsidR="00CD7FAB">
        <w:t xml:space="preserve">enrollee </w:t>
      </w:r>
      <w:r w:rsidRPr="00DF1D1C">
        <w:t xml:space="preserve">health education brochures and </w:t>
      </w:r>
      <w:r w:rsidR="00CD7FAB">
        <w:t xml:space="preserve">enrollee </w:t>
      </w:r>
      <w:r>
        <w:t xml:space="preserve">health education </w:t>
      </w:r>
      <w:r w:rsidRPr="00DF1D1C">
        <w:t xml:space="preserve">materials do not require approval from </w:t>
      </w:r>
      <w:r w:rsidR="00072FEC">
        <w:t>the Department</w:t>
      </w:r>
      <w:r w:rsidRPr="00DF1D1C">
        <w:t xml:space="preserve">. </w:t>
      </w:r>
      <w:r w:rsidR="00072FEC">
        <w:t>The Department</w:t>
      </w:r>
      <w:r w:rsidRPr="00DF1D1C">
        <w:t xml:space="preserve"> will review the marketing plan and all marketing materials as soon as possible but within </w:t>
      </w:r>
      <w:r w:rsidR="0032431A">
        <w:t>forty-five (</w:t>
      </w:r>
      <w:r w:rsidRPr="00DF1D1C">
        <w:t>45</w:t>
      </w:r>
      <w:r w:rsidR="0032431A">
        <w:t>) calendar</w:t>
      </w:r>
      <w:r w:rsidRPr="00DF1D1C">
        <w:t xml:space="preserve"> days to ensure</w:t>
      </w:r>
      <w:r w:rsidR="00072FEC">
        <w:t xml:space="preserve"> compliance</w:t>
      </w:r>
      <w:r w:rsidR="0095776F">
        <w:t xml:space="preserve"> with this Contract</w:t>
      </w:r>
      <w:r w:rsidRPr="00DF1D1C">
        <w:t>. The MCO agrees to engage only in marketing activities that are pre-approved in writing</w:t>
      </w:r>
      <w:r w:rsidR="00AC28F3">
        <w:t xml:space="preserve"> by the Department. </w:t>
      </w:r>
    </w:p>
    <w:p w14:paraId="22198C8C" w14:textId="77777777" w:rsidR="00567363" w:rsidRPr="00DF1D1C" w:rsidRDefault="00567363" w:rsidP="00096A5D">
      <w:pPr>
        <w:pStyle w:val="BodyText"/>
      </w:pPr>
    </w:p>
    <w:p w14:paraId="69613F2C" w14:textId="631B3C79" w:rsidR="005C73AA" w:rsidRDefault="004D7640" w:rsidP="00257641">
      <w:pPr>
        <w:keepNext/>
        <w:keepLines/>
        <w:ind w:firstLine="360"/>
        <w:outlineLvl w:val="2"/>
        <w:rPr>
          <w:rFonts w:ascii="Arial" w:hAnsi="Arial" w:cs="Arial"/>
          <w:b/>
          <w:bCs/>
          <w:noProof w:val="0"/>
          <w:szCs w:val="24"/>
        </w:rPr>
      </w:pPr>
      <w:r>
        <w:rPr>
          <w:rFonts w:ascii="Arial" w:hAnsi="Arial" w:cs="Arial"/>
          <w:b/>
          <w:bCs/>
          <w:noProof w:val="0"/>
          <w:szCs w:val="24"/>
        </w:rPr>
        <w:t>C</w:t>
      </w:r>
      <w:r w:rsidR="008C2127">
        <w:rPr>
          <w:rFonts w:ascii="Arial" w:hAnsi="Arial" w:cs="Arial"/>
          <w:b/>
          <w:bCs/>
          <w:noProof w:val="0"/>
          <w:szCs w:val="24"/>
        </w:rPr>
        <w:t>-</w:t>
      </w:r>
      <w:r w:rsidR="00A826F1">
        <w:rPr>
          <w:rFonts w:ascii="Arial" w:hAnsi="Arial" w:cs="Arial"/>
          <w:b/>
          <w:bCs/>
          <w:noProof w:val="0"/>
          <w:szCs w:val="24"/>
        </w:rPr>
        <w:t>2 Approved</w:t>
      </w:r>
      <w:r w:rsidR="0017041B">
        <w:rPr>
          <w:rFonts w:ascii="Arial" w:hAnsi="Arial" w:cs="Arial"/>
          <w:b/>
          <w:bCs/>
          <w:noProof w:val="0"/>
          <w:szCs w:val="24"/>
        </w:rPr>
        <w:t xml:space="preserve"> </w:t>
      </w:r>
      <w:r w:rsidR="00C664DE" w:rsidRPr="00CE5353">
        <w:rPr>
          <w:rFonts w:ascii="Arial" w:hAnsi="Arial" w:cs="Arial"/>
          <w:b/>
          <w:bCs/>
          <w:noProof w:val="0"/>
          <w:szCs w:val="24"/>
        </w:rPr>
        <w:t xml:space="preserve">Marketing </w:t>
      </w:r>
      <w:r w:rsidR="000A74D1" w:rsidRPr="00CE5353">
        <w:rPr>
          <w:rFonts w:ascii="Arial" w:hAnsi="Arial" w:cs="Arial"/>
          <w:b/>
          <w:bCs/>
          <w:noProof w:val="0"/>
          <w:szCs w:val="24"/>
        </w:rPr>
        <w:t>Practices</w:t>
      </w:r>
    </w:p>
    <w:p w14:paraId="52C17411" w14:textId="77777777" w:rsidR="0084303A" w:rsidRDefault="00CF026A" w:rsidP="00096A5D">
      <w:pPr>
        <w:pStyle w:val="BodyText"/>
      </w:pPr>
      <w:r>
        <w:t>The</w:t>
      </w:r>
      <w:r w:rsidRPr="00202908">
        <w:t xml:space="preserve"> list </w:t>
      </w:r>
      <w:r>
        <w:t xml:space="preserve">of approved Marketing practices </w:t>
      </w:r>
      <w:r w:rsidRPr="00202908">
        <w:t>i</w:t>
      </w:r>
      <w:r>
        <w:t>s not intended to be exhaustive</w:t>
      </w:r>
      <w:r w:rsidR="00825D08">
        <w:t>.</w:t>
      </w:r>
      <w:r w:rsidR="00825D08" w:rsidRPr="00825D08">
        <w:t xml:space="preserve"> </w:t>
      </w:r>
      <w:r w:rsidR="00825D08">
        <w:t>The following li</w:t>
      </w:r>
      <w:r w:rsidR="00A164E8">
        <w:t>st</w:t>
      </w:r>
      <w:r w:rsidR="00825D08">
        <w:t xml:space="preserve"> is applicable to the MCO, its agents, </w:t>
      </w:r>
      <w:r w:rsidR="00642406">
        <w:t>S</w:t>
      </w:r>
      <w:r w:rsidR="00825D08">
        <w:t>ubcontractors, and MCO providers</w:t>
      </w:r>
      <w:r w:rsidR="0084303A">
        <w:t>:</w:t>
      </w:r>
    </w:p>
    <w:p w14:paraId="628E9E65" w14:textId="0D598935" w:rsidR="0065780F" w:rsidRPr="006E61D4" w:rsidRDefault="0065780F" w:rsidP="00F34033">
      <w:pPr>
        <w:pStyle w:val="ListParagraph"/>
        <w:numPr>
          <w:ilvl w:val="0"/>
          <w:numId w:val="67"/>
        </w:numPr>
        <w:tabs>
          <w:tab w:val="left" w:pos="360"/>
        </w:tabs>
        <w:spacing w:after="120" w:line="240" w:lineRule="auto"/>
        <w:ind w:left="720"/>
        <w:contextualSpacing w:val="0"/>
        <w:rPr>
          <w:rFonts w:ascii="Times New Roman" w:hAnsi="Times New Roman"/>
        </w:rPr>
      </w:pPr>
      <w:r w:rsidRPr="006E61D4">
        <w:rPr>
          <w:rFonts w:ascii="Times New Roman" w:hAnsi="Times New Roman"/>
        </w:rPr>
        <w:t xml:space="preserve">The MCO is allowed to send outreach materials and non-Marketing correspondence to its </w:t>
      </w:r>
      <w:r w:rsidR="00CD7FAB">
        <w:rPr>
          <w:rFonts w:ascii="Times New Roman" w:hAnsi="Times New Roman"/>
        </w:rPr>
        <w:t>enrollee</w:t>
      </w:r>
      <w:r w:rsidR="00CD7FAB" w:rsidRPr="006E61D4">
        <w:rPr>
          <w:rFonts w:ascii="Times New Roman" w:hAnsi="Times New Roman"/>
        </w:rPr>
        <w:t>s</w:t>
      </w:r>
      <w:r w:rsidRPr="006E61D4">
        <w:rPr>
          <w:rFonts w:ascii="Times New Roman" w:hAnsi="Times New Roman"/>
        </w:rPr>
        <w:t>. The content of such mailings must be approved by the Department prior to distribution</w:t>
      </w:r>
      <w:r w:rsidR="001D69A5" w:rsidRPr="006E61D4">
        <w:rPr>
          <w:rFonts w:ascii="Times New Roman" w:hAnsi="Times New Roman"/>
        </w:rPr>
        <w:t>;</w:t>
      </w:r>
    </w:p>
    <w:p w14:paraId="2B706047" w14:textId="52CDDE8A" w:rsidR="0065780F" w:rsidRPr="006E61D4" w:rsidRDefault="0065780F" w:rsidP="00F34033">
      <w:pPr>
        <w:pStyle w:val="ListParagraph"/>
        <w:numPr>
          <w:ilvl w:val="0"/>
          <w:numId w:val="67"/>
        </w:numPr>
        <w:tabs>
          <w:tab w:val="left" w:pos="360"/>
        </w:tabs>
        <w:spacing w:after="120" w:line="240" w:lineRule="auto"/>
        <w:ind w:left="720"/>
        <w:contextualSpacing w:val="0"/>
        <w:rPr>
          <w:rFonts w:ascii="Times New Roman" w:hAnsi="Times New Roman"/>
        </w:rPr>
      </w:pPr>
      <w:r w:rsidRPr="006E61D4">
        <w:rPr>
          <w:rFonts w:ascii="Times New Roman" w:hAnsi="Times New Roman"/>
        </w:rPr>
        <w:t xml:space="preserve">The MCO may send plan specific materials to potential </w:t>
      </w:r>
      <w:r w:rsidR="00CD7FAB">
        <w:rPr>
          <w:rFonts w:ascii="Times New Roman" w:hAnsi="Times New Roman"/>
        </w:rPr>
        <w:t>enrollee</w:t>
      </w:r>
      <w:r w:rsidR="00CD7FAB" w:rsidRPr="006E61D4">
        <w:rPr>
          <w:rFonts w:ascii="Times New Roman" w:hAnsi="Times New Roman"/>
        </w:rPr>
        <w:t xml:space="preserve">s </w:t>
      </w:r>
      <w:r w:rsidRPr="006E61D4">
        <w:rPr>
          <w:rFonts w:ascii="Times New Roman" w:hAnsi="Times New Roman"/>
        </w:rPr>
        <w:t xml:space="preserve">at the potential </w:t>
      </w:r>
      <w:r w:rsidR="00CD7FAB">
        <w:rPr>
          <w:rFonts w:ascii="Times New Roman" w:hAnsi="Times New Roman"/>
        </w:rPr>
        <w:t>enrollee</w:t>
      </w:r>
      <w:r w:rsidR="00CD7FAB" w:rsidRPr="006E61D4">
        <w:rPr>
          <w:rFonts w:ascii="Times New Roman" w:hAnsi="Times New Roman"/>
        </w:rPr>
        <w:t xml:space="preserve">’s </w:t>
      </w:r>
      <w:r w:rsidRPr="006E61D4">
        <w:rPr>
          <w:rFonts w:ascii="Times New Roman" w:hAnsi="Times New Roman"/>
        </w:rPr>
        <w:t>request. The content of such mailings must be approved by the Department prior to distribution</w:t>
      </w:r>
      <w:r w:rsidR="001D69A5" w:rsidRPr="006E61D4">
        <w:rPr>
          <w:rFonts w:ascii="Times New Roman" w:hAnsi="Times New Roman"/>
        </w:rPr>
        <w:t>;</w:t>
      </w:r>
    </w:p>
    <w:p w14:paraId="112A44D5" w14:textId="157FFDC6" w:rsidR="0065780F" w:rsidRPr="006E61D4" w:rsidRDefault="0065780F" w:rsidP="00F34033">
      <w:pPr>
        <w:pStyle w:val="ListParagraph"/>
        <w:numPr>
          <w:ilvl w:val="0"/>
          <w:numId w:val="67"/>
        </w:numPr>
        <w:tabs>
          <w:tab w:val="left" w:pos="360"/>
        </w:tabs>
        <w:spacing w:after="120" w:line="240" w:lineRule="auto"/>
        <w:ind w:left="720"/>
        <w:contextualSpacing w:val="0"/>
        <w:rPr>
          <w:rFonts w:ascii="Times New Roman" w:hAnsi="Times New Roman"/>
        </w:rPr>
      </w:pPr>
      <w:r w:rsidRPr="006E61D4">
        <w:rPr>
          <w:rFonts w:ascii="Times New Roman" w:hAnsi="Times New Roman"/>
        </w:rPr>
        <w:t xml:space="preserve">The MCO may only provide plan specific information during incoming calls from potential </w:t>
      </w:r>
      <w:r w:rsidR="00CD7FAB">
        <w:rPr>
          <w:rFonts w:ascii="Times New Roman" w:hAnsi="Times New Roman"/>
        </w:rPr>
        <w:t>enrollee</w:t>
      </w:r>
      <w:r w:rsidR="00CD7FAB" w:rsidRPr="006E61D4">
        <w:rPr>
          <w:rFonts w:ascii="Times New Roman" w:hAnsi="Times New Roman"/>
        </w:rPr>
        <w:t>s</w:t>
      </w:r>
      <w:r w:rsidRPr="006E61D4">
        <w:rPr>
          <w:rFonts w:ascii="Times New Roman" w:hAnsi="Times New Roman"/>
        </w:rPr>
        <w:t xml:space="preserve">. The MCO may return telephone calls to potential </w:t>
      </w:r>
      <w:r w:rsidR="00CD7FAB">
        <w:rPr>
          <w:rFonts w:ascii="Times New Roman" w:hAnsi="Times New Roman"/>
        </w:rPr>
        <w:t>enrollee</w:t>
      </w:r>
      <w:r w:rsidR="00CD7FAB" w:rsidRPr="006E61D4">
        <w:rPr>
          <w:rFonts w:ascii="Times New Roman" w:hAnsi="Times New Roman"/>
        </w:rPr>
        <w:t xml:space="preserve">s </w:t>
      </w:r>
      <w:r w:rsidRPr="006E61D4">
        <w:rPr>
          <w:rFonts w:ascii="Times New Roman" w:hAnsi="Times New Roman"/>
        </w:rPr>
        <w:t xml:space="preserve">only when </w:t>
      </w:r>
      <w:r w:rsidRPr="006E61D4">
        <w:rPr>
          <w:rFonts w:ascii="Times New Roman" w:hAnsi="Times New Roman"/>
        </w:rPr>
        <w:lastRenderedPageBreak/>
        <w:t>requested to do so by the caller. The content of such call scripts must be approved by the Department prior to distribution</w:t>
      </w:r>
      <w:r w:rsidR="001D69A5" w:rsidRPr="006E61D4">
        <w:rPr>
          <w:rFonts w:ascii="Times New Roman" w:hAnsi="Times New Roman"/>
        </w:rPr>
        <w:t>;</w:t>
      </w:r>
    </w:p>
    <w:p w14:paraId="1D9F6C55" w14:textId="6A375F8E" w:rsidR="0065780F" w:rsidRPr="006E61D4" w:rsidRDefault="0065780F" w:rsidP="00F34033">
      <w:pPr>
        <w:pStyle w:val="ListParagraph"/>
        <w:numPr>
          <w:ilvl w:val="0"/>
          <w:numId w:val="67"/>
        </w:numPr>
        <w:tabs>
          <w:tab w:val="left" w:pos="360"/>
        </w:tabs>
        <w:spacing w:after="120" w:line="240" w:lineRule="auto"/>
        <w:ind w:left="720"/>
        <w:contextualSpacing w:val="0"/>
        <w:rPr>
          <w:rFonts w:ascii="Times New Roman" w:hAnsi="Times New Roman"/>
        </w:rPr>
      </w:pPr>
      <w:r w:rsidRPr="006E61D4">
        <w:rPr>
          <w:rFonts w:ascii="Times New Roman" w:hAnsi="Times New Roman"/>
        </w:rPr>
        <w:t xml:space="preserve">The MCO may respond to direct questions from potential </w:t>
      </w:r>
      <w:r w:rsidR="00CD7FAB">
        <w:rPr>
          <w:rFonts w:ascii="Times New Roman" w:hAnsi="Times New Roman"/>
        </w:rPr>
        <w:t>enrollee</w:t>
      </w:r>
      <w:r w:rsidR="00CD7FAB" w:rsidRPr="006E61D4">
        <w:rPr>
          <w:rFonts w:ascii="Times New Roman" w:hAnsi="Times New Roman"/>
        </w:rPr>
        <w:t xml:space="preserve">s </w:t>
      </w:r>
      <w:r w:rsidRPr="006E61D4">
        <w:rPr>
          <w:rFonts w:ascii="Times New Roman" w:hAnsi="Times New Roman"/>
        </w:rPr>
        <w:t>with accurate information during such telephone calls</w:t>
      </w:r>
      <w:r w:rsidR="001D69A5" w:rsidRPr="006E61D4">
        <w:rPr>
          <w:rFonts w:ascii="Times New Roman" w:hAnsi="Times New Roman"/>
        </w:rPr>
        <w:t>;</w:t>
      </w:r>
    </w:p>
    <w:p w14:paraId="080BC143" w14:textId="6959C77D" w:rsidR="0065780F" w:rsidRPr="006E61D4" w:rsidRDefault="0065780F" w:rsidP="00F34033">
      <w:pPr>
        <w:pStyle w:val="ListParagraph"/>
        <w:numPr>
          <w:ilvl w:val="0"/>
          <w:numId w:val="67"/>
        </w:numPr>
        <w:spacing w:after="120" w:line="240" w:lineRule="auto"/>
        <w:ind w:left="720"/>
        <w:contextualSpacing w:val="0"/>
        <w:rPr>
          <w:rFonts w:ascii="Times New Roman" w:hAnsi="Times New Roman"/>
        </w:rPr>
      </w:pPr>
      <w:r w:rsidRPr="006E61D4">
        <w:rPr>
          <w:rFonts w:ascii="Times New Roman" w:hAnsi="Times New Roman"/>
        </w:rPr>
        <w:t>The MCO may survey their former and current</w:t>
      </w:r>
      <w:r w:rsidR="00CD7FAB">
        <w:rPr>
          <w:rFonts w:ascii="Times New Roman" w:hAnsi="Times New Roman"/>
        </w:rPr>
        <w:t xml:space="preserve"> enrollees</w:t>
      </w:r>
      <w:r w:rsidR="001D69A5" w:rsidRPr="006E61D4">
        <w:rPr>
          <w:rFonts w:ascii="Times New Roman" w:hAnsi="Times New Roman"/>
        </w:rPr>
        <w:t>;</w:t>
      </w:r>
      <w:r w:rsidRPr="006E61D4">
        <w:rPr>
          <w:rFonts w:ascii="Times New Roman" w:hAnsi="Times New Roman"/>
        </w:rPr>
        <w:t xml:space="preserve"> </w:t>
      </w:r>
    </w:p>
    <w:p w14:paraId="4601ECA6" w14:textId="3446FEBF" w:rsidR="0065780F" w:rsidRPr="006E61D4" w:rsidRDefault="0065780F" w:rsidP="00F34033">
      <w:pPr>
        <w:pStyle w:val="ListParagraph"/>
        <w:numPr>
          <w:ilvl w:val="0"/>
          <w:numId w:val="67"/>
        </w:numPr>
        <w:spacing w:after="120" w:line="240" w:lineRule="auto"/>
        <w:ind w:left="720"/>
        <w:contextualSpacing w:val="0"/>
        <w:rPr>
          <w:rFonts w:ascii="Times New Roman" w:hAnsi="Times New Roman"/>
        </w:rPr>
      </w:pPr>
      <w:r w:rsidRPr="006E61D4">
        <w:rPr>
          <w:rFonts w:ascii="Times New Roman" w:hAnsi="Times New Roman"/>
        </w:rPr>
        <w:t>The MCO may provide Gifts approved by the Department to encourage current</w:t>
      </w:r>
      <w:r w:rsidR="00721794">
        <w:rPr>
          <w:rFonts w:ascii="Times New Roman" w:hAnsi="Times New Roman"/>
        </w:rPr>
        <w:t xml:space="preserve"> enrollees</w:t>
      </w:r>
      <w:r w:rsidRPr="006E61D4">
        <w:rPr>
          <w:rFonts w:ascii="Times New Roman" w:hAnsi="Times New Roman"/>
        </w:rPr>
        <w:t xml:space="preserve"> to participate in the surveys</w:t>
      </w:r>
      <w:r w:rsidR="001D69A5" w:rsidRPr="006E61D4">
        <w:rPr>
          <w:rFonts w:ascii="Times New Roman" w:hAnsi="Times New Roman"/>
        </w:rPr>
        <w:t>;</w:t>
      </w:r>
      <w:r w:rsidRPr="006E61D4">
        <w:rPr>
          <w:rFonts w:ascii="Times New Roman" w:hAnsi="Times New Roman"/>
        </w:rPr>
        <w:t xml:space="preserve"> </w:t>
      </w:r>
    </w:p>
    <w:p w14:paraId="52E076D1" w14:textId="22A7B44A" w:rsidR="0065780F" w:rsidRPr="006E61D4" w:rsidRDefault="0065780F" w:rsidP="00F34033">
      <w:pPr>
        <w:pStyle w:val="ListParagraph"/>
        <w:numPr>
          <w:ilvl w:val="0"/>
          <w:numId w:val="67"/>
        </w:numPr>
        <w:spacing w:after="120" w:line="240" w:lineRule="auto"/>
        <w:ind w:left="720"/>
        <w:contextualSpacing w:val="0"/>
        <w:rPr>
          <w:rFonts w:ascii="Times New Roman" w:hAnsi="Times New Roman"/>
        </w:rPr>
      </w:pPr>
      <w:r w:rsidRPr="006E61D4">
        <w:rPr>
          <w:rFonts w:ascii="Times New Roman" w:hAnsi="Times New Roman"/>
        </w:rPr>
        <w:t xml:space="preserve">The MCO may distribute materials and information that purely educate its </w:t>
      </w:r>
      <w:r w:rsidR="00721794">
        <w:rPr>
          <w:rFonts w:ascii="Times New Roman" w:hAnsi="Times New Roman"/>
        </w:rPr>
        <w:t>enrollee</w:t>
      </w:r>
      <w:r w:rsidR="00721794" w:rsidRPr="006E61D4">
        <w:rPr>
          <w:rFonts w:ascii="Times New Roman" w:hAnsi="Times New Roman"/>
        </w:rPr>
        <w:t xml:space="preserve">s </w:t>
      </w:r>
      <w:r w:rsidRPr="006E61D4">
        <w:rPr>
          <w:rFonts w:ascii="Times New Roman" w:hAnsi="Times New Roman"/>
        </w:rPr>
        <w:t>on the importance of completing the State’s Medicaid eligibility renewal process in a timely fashion</w:t>
      </w:r>
      <w:r w:rsidR="001D69A5" w:rsidRPr="006E61D4">
        <w:rPr>
          <w:rFonts w:ascii="Times New Roman" w:hAnsi="Times New Roman"/>
        </w:rPr>
        <w:t>; and</w:t>
      </w:r>
    </w:p>
    <w:p w14:paraId="083B19F4" w14:textId="4DD51F60" w:rsidR="0065780F" w:rsidRPr="006E61D4" w:rsidRDefault="0065780F" w:rsidP="00F34033">
      <w:pPr>
        <w:pStyle w:val="ListParagraph"/>
        <w:numPr>
          <w:ilvl w:val="0"/>
          <w:numId w:val="67"/>
        </w:numPr>
        <w:spacing w:after="240" w:line="240" w:lineRule="auto"/>
        <w:ind w:left="720"/>
        <w:contextualSpacing w:val="0"/>
        <w:rPr>
          <w:rFonts w:ascii="Times New Roman" w:hAnsi="Times New Roman"/>
        </w:rPr>
      </w:pPr>
      <w:r w:rsidRPr="006E61D4">
        <w:rPr>
          <w:rFonts w:ascii="Times New Roman" w:hAnsi="Times New Roman"/>
        </w:rPr>
        <w:t xml:space="preserve">At the Departments’ approval, the MCO may provide information about a Qualified Health Plan (QHP) to potential </w:t>
      </w:r>
      <w:r w:rsidR="00721794">
        <w:rPr>
          <w:rFonts w:ascii="Times New Roman" w:hAnsi="Times New Roman"/>
        </w:rPr>
        <w:t>enrollee</w:t>
      </w:r>
      <w:r w:rsidR="00721794" w:rsidRPr="006E61D4">
        <w:rPr>
          <w:rFonts w:ascii="Times New Roman" w:hAnsi="Times New Roman"/>
        </w:rPr>
        <w:t xml:space="preserve">s </w:t>
      </w:r>
      <w:r w:rsidRPr="006E61D4">
        <w:rPr>
          <w:rFonts w:ascii="Times New Roman" w:hAnsi="Times New Roman"/>
        </w:rPr>
        <w:t xml:space="preserve">who could enroll in such a plan as an alternative to the Medicaid managed care plan due to a loss of Medicaid eligibility or to potential </w:t>
      </w:r>
      <w:r w:rsidR="00721794">
        <w:rPr>
          <w:rFonts w:ascii="Times New Roman" w:hAnsi="Times New Roman"/>
        </w:rPr>
        <w:t>enrollee</w:t>
      </w:r>
      <w:r w:rsidR="00721794" w:rsidRPr="006E61D4">
        <w:rPr>
          <w:rFonts w:ascii="Times New Roman" w:hAnsi="Times New Roman"/>
        </w:rPr>
        <w:t xml:space="preserve">s </w:t>
      </w:r>
      <w:r w:rsidRPr="006E61D4">
        <w:rPr>
          <w:rFonts w:ascii="Times New Roman" w:hAnsi="Times New Roman"/>
        </w:rPr>
        <w:t>who may consider the benefits of selecting an Medicaid managed care plan that has a related QHP in the event of future eligibility changes.</w:t>
      </w:r>
      <w:r w:rsidR="001944C9" w:rsidRPr="006E61D4">
        <w:rPr>
          <w:rFonts w:ascii="Times New Roman" w:hAnsi="Times New Roman"/>
        </w:rPr>
        <w:t xml:space="preserve"> Such information may not be included within </w:t>
      </w:r>
      <w:r w:rsidR="00F33B38" w:rsidRPr="006E61D4">
        <w:rPr>
          <w:rFonts w:ascii="Times New Roman" w:hAnsi="Times New Roman"/>
        </w:rPr>
        <w:t>marketing</w:t>
      </w:r>
      <w:r w:rsidR="004A12AB" w:rsidRPr="006E61D4">
        <w:rPr>
          <w:rFonts w:ascii="Times New Roman" w:hAnsi="Times New Roman"/>
        </w:rPr>
        <w:t xml:space="preserve"> </w:t>
      </w:r>
      <w:r w:rsidR="001944C9" w:rsidRPr="006E61D4">
        <w:rPr>
          <w:rFonts w:ascii="Times New Roman" w:hAnsi="Times New Roman"/>
        </w:rPr>
        <w:t xml:space="preserve">materials. </w:t>
      </w:r>
    </w:p>
    <w:p w14:paraId="5E5F59F0" w14:textId="26EBD895" w:rsidR="005C73AA" w:rsidRPr="00CE5353" w:rsidRDefault="004D7640" w:rsidP="00257641">
      <w:pPr>
        <w:keepNext/>
        <w:keepLines/>
        <w:ind w:firstLine="360"/>
        <w:outlineLvl w:val="2"/>
        <w:rPr>
          <w:rFonts w:ascii="Arial" w:hAnsi="Arial" w:cs="Arial"/>
          <w:b/>
          <w:bCs/>
          <w:noProof w:val="0"/>
          <w:szCs w:val="24"/>
        </w:rPr>
      </w:pPr>
      <w:r>
        <w:rPr>
          <w:rFonts w:ascii="Arial" w:hAnsi="Arial" w:cs="Arial"/>
          <w:b/>
          <w:bCs/>
          <w:noProof w:val="0"/>
          <w:szCs w:val="24"/>
        </w:rPr>
        <w:t>C</w:t>
      </w:r>
      <w:r w:rsidR="005E7382">
        <w:rPr>
          <w:rFonts w:ascii="Arial" w:hAnsi="Arial" w:cs="Arial"/>
          <w:b/>
          <w:bCs/>
          <w:noProof w:val="0"/>
          <w:szCs w:val="24"/>
        </w:rPr>
        <w:t>-</w:t>
      </w:r>
      <w:r w:rsidR="00A826F1">
        <w:rPr>
          <w:rFonts w:ascii="Arial" w:hAnsi="Arial" w:cs="Arial"/>
          <w:b/>
          <w:bCs/>
          <w:noProof w:val="0"/>
          <w:szCs w:val="24"/>
        </w:rPr>
        <w:t>3 Prohibited</w:t>
      </w:r>
      <w:r w:rsidR="005C73AA" w:rsidRPr="00CE5353">
        <w:rPr>
          <w:rFonts w:ascii="Arial" w:hAnsi="Arial" w:cs="Arial"/>
          <w:b/>
          <w:bCs/>
          <w:noProof w:val="0"/>
          <w:szCs w:val="24"/>
        </w:rPr>
        <w:t xml:space="preserve"> Marketing </w:t>
      </w:r>
      <w:r w:rsidR="00177E3B" w:rsidRPr="00CE5353">
        <w:rPr>
          <w:rFonts w:ascii="Arial" w:hAnsi="Arial" w:cs="Arial"/>
          <w:b/>
          <w:bCs/>
          <w:noProof w:val="0"/>
          <w:szCs w:val="24"/>
        </w:rPr>
        <w:t>P</w:t>
      </w:r>
      <w:r w:rsidR="005C73AA" w:rsidRPr="00CE5353">
        <w:rPr>
          <w:rFonts w:ascii="Arial" w:hAnsi="Arial" w:cs="Arial"/>
          <w:b/>
          <w:bCs/>
          <w:noProof w:val="0"/>
          <w:szCs w:val="24"/>
        </w:rPr>
        <w:t>ractices</w:t>
      </w:r>
      <w:r w:rsidR="00C02887" w:rsidRPr="00CE5353">
        <w:rPr>
          <w:rFonts w:ascii="Arial" w:hAnsi="Arial" w:cs="Arial"/>
          <w:b/>
          <w:bCs/>
          <w:noProof w:val="0"/>
          <w:szCs w:val="24"/>
        </w:rPr>
        <w:t xml:space="preserve"> </w:t>
      </w:r>
    </w:p>
    <w:p w14:paraId="0B0A4427" w14:textId="77777777" w:rsidR="00267C39" w:rsidRDefault="00D04E30" w:rsidP="00096A5D">
      <w:pPr>
        <w:pStyle w:val="BodyText"/>
      </w:pPr>
      <w:r>
        <w:t xml:space="preserve">A </w:t>
      </w:r>
      <w:r w:rsidR="00267C39">
        <w:t xml:space="preserve">MCO engaging in prohibited Marketing practices </w:t>
      </w:r>
      <w:r w:rsidR="00F12B3F">
        <w:t xml:space="preserve">listed below </w:t>
      </w:r>
      <w:r w:rsidR="00267C39">
        <w:t xml:space="preserve">will be in violation of this </w:t>
      </w:r>
      <w:r w:rsidR="009B19C2">
        <w:t xml:space="preserve">Contract </w:t>
      </w:r>
      <w:r w:rsidR="003D63B9">
        <w:t xml:space="preserve">and </w:t>
      </w:r>
      <w:r w:rsidR="00267C39">
        <w:t>Marketing Policy.</w:t>
      </w:r>
      <w:r w:rsidR="00202908">
        <w:t xml:space="preserve"> </w:t>
      </w:r>
      <w:r w:rsidR="00202908" w:rsidRPr="00202908">
        <w:t>This list is not intended to be exhaustive.</w:t>
      </w:r>
    </w:p>
    <w:p w14:paraId="23E5383A" w14:textId="77777777" w:rsidR="00267C39" w:rsidRDefault="00267C39" w:rsidP="00096A5D">
      <w:pPr>
        <w:pStyle w:val="BodyText"/>
      </w:pPr>
      <w:r>
        <w:t xml:space="preserve">The following prohibitions are applicable to </w:t>
      </w:r>
      <w:r w:rsidR="006F1D37">
        <w:t>the</w:t>
      </w:r>
      <w:r>
        <w:t xml:space="preserve"> MCO, its </w:t>
      </w:r>
      <w:r w:rsidR="008A1D91">
        <w:t>a</w:t>
      </w:r>
      <w:r>
        <w:t xml:space="preserve">gents, </w:t>
      </w:r>
      <w:r w:rsidR="00642406">
        <w:t>S</w:t>
      </w:r>
      <w:r>
        <w:t xml:space="preserve">ubcontractors, and </w:t>
      </w:r>
      <w:r w:rsidR="00237CAE">
        <w:t xml:space="preserve">MCO </w:t>
      </w:r>
      <w:r>
        <w:t>providers:</w:t>
      </w:r>
    </w:p>
    <w:p w14:paraId="2BAADB6B"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Distributing Marketing materials without prior Department approval;</w:t>
      </w:r>
    </w:p>
    <w:p w14:paraId="54B0633F"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Using the word, “Mountain,” or phrase, “Mountain Health,” </w:t>
      </w:r>
      <w:r w:rsidR="008A4F0C" w:rsidRPr="006E61D4">
        <w:rPr>
          <w:rFonts w:ascii="Times New Roman" w:hAnsi="Times New Roman"/>
        </w:rPr>
        <w:t>“</w:t>
      </w:r>
      <w:r w:rsidR="00BC791F" w:rsidRPr="006E61D4">
        <w:rPr>
          <w:rFonts w:ascii="Times New Roman" w:hAnsi="Times New Roman"/>
        </w:rPr>
        <w:t>Health</w:t>
      </w:r>
      <w:r w:rsidR="008A4F0C" w:rsidRPr="006E61D4">
        <w:rPr>
          <w:rFonts w:ascii="Times New Roman" w:hAnsi="Times New Roman"/>
        </w:rPr>
        <w:t xml:space="preserve"> Bridge”, </w:t>
      </w:r>
      <w:r w:rsidRPr="006E61D4">
        <w:rPr>
          <w:rFonts w:ascii="Times New Roman" w:hAnsi="Times New Roman"/>
        </w:rPr>
        <w:t>except when referring to Mountain Health Trust</w:t>
      </w:r>
      <w:r w:rsidR="008A4F0C" w:rsidRPr="006E61D4">
        <w:rPr>
          <w:rFonts w:ascii="Times New Roman" w:hAnsi="Times New Roman"/>
        </w:rPr>
        <w:t xml:space="preserve">, </w:t>
      </w:r>
      <w:r w:rsidR="00765537" w:rsidRPr="006E61D4">
        <w:rPr>
          <w:rFonts w:ascii="Times New Roman" w:hAnsi="Times New Roman"/>
        </w:rPr>
        <w:t>West Virginia</w:t>
      </w:r>
      <w:r w:rsidR="008A4F0C" w:rsidRPr="006E61D4">
        <w:rPr>
          <w:rFonts w:ascii="Times New Roman" w:hAnsi="Times New Roman"/>
        </w:rPr>
        <w:t xml:space="preserve"> Health Bridge</w:t>
      </w:r>
      <w:r w:rsidRPr="006E61D4">
        <w:rPr>
          <w:rFonts w:ascii="Times New Roman" w:hAnsi="Times New Roman"/>
        </w:rPr>
        <w:t xml:space="preserve"> or other State programs;</w:t>
      </w:r>
    </w:p>
    <w:p w14:paraId="0DDC5DC1" w14:textId="530E1141"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Distributing Marketing materials written above the 6</w:t>
      </w:r>
      <w:r w:rsidRPr="006E61D4">
        <w:rPr>
          <w:rFonts w:ascii="Times New Roman" w:hAnsi="Times New Roman"/>
          <w:vertAlign w:val="superscript"/>
        </w:rPr>
        <w:t>th</w:t>
      </w:r>
      <w:r w:rsidRPr="006E61D4">
        <w:rPr>
          <w:rFonts w:ascii="Times New Roman" w:hAnsi="Times New Roman"/>
        </w:rPr>
        <w:t xml:space="preserve"> grade reading level, unless approved by the Department;</w:t>
      </w:r>
    </w:p>
    <w:p w14:paraId="5A055DDF" w14:textId="15BCEF2E"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Offering gifts valued over $15 to potential </w:t>
      </w:r>
      <w:r w:rsidR="00721794">
        <w:rPr>
          <w:rFonts w:ascii="Times New Roman" w:hAnsi="Times New Roman"/>
        </w:rPr>
        <w:t>enrollee</w:t>
      </w:r>
      <w:r w:rsidR="00721794" w:rsidRPr="006E61D4">
        <w:rPr>
          <w:rFonts w:ascii="Times New Roman" w:hAnsi="Times New Roman"/>
        </w:rPr>
        <w:t>s</w:t>
      </w:r>
      <w:r w:rsidRPr="006E61D4">
        <w:rPr>
          <w:rFonts w:ascii="Times New Roman" w:hAnsi="Times New Roman"/>
        </w:rPr>
        <w:t>;</w:t>
      </w:r>
    </w:p>
    <w:p w14:paraId="1AEF2D06" w14:textId="0DC52465"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Providing gifts to providers for the purpose of distributing them directly to the MCO’s potential </w:t>
      </w:r>
      <w:r w:rsidR="009B7161">
        <w:rPr>
          <w:rFonts w:ascii="Times New Roman" w:hAnsi="Times New Roman"/>
        </w:rPr>
        <w:t>enrollee</w:t>
      </w:r>
      <w:r w:rsidR="009B7161" w:rsidRPr="006E61D4">
        <w:rPr>
          <w:rFonts w:ascii="Times New Roman" w:hAnsi="Times New Roman"/>
        </w:rPr>
        <w:t xml:space="preserve">s </w:t>
      </w:r>
      <w:r w:rsidR="00544678" w:rsidRPr="006E61D4">
        <w:rPr>
          <w:rFonts w:ascii="Times New Roman" w:hAnsi="Times New Roman"/>
        </w:rPr>
        <w:t>or current</w:t>
      </w:r>
      <w:r w:rsidR="009B7161">
        <w:rPr>
          <w:rFonts w:ascii="Times New Roman" w:hAnsi="Times New Roman"/>
        </w:rPr>
        <w:t xml:space="preserve"> enrollees</w:t>
      </w:r>
      <w:r w:rsidRPr="006E61D4">
        <w:rPr>
          <w:rFonts w:ascii="Times New Roman" w:hAnsi="Times New Roman"/>
        </w:rPr>
        <w:t>;</w:t>
      </w:r>
    </w:p>
    <w:p w14:paraId="649F0011"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Directly or indirectly, engaging in door-to-door, </w:t>
      </w:r>
      <w:r w:rsidR="00632A52" w:rsidRPr="006E61D4">
        <w:rPr>
          <w:rFonts w:ascii="Times New Roman" w:hAnsi="Times New Roman"/>
        </w:rPr>
        <w:t xml:space="preserve">email, text, </w:t>
      </w:r>
      <w:r w:rsidRPr="006E61D4">
        <w:rPr>
          <w:rFonts w:ascii="Times New Roman" w:hAnsi="Times New Roman"/>
        </w:rPr>
        <w:t>telephone, and other Cold Call Marketing activities;</w:t>
      </w:r>
    </w:p>
    <w:p w14:paraId="42D2718E"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Marketing in or around public assistance offices, including eligibility offices;</w:t>
      </w:r>
    </w:p>
    <w:p w14:paraId="1E5B2536"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Using </w:t>
      </w:r>
      <w:r w:rsidR="003C1810" w:rsidRPr="006E61D4">
        <w:rPr>
          <w:rFonts w:ascii="Times New Roman" w:hAnsi="Times New Roman"/>
        </w:rPr>
        <w:t>s</w:t>
      </w:r>
      <w:r w:rsidRPr="006E61D4">
        <w:rPr>
          <w:rFonts w:ascii="Times New Roman" w:hAnsi="Times New Roman"/>
        </w:rPr>
        <w:t>pam</w:t>
      </w:r>
      <w:r w:rsidR="003C1810" w:rsidRPr="006E61D4">
        <w:rPr>
          <w:rFonts w:ascii="Times New Roman" w:hAnsi="Times New Roman"/>
        </w:rPr>
        <w:t xml:space="preserve"> (an unwanted, disruptive commercial message posted on a computer network or sent by email);</w:t>
      </w:r>
    </w:p>
    <w:p w14:paraId="29AF4D2E"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lastRenderedPageBreak/>
        <w:t>Making any assertion or statement (orally or in writing) that the MCO is endorsed by CMS, a federal or state government agency, or similar entity;</w:t>
      </w:r>
    </w:p>
    <w:p w14:paraId="453098E8"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Knowingly marketing to persons currently enrolled in another MCO</w:t>
      </w:r>
      <w:r w:rsidR="00690BE6" w:rsidRPr="006E61D4">
        <w:rPr>
          <w:rFonts w:ascii="Times New Roman" w:hAnsi="Times New Roman"/>
        </w:rPr>
        <w:t xml:space="preserve"> directly by mail, phone or electronic means of communication</w:t>
      </w:r>
      <w:r w:rsidRPr="006E61D4">
        <w:rPr>
          <w:rFonts w:ascii="Times New Roman" w:hAnsi="Times New Roman"/>
        </w:rPr>
        <w:t>;</w:t>
      </w:r>
    </w:p>
    <w:p w14:paraId="7466C2C9" w14:textId="5F11E96B"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Inducing or accepting a </w:t>
      </w:r>
      <w:r w:rsidR="009B7161">
        <w:rPr>
          <w:rFonts w:ascii="Times New Roman" w:hAnsi="Times New Roman"/>
        </w:rPr>
        <w:t>enrollee</w:t>
      </w:r>
      <w:r w:rsidR="009B7161" w:rsidRPr="006E61D4">
        <w:rPr>
          <w:rFonts w:ascii="Times New Roman" w:hAnsi="Times New Roman"/>
        </w:rPr>
        <w:t xml:space="preserve">’s </w:t>
      </w:r>
      <w:r w:rsidRPr="006E61D4">
        <w:rPr>
          <w:rFonts w:ascii="Times New Roman" w:hAnsi="Times New Roman"/>
        </w:rPr>
        <w:t>MCO enrollment or MCO disenrollment;</w:t>
      </w:r>
    </w:p>
    <w:p w14:paraId="254B964D" w14:textId="4D348696"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Using terms that would influence, mislead, or cause potential </w:t>
      </w:r>
      <w:r w:rsidR="009B7161">
        <w:rPr>
          <w:rFonts w:ascii="Times New Roman" w:hAnsi="Times New Roman"/>
        </w:rPr>
        <w:t>enrollee</w:t>
      </w:r>
      <w:r w:rsidR="009B7161" w:rsidRPr="006E61D4">
        <w:rPr>
          <w:rFonts w:ascii="Times New Roman" w:hAnsi="Times New Roman"/>
        </w:rPr>
        <w:t xml:space="preserve">s </w:t>
      </w:r>
      <w:r w:rsidRPr="006E61D4">
        <w:rPr>
          <w:rFonts w:ascii="Times New Roman" w:hAnsi="Times New Roman"/>
        </w:rPr>
        <w:t>to contact the MCO, rather than the Enrollment Broker, for enrollment;</w:t>
      </w:r>
    </w:p>
    <w:p w14:paraId="5FD1D66C"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Portraying competitors in a negative manner; </w:t>
      </w:r>
    </w:p>
    <w:p w14:paraId="101BCDE5"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Using absolute superlatives (e.g., “the best,” “highest ranked,” “rated number 1”) unless they are substantiated with supporting data provided to the Department;</w:t>
      </w:r>
    </w:p>
    <w:p w14:paraId="15B689CF"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Making any written or oral statements containing material misrepresentations of fact or law relating to the MCO’s plan or the </w:t>
      </w:r>
      <w:r w:rsidR="00C50A99" w:rsidRPr="006E61D4">
        <w:rPr>
          <w:rFonts w:ascii="Times New Roman" w:hAnsi="Times New Roman"/>
        </w:rPr>
        <w:t>Medicaid p</w:t>
      </w:r>
      <w:r w:rsidRPr="006E61D4">
        <w:rPr>
          <w:rFonts w:ascii="Times New Roman" w:hAnsi="Times New Roman"/>
        </w:rPr>
        <w:t>rogram, services, or benefits;</w:t>
      </w:r>
    </w:p>
    <w:p w14:paraId="16D185D8" w14:textId="731C04BA"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Making potential </w:t>
      </w:r>
      <w:r w:rsidR="009B7161">
        <w:rPr>
          <w:rFonts w:ascii="Times New Roman" w:hAnsi="Times New Roman"/>
        </w:rPr>
        <w:t>enrollee</w:t>
      </w:r>
      <w:r w:rsidR="009B7161" w:rsidRPr="006E61D4">
        <w:rPr>
          <w:rFonts w:ascii="Times New Roman" w:hAnsi="Times New Roman"/>
        </w:rPr>
        <w:t xml:space="preserve"> </w:t>
      </w:r>
      <w:r w:rsidRPr="006E61D4">
        <w:rPr>
          <w:rFonts w:ascii="Times New Roman" w:hAnsi="Times New Roman"/>
        </w:rPr>
        <w:t>gifts conditional based on enrollment with the MCO;</w:t>
      </w:r>
    </w:p>
    <w:p w14:paraId="7F08796B" w14:textId="14EE446A"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Charging </w:t>
      </w:r>
      <w:r w:rsidR="009B7161">
        <w:rPr>
          <w:rFonts w:ascii="Times New Roman" w:hAnsi="Times New Roman"/>
        </w:rPr>
        <w:t>enrollee</w:t>
      </w:r>
      <w:r w:rsidR="009B7161" w:rsidRPr="006E61D4">
        <w:rPr>
          <w:rFonts w:ascii="Times New Roman" w:hAnsi="Times New Roman"/>
        </w:rPr>
        <w:t xml:space="preserve">s </w:t>
      </w:r>
      <w:r w:rsidRPr="006E61D4">
        <w:rPr>
          <w:rFonts w:ascii="Times New Roman" w:hAnsi="Times New Roman"/>
        </w:rPr>
        <w:t xml:space="preserve">for goods or services distributed at MCO or </w:t>
      </w:r>
      <w:r w:rsidR="000C3B1D" w:rsidRPr="006E61D4">
        <w:rPr>
          <w:rFonts w:ascii="Times New Roman" w:hAnsi="Times New Roman"/>
        </w:rPr>
        <w:t xml:space="preserve">Medicaid </w:t>
      </w:r>
      <w:r w:rsidRPr="006E61D4">
        <w:rPr>
          <w:rFonts w:ascii="Times New Roman" w:hAnsi="Times New Roman"/>
        </w:rPr>
        <w:t>events;</w:t>
      </w:r>
    </w:p>
    <w:p w14:paraId="032708CB" w14:textId="13C35F44"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Charging </w:t>
      </w:r>
      <w:r w:rsidR="009B7161">
        <w:rPr>
          <w:rFonts w:ascii="Times New Roman" w:hAnsi="Times New Roman"/>
        </w:rPr>
        <w:t>enrollee</w:t>
      </w:r>
      <w:r w:rsidR="009B7161" w:rsidRPr="006E61D4">
        <w:rPr>
          <w:rFonts w:ascii="Times New Roman" w:hAnsi="Times New Roman"/>
        </w:rPr>
        <w:t xml:space="preserve">s </w:t>
      </w:r>
      <w:r w:rsidRPr="006E61D4">
        <w:rPr>
          <w:rFonts w:ascii="Times New Roman" w:hAnsi="Times New Roman"/>
        </w:rPr>
        <w:t>a fee for accessing the MCO’s website;</w:t>
      </w:r>
    </w:p>
    <w:p w14:paraId="0B88FE3C"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Influencing enrollment in conjunction with the sale or offering of any private insurance;</w:t>
      </w:r>
    </w:p>
    <w:p w14:paraId="218DF6E7"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Tying enrollment in the Medicaid</w:t>
      </w:r>
      <w:r w:rsidR="000C3B1D" w:rsidRPr="006E61D4">
        <w:rPr>
          <w:rFonts w:ascii="Times New Roman" w:hAnsi="Times New Roman"/>
        </w:rPr>
        <w:t xml:space="preserve"> </w:t>
      </w:r>
      <w:r w:rsidR="008A4610" w:rsidRPr="006E61D4">
        <w:rPr>
          <w:rFonts w:ascii="Times New Roman" w:hAnsi="Times New Roman"/>
        </w:rPr>
        <w:t>MCO</w:t>
      </w:r>
      <w:r w:rsidRPr="006E61D4">
        <w:rPr>
          <w:rFonts w:ascii="Times New Roman" w:hAnsi="Times New Roman"/>
        </w:rPr>
        <w:t xml:space="preserve"> with purchasing (or the provision of) other types of private insurance; </w:t>
      </w:r>
    </w:p>
    <w:p w14:paraId="5E45C1BE"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Using marketing agents who are paid solely by commission;</w:t>
      </w:r>
    </w:p>
    <w:p w14:paraId="35266BB4"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Posting MCO-specific, non-health related materials or banners in provider offices; </w:t>
      </w:r>
    </w:p>
    <w:p w14:paraId="1DFEBA19" w14:textId="492A757D"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Conducting potential </w:t>
      </w:r>
      <w:r w:rsidR="009B7161">
        <w:rPr>
          <w:rFonts w:ascii="Times New Roman" w:hAnsi="Times New Roman"/>
        </w:rPr>
        <w:t>enrollee</w:t>
      </w:r>
      <w:r w:rsidR="009B7161" w:rsidRPr="006E61D4">
        <w:rPr>
          <w:rFonts w:ascii="Times New Roman" w:hAnsi="Times New Roman"/>
        </w:rPr>
        <w:t xml:space="preserve"> </w:t>
      </w:r>
      <w:r w:rsidRPr="006E61D4">
        <w:rPr>
          <w:rFonts w:ascii="Times New Roman" w:hAnsi="Times New Roman"/>
        </w:rPr>
        <w:t>orientation in common areas of providers’ offices;</w:t>
      </w:r>
    </w:p>
    <w:p w14:paraId="50362587" w14:textId="449F8514" w:rsidR="00EC45BE" w:rsidRPr="005149B6" w:rsidRDefault="00EC45BE" w:rsidP="00F34033">
      <w:pPr>
        <w:pStyle w:val="ListParagraph"/>
        <w:numPr>
          <w:ilvl w:val="0"/>
          <w:numId w:val="68"/>
        </w:numPr>
        <w:spacing w:after="240" w:line="240" w:lineRule="auto"/>
        <w:ind w:left="720"/>
        <w:contextualSpacing w:val="0"/>
        <w:rPr>
          <w:rFonts w:ascii="Times New Roman" w:hAnsi="Times New Roman"/>
        </w:rPr>
      </w:pPr>
      <w:r w:rsidRPr="005149B6">
        <w:rPr>
          <w:rFonts w:ascii="Times New Roman" w:hAnsi="Times New Roman"/>
        </w:rPr>
        <w:t>Allowing providers to solicit enrollment or disenrollment in an MCO, or distribute MCO-specific materials at a Marketing activity (This does not apply to health fairs where providers do immunizations, blood pressure checks, etc. as long as the provider is not soliciting enrollment or distributing plan specific MCO materials.);</w:t>
      </w:r>
    </w:p>
    <w:p w14:paraId="484A7AB8" w14:textId="7CEA28AE" w:rsidR="00EC45BE" w:rsidRPr="00BA7CAF" w:rsidRDefault="00EC45BE" w:rsidP="00F34033">
      <w:pPr>
        <w:pStyle w:val="ListParagraph"/>
        <w:numPr>
          <w:ilvl w:val="0"/>
          <w:numId w:val="68"/>
        </w:numPr>
        <w:spacing w:after="240" w:line="240" w:lineRule="auto"/>
        <w:ind w:left="720"/>
        <w:contextualSpacing w:val="0"/>
        <w:rPr>
          <w:rFonts w:ascii="Times New Roman" w:hAnsi="Times New Roman"/>
        </w:rPr>
      </w:pPr>
      <w:r w:rsidRPr="005149B6">
        <w:rPr>
          <w:rFonts w:ascii="Times New Roman" w:hAnsi="Times New Roman"/>
        </w:rPr>
        <w:t>Purchasing or otherwise acquiring mailing lists from third party vendors</w:t>
      </w:r>
      <w:r w:rsidRPr="00BA7CAF">
        <w:rPr>
          <w:rFonts w:ascii="Times New Roman" w:hAnsi="Times New Roman"/>
        </w:rPr>
        <w:t xml:space="preserve">, or for paying Department’s contractors or </w:t>
      </w:r>
      <w:r w:rsidR="00642406" w:rsidRPr="00BA7CAF">
        <w:rPr>
          <w:rFonts w:ascii="Times New Roman" w:hAnsi="Times New Roman"/>
        </w:rPr>
        <w:t>S</w:t>
      </w:r>
      <w:r w:rsidRPr="00BA7CAF">
        <w:rPr>
          <w:rFonts w:ascii="Times New Roman" w:hAnsi="Times New Roman"/>
        </w:rPr>
        <w:t xml:space="preserve">ubcontractors to send plan specific materials to potential </w:t>
      </w:r>
      <w:r w:rsidR="009B7161">
        <w:rPr>
          <w:rFonts w:ascii="Times New Roman" w:hAnsi="Times New Roman"/>
        </w:rPr>
        <w:t>enrollee</w:t>
      </w:r>
      <w:r w:rsidR="009B7161" w:rsidRPr="00BA7CAF">
        <w:rPr>
          <w:rFonts w:ascii="Times New Roman" w:hAnsi="Times New Roman"/>
        </w:rPr>
        <w:t>s</w:t>
      </w:r>
      <w:r w:rsidRPr="00BA7CAF">
        <w:rPr>
          <w:rFonts w:ascii="Times New Roman" w:hAnsi="Times New Roman"/>
        </w:rPr>
        <w:t>;</w:t>
      </w:r>
    </w:p>
    <w:p w14:paraId="6C52B40A" w14:textId="77777777" w:rsidR="00EC45BE" w:rsidRPr="00BA7CAF" w:rsidRDefault="00EC45BE" w:rsidP="00F34033">
      <w:pPr>
        <w:pStyle w:val="ListParagraph"/>
        <w:numPr>
          <w:ilvl w:val="0"/>
          <w:numId w:val="68"/>
        </w:numPr>
        <w:spacing w:after="240" w:line="240" w:lineRule="auto"/>
        <w:ind w:left="720"/>
        <w:contextualSpacing w:val="0"/>
        <w:rPr>
          <w:rFonts w:ascii="Times New Roman" w:hAnsi="Times New Roman"/>
        </w:rPr>
      </w:pPr>
      <w:r w:rsidRPr="00BA7CAF">
        <w:rPr>
          <w:rFonts w:ascii="Times New Roman" w:hAnsi="Times New Roman"/>
        </w:rPr>
        <w:t>Referencing the commercial component of the MCO in any Marketing materials;</w:t>
      </w:r>
    </w:p>
    <w:p w14:paraId="3BD1E39C" w14:textId="10F32DB9" w:rsidR="00EC45BE" w:rsidRPr="005149B6" w:rsidRDefault="00EC45BE" w:rsidP="00F34033">
      <w:pPr>
        <w:pStyle w:val="ListParagraph"/>
        <w:numPr>
          <w:ilvl w:val="0"/>
          <w:numId w:val="68"/>
        </w:numPr>
        <w:spacing w:after="240" w:line="240" w:lineRule="auto"/>
        <w:ind w:left="720"/>
        <w:contextualSpacing w:val="0"/>
        <w:rPr>
          <w:rFonts w:ascii="Times New Roman" w:hAnsi="Times New Roman"/>
          <w:szCs w:val="24"/>
        </w:rPr>
      </w:pPr>
      <w:r w:rsidRPr="00BA7CAF">
        <w:rPr>
          <w:rFonts w:ascii="Times New Roman" w:hAnsi="Times New Roman"/>
        </w:rPr>
        <w:t>Discriminating against a</w:t>
      </w:r>
      <w:r w:rsidR="009B7161">
        <w:rPr>
          <w:rFonts w:ascii="Times New Roman" w:hAnsi="Times New Roman"/>
        </w:rPr>
        <w:t>n</w:t>
      </w:r>
      <w:r w:rsidRPr="00BA7CAF">
        <w:rPr>
          <w:rFonts w:ascii="Times New Roman" w:hAnsi="Times New Roman"/>
        </w:rPr>
        <w:t xml:space="preserve"> </w:t>
      </w:r>
      <w:r w:rsidR="009B7161">
        <w:rPr>
          <w:rFonts w:ascii="Times New Roman" w:hAnsi="Times New Roman"/>
        </w:rPr>
        <w:t>enrollee</w:t>
      </w:r>
      <w:r w:rsidR="009B7161" w:rsidRPr="00BA7CAF">
        <w:rPr>
          <w:rFonts w:ascii="Times New Roman" w:hAnsi="Times New Roman"/>
        </w:rPr>
        <w:t xml:space="preserve"> </w:t>
      </w:r>
      <w:r w:rsidRPr="00BA7CAF">
        <w:rPr>
          <w:rFonts w:ascii="Times New Roman" w:hAnsi="Times New Roman"/>
        </w:rPr>
        <w:t xml:space="preserve">or potential </w:t>
      </w:r>
      <w:r w:rsidR="009B7161">
        <w:rPr>
          <w:rFonts w:ascii="Times New Roman" w:hAnsi="Times New Roman"/>
        </w:rPr>
        <w:t>enrollee</w:t>
      </w:r>
      <w:r w:rsidR="009B7161" w:rsidRPr="00BA7CAF">
        <w:rPr>
          <w:rFonts w:ascii="Times New Roman" w:hAnsi="Times New Roman"/>
        </w:rPr>
        <w:t xml:space="preserve"> </w:t>
      </w:r>
      <w:r w:rsidRPr="00BA7CAF">
        <w:rPr>
          <w:rFonts w:ascii="Times New Roman" w:hAnsi="Times New Roman"/>
        </w:rPr>
        <w:t>because of race, age, color, religion, natural origin, ancestry, marital status, sexual orientation,</w:t>
      </w:r>
      <w:r w:rsidRPr="005C2321">
        <w:t xml:space="preserve"> </w:t>
      </w:r>
      <w:r w:rsidRPr="005149B6">
        <w:rPr>
          <w:rFonts w:ascii="Times New Roman" w:hAnsi="Times New Roman"/>
          <w:szCs w:val="24"/>
        </w:rPr>
        <w:t xml:space="preserve">physical or mental </w:t>
      </w:r>
      <w:r w:rsidRPr="005149B6">
        <w:rPr>
          <w:rFonts w:ascii="Times New Roman" w:hAnsi="Times New Roman"/>
          <w:szCs w:val="24"/>
        </w:rPr>
        <w:lastRenderedPageBreak/>
        <w:t xml:space="preserve">disability, health status or existing need for medical care, with the following exception: certain gifts and services may be made available to </w:t>
      </w:r>
      <w:r w:rsidR="009B7161">
        <w:rPr>
          <w:rFonts w:ascii="Times New Roman" w:hAnsi="Times New Roman"/>
          <w:szCs w:val="24"/>
        </w:rPr>
        <w:t>enrollee</w:t>
      </w:r>
      <w:r w:rsidR="009B7161" w:rsidRPr="005149B6">
        <w:rPr>
          <w:rFonts w:ascii="Times New Roman" w:hAnsi="Times New Roman"/>
          <w:szCs w:val="24"/>
        </w:rPr>
        <w:t xml:space="preserve">s </w:t>
      </w:r>
      <w:r w:rsidRPr="005149B6">
        <w:rPr>
          <w:rFonts w:ascii="Times New Roman" w:hAnsi="Times New Roman"/>
          <w:szCs w:val="24"/>
        </w:rPr>
        <w:t>with certain diagnoses;</w:t>
      </w:r>
    </w:p>
    <w:p w14:paraId="7E15BACC" w14:textId="77777777" w:rsidR="00EC45BE" w:rsidRPr="00DA379A" w:rsidRDefault="00EC45BE" w:rsidP="00F34033">
      <w:pPr>
        <w:pStyle w:val="ListParagraph"/>
        <w:numPr>
          <w:ilvl w:val="0"/>
          <w:numId w:val="68"/>
        </w:numPr>
        <w:spacing w:after="240" w:line="240" w:lineRule="auto"/>
        <w:ind w:left="720"/>
        <w:contextualSpacing w:val="0"/>
        <w:rPr>
          <w:rFonts w:ascii="Times New Roman" w:hAnsi="Times New Roman"/>
          <w:szCs w:val="24"/>
        </w:rPr>
      </w:pPr>
      <w:r w:rsidRPr="008015ED">
        <w:rPr>
          <w:rFonts w:ascii="Times New Roman" w:hAnsi="Times New Roman"/>
          <w:szCs w:val="24"/>
        </w:rPr>
        <w:t xml:space="preserve">Assisting with </w:t>
      </w:r>
      <w:r w:rsidR="002B4CFB" w:rsidRPr="00DA379A">
        <w:rPr>
          <w:rFonts w:ascii="Times New Roman" w:hAnsi="Times New Roman"/>
          <w:szCs w:val="24"/>
        </w:rPr>
        <w:t xml:space="preserve">Medicaid </w:t>
      </w:r>
      <w:r w:rsidRPr="00DA379A">
        <w:rPr>
          <w:rFonts w:ascii="Times New Roman" w:hAnsi="Times New Roman"/>
          <w:szCs w:val="24"/>
        </w:rPr>
        <w:t>MCO enrollment form;</w:t>
      </w:r>
    </w:p>
    <w:p w14:paraId="22AC303A" w14:textId="77777777"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Making false, misleading or inaccurate statements relating to services or benefits of the MCO or </w:t>
      </w:r>
      <w:r w:rsidR="002B4CFB" w:rsidRPr="006E61D4">
        <w:rPr>
          <w:rFonts w:ascii="Times New Roman" w:hAnsi="Times New Roman"/>
        </w:rPr>
        <w:t>Medicaid p</w:t>
      </w:r>
      <w:r w:rsidRPr="006E61D4">
        <w:rPr>
          <w:rFonts w:ascii="Times New Roman" w:hAnsi="Times New Roman"/>
        </w:rPr>
        <w:t>rogram, or relating to the providers or potential providers contracting with the MCO; and</w:t>
      </w:r>
    </w:p>
    <w:p w14:paraId="42C2EE52" w14:textId="5C2DD93D" w:rsidR="00EC45BE" w:rsidRPr="006E61D4" w:rsidRDefault="00EC45BE" w:rsidP="00F34033">
      <w:pPr>
        <w:pStyle w:val="ListParagraph"/>
        <w:numPr>
          <w:ilvl w:val="0"/>
          <w:numId w:val="68"/>
        </w:numPr>
        <w:spacing w:after="240" w:line="240" w:lineRule="auto"/>
        <w:ind w:left="720"/>
        <w:contextualSpacing w:val="0"/>
        <w:rPr>
          <w:rFonts w:ascii="Times New Roman" w:hAnsi="Times New Roman"/>
        </w:rPr>
      </w:pPr>
      <w:r w:rsidRPr="006E61D4">
        <w:rPr>
          <w:rFonts w:ascii="Times New Roman" w:hAnsi="Times New Roman"/>
        </w:rPr>
        <w:t xml:space="preserve">Direct Mail Marketing to potential </w:t>
      </w:r>
      <w:r w:rsidR="009B7161">
        <w:rPr>
          <w:rFonts w:ascii="Times New Roman" w:hAnsi="Times New Roman"/>
        </w:rPr>
        <w:t>enrollee</w:t>
      </w:r>
      <w:r w:rsidR="009B7161" w:rsidRPr="006E61D4">
        <w:rPr>
          <w:rFonts w:ascii="Times New Roman" w:hAnsi="Times New Roman"/>
        </w:rPr>
        <w:t>s</w:t>
      </w:r>
      <w:r w:rsidRPr="006E61D4">
        <w:rPr>
          <w:rFonts w:ascii="Times New Roman" w:hAnsi="Times New Roman"/>
        </w:rPr>
        <w:t xml:space="preserve">. </w:t>
      </w:r>
    </w:p>
    <w:p w14:paraId="4B3DA40B" w14:textId="40E091D0" w:rsidR="00AD05D8" w:rsidRDefault="004D7640" w:rsidP="00257641">
      <w:pPr>
        <w:keepNext/>
        <w:keepLines/>
        <w:ind w:firstLine="360"/>
        <w:outlineLvl w:val="2"/>
        <w:rPr>
          <w:rFonts w:ascii="Arial" w:hAnsi="Arial" w:cs="Arial"/>
          <w:b/>
          <w:bCs/>
          <w:noProof w:val="0"/>
          <w:szCs w:val="24"/>
        </w:rPr>
      </w:pPr>
      <w:r>
        <w:rPr>
          <w:rFonts w:ascii="Arial" w:hAnsi="Arial" w:cs="Arial"/>
          <w:b/>
          <w:bCs/>
          <w:noProof w:val="0"/>
          <w:szCs w:val="24"/>
        </w:rPr>
        <w:t>C</w:t>
      </w:r>
      <w:r w:rsidR="005E7382">
        <w:rPr>
          <w:rFonts w:ascii="Arial" w:hAnsi="Arial" w:cs="Arial"/>
          <w:b/>
          <w:bCs/>
          <w:noProof w:val="0"/>
          <w:szCs w:val="24"/>
        </w:rPr>
        <w:t xml:space="preserve">-4 </w:t>
      </w:r>
      <w:r w:rsidR="00AD05D8" w:rsidRPr="00843BFD">
        <w:rPr>
          <w:rFonts w:ascii="Arial" w:hAnsi="Arial" w:cs="Arial"/>
          <w:b/>
          <w:bCs/>
          <w:noProof w:val="0"/>
          <w:szCs w:val="24"/>
        </w:rPr>
        <w:t xml:space="preserve">MCO Social Media </w:t>
      </w:r>
      <w:r w:rsidR="00AD05D8">
        <w:rPr>
          <w:rFonts w:ascii="Arial" w:hAnsi="Arial" w:cs="Arial"/>
          <w:b/>
          <w:bCs/>
          <w:noProof w:val="0"/>
          <w:szCs w:val="24"/>
        </w:rPr>
        <w:t xml:space="preserve">Marketing Practices </w:t>
      </w:r>
    </w:p>
    <w:p w14:paraId="16CB1530" w14:textId="77777777" w:rsidR="00AD05D8" w:rsidRDefault="00AD05D8" w:rsidP="00257641">
      <w:r>
        <w:t xml:space="preserve">In addition to </w:t>
      </w:r>
      <w:r w:rsidR="00EB1DA3">
        <w:t>all marketing requirements outline</w:t>
      </w:r>
      <w:r w:rsidR="003B317C">
        <w:t>d</w:t>
      </w:r>
      <w:r w:rsidR="00EB1DA3">
        <w:t xml:space="preserve"> in this Contract, the MCO must </w:t>
      </w:r>
      <w:r w:rsidR="00FA2A09">
        <w:t>com</w:t>
      </w:r>
      <w:r w:rsidR="00E60481">
        <w:t>p</w:t>
      </w:r>
      <w:r w:rsidR="00FA2A09">
        <w:t xml:space="preserve">ly with the </w:t>
      </w:r>
      <w:r w:rsidR="009F33C8">
        <w:t>s</w:t>
      </w:r>
      <w:r w:rsidR="00FA2A09">
        <w:t xml:space="preserve">ocial </w:t>
      </w:r>
      <w:r w:rsidR="009F33C8">
        <w:t xml:space="preserve">media </w:t>
      </w:r>
      <w:r w:rsidR="00FA2A09">
        <w:t xml:space="preserve">Marketing </w:t>
      </w:r>
      <w:r w:rsidR="009F33C8">
        <w:t>p</w:t>
      </w:r>
      <w:r w:rsidR="00FA2A09">
        <w:t xml:space="preserve">ractices as outlined below. </w:t>
      </w:r>
    </w:p>
    <w:p w14:paraId="63CA765B" w14:textId="77777777" w:rsidR="00817E4C" w:rsidRPr="007946CA" w:rsidRDefault="00817E4C" w:rsidP="00096A5D">
      <w:pPr>
        <w:pStyle w:val="BodyText"/>
      </w:pPr>
      <w:r w:rsidRPr="007946CA">
        <w:t>D-4.1 Social Media Marketing Guidelines</w:t>
      </w:r>
    </w:p>
    <w:p w14:paraId="64898FED" w14:textId="77777777" w:rsidR="00A532A3" w:rsidRDefault="00A532A3" w:rsidP="00096A5D">
      <w:pPr>
        <w:pStyle w:val="BodyText"/>
      </w:pPr>
      <w:r>
        <w:t xml:space="preserve">The following list is applicable to the MCO, its agents, </w:t>
      </w:r>
      <w:r w:rsidR="000B2EAC">
        <w:t>S</w:t>
      </w:r>
      <w:r>
        <w:t>ubcontractors, and MCO providers:</w:t>
      </w:r>
    </w:p>
    <w:p w14:paraId="0C63726F" w14:textId="77777777" w:rsidR="009B7952" w:rsidRPr="006E61D4" w:rsidRDefault="00AD05D8" w:rsidP="00257641">
      <w:pPr>
        <w:pStyle w:val="ListParagraph"/>
        <w:numPr>
          <w:ilvl w:val="0"/>
          <w:numId w:val="69"/>
        </w:numPr>
        <w:spacing w:after="240" w:line="240" w:lineRule="auto"/>
        <w:contextualSpacing w:val="0"/>
        <w:rPr>
          <w:rFonts w:ascii="Times New Roman" w:hAnsi="Times New Roman"/>
        </w:rPr>
      </w:pPr>
      <w:r w:rsidRPr="006E61D4">
        <w:rPr>
          <w:rFonts w:ascii="Times New Roman" w:hAnsi="Times New Roman"/>
        </w:rPr>
        <w:t>At the Department’s approval, the MCO may partake in forms of social media advertising (i.e. Twitter, Facebook, Instagram)</w:t>
      </w:r>
      <w:r w:rsidR="00FD24EB" w:rsidRPr="006E61D4">
        <w:rPr>
          <w:rFonts w:ascii="Times New Roman" w:hAnsi="Times New Roman"/>
        </w:rPr>
        <w:t>;</w:t>
      </w:r>
    </w:p>
    <w:p w14:paraId="5E29BF0D" w14:textId="77777777" w:rsidR="009B7952" w:rsidRPr="006E61D4" w:rsidRDefault="005174DB" w:rsidP="00257641">
      <w:pPr>
        <w:pStyle w:val="ListParagraph"/>
        <w:numPr>
          <w:ilvl w:val="0"/>
          <w:numId w:val="69"/>
        </w:numPr>
        <w:spacing w:after="240" w:line="240" w:lineRule="auto"/>
        <w:contextualSpacing w:val="0"/>
        <w:rPr>
          <w:rFonts w:ascii="Times New Roman" w:hAnsi="Times New Roman"/>
        </w:rPr>
      </w:pPr>
      <w:r w:rsidRPr="006E61D4">
        <w:rPr>
          <w:rFonts w:ascii="Times New Roman" w:hAnsi="Times New Roman"/>
        </w:rPr>
        <w:t>At the Department’s approval, t</w:t>
      </w:r>
      <w:r w:rsidR="00AD05D8" w:rsidRPr="006E61D4">
        <w:rPr>
          <w:rFonts w:ascii="Times New Roman" w:hAnsi="Times New Roman"/>
        </w:rPr>
        <w:t>he MCO may purchase advertisement banners on social media outlets. The content of such advertisements must be approved by the Department prior to distribution</w:t>
      </w:r>
      <w:r w:rsidRPr="006E61D4">
        <w:rPr>
          <w:rFonts w:ascii="Times New Roman" w:hAnsi="Times New Roman"/>
        </w:rPr>
        <w:t>;</w:t>
      </w:r>
    </w:p>
    <w:p w14:paraId="02932E71" w14:textId="1281FB8D" w:rsidR="00A95AB6" w:rsidRPr="006E61D4" w:rsidRDefault="00AD05D8" w:rsidP="00257641">
      <w:pPr>
        <w:pStyle w:val="ListParagraph"/>
        <w:numPr>
          <w:ilvl w:val="0"/>
          <w:numId w:val="69"/>
        </w:numPr>
        <w:spacing w:after="240" w:line="240" w:lineRule="auto"/>
        <w:contextualSpacing w:val="0"/>
        <w:rPr>
          <w:rFonts w:ascii="Times New Roman" w:hAnsi="Times New Roman"/>
        </w:rPr>
      </w:pPr>
      <w:r w:rsidRPr="006E61D4">
        <w:rPr>
          <w:rFonts w:ascii="Times New Roman" w:hAnsi="Times New Roman"/>
        </w:rPr>
        <w:t xml:space="preserve">The MCO may post </w:t>
      </w:r>
      <w:r w:rsidR="006D4A25" w:rsidRPr="006E61D4">
        <w:rPr>
          <w:rFonts w:ascii="Times New Roman" w:hAnsi="Times New Roman"/>
        </w:rPr>
        <w:t xml:space="preserve">MCO </w:t>
      </w:r>
      <w:r w:rsidRPr="006E61D4">
        <w:rPr>
          <w:rFonts w:ascii="Times New Roman" w:hAnsi="Times New Roman"/>
        </w:rPr>
        <w:t>Medicaid events on social media sources.</w:t>
      </w:r>
      <w:r w:rsidR="00F24820" w:rsidRPr="006E61D4">
        <w:rPr>
          <w:rFonts w:ascii="Times New Roman" w:hAnsi="Times New Roman"/>
        </w:rPr>
        <w:t xml:space="preserve"> </w:t>
      </w:r>
      <w:r w:rsidRPr="006E61D4">
        <w:rPr>
          <w:rFonts w:ascii="Times New Roman" w:hAnsi="Times New Roman"/>
        </w:rPr>
        <w:t>The content of such posts must be approved by the Department approval prior to posting</w:t>
      </w:r>
      <w:r w:rsidR="007C71A5" w:rsidRPr="006E61D4">
        <w:rPr>
          <w:rFonts w:ascii="Times New Roman" w:hAnsi="Times New Roman"/>
        </w:rPr>
        <w:t>;</w:t>
      </w:r>
    </w:p>
    <w:p w14:paraId="63695AEC" w14:textId="77777777" w:rsidR="00BB4D37" w:rsidRPr="006E61D4" w:rsidRDefault="00BB4D37" w:rsidP="00257641">
      <w:pPr>
        <w:pStyle w:val="ListParagraph"/>
        <w:numPr>
          <w:ilvl w:val="0"/>
          <w:numId w:val="69"/>
        </w:numPr>
        <w:spacing w:after="240" w:line="240" w:lineRule="auto"/>
        <w:contextualSpacing w:val="0"/>
        <w:rPr>
          <w:rFonts w:ascii="Times New Roman" w:hAnsi="Times New Roman"/>
        </w:rPr>
      </w:pPr>
      <w:r w:rsidRPr="006E61D4">
        <w:rPr>
          <w:rFonts w:ascii="Times New Roman" w:hAnsi="Times New Roman"/>
        </w:rPr>
        <w:t xml:space="preserve">The MCO may post general non-advertising information regarding MCO activities. The content of such posts does not require Department’s </w:t>
      </w:r>
      <w:r w:rsidR="00AB2AAB" w:rsidRPr="006E61D4">
        <w:rPr>
          <w:rFonts w:ascii="Times New Roman" w:hAnsi="Times New Roman"/>
        </w:rPr>
        <w:t xml:space="preserve">prior </w:t>
      </w:r>
      <w:r w:rsidRPr="006E61D4">
        <w:rPr>
          <w:rFonts w:ascii="Times New Roman" w:hAnsi="Times New Roman"/>
        </w:rPr>
        <w:t>approval; and</w:t>
      </w:r>
    </w:p>
    <w:p w14:paraId="5BD20094" w14:textId="65F3DA7D" w:rsidR="00AD05D8" w:rsidRPr="006E61D4" w:rsidRDefault="005174DB" w:rsidP="00257641">
      <w:pPr>
        <w:pStyle w:val="ListParagraph"/>
        <w:numPr>
          <w:ilvl w:val="0"/>
          <w:numId w:val="69"/>
        </w:numPr>
        <w:spacing w:after="240" w:line="240" w:lineRule="auto"/>
        <w:contextualSpacing w:val="0"/>
        <w:rPr>
          <w:rFonts w:ascii="Times New Roman" w:hAnsi="Times New Roman"/>
        </w:rPr>
      </w:pPr>
      <w:r w:rsidRPr="006E61D4">
        <w:rPr>
          <w:rFonts w:ascii="Times New Roman" w:hAnsi="Times New Roman"/>
        </w:rPr>
        <w:t xml:space="preserve">Any </w:t>
      </w:r>
      <w:r w:rsidR="009B7161">
        <w:rPr>
          <w:rFonts w:ascii="Times New Roman" w:hAnsi="Times New Roman"/>
        </w:rPr>
        <w:t>enrollee</w:t>
      </w:r>
      <w:r w:rsidR="009B7161" w:rsidRPr="006E61D4">
        <w:rPr>
          <w:rFonts w:ascii="Times New Roman" w:hAnsi="Times New Roman"/>
        </w:rPr>
        <w:t xml:space="preserve"> </w:t>
      </w:r>
      <w:r w:rsidRPr="006E61D4">
        <w:rPr>
          <w:rFonts w:ascii="Times New Roman" w:hAnsi="Times New Roman"/>
        </w:rPr>
        <w:t xml:space="preserve">complaints received through </w:t>
      </w:r>
      <w:r w:rsidR="001239E4" w:rsidRPr="006E61D4">
        <w:rPr>
          <w:rFonts w:ascii="Times New Roman" w:hAnsi="Times New Roman"/>
        </w:rPr>
        <w:t xml:space="preserve">the </w:t>
      </w:r>
      <w:r w:rsidRPr="006E61D4">
        <w:rPr>
          <w:rFonts w:ascii="Times New Roman" w:hAnsi="Times New Roman"/>
        </w:rPr>
        <w:t xml:space="preserve">social media sources must </w:t>
      </w:r>
      <w:r w:rsidR="00741E9D" w:rsidRPr="006E61D4">
        <w:rPr>
          <w:rFonts w:ascii="Times New Roman" w:hAnsi="Times New Roman"/>
        </w:rPr>
        <w:t>be processed</w:t>
      </w:r>
      <w:r w:rsidRPr="006E61D4">
        <w:rPr>
          <w:rFonts w:ascii="Times New Roman" w:hAnsi="Times New Roman"/>
        </w:rPr>
        <w:t xml:space="preserve"> </w:t>
      </w:r>
      <w:r w:rsidR="008E65CE" w:rsidRPr="006E61D4">
        <w:rPr>
          <w:rFonts w:ascii="Times New Roman" w:hAnsi="Times New Roman"/>
        </w:rPr>
        <w:t xml:space="preserve">and resolved </w:t>
      </w:r>
      <w:r w:rsidRPr="006E61D4">
        <w:rPr>
          <w:rFonts w:ascii="Times New Roman" w:hAnsi="Times New Roman"/>
        </w:rPr>
        <w:t>through the</w:t>
      </w:r>
      <w:r w:rsidR="001239E4" w:rsidRPr="006E61D4">
        <w:rPr>
          <w:rFonts w:ascii="Times New Roman" w:hAnsi="Times New Roman"/>
        </w:rPr>
        <w:t xml:space="preserve"> </w:t>
      </w:r>
      <w:r w:rsidR="008242E5" w:rsidRPr="006E61D4">
        <w:rPr>
          <w:rFonts w:ascii="Times New Roman" w:hAnsi="Times New Roman"/>
        </w:rPr>
        <w:t xml:space="preserve">general </w:t>
      </w:r>
      <w:r w:rsidRPr="006E61D4">
        <w:rPr>
          <w:rFonts w:ascii="Times New Roman" w:hAnsi="Times New Roman"/>
        </w:rPr>
        <w:t xml:space="preserve">complaint </w:t>
      </w:r>
      <w:r w:rsidR="00A80F9E" w:rsidRPr="006E61D4">
        <w:rPr>
          <w:rFonts w:ascii="Times New Roman" w:hAnsi="Times New Roman"/>
        </w:rPr>
        <w:t xml:space="preserve">intake </w:t>
      </w:r>
      <w:r w:rsidRPr="006E61D4">
        <w:rPr>
          <w:rFonts w:ascii="Times New Roman" w:hAnsi="Times New Roman"/>
        </w:rPr>
        <w:t>system</w:t>
      </w:r>
      <w:r w:rsidR="008E65CE" w:rsidRPr="006E61D4">
        <w:rPr>
          <w:rFonts w:ascii="Times New Roman" w:hAnsi="Times New Roman"/>
        </w:rPr>
        <w:t>.</w:t>
      </w:r>
    </w:p>
    <w:p w14:paraId="212C2FBA" w14:textId="07163842" w:rsidR="00817E4C" w:rsidRPr="00C6361E" w:rsidRDefault="00F34033" w:rsidP="00F34033">
      <w:pPr>
        <w:ind w:firstLine="360"/>
        <w:rPr>
          <w:rFonts w:ascii="Arial" w:hAnsi="Arial"/>
          <w:b/>
          <w:bCs/>
          <w:szCs w:val="24"/>
        </w:rPr>
      </w:pPr>
      <w:r w:rsidRPr="00C6361E">
        <w:rPr>
          <w:rFonts w:ascii="Arial" w:hAnsi="Arial"/>
          <w:b/>
          <w:bCs/>
          <w:szCs w:val="24"/>
        </w:rPr>
        <w:t>C</w:t>
      </w:r>
      <w:r w:rsidR="00817E4C" w:rsidRPr="00C6361E">
        <w:rPr>
          <w:rFonts w:ascii="Arial" w:hAnsi="Arial"/>
          <w:b/>
          <w:bCs/>
          <w:szCs w:val="24"/>
        </w:rPr>
        <w:t>-4.2 Social Media Prohibitions</w:t>
      </w:r>
    </w:p>
    <w:p w14:paraId="226D0D60" w14:textId="77777777" w:rsidR="002D3501" w:rsidRPr="00D87130" w:rsidRDefault="00A532A3" w:rsidP="00096A5D">
      <w:pPr>
        <w:pStyle w:val="BodyText"/>
      </w:pPr>
      <w:r>
        <w:t xml:space="preserve">The following prohibitions are applicable to the MCO, its agents, </w:t>
      </w:r>
      <w:r w:rsidR="000B2EAC">
        <w:t>S</w:t>
      </w:r>
      <w:r>
        <w:t>ubcontractors, and MCO providers:</w:t>
      </w:r>
    </w:p>
    <w:p w14:paraId="4CA6ED06" w14:textId="77777777" w:rsidR="009B7952" w:rsidRPr="006E61D4" w:rsidRDefault="00D87130" w:rsidP="00F34033">
      <w:pPr>
        <w:pStyle w:val="ListParagraph"/>
        <w:numPr>
          <w:ilvl w:val="0"/>
          <w:numId w:val="119"/>
        </w:numPr>
        <w:spacing w:after="120" w:line="240" w:lineRule="auto"/>
        <w:ind w:left="720"/>
        <w:contextualSpacing w:val="0"/>
        <w:rPr>
          <w:rFonts w:ascii="Times New Roman" w:hAnsi="Times New Roman"/>
        </w:rPr>
      </w:pPr>
      <w:r w:rsidRPr="006E61D4">
        <w:rPr>
          <w:rFonts w:ascii="Times New Roman" w:hAnsi="Times New Roman"/>
        </w:rPr>
        <w:t xml:space="preserve">Posting </w:t>
      </w:r>
      <w:r w:rsidR="00704FC0" w:rsidRPr="006E61D4">
        <w:rPr>
          <w:rFonts w:ascii="Times New Roman" w:hAnsi="Times New Roman"/>
        </w:rPr>
        <w:t xml:space="preserve">or sending </w:t>
      </w:r>
      <w:r w:rsidRPr="006E61D4">
        <w:rPr>
          <w:rFonts w:ascii="Times New Roman" w:hAnsi="Times New Roman"/>
        </w:rPr>
        <w:t>any protect</w:t>
      </w:r>
      <w:r w:rsidR="00547A4E" w:rsidRPr="006E61D4">
        <w:rPr>
          <w:rFonts w:ascii="Times New Roman" w:hAnsi="Times New Roman"/>
        </w:rPr>
        <w:t>ed</w:t>
      </w:r>
      <w:r w:rsidRPr="006E61D4">
        <w:rPr>
          <w:rFonts w:ascii="Times New Roman" w:hAnsi="Times New Roman"/>
        </w:rPr>
        <w:t xml:space="preserve"> private information</w:t>
      </w:r>
      <w:r w:rsidR="008E78B6" w:rsidRPr="006E61D4">
        <w:rPr>
          <w:rFonts w:ascii="Times New Roman" w:hAnsi="Times New Roman"/>
        </w:rPr>
        <w:t xml:space="preserve"> on social media source</w:t>
      </w:r>
      <w:r w:rsidRPr="006E61D4">
        <w:rPr>
          <w:rFonts w:ascii="Times New Roman" w:hAnsi="Times New Roman"/>
        </w:rPr>
        <w:t>;</w:t>
      </w:r>
    </w:p>
    <w:p w14:paraId="3ADFCE28" w14:textId="5711EBBD" w:rsidR="009B7952" w:rsidRPr="006E61D4" w:rsidRDefault="00D87130" w:rsidP="00F34033">
      <w:pPr>
        <w:pStyle w:val="ListParagraph"/>
        <w:numPr>
          <w:ilvl w:val="0"/>
          <w:numId w:val="119"/>
        </w:numPr>
        <w:spacing w:after="120" w:line="240" w:lineRule="auto"/>
        <w:ind w:left="720"/>
        <w:contextualSpacing w:val="0"/>
        <w:rPr>
          <w:rFonts w:ascii="Times New Roman" w:hAnsi="Times New Roman"/>
        </w:rPr>
      </w:pPr>
      <w:r w:rsidRPr="006E61D4">
        <w:rPr>
          <w:rFonts w:ascii="Times New Roman" w:hAnsi="Times New Roman"/>
        </w:rPr>
        <w:t xml:space="preserve">Advertising on social media platforms that </w:t>
      </w:r>
      <w:r w:rsidR="000F6804" w:rsidRPr="006E61D4">
        <w:rPr>
          <w:rFonts w:ascii="Times New Roman" w:hAnsi="Times New Roman"/>
        </w:rPr>
        <w:t xml:space="preserve">entail </w:t>
      </w:r>
      <w:r w:rsidRPr="006E61D4">
        <w:rPr>
          <w:rFonts w:ascii="Times New Roman" w:hAnsi="Times New Roman"/>
        </w:rPr>
        <w:t xml:space="preserve">direct communication </w:t>
      </w:r>
      <w:r w:rsidR="00D34EF5" w:rsidRPr="006E61D4">
        <w:rPr>
          <w:rFonts w:ascii="Times New Roman" w:hAnsi="Times New Roman"/>
        </w:rPr>
        <w:t xml:space="preserve">with </w:t>
      </w:r>
      <w:r w:rsidRPr="006E61D4">
        <w:rPr>
          <w:rFonts w:ascii="Times New Roman" w:hAnsi="Times New Roman"/>
        </w:rPr>
        <w:t xml:space="preserve">potential </w:t>
      </w:r>
      <w:r w:rsidR="009B7161">
        <w:rPr>
          <w:rFonts w:ascii="Times New Roman" w:hAnsi="Times New Roman"/>
        </w:rPr>
        <w:t>enrollee</w:t>
      </w:r>
      <w:r w:rsidR="009B7161" w:rsidRPr="006E61D4">
        <w:rPr>
          <w:rFonts w:ascii="Times New Roman" w:hAnsi="Times New Roman"/>
        </w:rPr>
        <w:t>s</w:t>
      </w:r>
      <w:r w:rsidRPr="006E61D4">
        <w:rPr>
          <w:rFonts w:ascii="Times New Roman" w:hAnsi="Times New Roman"/>
        </w:rPr>
        <w:t>. This list includes, but is not limited to</w:t>
      </w:r>
      <w:r w:rsidR="00D34EF5" w:rsidRPr="006E61D4">
        <w:rPr>
          <w:rFonts w:ascii="Times New Roman" w:hAnsi="Times New Roman"/>
        </w:rPr>
        <w:t>:</w:t>
      </w:r>
      <w:r w:rsidRPr="006E61D4">
        <w:rPr>
          <w:rFonts w:ascii="Times New Roman" w:hAnsi="Times New Roman"/>
        </w:rPr>
        <w:t xml:space="preserve"> Snapchat, Skype, WhatsApp, Facebook </w:t>
      </w:r>
      <w:r w:rsidR="002E6C2B" w:rsidRPr="006E61D4">
        <w:rPr>
          <w:rFonts w:ascii="Times New Roman" w:hAnsi="Times New Roman"/>
        </w:rPr>
        <w:t>Messenger</w:t>
      </w:r>
      <w:r w:rsidRPr="006E61D4">
        <w:rPr>
          <w:rFonts w:ascii="Times New Roman" w:hAnsi="Times New Roman"/>
        </w:rPr>
        <w:t>, MeetUp, Vib</w:t>
      </w:r>
      <w:r w:rsidR="002D448A" w:rsidRPr="006E61D4">
        <w:rPr>
          <w:rFonts w:ascii="Times New Roman" w:hAnsi="Times New Roman"/>
        </w:rPr>
        <w:t>e</w:t>
      </w:r>
      <w:r w:rsidRPr="006E61D4">
        <w:rPr>
          <w:rFonts w:ascii="Times New Roman" w:hAnsi="Times New Roman"/>
        </w:rPr>
        <w:t xml:space="preserve">r, and any </w:t>
      </w:r>
      <w:r w:rsidR="00565ED0" w:rsidRPr="006E61D4">
        <w:rPr>
          <w:rFonts w:ascii="Times New Roman" w:hAnsi="Times New Roman"/>
        </w:rPr>
        <w:t xml:space="preserve">other </w:t>
      </w:r>
      <w:r w:rsidRPr="006E61D4">
        <w:rPr>
          <w:rFonts w:ascii="Times New Roman" w:hAnsi="Times New Roman"/>
        </w:rPr>
        <w:t xml:space="preserve">personal </w:t>
      </w:r>
      <w:r w:rsidR="00F71E05" w:rsidRPr="006E61D4">
        <w:rPr>
          <w:rFonts w:ascii="Times New Roman" w:hAnsi="Times New Roman"/>
        </w:rPr>
        <w:t xml:space="preserve">communication </w:t>
      </w:r>
      <w:r w:rsidRPr="006E61D4">
        <w:rPr>
          <w:rFonts w:ascii="Times New Roman" w:hAnsi="Times New Roman"/>
        </w:rPr>
        <w:t>services;</w:t>
      </w:r>
    </w:p>
    <w:p w14:paraId="36F4993E" w14:textId="658D94F0" w:rsidR="009B7952" w:rsidRPr="006E61D4" w:rsidRDefault="00142D24" w:rsidP="00F34033">
      <w:pPr>
        <w:pStyle w:val="ListParagraph"/>
        <w:numPr>
          <w:ilvl w:val="0"/>
          <w:numId w:val="119"/>
        </w:numPr>
        <w:spacing w:after="120" w:line="240" w:lineRule="auto"/>
        <w:ind w:left="720"/>
        <w:contextualSpacing w:val="0"/>
        <w:rPr>
          <w:rFonts w:ascii="Times New Roman" w:hAnsi="Times New Roman"/>
        </w:rPr>
      </w:pPr>
      <w:r w:rsidRPr="006E61D4">
        <w:rPr>
          <w:rFonts w:ascii="Times New Roman" w:hAnsi="Times New Roman"/>
        </w:rPr>
        <w:t xml:space="preserve">Responding to </w:t>
      </w:r>
      <w:r w:rsidR="00654EEB" w:rsidRPr="006E61D4">
        <w:rPr>
          <w:rFonts w:ascii="Times New Roman" w:hAnsi="Times New Roman"/>
        </w:rPr>
        <w:t xml:space="preserve">any </w:t>
      </w:r>
      <w:r w:rsidRPr="006E61D4">
        <w:rPr>
          <w:rFonts w:ascii="Times New Roman" w:hAnsi="Times New Roman"/>
        </w:rPr>
        <w:t xml:space="preserve">comments </w:t>
      </w:r>
      <w:r w:rsidR="00D87130" w:rsidRPr="006E61D4">
        <w:rPr>
          <w:rFonts w:ascii="Times New Roman" w:hAnsi="Times New Roman"/>
        </w:rPr>
        <w:t>on social media posts</w:t>
      </w:r>
      <w:r w:rsidR="00CF198B" w:rsidRPr="006E61D4">
        <w:rPr>
          <w:rFonts w:ascii="Times New Roman" w:hAnsi="Times New Roman"/>
        </w:rPr>
        <w:t xml:space="preserve"> </w:t>
      </w:r>
      <w:r w:rsidR="00CB5600" w:rsidRPr="006E61D4">
        <w:rPr>
          <w:rFonts w:ascii="Times New Roman" w:hAnsi="Times New Roman"/>
        </w:rPr>
        <w:t xml:space="preserve">from potential </w:t>
      </w:r>
      <w:r w:rsidR="009B7161">
        <w:rPr>
          <w:rFonts w:ascii="Times New Roman" w:hAnsi="Times New Roman"/>
        </w:rPr>
        <w:t>enrollee</w:t>
      </w:r>
      <w:r w:rsidR="009B7161" w:rsidRPr="006E61D4">
        <w:rPr>
          <w:rFonts w:ascii="Times New Roman" w:hAnsi="Times New Roman"/>
        </w:rPr>
        <w:t xml:space="preserve">s </w:t>
      </w:r>
      <w:r w:rsidR="00CF198B" w:rsidRPr="006E61D4">
        <w:rPr>
          <w:rFonts w:ascii="Times New Roman" w:hAnsi="Times New Roman"/>
        </w:rPr>
        <w:t xml:space="preserve">except when </w:t>
      </w:r>
      <w:r w:rsidR="00D129A2" w:rsidRPr="006E61D4">
        <w:rPr>
          <w:rFonts w:ascii="Times New Roman" w:hAnsi="Times New Roman"/>
        </w:rPr>
        <w:t xml:space="preserve">to </w:t>
      </w:r>
      <w:r w:rsidR="00CF198B" w:rsidRPr="006E61D4">
        <w:rPr>
          <w:rFonts w:ascii="Times New Roman" w:hAnsi="Times New Roman"/>
        </w:rPr>
        <w:t>provid</w:t>
      </w:r>
      <w:r w:rsidR="00D129A2" w:rsidRPr="006E61D4">
        <w:rPr>
          <w:rFonts w:ascii="Times New Roman" w:hAnsi="Times New Roman"/>
        </w:rPr>
        <w:t>e</w:t>
      </w:r>
      <w:r w:rsidR="00CF198B" w:rsidRPr="006E61D4">
        <w:rPr>
          <w:rFonts w:ascii="Times New Roman" w:hAnsi="Times New Roman"/>
        </w:rPr>
        <w:t xml:space="preserve"> general </w:t>
      </w:r>
      <w:r w:rsidR="00056C36" w:rsidRPr="006E61D4">
        <w:rPr>
          <w:rFonts w:ascii="Times New Roman" w:hAnsi="Times New Roman"/>
        </w:rPr>
        <w:t>response</w:t>
      </w:r>
      <w:r w:rsidR="00CF198B" w:rsidRPr="006E61D4">
        <w:rPr>
          <w:rFonts w:ascii="Times New Roman" w:hAnsi="Times New Roman"/>
        </w:rPr>
        <w:t xml:space="preserve">, such </w:t>
      </w:r>
      <w:r w:rsidR="00570EF5" w:rsidRPr="006E61D4">
        <w:rPr>
          <w:rFonts w:ascii="Times New Roman" w:hAnsi="Times New Roman"/>
        </w:rPr>
        <w:t xml:space="preserve">as </w:t>
      </w:r>
      <w:r w:rsidR="00CF198B" w:rsidRPr="006E61D4">
        <w:rPr>
          <w:rFonts w:ascii="Times New Roman" w:hAnsi="Times New Roman"/>
        </w:rPr>
        <w:t xml:space="preserve">MCO phone number, links to the MCO web site or </w:t>
      </w:r>
      <w:r w:rsidR="00776C09" w:rsidRPr="006E61D4">
        <w:rPr>
          <w:rFonts w:ascii="Times New Roman" w:hAnsi="Times New Roman"/>
        </w:rPr>
        <w:t xml:space="preserve">the </w:t>
      </w:r>
      <w:r w:rsidR="00CF198B" w:rsidRPr="006E61D4">
        <w:rPr>
          <w:rFonts w:ascii="Times New Roman" w:hAnsi="Times New Roman"/>
        </w:rPr>
        <w:t>enro</w:t>
      </w:r>
      <w:r w:rsidR="0084465F" w:rsidRPr="006E61D4">
        <w:rPr>
          <w:rFonts w:ascii="Times New Roman" w:hAnsi="Times New Roman"/>
        </w:rPr>
        <w:t>l</w:t>
      </w:r>
      <w:r w:rsidR="00CF198B" w:rsidRPr="006E61D4">
        <w:rPr>
          <w:rFonts w:ascii="Times New Roman" w:hAnsi="Times New Roman"/>
        </w:rPr>
        <w:t xml:space="preserve">lment broker </w:t>
      </w:r>
      <w:r w:rsidR="00023AF2" w:rsidRPr="006E61D4">
        <w:rPr>
          <w:rFonts w:ascii="Times New Roman" w:hAnsi="Times New Roman"/>
        </w:rPr>
        <w:t>phone number</w:t>
      </w:r>
      <w:r w:rsidR="00D87130" w:rsidRPr="006E61D4">
        <w:rPr>
          <w:rFonts w:ascii="Times New Roman" w:hAnsi="Times New Roman"/>
        </w:rPr>
        <w:t>;</w:t>
      </w:r>
    </w:p>
    <w:p w14:paraId="60A7A8A7" w14:textId="77777777" w:rsidR="009B7952" w:rsidRPr="006E61D4" w:rsidRDefault="00D87130" w:rsidP="00F34033">
      <w:pPr>
        <w:pStyle w:val="ListParagraph"/>
        <w:numPr>
          <w:ilvl w:val="0"/>
          <w:numId w:val="119"/>
        </w:numPr>
        <w:spacing w:after="120" w:line="240" w:lineRule="auto"/>
        <w:ind w:left="720"/>
        <w:contextualSpacing w:val="0"/>
        <w:rPr>
          <w:rFonts w:ascii="Times New Roman" w:hAnsi="Times New Roman"/>
        </w:rPr>
      </w:pPr>
      <w:r w:rsidRPr="006E61D4">
        <w:rPr>
          <w:rFonts w:ascii="Times New Roman" w:hAnsi="Times New Roman"/>
        </w:rPr>
        <w:lastRenderedPageBreak/>
        <w:t>Partaking in individual communication on social media outlets;</w:t>
      </w:r>
    </w:p>
    <w:p w14:paraId="1AFDF34D" w14:textId="77777777" w:rsidR="000C14A8" w:rsidRPr="006E61D4" w:rsidRDefault="00B6404B" w:rsidP="00F34033">
      <w:pPr>
        <w:pStyle w:val="ListParagraph"/>
        <w:numPr>
          <w:ilvl w:val="0"/>
          <w:numId w:val="119"/>
        </w:numPr>
        <w:spacing w:after="120" w:line="240" w:lineRule="auto"/>
        <w:ind w:left="720"/>
        <w:contextualSpacing w:val="0"/>
        <w:rPr>
          <w:rFonts w:ascii="Times New Roman" w:hAnsi="Times New Roman"/>
        </w:rPr>
      </w:pPr>
      <w:r w:rsidRPr="006E61D4">
        <w:rPr>
          <w:rFonts w:ascii="Times New Roman" w:hAnsi="Times New Roman"/>
        </w:rPr>
        <w:t>R</w:t>
      </w:r>
      <w:r w:rsidR="00D87130" w:rsidRPr="006E61D4">
        <w:rPr>
          <w:rFonts w:ascii="Times New Roman" w:hAnsi="Times New Roman"/>
        </w:rPr>
        <w:t xml:space="preserve">equesting followers </w:t>
      </w:r>
      <w:r w:rsidR="00727E25" w:rsidRPr="006E61D4">
        <w:rPr>
          <w:rFonts w:ascii="Times New Roman" w:hAnsi="Times New Roman"/>
        </w:rPr>
        <w:t xml:space="preserve">or adding individuals as friends </w:t>
      </w:r>
      <w:r w:rsidR="00D87130" w:rsidRPr="006E61D4">
        <w:rPr>
          <w:rFonts w:ascii="Times New Roman" w:hAnsi="Times New Roman"/>
        </w:rPr>
        <w:t>(i.e. friends on Facebook, followers on Instagram or Twitter);</w:t>
      </w:r>
      <w:r w:rsidR="00625ABD" w:rsidRPr="006E61D4">
        <w:rPr>
          <w:rFonts w:ascii="Times New Roman" w:hAnsi="Times New Roman"/>
        </w:rPr>
        <w:t xml:space="preserve"> and</w:t>
      </w:r>
    </w:p>
    <w:p w14:paraId="1B6B8247" w14:textId="77777777" w:rsidR="00D87130" w:rsidRPr="005C2321" w:rsidRDefault="00D87130" w:rsidP="00F34033">
      <w:pPr>
        <w:pStyle w:val="ListParagraph"/>
        <w:numPr>
          <w:ilvl w:val="0"/>
          <w:numId w:val="119"/>
        </w:numPr>
        <w:spacing w:after="240" w:line="240" w:lineRule="auto"/>
        <w:ind w:left="720"/>
        <w:contextualSpacing w:val="0"/>
      </w:pPr>
      <w:r w:rsidRPr="006E61D4">
        <w:rPr>
          <w:rFonts w:ascii="Times New Roman" w:hAnsi="Times New Roman"/>
        </w:rPr>
        <w:t>Tagging individuals on social media source.</w:t>
      </w:r>
    </w:p>
    <w:p w14:paraId="0DE493F8" w14:textId="0246AF8F" w:rsidR="002D3501" w:rsidRPr="00ED6735" w:rsidRDefault="004D7640" w:rsidP="00257641">
      <w:pPr>
        <w:keepNext/>
        <w:keepLines/>
        <w:outlineLvl w:val="2"/>
        <w:rPr>
          <w:rFonts w:ascii="Arial" w:hAnsi="Arial" w:cs="Arial"/>
          <w:b/>
          <w:bCs/>
          <w:noProof w:val="0"/>
          <w:szCs w:val="24"/>
        </w:rPr>
      </w:pPr>
      <w:r>
        <w:rPr>
          <w:rFonts w:ascii="Arial" w:hAnsi="Arial" w:cs="Arial"/>
          <w:b/>
          <w:bCs/>
          <w:noProof w:val="0"/>
          <w:szCs w:val="24"/>
        </w:rPr>
        <w:t>C</w:t>
      </w:r>
      <w:r w:rsidR="00B5033F">
        <w:rPr>
          <w:rFonts w:ascii="Arial" w:hAnsi="Arial" w:cs="Arial"/>
          <w:b/>
          <w:bCs/>
          <w:noProof w:val="0"/>
          <w:szCs w:val="24"/>
        </w:rPr>
        <w:t xml:space="preserve">-5 </w:t>
      </w:r>
      <w:r w:rsidR="002D3501" w:rsidRPr="00ED6735">
        <w:rPr>
          <w:rFonts w:ascii="Arial" w:hAnsi="Arial" w:cs="Arial"/>
          <w:b/>
          <w:bCs/>
          <w:noProof w:val="0"/>
          <w:szCs w:val="24"/>
        </w:rPr>
        <w:t>Reporting and Investigating MCO Marketing Violations</w:t>
      </w:r>
    </w:p>
    <w:p w14:paraId="150D4FE3" w14:textId="77777777" w:rsidR="002D3501" w:rsidRPr="00B07CDE" w:rsidRDefault="002D3501" w:rsidP="00096A5D">
      <w:pPr>
        <w:pStyle w:val="BodyText"/>
      </w:pPr>
      <w:r w:rsidRPr="00B07CDE">
        <w:t>The MCO must establish a process to ensure fair and consistent investigation of alleged violations of the Department’s Marketing Policies.</w:t>
      </w:r>
    </w:p>
    <w:p w14:paraId="3ABE732F" w14:textId="77777777" w:rsidR="002D3501" w:rsidRPr="00B07CDE" w:rsidRDefault="002D3501" w:rsidP="00F34033">
      <w:pPr>
        <w:pStyle w:val="normal6"/>
      </w:pPr>
      <w:r w:rsidRPr="00B07CDE">
        <w:t>Upon written receipt of any alleged MCO violation(s) from the Department, the MCO must</w:t>
      </w:r>
      <w:r>
        <w:t>:</w:t>
      </w:r>
    </w:p>
    <w:p w14:paraId="3755A2FF" w14:textId="07317095" w:rsidR="002D3501" w:rsidRPr="006E61D4" w:rsidRDefault="002D3501" w:rsidP="00F34033">
      <w:pPr>
        <w:pStyle w:val="ListParagraph"/>
        <w:numPr>
          <w:ilvl w:val="0"/>
          <w:numId w:val="55"/>
        </w:numPr>
        <w:spacing w:after="120" w:line="240" w:lineRule="auto"/>
        <w:ind w:left="720"/>
        <w:contextualSpacing w:val="0"/>
        <w:rPr>
          <w:rFonts w:ascii="Times New Roman" w:hAnsi="Times New Roman"/>
        </w:rPr>
      </w:pPr>
      <w:r w:rsidRPr="006E61D4">
        <w:rPr>
          <w:rFonts w:ascii="Times New Roman" w:hAnsi="Times New Roman"/>
        </w:rPr>
        <w:t>Acknowledge receipt, in writing, within one</w:t>
      </w:r>
      <w:r w:rsidR="0032431A" w:rsidRPr="006E61D4">
        <w:rPr>
          <w:rFonts w:ascii="Times New Roman" w:hAnsi="Times New Roman"/>
        </w:rPr>
        <w:t xml:space="preserve"> (1)</w:t>
      </w:r>
      <w:r w:rsidRPr="006E61D4">
        <w:rPr>
          <w:rFonts w:ascii="Times New Roman" w:hAnsi="Times New Roman"/>
        </w:rPr>
        <w:t xml:space="preserve"> business day from the date of the receipt of the alleged violation.</w:t>
      </w:r>
    </w:p>
    <w:p w14:paraId="6B5AF111" w14:textId="77777777" w:rsidR="002D3501" w:rsidRPr="006E61D4" w:rsidRDefault="002D3501" w:rsidP="00F34033">
      <w:pPr>
        <w:pStyle w:val="ListParagraph"/>
        <w:numPr>
          <w:ilvl w:val="0"/>
          <w:numId w:val="55"/>
        </w:numPr>
        <w:spacing w:after="120" w:line="240" w:lineRule="auto"/>
        <w:ind w:left="720"/>
        <w:contextualSpacing w:val="0"/>
        <w:rPr>
          <w:rFonts w:ascii="Times New Roman" w:hAnsi="Times New Roman"/>
        </w:rPr>
      </w:pPr>
      <w:r w:rsidRPr="006E61D4">
        <w:rPr>
          <w:rFonts w:ascii="Times New Roman" w:hAnsi="Times New Roman"/>
        </w:rPr>
        <w:t>Begin investigation of the alleged violation and complete investigation within fourteen (14) calendar days from the date of the receipt of the alleged violation.</w:t>
      </w:r>
    </w:p>
    <w:p w14:paraId="1ADF109D" w14:textId="77777777" w:rsidR="002D3501" w:rsidRPr="006E61D4" w:rsidRDefault="002D3501" w:rsidP="00F34033">
      <w:pPr>
        <w:pStyle w:val="ListParagraph"/>
        <w:numPr>
          <w:ilvl w:val="0"/>
          <w:numId w:val="55"/>
        </w:numPr>
        <w:spacing w:after="240" w:line="240" w:lineRule="auto"/>
        <w:ind w:left="720"/>
        <w:contextualSpacing w:val="0"/>
        <w:rPr>
          <w:rFonts w:ascii="Times New Roman" w:hAnsi="Times New Roman"/>
        </w:rPr>
      </w:pPr>
      <w:r w:rsidRPr="006E61D4">
        <w:rPr>
          <w:rFonts w:ascii="Times New Roman" w:hAnsi="Times New Roman"/>
        </w:rPr>
        <w:t>Analyze the findings of the investigation and report findings to the Department.</w:t>
      </w:r>
    </w:p>
    <w:p w14:paraId="7A8D1F30" w14:textId="6CC9B000" w:rsidR="002D3501" w:rsidRPr="00092097" w:rsidRDefault="004D7640" w:rsidP="00257641">
      <w:pPr>
        <w:keepNext/>
        <w:keepLines/>
        <w:outlineLvl w:val="2"/>
        <w:rPr>
          <w:rFonts w:ascii="Arial" w:hAnsi="Arial" w:cs="Arial"/>
          <w:b/>
          <w:bCs/>
          <w:noProof w:val="0"/>
          <w:szCs w:val="24"/>
        </w:rPr>
      </w:pPr>
      <w:r>
        <w:rPr>
          <w:rFonts w:ascii="Arial" w:hAnsi="Arial" w:cs="Arial"/>
          <w:b/>
          <w:bCs/>
          <w:noProof w:val="0"/>
          <w:szCs w:val="24"/>
        </w:rPr>
        <w:t>C</w:t>
      </w:r>
      <w:r w:rsidR="00B5033F">
        <w:rPr>
          <w:rFonts w:ascii="Arial" w:hAnsi="Arial" w:cs="Arial"/>
          <w:b/>
          <w:bCs/>
          <w:noProof w:val="0"/>
          <w:szCs w:val="24"/>
        </w:rPr>
        <w:t xml:space="preserve">-6 </w:t>
      </w:r>
      <w:r w:rsidR="002D3501" w:rsidRPr="00092097">
        <w:rPr>
          <w:rFonts w:ascii="Arial" w:hAnsi="Arial" w:cs="Arial"/>
          <w:b/>
          <w:bCs/>
          <w:noProof w:val="0"/>
          <w:szCs w:val="24"/>
        </w:rPr>
        <w:t>Provider Training</w:t>
      </w:r>
    </w:p>
    <w:p w14:paraId="12F27192" w14:textId="77777777" w:rsidR="002D3501" w:rsidRDefault="002D3501" w:rsidP="00096A5D">
      <w:pPr>
        <w:pStyle w:val="BodyText"/>
      </w:pPr>
      <w:r w:rsidRPr="009E6A9D">
        <w:t xml:space="preserve">The MCO is required to inform its network providers of the Marketing policies. </w:t>
      </w:r>
    </w:p>
    <w:p w14:paraId="3F009CB0" w14:textId="77777777" w:rsidR="00567363" w:rsidRDefault="00567363" w:rsidP="00096A5D">
      <w:pPr>
        <w:pStyle w:val="BodyText"/>
      </w:pPr>
    </w:p>
    <w:p w14:paraId="79FBAEB3" w14:textId="0397AEE1" w:rsidR="002D3501" w:rsidRPr="00CE5353" w:rsidRDefault="004D7640" w:rsidP="00257641">
      <w:pPr>
        <w:keepNext/>
        <w:keepLines/>
        <w:outlineLvl w:val="2"/>
        <w:rPr>
          <w:rFonts w:ascii="Arial" w:hAnsi="Arial" w:cs="Arial"/>
          <w:b/>
          <w:bCs/>
          <w:noProof w:val="0"/>
          <w:szCs w:val="24"/>
        </w:rPr>
      </w:pPr>
      <w:r>
        <w:rPr>
          <w:rFonts w:ascii="Arial" w:hAnsi="Arial" w:cs="Arial"/>
          <w:b/>
          <w:bCs/>
          <w:noProof w:val="0"/>
          <w:szCs w:val="24"/>
        </w:rPr>
        <w:t>C</w:t>
      </w:r>
      <w:r w:rsidR="00B5033F">
        <w:rPr>
          <w:rFonts w:ascii="Arial" w:hAnsi="Arial" w:cs="Arial"/>
          <w:b/>
          <w:bCs/>
          <w:noProof w:val="0"/>
          <w:szCs w:val="24"/>
        </w:rPr>
        <w:t xml:space="preserve">-7 </w:t>
      </w:r>
      <w:r w:rsidR="002D3501" w:rsidRPr="00CE5353">
        <w:rPr>
          <w:rFonts w:ascii="Arial" w:hAnsi="Arial" w:cs="Arial"/>
          <w:b/>
          <w:bCs/>
          <w:noProof w:val="0"/>
          <w:szCs w:val="24"/>
        </w:rPr>
        <w:t xml:space="preserve">Gifts to Potential </w:t>
      </w:r>
      <w:r w:rsidR="009B7161">
        <w:rPr>
          <w:rFonts w:ascii="Arial" w:hAnsi="Arial" w:cs="Arial"/>
          <w:b/>
          <w:bCs/>
          <w:noProof w:val="0"/>
          <w:szCs w:val="24"/>
        </w:rPr>
        <w:t>Enrollee</w:t>
      </w:r>
      <w:r w:rsidR="009B7161" w:rsidRPr="00CE5353">
        <w:rPr>
          <w:rFonts w:ascii="Arial" w:hAnsi="Arial" w:cs="Arial"/>
          <w:b/>
          <w:bCs/>
          <w:noProof w:val="0"/>
          <w:szCs w:val="24"/>
        </w:rPr>
        <w:t>s</w:t>
      </w:r>
    </w:p>
    <w:p w14:paraId="4769FFDD" w14:textId="4732C875" w:rsidR="002D3501" w:rsidRDefault="002D3501" w:rsidP="00096A5D">
      <w:pPr>
        <w:pStyle w:val="BodyText"/>
      </w:pPr>
      <w:r w:rsidRPr="00EF1F09">
        <w:t xml:space="preserve">MCOs may provide promotional </w:t>
      </w:r>
      <w:r>
        <w:t xml:space="preserve">gifts </w:t>
      </w:r>
      <w:r w:rsidRPr="00EF1F09">
        <w:t xml:space="preserve">valued </w:t>
      </w:r>
      <w:r>
        <w:t>at or under $15 to potential MCO</w:t>
      </w:r>
      <w:r w:rsidRPr="00EF1F09">
        <w:t xml:space="preserve"> </w:t>
      </w:r>
      <w:r w:rsidR="009B7161">
        <w:t>enrollee</w:t>
      </w:r>
      <w:r w:rsidR="009B7161" w:rsidRPr="00EF1F09">
        <w:t>s</w:t>
      </w:r>
      <w:r w:rsidRPr="00EF1F09">
        <w:t xml:space="preserve">. MCOs may distribute promotional </w:t>
      </w:r>
      <w:r>
        <w:t xml:space="preserve">gifts </w:t>
      </w:r>
      <w:r w:rsidRPr="00EF1F09">
        <w:t>valued at more than $1</w:t>
      </w:r>
      <w:r>
        <w:t>5</w:t>
      </w:r>
      <w:r w:rsidRPr="00EF1F09">
        <w:t xml:space="preserve"> to current </w:t>
      </w:r>
      <w:r w:rsidR="009B7161">
        <w:t>enrollee</w:t>
      </w:r>
      <w:r w:rsidR="009B7161" w:rsidRPr="00EF1F09">
        <w:t xml:space="preserve">s </w:t>
      </w:r>
      <w:r w:rsidRPr="00EF1F09">
        <w:t>only.</w:t>
      </w:r>
      <w:r>
        <w:t xml:space="preserve"> A gift worth $15 or less must be </w:t>
      </w:r>
      <w:r w:rsidRPr="00914CCB">
        <w:t xml:space="preserve">based on the retail purchase price of the </w:t>
      </w:r>
      <w:r>
        <w:t xml:space="preserve">gift </w:t>
      </w:r>
      <w:r w:rsidRPr="00914CCB">
        <w:t>item.</w:t>
      </w:r>
      <w:r>
        <w:t xml:space="preserve"> </w:t>
      </w:r>
      <w:r w:rsidRPr="009E6A9D">
        <w:t xml:space="preserve">The MCO may not provide gifts to providers for the purpose of distributing them potential </w:t>
      </w:r>
      <w:r w:rsidR="009B7161">
        <w:t>enrollee</w:t>
      </w:r>
      <w:r w:rsidR="009B7161" w:rsidRPr="009E6A9D">
        <w:t>s</w:t>
      </w:r>
      <w:r w:rsidRPr="009E6A9D">
        <w:t>, unless such gifts are placed in the providers’</w:t>
      </w:r>
      <w:r>
        <w:t xml:space="preserve"> </w:t>
      </w:r>
      <w:r w:rsidRPr="009E6A9D">
        <w:t>office common areas</w:t>
      </w:r>
      <w:r>
        <w:t xml:space="preserve"> and are available to all patients</w:t>
      </w:r>
      <w:r w:rsidRPr="009E6A9D">
        <w:t>.</w:t>
      </w:r>
    </w:p>
    <w:p w14:paraId="1587EBA0" w14:textId="77777777" w:rsidR="00567363" w:rsidRPr="00F87B97" w:rsidRDefault="00567363" w:rsidP="00096A5D">
      <w:pPr>
        <w:pStyle w:val="BodyText"/>
      </w:pPr>
    </w:p>
    <w:p w14:paraId="48899E6C" w14:textId="02411A88" w:rsidR="002D3501" w:rsidRPr="00CE5353" w:rsidRDefault="004D7640" w:rsidP="00257641">
      <w:pPr>
        <w:keepNext/>
        <w:keepLines/>
        <w:outlineLvl w:val="2"/>
        <w:rPr>
          <w:rFonts w:ascii="Arial" w:hAnsi="Arial" w:cs="Arial"/>
          <w:b/>
          <w:bCs/>
          <w:noProof w:val="0"/>
          <w:szCs w:val="24"/>
        </w:rPr>
      </w:pPr>
      <w:r>
        <w:rPr>
          <w:rFonts w:ascii="Arial" w:hAnsi="Arial" w:cs="Arial"/>
          <w:b/>
          <w:bCs/>
          <w:noProof w:val="0"/>
          <w:szCs w:val="24"/>
        </w:rPr>
        <w:t>C</w:t>
      </w:r>
      <w:r w:rsidR="00B5033F">
        <w:rPr>
          <w:rFonts w:ascii="Arial" w:hAnsi="Arial" w:cs="Arial"/>
          <w:b/>
          <w:bCs/>
          <w:noProof w:val="0"/>
          <w:szCs w:val="24"/>
        </w:rPr>
        <w:t xml:space="preserve">-8 </w:t>
      </w:r>
      <w:r w:rsidR="002D3501" w:rsidRPr="00CE5353">
        <w:rPr>
          <w:rFonts w:ascii="Arial" w:hAnsi="Arial" w:cs="Arial"/>
          <w:b/>
          <w:bCs/>
          <w:noProof w:val="0"/>
          <w:szCs w:val="24"/>
        </w:rPr>
        <w:t xml:space="preserve">MCO </w:t>
      </w:r>
      <w:r w:rsidR="009B7161">
        <w:rPr>
          <w:rFonts w:ascii="Arial" w:hAnsi="Arial" w:cs="Arial"/>
          <w:b/>
          <w:bCs/>
          <w:noProof w:val="0"/>
          <w:szCs w:val="24"/>
        </w:rPr>
        <w:t>Enrollee</w:t>
      </w:r>
      <w:r w:rsidR="009B7161" w:rsidRPr="00CE5353">
        <w:rPr>
          <w:rFonts w:ascii="Arial" w:hAnsi="Arial" w:cs="Arial"/>
          <w:b/>
          <w:bCs/>
          <w:noProof w:val="0"/>
          <w:szCs w:val="24"/>
        </w:rPr>
        <w:t xml:space="preserve"> </w:t>
      </w:r>
      <w:r w:rsidR="002D3501" w:rsidRPr="00CE5353">
        <w:rPr>
          <w:rFonts w:ascii="Arial" w:hAnsi="Arial" w:cs="Arial"/>
          <w:b/>
          <w:bCs/>
          <w:noProof w:val="0"/>
          <w:szCs w:val="24"/>
        </w:rPr>
        <w:t>Gifts</w:t>
      </w:r>
    </w:p>
    <w:p w14:paraId="628F669B" w14:textId="1A99FC5B" w:rsidR="002D3501" w:rsidRDefault="002D3501" w:rsidP="00096A5D">
      <w:pPr>
        <w:pStyle w:val="BodyText"/>
      </w:pPr>
      <w:r w:rsidRPr="0033409A">
        <w:t>T</w:t>
      </w:r>
      <w:r>
        <w:t xml:space="preserve">he MCO may solicit its currently enrolled </w:t>
      </w:r>
      <w:r w:rsidR="009B7161">
        <w:t>enrollee</w:t>
      </w:r>
      <w:r w:rsidR="009B7161" w:rsidRPr="0033409A">
        <w:t xml:space="preserve">s </w:t>
      </w:r>
      <w:r w:rsidRPr="0033409A">
        <w:t xml:space="preserve">for participation in MCO </w:t>
      </w:r>
      <w:r>
        <w:t xml:space="preserve">health-related </w:t>
      </w:r>
      <w:r w:rsidRPr="0033409A">
        <w:t>activities</w:t>
      </w:r>
      <w:r w:rsidR="00E71AEE">
        <w:t xml:space="preserve"> or </w:t>
      </w:r>
      <w:r w:rsidR="0047591D">
        <w:t xml:space="preserve">MCO </w:t>
      </w:r>
      <w:r w:rsidR="00E71AEE">
        <w:t>surveys</w:t>
      </w:r>
      <w:r w:rsidRPr="0033409A">
        <w:t>.</w:t>
      </w:r>
      <w:r>
        <w:t xml:space="preserve"> </w:t>
      </w:r>
    </w:p>
    <w:p w14:paraId="32602C30" w14:textId="7EB651D7" w:rsidR="001648C6" w:rsidRDefault="002D3501" w:rsidP="00096A5D">
      <w:pPr>
        <w:pStyle w:val="BodyText"/>
      </w:pPr>
      <w:r w:rsidRPr="0033409A">
        <w:t>The MCO may provide</w:t>
      </w:r>
      <w:r>
        <w:t xml:space="preserve"> </w:t>
      </w:r>
      <w:r w:rsidR="009B7161">
        <w:t>g</w:t>
      </w:r>
      <w:r>
        <w:t xml:space="preserve">ifts valued at $50 or less per </w:t>
      </w:r>
      <w:r w:rsidR="009B7161">
        <w:t xml:space="preserve">enrollee </w:t>
      </w:r>
      <w:r>
        <w:t xml:space="preserve">per gift to encourage </w:t>
      </w:r>
      <w:r w:rsidR="009B7161">
        <w:t xml:space="preserve">enrollee </w:t>
      </w:r>
      <w:r w:rsidRPr="0033409A">
        <w:t xml:space="preserve">attendance </w:t>
      </w:r>
      <w:r>
        <w:t xml:space="preserve">or participation in </w:t>
      </w:r>
      <w:r w:rsidRPr="0033409A">
        <w:t xml:space="preserve">MCO </w:t>
      </w:r>
      <w:r>
        <w:t xml:space="preserve">health-related </w:t>
      </w:r>
      <w:r w:rsidRPr="0033409A">
        <w:t>activities</w:t>
      </w:r>
      <w:r w:rsidR="0072468B">
        <w:t xml:space="preserve"> or </w:t>
      </w:r>
      <w:r w:rsidR="0047591D">
        <w:t xml:space="preserve">MCO </w:t>
      </w:r>
      <w:r w:rsidR="0072468B">
        <w:t>surveys</w:t>
      </w:r>
      <w:r w:rsidRPr="0033409A">
        <w:t>.</w:t>
      </w:r>
      <w:r>
        <w:t xml:space="preserve"> </w:t>
      </w:r>
      <w:r w:rsidR="009B7161">
        <w:t>Enrollee g</w:t>
      </w:r>
      <w:r>
        <w:t xml:space="preserve">ifts may not be converted to cash. </w:t>
      </w:r>
    </w:p>
    <w:p w14:paraId="2E8C0C26" w14:textId="258BD22B" w:rsidR="00AD05D8" w:rsidRPr="002D3501" w:rsidRDefault="002D3501" w:rsidP="00257641">
      <w:pPr>
        <w:sectPr w:rsidR="00AD05D8" w:rsidRPr="002D3501" w:rsidSect="00F34033">
          <w:footerReference w:type="default" r:id="rId24"/>
          <w:pgSz w:w="12240" w:h="15840" w:code="1"/>
          <w:pgMar w:top="1440" w:right="1440" w:bottom="1440" w:left="1440" w:header="720" w:footer="720" w:gutter="0"/>
          <w:pgNumType w:start="1"/>
          <w:cols w:space="720"/>
        </w:sectPr>
      </w:pPr>
      <w:r>
        <w:t>The MCO must not exceed the total annual limit of $</w:t>
      </w:r>
      <w:r w:rsidR="007D6D95">
        <w:t>2</w:t>
      </w:r>
      <w:r>
        <w:t xml:space="preserve">50 per each </w:t>
      </w:r>
      <w:r w:rsidR="009B7161">
        <w:t xml:space="preserve">enrollee </w:t>
      </w:r>
      <w:r>
        <w:t xml:space="preserve">for all </w:t>
      </w:r>
      <w:r w:rsidR="009B7161">
        <w:t>g</w:t>
      </w:r>
      <w:r>
        <w:t xml:space="preserve">ifts. The Department </w:t>
      </w:r>
      <w:r w:rsidRPr="0033409A">
        <w:t>must provide prior approval of all monetary and non-mon</w:t>
      </w:r>
      <w:r w:rsidR="00A532A3">
        <w:t xml:space="preserve">etary </w:t>
      </w:r>
      <w:r>
        <w:t xml:space="preserve">compensation provided to </w:t>
      </w:r>
      <w:r w:rsidR="009B7161">
        <w:t>enrollee</w:t>
      </w:r>
      <w:r w:rsidR="009B7161" w:rsidRPr="0033409A">
        <w:t xml:space="preserve">s </w:t>
      </w:r>
      <w:r w:rsidRPr="0033409A">
        <w:t xml:space="preserve">in exchange for participating in </w:t>
      </w:r>
      <w:r w:rsidR="00491337">
        <w:t xml:space="preserve">any </w:t>
      </w:r>
      <w:r w:rsidRPr="0033409A">
        <w:t>MCO activities</w:t>
      </w:r>
      <w:r w:rsidR="009435A9">
        <w:t>.</w:t>
      </w:r>
    </w:p>
    <w:p w14:paraId="4DBAD80F" w14:textId="4C17D059" w:rsidR="00F55FC5" w:rsidRDefault="00F33B38" w:rsidP="00257641">
      <w:pPr>
        <w:pStyle w:val="Heading1"/>
      </w:pPr>
      <w:bookmarkStart w:id="253" w:name="_Toc8129102"/>
      <w:r>
        <w:lastRenderedPageBreak/>
        <w:t>Appendix</w:t>
      </w:r>
      <w:r w:rsidR="004D7640">
        <w:t xml:space="preserve"> D</w:t>
      </w:r>
      <w:r w:rsidR="000A6E62">
        <w:t xml:space="preserve">: </w:t>
      </w:r>
      <w:r w:rsidR="009A0060" w:rsidRPr="00DF1D1C">
        <w:t xml:space="preserve">Summary of </w:t>
      </w:r>
      <w:r w:rsidR="005A38AD">
        <w:t>MCO</w:t>
      </w:r>
      <w:r w:rsidR="009A0060" w:rsidRPr="00DF1D1C">
        <w:t xml:space="preserve"> Reporting Requirements</w:t>
      </w:r>
      <w:bookmarkEnd w:id="253"/>
      <w:r w:rsidR="00F13830" w:rsidRPr="00DF1D1C">
        <w:t xml:space="preserve"> </w:t>
      </w:r>
    </w:p>
    <w:p w14:paraId="258FD2A8" w14:textId="312A0DA0" w:rsidR="00BF1134" w:rsidRPr="00EC6897" w:rsidRDefault="00F7787B" w:rsidP="00096A5D">
      <w:pPr>
        <w:pStyle w:val="BodyText"/>
      </w:pPr>
      <w:r>
        <w:t xml:space="preserve">All MCO reports submitted under this </w:t>
      </w:r>
      <w:r w:rsidR="009B19C2">
        <w:t xml:space="preserve">Contract </w:t>
      </w:r>
      <w:r>
        <w:t xml:space="preserve">must reflect program-related data only unless otherwise requested by the Department. </w:t>
      </w:r>
    </w:p>
    <w:tbl>
      <w:tblPr>
        <w:tblW w:w="12865" w:type="dxa"/>
        <w:jc w:val="center"/>
        <w:tblLook w:val="0000" w:firstRow="0" w:lastRow="0" w:firstColumn="0" w:lastColumn="0" w:noHBand="0" w:noVBand="0"/>
      </w:tblPr>
      <w:tblGrid>
        <w:gridCol w:w="4405"/>
        <w:gridCol w:w="1093"/>
        <w:gridCol w:w="1202"/>
        <w:gridCol w:w="1125"/>
        <w:gridCol w:w="851"/>
        <w:gridCol w:w="4189"/>
      </w:tblGrid>
      <w:tr w:rsidR="00D51C49" w:rsidRPr="00DF1D1C" w14:paraId="3BEBF53F" w14:textId="77777777" w:rsidTr="006051AC">
        <w:trPr>
          <w:cantSplit/>
          <w:trHeight w:val="255"/>
          <w:tblHeader/>
          <w:jc w:val="center"/>
        </w:trPr>
        <w:tc>
          <w:tcPr>
            <w:tcW w:w="4405" w:type="dxa"/>
            <w:tcBorders>
              <w:top w:val="single" w:sz="4" w:space="0" w:color="auto"/>
              <w:left w:val="single" w:sz="4" w:space="0" w:color="auto"/>
              <w:bottom w:val="single" w:sz="4" w:space="0" w:color="FFFFFF" w:themeColor="background1"/>
              <w:right w:val="single" w:sz="4" w:space="0" w:color="FFFFFF" w:themeColor="background1"/>
            </w:tcBorders>
            <w:shd w:val="clear" w:color="auto" w:fill="004250"/>
            <w:vAlign w:val="center"/>
          </w:tcPr>
          <w:p w14:paraId="7326973B" w14:textId="77777777" w:rsidR="00D51C49" w:rsidRPr="006051AC" w:rsidRDefault="00D51C49" w:rsidP="00257641">
            <w:pPr>
              <w:spacing w:before="40" w:after="40"/>
              <w:jc w:val="center"/>
              <w:rPr>
                <w:rFonts w:asciiTheme="minorHAnsi" w:hAnsiTheme="minorHAnsi"/>
                <w:b/>
                <w:bCs/>
                <w:noProof w:val="0"/>
                <w:sz w:val="20"/>
              </w:rPr>
            </w:pPr>
            <w:r w:rsidRPr="006051AC">
              <w:rPr>
                <w:rFonts w:asciiTheme="minorHAnsi" w:hAnsiTheme="minorHAnsi"/>
                <w:b/>
                <w:bCs/>
                <w:noProof w:val="0"/>
                <w:sz w:val="20"/>
              </w:rPr>
              <w:t>Reporting Requirement</w:t>
            </w:r>
          </w:p>
        </w:tc>
        <w:tc>
          <w:tcPr>
            <w:tcW w:w="8460" w:type="dxa"/>
            <w:gridSpan w:val="5"/>
            <w:tcBorders>
              <w:top w:val="single" w:sz="4" w:space="0" w:color="auto"/>
              <w:left w:val="single" w:sz="4" w:space="0" w:color="FFFFFF" w:themeColor="background1"/>
              <w:bottom w:val="single" w:sz="4" w:space="0" w:color="FFFFFF" w:themeColor="background1"/>
              <w:right w:val="single" w:sz="4" w:space="0" w:color="auto"/>
            </w:tcBorders>
            <w:shd w:val="clear" w:color="auto" w:fill="004250"/>
            <w:vAlign w:val="center"/>
          </w:tcPr>
          <w:p w14:paraId="2A8498F0" w14:textId="77777777" w:rsidR="00D51C49" w:rsidRPr="006051AC" w:rsidRDefault="00D51C49" w:rsidP="00257641">
            <w:pPr>
              <w:spacing w:before="40" w:after="40"/>
              <w:jc w:val="center"/>
              <w:rPr>
                <w:rFonts w:asciiTheme="minorHAnsi" w:hAnsiTheme="minorHAnsi"/>
                <w:b/>
                <w:bCs/>
                <w:noProof w:val="0"/>
                <w:sz w:val="20"/>
              </w:rPr>
            </w:pPr>
            <w:r w:rsidRPr="006051AC">
              <w:rPr>
                <w:rFonts w:asciiTheme="minorHAnsi" w:hAnsiTheme="minorHAnsi"/>
                <w:b/>
                <w:bCs/>
                <w:noProof w:val="0"/>
                <w:sz w:val="20"/>
              </w:rPr>
              <w:t>Timeframe</w:t>
            </w:r>
          </w:p>
        </w:tc>
      </w:tr>
      <w:tr w:rsidR="00D51C49" w:rsidRPr="00DF1D1C" w14:paraId="55718019" w14:textId="77777777" w:rsidTr="006051AC">
        <w:trPr>
          <w:cantSplit/>
          <w:trHeight w:val="510"/>
          <w:tblHeader/>
          <w:jc w:val="center"/>
        </w:trPr>
        <w:tc>
          <w:tcPr>
            <w:tcW w:w="4405" w:type="dxa"/>
            <w:tcBorders>
              <w:top w:val="single" w:sz="4" w:space="0" w:color="FFFFFF" w:themeColor="background1"/>
              <w:left w:val="single" w:sz="4" w:space="0" w:color="auto"/>
              <w:bottom w:val="single" w:sz="4" w:space="0" w:color="000000"/>
              <w:right w:val="single" w:sz="4" w:space="0" w:color="FFFFFF" w:themeColor="background1"/>
            </w:tcBorders>
            <w:shd w:val="clear" w:color="auto" w:fill="004250"/>
            <w:vAlign w:val="center"/>
          </w:tcPr>
          <w:p w14:paraId="662C455B" w14:textId="77777777" w:rsidR="00D51C49" w:rsidRPr="006051AC" w:rsidRDefault="00D51C49" w:rsidP="00257641">
            <w:pPr>
              <w:spacing w:before="40" w:after="40"/>
              <w:rPr>
                <w:rFonts w:asciiTheme="minorHAnsi" w:hAnsiTheme="minorHAnsi"/>
                <w:b/>
                <w:bCs/>
                <w:noProof w:val="0"/>
                <w:sz w:val="20"/>
              </w:rPr>
            </w:pPr>
          </w:p>
        </w:tc>
        <w:tc>
          <w:tcPr>
            <w:tcW w:w="109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4250"/>
            <w:vAlign w:val="center"/>
          </w:tcPr>
          <w:p w14:paraId="4B6D9B3C" w14:textId="77777777" w:rsidR="00D51C49" w:rsidRPr="006051AC" w:rsidRDefault="00D51C49" w:rsidP="00257641">
            <w:pPr>
              <w:spacing w:before="40" w:after="40"/>
              <w:jc w:val="center"/>
              <w:rPr>
                <w:rFonts w:asciiTheme="minorHAnsi" w:hAnsiTheme="minorHAnsi"/>
                <w:b/>
                <w:bCs/>
                <w:noProof w:val="0"/>
                <w:sz w:val="20"/>
              </w:rPr>
            </w:pPr>
            <w:r w:rsidRPr="006051AC">
              <w:rPr>
                <w:rFonts w:asciiTheme="minorHAnsi" w:hAnsiTheme="minorHAnsi"/>
                <w:b/>
                <w:bCs/>
                <w:noProof w:val="0"/>
                <w:sz w:val="20"/>
              </w:rPr>
              <w:t>Monthly</w:t>
            </w:r>
          </w:p>
        </w:tc>
        <w:tc>
          <w:tcPr>
            <w:tcW w:w="120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4250"/>
            <w:vAlign w:val="center"/>
          </w:tcPr>
          <w:p w14:paraId="46E92B35" w14:textId="77777777" w:rsidR="00D51C49" w:rsidRPr="006051AC" w:rsidRDefault="00D51C49" w:rsidP="00257641">
            <w:pPr>
              <w:spacing w:before="40" w:after="40"/>
              <w:jc w:val="center"/>
              <w:rPr>
                <w:rFonts w:asciiTheme="minorHAnsi" w:hAnsiTheme="minorHAnsi"/>
                <w:b/>
                <w:bCs/>
                <w:noProof w:val="0"/>
                <w:sz w:val="20"/>
              </w:rPr>
            </w:pPr>
            <w:r w:rsidRPr="006051AC">
              <w:rPr>
                <w:rFonts w:asciiTheme="minorHAnsi" w:hAnsiTheme="minorHAnsi"/>
                <w:b/>
                <w:bCs/>
                <w:noProof w:val="0"/>
                <w:sz w:val="20"/>
              </w:rPr>
              <w:t>Quarterly</w:t>
            </w:r>
          </w:p>
        </w:tc>
        <w:tc>
          <w:tcPr>
            <w:tcW w:w="112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4250"/>
            <w:vAlign w:val="center"/>
          </w:tcPr>
          <w:p w14:paraId="7A2B64FF" w14:textId="77777777" w:rsidR="00D51C49" w:rsidRPr="006051AC" w:rsidRDefault="00D51C49" w:rsidP="00257641">
            <w:pPr>
              <w:spacing w:before="40" w:after="40"/>
              <w:jc w:val="center"/>
              <w:rPr>
                <w:rFonts w:asciiTheme="minorHAnsi" w:hAnsiTheme="minorHAnsi"/>
                <w:b/>
                <w:bCs/>
                <w:noProof w:val="0"/>
                <w:sz w:val="20"/>
              </w:rPr>
            </w:pPr>
            <w:r w:rsidRPr="006051AC">
              <w:rPr>
                <w:rFonts w:asciiTheme="minorHAnsi" w:hAnsiTheme="minorHAnsi"/>
                <w:b/>
                <w:bCs/>
                <w:noProof w:val="0"/>
                <w:sz w:val="20"/>
              </w:rPr>
              <w:t>Annually</w:t>
            </w:r>
          </w:p>
        </w:tc>
        <w:tc>
          <w:tcPr>
            <w:tcW w:w="85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4250"/>
            <w:vAlign w:val="center"/>
          </w:tcPr>
          <w:p w14:paraId="6DCE752F" w14:textId="77777777" w:rsidR="00D51C49" w:rsidRPr="006051AC" w:rsidRDefault="00D51C49" w:rsidP="00257641">
            <w:pPr>
              <w:spacing w:before="40" w:after="40"/>
              <w:jc w:val="center"/>
              <w:rPr>
                <w:rFonts w:asciiTheme="minorHAnsi" w:hAnsiTheme="minorHAnsi"/>
                <w:b/>
                <w:bCs/>
                <w:noProof w:val="0"/>
                <w:sz w:val="20"/>
              </w:rPr>
            </w:pPr>
            <w:r w:rsidRPr="006051AC">
              <w:rPr>
                <w:rFonts w:asciiTheme="minorHAnsi" w:hAnsiTheme="minorHAnsi"/>
                <w:b/>
                <w:bCs/>
                <w:noProof w:val="0"/>
                <w:sz w:val="20"/>
              </w:rPr>
              <w:t>Other</w:t>
            </w:r>
          </w:p>
        </w:tc>
        <w:tc>
          <w:tcPr>
            <w:tcW w:w="4189" w:type="dxa"/>
            <w:tcBorders>
              <w:top w:val="single" w:sz="4" w:space="0" w:color="FFFFFF" w:themeColor="background1"/>
              <w:left w:val="single" w:sz="4" w:space="0" w:color="FFFFFF" w:themeColor="background1"/>
              <w:bottom w:val="single" w:sz="4" w:space="0" w:color="auto"/>
              <w:right w:val="single" w:sz="4" w:space="0" w:color="auto"/>
            </w:tcBorders>
            <w:shd w:val="clear" w:color="auto" w:fill="004250"/>
            <w:vAlign w:val="center"/>
          </w:tcPr>
          <w:p w14:paraId="2472714E" w14:textId="77777777" w:rsidR="00D51C49" w:rsidRPr="006051AC" w:rsidRDefault="00D51C49" w:rsidP="00257641">
            <w:pPr>
              <w:spacing w:before="40" w:after="40"/>
              <w:jc w:val="center"/>
              <w:rPr>
                <w:rFonts w:asciiTheme="minorHAnsi" w:hAnsiTheme="minorHAnsi"/>
                <w:b/>
                <w:bCs/>
                <w:noProof w:val="0"/>
                <w:sz w:val="20"/>
              </w:rPr>
            </w:pPr>
            <w:r w:rsidRPr="006051AC">
              <w:rPr>
                <w:rFonts w:asciiTheme="minorHAnsi" w:hAnsiTheme="minorHAnsi"/>
                <w:b/>
                <w:bCs/>
                <w:noProof w:val="0"/>
                <w:sz w:val="20"/>
              </w:rPr>
              <w:t>Due Date</w:t>
            </w:r>
          </w:p>
        </w:tc>
      </w:tr>
      <w:tr w:rsidR="00D51C49" w:rsidRPr="00DF1D1C" w14:paraId="477C11E2" w14:textId="77777777" w:rsidTr="006051AC">
        <w:trPr>
          <w:cantSplit/>
          <w:trHeight w:val="255"/>
          <w:jc w:val="center"/>
        </w:trPr>
        <w:tc>
          <w:tcPr>
            <w:tcW w:w="12865" w:type="dxa"/>
            <w:gridSpan w:val="6"/>
            <w:tcBorders>
              <w:top w:val="single" w:sz="4" w:space="0" w:color="auto"/>
              <w:left w:val="single" w:sz="4" w:space="0" w:color="auto"/>
              <w:bottom w:val="single" w:sz="4" w:space="0" w:color="auto"/>
              <w:right w:val="single" w:sz="4" w:space="0" w:color="000000"/>
            </w:tcBorders>
            <w:shd w:val="clear" w:color="auto" w:fill="EAE4CE"/>
          </w:tcPr>
          <w:p w14:paraId="7E4C12D9" w14:textId="0C96C80C" w:rsidR="00D51C49" w:rsidRPr="006051AC" w:rsidRDefault="00D51C49" w:rsidP="00257641">
            <w:pPr>
              <w:spacing w:before="40" w:after="40"/>
              <w:rPr>
                <w:rFonts w:asciiTheme="minorHAnsi" w:hAnsiTheme="minorHAnsi"/>
                <w:b/>
                <w:bCs/>
                <w:noProof w:val="0"/>
                <w:sz w:val="20"/>
              </w:rPr>
            </w:pPr>
            <w:r w:rsidRPr="006051AC">
              <w:rPr>
                <w:rFonts w:asciiTheme="minorHAnsi" w:hAnsiTheme="minorHAnsi"/>
                <w:b/>
                <w:bCs/>
                <w:noProof w:val="0"/>
                <w:sz w:val="20"/>
              </w:rPr>
              <w:t>Quarterly Report</w:t>
            </w:r>
            <w:r w:rsidR="00F136F9" w:rsidRPr="006051AC">
              <w:rPr>
                <w:rFonts w:asciiTheme="minorHAnsi" w:hAnsiTheme="minorHAnsi"/>
                <w:b/>
                <w:bCs/>
                <w:noProof w:val="0"/>
                <w:sz w:val="20"/>
              </w:rPr>
              <w:t>ing</w:t>
            </w:r>
          </w:p>
        </w:tc>
      </w:tr>
      <w:tr w:rsidR="00D51C49" w:rsidRPr="00DF1D1C" w14:paraId="14A99B61" w14:textId="77777777" w:rsidTr="00EB6E6F">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7DC6D919" w14:textId="61847FB9"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1: Enrollment and Membership Report</w:t>
            </w:r>
          </w:p>
        </w:tc>
        <w:tc>
          <w:tcPr>
            <w:tcW w:w="1093" w:type="dxa"/>
            <w:tcBorders>
              <w:top w:val="nil"/>
              <w:left w:val="nil"/>
              <w:bottom w:val="single" w:sz="4" w:space="0" w:color="auto"/>
              <w:right w:val="single" w:sz="4" w:space="0" w:color="auto"/>
            </w:tcBorders>
            <w:shd w:val="clear" w:color="auto" w:fill="auto"/>
            <w:vAlign w:val="center"/>
          </w:tcPr>
          <w:p w14:paraId="508397A8"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635DE05F"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auto"/>
            <w:vAlign w:val="center"/>
          </w:tcPr>
          <w:p w14:paraId="23757C46"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6D2D4226" w14:textId="77777777" w:rsidR="00D51C49" w:rsidRPr="006051AC" w:rsidRDefault="00D51C49" w:rsidP="00257641">
            <w:pPr>
              <w:spacing w:before="40" w:after="40"/>
              <w:jc w:val="center"/>
              <w:rPr>
                <w:rFonts w:asciiTheme="minorHAnsi" w:hAnsiTheme="minorHAnsi"/>
                <w:b/>
                <w:noProof w:val="0"/>
                <w:sz w:val="20"/>
              </w:rPr>
            </w:pPr>
          </w:p>
        </w:tc>
        <w:tc>
          <w:tcPr>
            <w:tcW w:w="4189" w:type="dxa"/>
            <w:vMerge w:val="restart"/>
            <w:tcBorders>
              <w:top w:val="nil"/>
              <w:left w:val="nil"/>
              <w:right w:val="single" w:sz="4" w:space="0" w:color="auto"/>
            </w:tcBorders>
            <w:shd w:val="clear" w:color="auto" w:fill="auto"/>
            <w:vAlign w:val="center"/>
          </w:tcPr>
          <w:p w14:paraId="7C4F98E6" w14:textId="1CEFFA9C"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 xml:space="preserve">Within </w:t>
            </w:r>
            <w:r w:rsidR="00782185" w:rsidRPr="006051AC">
              <w:rPr>
                <w:rFonts w:asciiTheme="minorHAnsi" w:hAnsiTheme="minorHAnsi"/>
                <w:noProof w:val="0"/>
                <w:sz w:val="20"/>
              </w:rPr>
              <w:t>forty-five (</w:t>
            </w:r>
            <w:r w:rsidRPr="006051AC">
              <w:rPr>
                <w:rFonts w:asciiTheme="minorHAnsi" w:hAnsiTheme="minorHAnsi"/>
                <w:noProof w:val="0"/>
                <w:sz w:val="20"/>
              </w:rPr>
              <w:t>45</w:t>
            </w:r>
            <w:r w:rsidR="00782185" w:rsidRPr="006051AC">
              <w:rPr>
                <w:rFonts w:asciiTheme="minorHAnsi" w:hAnsiTheme="minorHAnsi"/>
                <w:noProof w:val="0"/>
                <w:sz w:val="20"/>
              </w:rPr>
              <w:t>)</w:t>
            </w:r>
            <w:r w:rsidRPr="006051AC">
              <w:rPr>
                <w:rFonts w:asciiTheme="minorHAnsi" w:hAnsiTheme="minorHAnsi"/>
                <w:noProof w:val="0"/>
                <w:sz w:val="20"/>
              </w:rPr>
              <w:t xml:space="preserve"> </w:t>
            </w:r>
            <w:r w:rsidR="00D07B15" w:rsidRPr="006051AC">
              <w:rPr>
                <w:rFonts w:asciiTheme="minorHAnsi" w:hAnsiTheme="minorHAnsi"/>
                <w:noProof w:val="0"/>
                <w:sz w:val="20"/>
              </w:rPr>
              <w:t xml:space="preserve">calendar </w:t>
            </w:r>
            <w:r w:rsidRPr="006051AC">
              <w:rPr>
                <w:rFonts w:asciiTheme="minorHAnsi" w:hAnsiTheme="minorHAnsi"/>
                <w:noProof w:val="0"/>
                <w:sz w:val="20"/>
              </w:rPr>
              <w:t>days of end of quarter (by the 15</w:t>
            </w:r>
            <w:r w:rsidRPr="006051AC">
              <w:rPr>
                <w:rFonts w:asciiTheme="minorHAnsi" w:hAnsiTheme="minorHAnsi"/>
                <w:noProof w:val="0"/>
                <w:sz w:val="20"/>
                <w:vertAlign w:val="superscript"/>
              </w:rPr>
              <w:t>th</w:t>
            </w:r>
            <w:r w:rsidRPr="006051AC">
              <w:rPr>
                <w:rFonts w:asciiTheme="minorHAnsi" w:hAnsiTheme="minorHAnsi"/>
                <w:noProof w:val="0"/>
                <w:sz w:val="20"/>
              </w:rPr>
              <w:t xml:space="preserve"> day of the second month following the end of the reporting period)</w:t>
            </w:r>
          </w:p>
        </w:tc>
      </w:tr>
      <w:tr w:rsidR="00D51C49" w:rsidRPr="00DF1D1C" w14:paraId="16857B8B"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49BA9A66" w14:textId="38205CDF"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2: Provider Network Status Report</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16C223CF"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30E46D21"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463B55EB"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6D5BE46C"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DEEAF6" w:themeFill="accent1" w:themeFillTint="33"/>
          </w:tcPr>
          <w:p w14:paraId="7956EB15" w14:textId="77777777" w:rsidR="00D51C49" w:rsidRPr="006051AC" w:rsidRDefault="00D51C49" w:rsidP="00257641">
            <w:pPr>
              <w:spacing w:before="40" w:after="40"/>
              <w:rPr>
                <w:rFonts w:asciiTheme="minorHAnsi" w:hAnsiTheme="minorHAnsi"/>
                <w:noProof w:val="0"/>
                <w:sz w:val="20"/>
              </w:rPr>
            </w:pPr>
          </w:p>
        </w:tc>
      </w:tr>
      <w:tr w:rsidR="00D51C49" w:rsidRPr="00DF1D1C" w14:paraId="112B1BC6" w14:textId="77777777" w:rsidTr="00EB6E6F">
        <w:trPr>
          <w:cantSplit/>
          <w:trHeight w:val="350"/>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19E1412A" w14:textId="0F851C86"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3: Medical Claims Processing</w:t>
            </w:r>
          </w:p>
        </w:tc>
        <w:tc>
          <w:tcPr>
            <w:tcW w:w="1093" w:type="dxa"/>
            <w:tcBorders>
              <w:top w:val="nil"/>
              <w:left w:val="nil"/>
              <w:bottom w:val="single" w:sz="4" w:space="0" w:color="auto"/>
              <w:right w:val="single" w:sz="4" w:space="0" w:color="auto"/>
            </w:tcBorders>
            <w:shd w:val="clear" w:color="auto" w:fill="auto"/>
            <w:vAlign w:val="center"/>
          </w:tcPr>
          <w:p w14:paraId="718DAE8A"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636DCC82"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auto"/>
            <w:vAlign w:val="center"/>
          </w:tcPr>
          <w:p w14:paraId="064B721E"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1765A90A"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auto"/>
          </w:tcPr>
          <w:p w14:paraId="3212AAB1" w14:textId="77777777" w:rsidR="00D51C49" w:rsidRPr="006051AC" w:rsidRDefault="00D51C49" w:rsidP="00257641">
            <w:pPr>
              <w:spacing w:before="40" w:after="40"/>
              <w:rPr>
                <w:rFonts w:asciiTheme="minorHAnsi" w:hAnsiTheme="minorHAnsi"/>
                <w:noProof w:val="0"/>
                <w:sz w:val="20"/>
              </w:rPr>
            </w:pPr>
          </w:p>
        </w:tc>
      </w:tr>
      <w:tr w:rsidR="00D51C49" w:rsidRPr="00DF1D1C" w14:paraId="7BCEC2E5"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3DD53BBE" w14:textId="02070C41"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4: Experience Summary</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3861C66F"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1A066512"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026027BA"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3DE0C949"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DEEAF6" w:themeFill="accent1" w:themeFillTint="33"/>
          </w:tcPr>
          <w:p w14:paraId="7396D0A2" w14:textId="77777777" w:rsidR="00D51C49" w:rsidRPr="006051AC" w:rsidRDefault="00D51C49" w:rsidP="00257641">
            <w:pPr>
              <w:spacing w:before="40" w:after="40"/>
              <w:rPr>
                <w:rFonts w:asciiTheme="minorHAnsi" w:hAnsiTheme="minorHAnsi"/>
                <w:noProof w:val="0"/>
                <w:sz w:val="20"/>
              </w:rPr>
            </w:pPr>
          </w:p>
        </w:tc>
      </w:tr>
      <w:tr w:rsidR="00D51C49" w:rsidRPr="00DF1D1C" w14:paraId="7A5C3274" w14:textId="77777777" w:rsidTr="00EB6E6F">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4617C8B2" w14:textId="477BCEB2"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5: Medical Grievance and Appeals Report</w:t>
            </w:r>
          </w:p>
        </w:tc>
        <w:tc>
          <w:tcPr>
            <w:tcW w:w="1093" w:type="dxa"/>
            <w:tcBorders>
              <w:top w:val="nil"/>
              <w:left w:val="nil"/>
              <w:bottom w:val="single" w:sz="4" w:space="0" w:color="auto"/>
              <w:right w:val="single" w:sz="4" w:space="0" w:color="auto"/>
            </w:tcBorders>
            <w:shd w:val="clear" w:color="auto" w:fill="auto"/>
            <w:vAlign w:val="center"/>
          </w:tcPr>
          <w:p w14:paraId="197B3819"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2723CBFC"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auto"/>
            <w:vAlign w:val="center"/>
          </w:tcPr>
          <w:p w14:paraId="23553F2A"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18650614"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auto"/>
          </w:tcPr>
          <w:p w14:paraId="76A6DC3E" w14:textId="77777777" w:rsidR="00D51C49" w:rsidRPr="006051AC" w:rsidRDefault="00D51C49" w:rsidP="00257641">
            <w:pPr>
              <w:spacing w:before="40" w:after="40"/>
              <w:rPr>
                <w:rFonts w:asciiTheme="minorHAnsi" w:hAnsiTheme="minorHAnsi"/>
                <w:noProof w:val="0"/>
                <w:sz w:val="20"/>
              </w:rPr>
            </w:pPr>
          </w:p>
        </w:tc>
      </w:tr>
      <w:tr w:rsidR="00AF03CF" w:rsidRPr="00DF1D1C" w14:paraId="7ABD9A17"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6E3FF06D" w14:textId="00A401F2" w:rsidR="00AF03CF" w:rsidRPr="006051AC" w:rsidRDefault="00AF03CF" w:rsidP="006051AC">
            <w:pPr>
              <w:spacing w:before="40" w:after="40"/>
              <w:ind w:left="157"/>
              <w:rPr>
                <w:rFonts w:asciiTheme="minorHAnsi" w:hAnsiTheme="minorHAnsi"/>
                <w:noProof w:val="0"/>
                <w:sz w:val="20"/>
              </w:rPr>
            </w:pPr>
            <w:r w:rsidRPr="006051AC">
              <w:rPr>
                <w:rFonts w:asciiTheme="minorHAnsi" w:hAnsiTheme="minorHAnsi"/>
                <w:noProof w:val="0"/>
                <w:sz w:val="20"/>
              </w:rPr>
              <w:t xml:space="preserve">5a: </w:t>
            </w:r>
            <w:r w:rsidR="008E1278" w:rsidRPr="006051AC">
              <w:rPr>
                <w:rFonts w:asciiTheme="minorHAnsi" w:hAnsiTheme="minorHAnsi"/>
                <w:noProof w:val="0"/>
                <w:sz w:val="20"/>
              </w:rPr>
              <w:t>SNS</w:t>
            </w:r>
            <w:r w:rsidRPr="006051AC">
              <w:rPr>
                <w:rFonts w:asciiTheme="minorHAnsi" w:hAnsiTheme="minorHAnsi"/>
                <w:noProof w:val="0"/>
                <w:sz w:val="20"/>
              </w:rPr>
              <w:t xml:space="preserve"> Grievance and Appeals Report</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25F7850D" w14:textId="77777777" w:rsidR="00AF03CF" w:rsidRPr="006051AC" w:rsidRDefault="00AF03CF"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23B81C84" w14:textId="21806926" w:rsidR="00AF03CF" w:rsidRPr="006051AC" w:rsidRDefault="00AF03CF"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692AB0CB" w14:textId="77777777" w:rsidR="00AF03CF" w:rsidRPr="006051AC" w:rsidRDefault="00AF03CF"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25CD4878" w14:textId="77777777" w:rsidR="00AF03CF" w:rsidRPr="006051AC" w:rsidRDefault="00AF03CF"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DEEAF6" w:themeFill="accent1" w:themeFillTint="33"/>
          </w:tcPr>
          <w:p w14:paraId="4F61EC93" w14:textId="77777777" w:rsidR="00AF03CF" w:rsidRPr="006051AC" w:rsidRDefault="00AF03CF" w:rsidP="00257641">
            <w:pPr>
              <w:spacing w:before="40" w:after="40"/>
              <w:rPr>
                <w:rFonts w:asciiTheme="minorHAnsi" w:hAnsiTheme="minorHAnsi"/>
                <w:noProof w:val="0"/>
                <w:sz w:val="20"/>
              </w:rPr>
            </w:pPr>
          </w:p>
        </w:tc>
      </w:tr>
      <w:tr w:rsidR="00D51C49" w:rsidRPr="00DF1D1C" w14:paraId="07765344" w14:textId="77777777" w:rsidTr="00EB6E6F">
        <w:trPr>
          <w:cantSplit/>
          <w:trHeight w:val="80"/>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3E0876C4" w14:textId="041590CC" w:rsidR="00D51C49" w:rsidRPr="006051AC" w:rsidRDefault="00D51C49" w:rsidP="006051AC">
            <w:pPr>
              <w:spacing w:before="40" w:after="40"/>
              <w:ind w:left="157"/>
              <w:rPr>
                <w:rFonts w:asciiTheme="minorHAnsi" w:hAnsiTheme="minorHAnsi"/>
                <w:noProof w:val="0"/>
                <w:sz w:val="20"/>
              </w:rPr>
            </w:pPr>
            <w:r w:rsidRPr="006051AC">
              <w:rPr>
                <w:rFonts w:asciiTheme="minorHAnsi" w:hAnsiTheme="minorHAnsi"/>
                <w:noProof w:val="0"/>
                <w:sz w:val="20"/>
              </w:rPr>
              <w:t>5b</w:t>
            </w:r>
            <w:r w:rsidR="00AF03CF" w:rsidRPr="006051AC">
              <w:rPr>
                <w:rFonts w:asciiTheme="minorHAnsi" w:hAnsiTheme="minorHAnsi"/>
                <w:noProof w:val="0"/>
                <w:sz w:val="20"/>
              </w:rPr>
              <w:t>:</w:t>
            </w:r>
            <w:r w:rsidRPr="006051AC">
              <w:rPr>
                <w:rFonts w:asciiTheme="minorHAnsi" w:hAnsiTheme="minorHAnsi"/>
                <w:noProof w:val="0"/>
                <w:sz w:val="20"/>
              </w:rPr>
              <w:t xml:space="preserve"> Dental Grievance and Appeals Report</w:t>
            </w:r>
          </w:p>
        </w:tc>
        <w:tc>
          <w:tcPr>
            <w:tcW w:w="1093" w:type="dxa"/>
            <w:tcBorders>
              <w:top w:val="nil"/>
              <w:left w:val="nil"/>
              <w:bottom w:val="single" w:sz="4" w:space="0" w:color="auto"/>
              <w:right w:val="single" w:sz="4" w:space="0" w:color="auto"/>
            </w:tcBorders>
            <w:shd w:val="clear" w:color="auto" w:fill="auto"/>
            <w:vAlign w:val="center"/>
          </w:tcPr>
          <w:p w14:paraId="65C102F6"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389B7554"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auto"/>
            <w:vAlign w:val="center"/>
          </w:tcPr>
          <w:p w14:paraId="3EF0E8D0"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3B205079"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auto"/>
          </w:tcPr>
          <w:p w14:paraId="61BC14C9" w14:textId="77777777" w:rsidR="00D51C49" w:rsidRPr="006051AC" w:rsidRDefault="00D51C49" w:rsidP="00257641">
            <w:pPr>
              <w:spacing w:before="40" w:after="40"/>
              <w:rPr>
                <w:rFonts w:asciiTheme="minorHAnsi" w:hAnsiTheme="minorHAnsi"/>
                <w:noProof w:val="0"/>
                <w:sz w:val="20"/>
              </w:rPr>
            </w:pPr>
          </w:p>
        </w:tc>
      </w:tr>
      <w:tr w:rsidR="00D51C49" w:rsidRPr="00DF1D1C" w14:paraId="4C0657AA" w14:textId="77777777" w:rsidTr="006051AC">
        <w:trPr>
          <w:cantSplit/>
          <w:trHeight w:val="80"/>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61650EEC" w14:textId="68BB255B" w:rsidR="00D51C49" w:rsidRPr="006051AC" w:rsidRDefault="00D51C49" w:rsidP="006051AC">
            <w:pPr>
              <w:spacing w:before="40" w:after="40"/>
              <w:ind w:left="157"/>
              <w:rPr>
                <w:rFonts w:asciiTheme="minorHAnsi" w:hAnsiTheme="minorHAnsi"/>
                <w:noProof w:val="0"/>
                <w:sz w:val="20"/>
              </w:rPr>
            </w:pPr>
            <w:r w:rsidRPr="006051AC">
              <w:rPr>
                <w:rFonts w:asciiTheme="minorHAnsi" w:hAnsiTheme="minorHAnsi"/>
                <w:noProof w:val="0"/>
                <w:sz w:val="20"/>
              </w:rPr>
              <w:t>5c</w:t>
            </w:r>
            <w:r w:rsidR="00AF03CF" w:rsidRPr="006051AC">
              <w:rPr>
                <w:rFonts w:asciiTheme="minorHAnsi" w:hAnsiTheme="minorHAnsi"/>
                <w:noProof w:val="0"/>
                <w:sz w:val="20"/>
              </w:rPr>
              <w:t>:</w:t>
            </w:r>
            <w:r w:rsidRPr="006051AC">
              <w:rPr>
                <w:rFonts w:asciiTheme="minorHAnsi" w:hAnsiTheme="minorHAnsi"/>
                <w:noProof w:val="0"/>
                <w:sz w:val="20"/>
              </w:rPr>
              <w:t xml:space="preserve"> Behavioral Health Grievance and Appeals Report</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7CFA6EEA"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2E7DF887"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31B40DB7"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637EE192"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DEEAF6" w:themeFill="accent1" w:themeFillTint="33"/>
          </w:tcPr>
          <w:p w14:paraId="15A091CE" w14:textId="77777777" w:rsidR="00D51C49" w:rsidRPr="006051AC" w:rsidRDefault="00D51C49" w:rsidP="00257641">
            <w:pPr>
              <w:spacing w:before="40" w:after="40"/>
              <w:rPr>
                <w:rFonts w:asciiTheme="minorHAnsi" w:hAnsiTheme="minorHAnsi"/>
                <w:noProof w:val="0"/>
                <w:sz w:val="20"/>
              </w:rPr>
            </w:pPr>
          </w:p>
        </w:tc>
      </w:tr>
      <w:tr w:rsidR="00D51C49" w:rsidRPr="00DF1D1C" w14:paraId="4A2FE72E" w14:textId="77777777" w:rsidTr="00EB6E6F">
        <w:trPr>
          <w:cantSplit/>
          <w:trHeight w:val="80"/>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2A5DE7B5" w14:textId="65BA4645"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6: Lag Tables</w:t>
            </w:r>
          </w:p>
        </w:tc>
        <w:tc>
          <w:tcPr>
            <w:tcW w:w="1093" w:type="dxa"/>
            <w:tcBorders>
              <w:top w:val="nil"/>
              <w:left w:val="nil"/>
              <w:bottom w:val="single" w:sz="4" w:space="0" w:color="auto"/>
              <w:right w:val="single" w:sz="4" w:space="0" w:color="auto"/>
            </w:tcBorders>
            <w:shd w:val="clear" w:color="auto" w:fill="auto"/>
            <w:vAlign w:val="center"/>
          </w:tcPr>
          <w:p w14:paraId="6F8EC126"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5294CA10"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auto"/>
            <w:vAlign w:val="center"/>
          </w:tcPr>
          <w:p w14:paraId="31189A03"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17D92289"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auto"/>
          </w:tcPr>
          <w:p w14:paraId="000E9327" w14:textId="77777777" w:rsidR="00D51C49" w:rsidRPr="006051AC" w:rsidRDefault="00D51C49" w:rsidP="00257641">
            <w:pPr>
              <w:spacing w:before="40" w:after="40"/>
              <w:rPr>
                <w:rFonts w:asciiTheme="minorHAnsi" w:hAnsiTheme="minorHAnsi"/>
                <w:noProof w:val="0"/>
                <w:sz w:val="20"/>
              </w:rPr>
            </w:pPr>
          </w:p>
        </w:tc>
      </w:tr>
      <w:tr w:rsidR="00D51C49" w:rsidRPr="00DF1D1C" w14:paraId="1B075401"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2AC4A967" w14:textId="3F259C7D"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7: Summary of Claims Paid Outside Encounter Data and Sub-Capitation Arrangements</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55A3A5CA"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021C1A44"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0B285B0E"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2639CBFB"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DEEAF6" w:themeFill="accent1" w:themeFillTint="33"/>
          </w:tcPr>
          <w:p w14:paraId="125326E1" w14:textId="77777777" w:rsidR="00D51C49" w:rsidRPr="006051AC" w:rsidRDefault="00D51C49" w:rsidP="00257641">
            <w:pPr>
              <w:spacing w:before="40" w:after="40"/>
              <w:rPr>
                <w:rFonts w:asciiTheme="minorHAnsi" w:hAnsiTheme="minorHAnsi"/>
                <w:noProof w:val="0"/>
                <w:sz w:val="20"/>
              </w:rPr>
            </w:pPr>
          </w:p>
        </w:tc>
      </w:tr>
      <w:tr w:rsidR="00D51C49" w:rsidRPr="00DF1D1C" w14:paraId="3D99721D"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032E666C" w14:textId="62A0345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7a: Experience Summary for Capitated Arrangements</w:t>
            </w:r>
          </w:p>
        </w:tc>
        <w:tc>
          <w:tcPr>
            <w:tcW w:w="1093" w:type="dxa"/>
            <w:tcBorders>
              <w:top w:val="nil"/>
              <w:left w:val="nil"/>
              <w:bottom w:val="single" w:sz="4" w:space="0" w:color="auto"/>
              <w:right w:val="single" w:sz="4" w:space="0" w:color="auto"/>
            </w:tcBorders>
            <w:shd w:val="clear" w:color="auto" w:fill="auto"/>
            <w:vAlign w:val="center"/>
          </w:tcPr>
          <w:p w14:paraId="261BF3F9"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196B522B"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auto"/>
            <w:vAlign w:val="center"/>
          </w:tcPr>
          <w:p w14:paraId="453BFF05"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29B33846"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auto"/>
          </w:tcPr>
          <w:p w14:paraId="5B82A24E" w14:textId="77777777" w:rsidR="00D51C49" w:rsidRPr="006051AC" w:rsidRDefault="00D51C49" w:rsidP="00257641">
            <w:pPr>
              <w:spacing w:before="40" w:after="40"/>
              <w:rPr>
                <w:rFonts w:asciiTheme="minorHAnsi" w:hAnsiTheme="minorHAnsi"/>
                <w:noProof w:val="0"/>
                <w:sz w:val="20"/>
              </w:rPr>
            </w:pPr>
          </w:p>
        </w:tc>
      </w:tr>
      <w:tr w:rsidR="00D51C49" w:rsidRPr="00DF1D1C" w14:paraId="009955B0"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42BB8BF7" w14:textId="000A7146" w:rsidR="00D51C49" w:rsidRPr="006051AC" w:rsidRDefault="00D51C49" w:rsidP="009B7161">
            <w:pPr>
              <w:spacing w:before="40" w:after="40"/>
              <w:rPr>
                <w:rFonts w:asciiTheme="minorHAnsi" w:hAnsiTheme="minorHAnsi"/>
                <w:noProof w:val="0"/>
                <w:sz w:val="20"/>
              </w:rPr>
            </w:pPr>
            <w:r w:rsidRPr="006051AC">
              <w:rPr>
                <w:rFonts w:asciiTheme="minorHAnsi" w:hAnsiTheme="minorHAnsi"/>
                <w:noProof w:val="0"/>
                <w:sz w:val="20"/>
              </w:rPr>
              <w:t xml:space="preserve">8: </w:t>
            </w:r>
            <w:r w:rsidR="009B7161">
              <w:rPr>
                <w:rFonts w:asciiTheme="minorHAnsi" w:hAnsiTheme="minorHAnsi"/>
                <w:noProof w:val="0"/>
                <w:sz w:val="20"/>
              </w:rPr>
              <w:t>Enrollee</w:t>
            </w:r>
            <w:r w:rsidR="009B7161" w:rsidRPr="006051AC">
              <w:rPr>
                <w:rFonts w:asciiTheme="minorHAnsi" w:hAnsiTheme="minorHAnsi"/>
                <w:noProof w:val="0"/>
                <w:sz w:val="20"/>
              </w:rPr>
              <w:t xml:space="preserve"> </w:t>
            </w:r>
            <w:r w:rsidR="00F136F9" w:rsidRPr="006051AC">
              <w:rPr>
                <w:rFonts w:asciiTheme="minorHAnsi" w:hAnsiTheme="minorHAnsi"/>
                <w:noProof w:val="0"/>
                <w:sz w:val="20"/>
              </w:rPr>
              <w:t>and Provider Services</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2FF55CDF"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72F89E31"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46D9AD12"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27D15B57"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DEEAF6" w:themeFill="accent1" w:themeFillTint="33"/>
          </w:tcPr>
          <w:p w14:paraId="25A9DD3E" w14:textId="77777777" w:rsidR="00D51C49" w:rsidRPr="006051AC" w:rsidRDefault="00D51C49" w:rsidP="00257641">
            <w:pPr>
              <w:spacing w:before="40" w:after="40"/>
              <w:rPr>
                <w:rFonts w:asciiTheme="minorHAnsi" w:hAnsiTheme="minorHAnsi"/>
                <w:noProof w:val="0"/>
                <w:sz w:val="20"/>
              </w:rPr>
            </w:pPr>
          </w:p>
        </w:tc>
      </w:tr>
      <w:tr w:rsidR="00D51C49" w:rsidRPr="00DF1D1C" w14:paraId="6337605F"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15790354" w14:textId="3BBEC366" w:rsidR="00D51C49" w:rsidRPr="006051AC" w:rsidRDefault="00782185" w:rsidP="00257641">
            <w:pPr>
              <w:spacing w:before="40" w:after="40"/>
              <w:rPr>
                <w:rFonts w:asciiTheme="minorHAnsi" w:hAnsiTheme="minorHAnsi"/>
                <w:noProof w:val="0"/>
                <w:sz w:val="20"/>
              </w:rPr>
            </w:pPr>
            <w:r w:rsidRPr="006051AC">
              <w:rPr>
                <w:rFonts w:asciiTheme="minorHAnsi" w:hAnsiTheme="minorHAnsi"/>
                <w:noProof w:val="0"/>
                <w:sz w:val="20"/>
              </w:rPr>
              <w:t xml:space="preserve">9: </w:t>
            </w:r>
            <w:r w:rsidR="00F136F9" w:rsidRPr="006051AC">
              <w:rPr>
                <w:rFonts w:asciiTheme="minorHAnsi" w:hAnsiTheme="minorHAnsi"/>
                <w:noProof w:val="0"/>
                <w:sz w:val="20"/>
              </w:rPr>
              <w:t>Medicaid-Related Financial Reports (Statement of Revenue and Expenses)</w:t>
            </w:r>
          </w:p>
        </w:tc>
        <w:tc>
          <w:tcPr>
            <w:tcW w:w="1093" w:type="dxa"/>
            <w:tcBorders>
              <w:top w:val="nil"/>
              <w:left w:val="nil"/>
              <w:bottom w:val="single" w:sz="4" w:space="0" w:color="auto"/>
              <w:right w:val="single" w:sz="4" w:space="0" w:color="auto"/>
            </w:tcBorders>
            <w:shd w:val="clear" w:color="auto" w:fill="auto"/>
            <w:vAlign w:val="center"/>
          </w:tcPr>
          <w:p w14:paraId="5E815E72"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241111D9"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auto"/>
            <w:vAlign w:val="center"/>
          </w:tcPr>
          <w:p w14:paraId="3DE66622"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4AE8F7F3"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auto"/>
          </w:tcPr>
          <w:p w14:paraId="667CF7B2" w14:textId="77777777" w:rsidR="00D51C49" w:rsidRPr="006051AC" w:rsidRDefault="00D51C49" w:rsidP="00257641">
            <w:pPr>
              <w:spacing w:before="40" w:after="40"/>
              <w:rPr>
                <w:rFonts w:asciiTheme="minorHAnsi" w:hAnsiTheme="minorHAnsi"/>
                <w:noProof w:val="0"/>
                <w:sz w:val="20"/>
              </w:rPr>
            </w:pPr>
          </w:p>
        </w:tc>
      </w:tr>
      <w:tr w:rsidR="00D51C49" w:rsidRPr="00DF1D1C" w14:paraId="4169A84F" w14:textId="77777777" w:rsidTr="006051AC">
        <w:trPr>
          <w:cantSplit/>
          <w:trHeight w:val="314"/>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5E790E40" w14:textId="5C2EE380" w:rsidR="00EB1F8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10</w:t>
            </w:r>
            <w:r w:rsidR="00782185" w:rsidRPr="006051AC">
              <w:rPr>
                <w:rFonts w:asciiTheme="minorHAnsi" w:hAnsiTheme="minorHAnsi"/>
                <w:noProof w:val="0"/>
                <w:sz w:val="20"/>
              </w:rPr>
              <w:t>:</w:t>
            </w:r>
            <w:r w:rsidRPr="006051AC">
              <w:rPr>
                <w:rFonts w:asciiTheme="minorHAnsi" w:hAnsiTheme="minorHAnsi"/>
                <w:noProof w:val="0"/>
                <w:sz w:val="20"/>
              </w:rPr>
              <w:t xml:space="preserve"> </w:t>
            </w:r>
            <w:r w:rsidR="00F136F9" w:rsidRPr="006051AC">
              <w:rPr>
                <w:rFonts w:asciiTheme="minorHAnsi" w:hAnsiTheme="minorHAnsi"/>
                <w:noProof w:val="0"/>
                <w:sz w:val="20"/>
              </w:rPr>
              <w:t>Out-of-Network Utilization Report-Physical Health</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6524A31C"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49925EA9"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0F464C0B"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16E002E3"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DEEAF6" w:themeFill="accent1" w:themeFillTint="33"/>
          </w:tcPr>
          <w:p w14:paraId="2ADB7D7B" w14:textId="77777777" w:rsidR="00D51C49" w:rsidRPr="006051AC" w:rsidRDefault="00D51C49" w:rsidP="00257641">
            <w:pPr>
              <w:spacing w:before="40" w:after="40"/>
              <w:rPr>
                <w:rFonts w:asciiTheme="minorHAnsi" w:hAnsiTheme="minorHAnsi"/>
                <w:noProof w:val="0"/>
                <w:sz w:val="20"/>
              </w:rPr>
            </w:pPr>
          </w:p>
        </w:tc>
      </w:tr>
      <w:tr w:rsidR="00D51C49" w:rsidRPr="00DF1D1C" w14:paraId="7DDC0201" w14:textId="77777777" w:rsidTr="00EB6E6F">
        <w:trPr>
          <w:cantSplit/>
          <w:trHeight w:val="314"/>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0D6AA343" w14:textId="77B9BE71" w:rsidR="00D51C49" w:rsidRPr="006051AC" w:rsidRDefault="00D51C49" w:rsidP="00257641">
            <w:pPr>
              <w:spacing w:before="40" w:after="40"/>
              <w:rPr>
                <w:rFonts w:asciiTheme="minorHAnsi" w:hAnsiTheme="minorHAnsi"/>
                <w:noProof w:val="0"/>
                <w:sz w:val="20"/>
              </w:rPr>
            </w:pPr>
          </w:p>
        </w:tc>
        <w:tc>
          <w:tcPr>
            <w:tcW w:w="1093" w:type="dxa"/>
            <w:tcBorders>
              <w:top w:val="nil"/>
              <w:left w:val="nil"/>
              <w:bottom w:val="single" w:sz="4" w:space="0" w:color="auto"/>
              <w:right w:val="single" w:sz="4" w:space="0" w:color="auto"/>
            </w:tcBorders>
            <w:shd w:val="clear" w:color="auto" w:fill="auto"/>
            <w:vAlign w:val="center"/>
          </w:tcPr>
          <w:p w14:paraId="4F05FC88"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33B5DA47" w14:textId="2BCBF46E"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6283ACB5"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70859091"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auto"/>
          </w:tcPr>
          <w:p w14:paraId="4F07EB55" w14:textId="77777777" w:rsidR="00D51C49" w:rsidRPr="006051AC" w:rsidRDefault="00D51C49" w:rsidP="00257641">
            <w:pPr>
              <w:spacing w:before="40" w:after="40"/>
              <w:rPr>
                <w:rFonts w:asciiTheme="minorHAnsi" w:hAnsiTheme="minorHAnsi"/>
                <w:noProof w:val="0"/>
                <w:sz w:val="20"/>
              </w:rPr>
            </w:pPr>
          </w:p>
        </w:tc>
      </w:tr>
      <w:tr w:rsidR="00D51C49" w:rsidRPr="00DF1D1C" w14:paraId="0F474213" w14:textId="77777777" w:rsidTr="006051AC">
        <w:trPr>
          <w:cantSplit/>
          <w:trHeight w:val="530"/>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7C45D04E" w14:textId="093B6EB5" w:rsidR="00D51C49" w:rsidRPr="006051AC" w:rsidRDefault="00D51C49" w:rsidP="00257641">
            <w:pPr>
              <w:spacing w:before="40" w:after="40"/>
              <w:rPr>
                <w:rFonts w:asciiTheme="minorHAnsi" w:hAnsiTheme="minorHAnsi"/>
                <w:noProof w:val="0"/>
                <w:sz w:val="20"/>
              </w:rPr>
            </w:pP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1D552890"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6701E943" w14:textId="4812DE36"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4F5E9E15"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7BE3774C"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DEEAF6" w:themeFill="accent1" w:themeFillTint="33"/>
          </w:tcPr>
          <w:p w14:paraId="60649F7C" w14:textId="77777777" w:rsidR="00D51C49" w:rsidRPr="006051AC" w:rsidRDefault="00D51C49" w:rsidP="00257641">
            <w:pPr>
              <w:spacing w:before="40" w:after="40"/>
              <w:rPr>
                <w:rFonts w:asciiTheme="minorHAnsi" w:hAnsiTheme="minorHAnsi"/>
                <w:noProof w:val="0"/>
                <w:sz w:val="20"/>
              </w:rPr>
            </w:pPr>
          </w:p>
        </w:tc>
      </w:tr>
      <w:tr w:rsidR="00D51C49" w:rsidRPr="00DF1D1C" w14:paraId="34E6397E" w14:textId="77777777" w:rsidTr="00EB6E6F">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3BBE8734" w14:textId="322DEC96" w:rsidR="00D51C49" w:rsidRPr="006051AC" w:rsidRDefault="00D51C49" w:rsidP="00257641">
            <w:pPr>
              <w:spacing w:before="40" w:after="40"/>
              <w:rPr>
                <w:rFonts w:asciiTheme="minorHAnsi" w:hAnsiTheme="minorHAnsi"/>
                <w:noProof w:val="0"/>
                <w:sz w:val="20"/>
              </w:rPr>
            </w:pPr>
          </w:p>
        </w:tc>
        <w:tc>
          <w:tcPr>
            <w:tcW w:w="1093" w:type="dxa"/>
            <w:tcBorders>
              <w:top w:val="nil"/>
              <w:left w:val="nil"/>
              <w:bottom w:val="single" w:sz="4" w:space="0" w:color="auto"/>
              <w:right w:val="single" w:sz="4" w:space="0" w:color="auto"/>
            </w:tcBorders>
            <w:shd w:val="clear" w:color="auto" w:fill="auto"/>
            <w:vAlign w:val="center"/>
          </w:tcPr>
          <w:p w14:paraId="1755A77E"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4C0738D5" w14:textId="26D9FA8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4C1C15BA"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6C7A4BF2"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auto"/>
          </w:tcPr>
          <w:p w14:paraId="2AC078C7" w14:textId="77777777" w:rsidR="00D51C49" w:rsidRPr="006051AC" w:rsidRDefault="00D51C49" w:rsidP="00257641">
            <w:pPr>
              <w:spacing w:before="40" w:after="40"/>
              <w:rPr>
                <w:rFonts w:asciiTheme="minorHAnsi" w:hAnsiTheme="minorHAnsi"/>
                <w:noProof w:val="0"/>
                <w:sz w:val="20"/>
              </w:rPr>
            </w:pPr>
          </w:p>
        </w:tc>
      </w:tr>
      <w:tr w:rsidR="00D51C49" w:rsidRPr="00DF1D1C" w14:paraId="26C92E7C"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7F387062" w14:textId="2781CA42" w:rsidR="00D51C49" w:rsidRPr="006051AC" w:rsidRDefault="00D51C49" w:rsidP="00257641">
            <w:pPr>
              <w:spacing w:before="40" w:after="40"/>
              <w:rPr>
                <w:rFonts w:asciiTheme="minorHAnsi" w:hAnsiTheme="minorHAnsi"/>
                <w:noProof w:val="0"/>
                <w:sz w:val="20"/>
              </w:rPr>
            </w:pP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333C6919"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2F98A38C" w14:textId="393906B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0DC705EF"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273B4DA9"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DEEAF6" w:themeFill="accent1" w:themeFillTint="33"/>
          </w:tcPr>
          <w:p w14:paraId="291F09D6" w14:textId="77777777" w:rsidR="00D51C49" w:rsidRPr="006051AC" w:rsidRDefault="00D51C49" w:rsidP="00257641">
            <w:pPr>
              <w:spacing w:before="40" w:after="40"/>
              <w:rPr>
                <w:rFonts w:asciiTheme="minorHAnsi" w:hAnsiTheme="minorHAnsi"/>
                <w:noProof w:val="0"/>
                <w:sz w:val="20"/>
              </w:rPr>
            </w:pPr>
          </w:p>
        </w:tc>
      </w:tr>
      <w:tr w:rsidR="00D51C49" w:rsidRPr="00DF1D1C" w14:paraId="018DB8D5" w14:textId="77777777" w:rsidTr="00EB6E6F">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5B85F7CF" w14:textId="21EA8ACA" w:rsidR="00D51C49" w:rsidRPr="006051AC" w:rsidRDefault="00D51C49" w:rsidP="00257641">
            <w:pPr>
              <w:spacing w:before="40" w:after="40"/>
              <w:rPr>
                <w:rFonts w:asciiTheme="minorHAnsi" w:hAnsiTheme="minorHAnsi"/>
                <w:noProof w:val="0"/>
                <w:sz w:val="20"/>
              </w:rPr>
            </w:pPr>
          </w:p>
        </w:tc>
        <w:tc>
          <w:tcPr>
            <w:tcW w:w="1093" w:type="dxa"/>
            <w:tcBorders>
              <w:top w:val="nil"/>
              <w:left w:val="nil"/>
              <w:bottom w:val="single" w:sz="4" w:space="0" w:color="auto"/>
              <w:right w:val="single" w:sz="4" w:space="0" w:color="auto"/>
            </w:tcBorders>
            <w:shd w:val="clear" w:color="auto" w:fill="auto"/>
            <w:vAlign w:val="center"/>
          </w:tcPr>
          <w:p w14:paraId="3D80B337"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0D6817DB" w14:textId="3DDB37B5"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6D67DBFC"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446F51ED" w14:textId="77777777" w:rsidR="00D51C49" w:rsidRPr="006051AC" w:rsidRDefault="00D51C49" w:rsidP="00257641">
            <w:pPr>
              <w:spacing w:before="40" w:after="40"/>
              <w:jc w:val="center"/>
              <w:rPr>
                <w:rFonts w:asciiTheme="minorHAnsi" w:hAnsiTheme="minorHAnsi"/>
                <w:b/>
                <w:noProof w:val="0"/>
                <w:sz w:val="20"/>
              </w:rPr>
            </w:pPr>
          </w:p>
        </w:tc>
        <w:tc>
          <w:tcPr>
            <w:tcW w:w="4189" w:type="dxa"/>
            <w:vMerge/>
            <w:tcBorders>
              <w:left w:val="nil"/>
              <w:right w:val="single" w:sz="4" w:space="0" w:color="auto"/>
            </w:tcBorders>
            <w:shd w:val="clear" w:color="auto" w:fill="auto"/>
          </w:tcPr>
          <w:p w14:paraId="7DA6C2D7" w14:textId="77777777" w:rsidR="00D51C49" w:rsidRPr="006051AC" w:rsidRDefault="00D51C49" w:rsidP="00257641">
            <w:pPr>
              <w:spacing w:before="40" w:after="40"/>
              <w:rPr>
                <w:rFonts w:asciiTheme="minorHAnsi" w:hAnsiTheme="minorHAnsi"/>
                <w:noProof w:val="0"/>
                <w:sz w:val="20"/>
              </w:rPr>
            </w:pPr>
          </w:p>
        </w:tc>
      </w:tr>
      <w:tr w:rsidR="00D51C49" w:rsidRPr="00DF1D1C" w14:paraId="36AABEC0"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34F86745" w14:textId="648A043D"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1</w:t>
            </w:r>
            <w:r w:rsidR="00EB1F89" w:rsidRPr="006051AC">
              <w:rPr>
                <w:rFonts w:asciiTheme="minorHAnsi" w:hAnsiTheme="minorHAnsi"/>
                <w:noProof w:val="0"/>
                <w:sz w:val="20"/>
              </w:rPr>
              <w:t>5a</w:t>
            </w:r>
            <w:r w:rsidR="00782185" w:rsidRPr="006051AC">
              <w:rPr>
                <w:rFonts w:asciiTheme="minorHAnsi" w:hAnsiTheme="minorHAnsi"/>
                <w:noProof w:val="0"/>
                <w:sz w:val="20"/>
              </w:rPr>
              <w:t>:</w:t>
            </w:r>
            <w:r w:rsidRPr="006051AC">
              <w:rPr>
                <w:rFonts w:asciiTheme="minorHAnsi" w:hAnsiTheme="minorHAnsi"/>
                <w:noProof w:val="0"/>
                <w:sz w:val="20"/>
              </w:rPr>
              <w:t xml:space="preserve"> Out-of-Network Utilization Report-Behavioral Health</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389E9C22"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37D89011"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0A1BB7E4"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646A65E4"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left w:val="nil"/>
              <w:right w:val="single" w:sz="4" w:space="0" w:color="auto"/>
            </w:tcBorders>
            <w:shd w:val="clear" w:color="auto" w:fill="DEEAF6" w:themeFill="accent1" w:themeFillTint="33"/>
          </w:tcPr>
          <w:p w14:paraId="60D3C148" w14:textId="77777777" w:rsidR="00D51C49" w:rsidRPr="006051AC" w:rsidRDefault="00D51C49" w:rsidP="00257641">
            <w:pPr>
              <w:spacing w:before="40" w:after="40"/>
              <w:rPr>
                <w:rFonts w:asciiTheme="minorHAnsi" w:hAnsiTheme="minorHAnsi"/>
                <w:noProof w:val="0"/>
                <w:sz w:val="20"/>
              </w:rPr>
            </w:pPr>
          </w:p>
        </w:tc>
      </w:tr>
      <w:tr w:rsidR="00D51C49" w:rsidRPr="00DF1D1C" w14:paraId="5F62EF5E" w14:textId="77777777" w:rsidTr="006051AC">
        <w:trPr>
          <w:cantSplit/>
          <w:trHeight w:val="255"/>
          <w:jc w:val="center"/>
        </w:trPr>
        <w:tc>
          <w:tcPr>
            <w:tcW w:w="12865" w:type="dxa"/>
            <w:gridSpan w:val="6"/>
            <w:tcBorders>
              <w:top w:val="single" w:sz="4" w:space="0" w:color="auto"/>
              <w:left w:val="single" w:sz="4" w:space="0" w:color="auto"/>
              <w:bottom w:val="single" w:sz="4" w:space="0" w:color="auto"/>
              <w:right w:val="single" w:sz="4" w:space="0" w:color="000000"/>
            </w:tcBorders>
            <w:shd w:val="clear" w:color="auto" w:fill="EAE4CE"/>
            <w:vAlign w:val="center"/>
          </w:tcPr>
          <w:p w14:paraId="4F648C30" w14:textId="023B8411" w:rsidR="00D51C49" w:rsidRPr="006051AC" w:rsidRDefault="00D51C49" w:rsidP="00257641">
            <w:pPr>
              <w:spacing w:before="40" w:after="40"/>
              <w:rPr>
                <w:rFonts w:asciiTheme="minorHAnsi" w:hAnsiTheme="minorHAnsi"/>
                <w:b/>
                <w:bCs/>
                <w:noProof w:val="0"/>
                <w:sz w:val="20"/>
              </w:rPr>
            </w:pPr>
            <w:r w:rsidRPr="006051AC">
              <w:rPr>
                <w:rFonts w:asciiTheme="minorHAnsi" w:hAnsiTheme="minorHAnsi"/>
                <w:b/>
                <w:bCs/>
                <w:noProof w:val="0"/>
                <w:sz w:val="20"/>
              </w:rPr>
              <w:t>Quality</w:t>
            </w:r>
            <w:r w:rsidR="00F136F9" w:rsidRPr="006051AC">
              <w:rPr>
                <w:rFonts w:asciiTheme="minorHAnsi" w:hAnsiTheme="minorHAnsi"/>
                <w:b/>
                <w:bCs/>
                <w:noProof w:val="0"/>
                <w:sz w:val="20"/>
              </w:rPr>
              <w:t xml:space="preserve"> Reporting</w:t>
            </w:r>
          </w:p>
        </w:tc>
      </w:tr>
      <w:tr w:rsidR="00D51C49" w:rsidRPr="00DF1D1C" w14:paraId="6629DA4B" w14:textId="77777777" w:rsidTr="00EB6E6F">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auto"/>
          </w:tcPr>
          <w:p w14:paraId="7185D27F"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Written Description of PIPs and Results</w:t>
            </w:r>
          </w:p>
        </w:tc>
        <w:tc>
          <w:tcPr>
            <w:tcW w:w="1093" w:type="dxa"/>
            <w:tcBorders>
              <w:top w:val="nil"/>
              <w:left w:val="nil"/>
              <w:bottom w:val="single" w:sz="4" w:space="0" w:color="auto"/>
              <w:right w:val="single" w:sz="4" w:space="0" w:color="auto"/>
            </w:tcBorders>
            <w:shd w:val="clear" w:color="auto" w:fill="auto"/>
            <w:vAlign w:val="center"/>
          </w:tcPr>
          <w:p w14:paraId="35E93AD0"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4F820DF6"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4B5E6C62"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auto"/>
            <w:vAlign w:val="center"/>
          </w:tcPr>
          <w:p w14:paraId="0070D987"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tcPr>
          <w:p w14:paraId="0455AF11" w14:textId="796CDE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July 15</w:t>
            </w:r>
            <w:r w:rsidR="00782185" w:rsidRPr="006051AC">
              <w:rPr>
                <w:rFonts w:asciiTheme="minorHAnsi" w:hAnsiTheme="minorHAnsi"/>
                <w:noProof w:val="0"/>
                <w:sz w:val="20"/>
                <w:vertAlign w:val="superscript"/>
              </w:rPr>
              <w:t>th</w:t>
            </w:r>
            <w:r w:rsidR="00782185" w:rsidRPr="006051AC">
              <w:rPr>
                <w:rFonts w:asciiTheme="minorHAnsi" w:hAnsiTheme="minorHAnsi"/>
                <w:noProof w:val="0"/>
                <w:sz w:val="20"/>
              </w:rPr>
              <w:t xml:space="preserve"> </w:t>
            </w:r>
          </w:p>
        </w:tc>
      </w:tr>
      <w:tr w:rsidR="00D51C49" w:rsidRPr="00DF1D1C" w14:paraId="709F9C3C"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tcPr>
          <w:p w14:paraId="6EA860A5"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PIP Progress Report</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4C907C06"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5DF2C32D"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45367CC0"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565C9EB3"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tcPr>
          <w:p w14:paraId="3A4127C6" w14:textId="52BCC46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 xml:space="preserve">Within </w:t>
            </w:r>
            <w:r w:rsidR="00782185" w:rsidRPr="006051AC">
              <w:rPr>
                <w:rFonts w:asciiTheme="minorHAnsi" w:hAnsiTheme="minorHAnsi"/>
                <w:noProof w:val="0"/>
                <w:sz w:val="20"/>
              </w:rPr>
              <w:t>forty-five (</w:t>
            </w:r>
            <w:r w:rsidRPr="006051AC">
              <w:rPr>
                <w:rFonts w:asciiTheme="minorHAnsi" w:hAnsiTheme="minorHAnsi"/>
                <w:noProof w:val="0"/>
                <w:sz w:val="20"/>
              </w:rPr>
              <w:t>45</w:t>
            </w:r>
            <w:r w:rsidR="00782185" w:rsidRPr="006051AC">
              <w:rPr>
                <w:rFonts w:asciiTheme="minorHAnsi" w:hAnsiTheme="minorHAnsi"/>
                <w:noProof w:val="0"/>
                <w:sz w:val="20"/>
              </w:rPr>
              <w:t>)</w:t>
            </w:r>
            <w:r w:rsidRPr="006051AC">
              <w:rPr>
                <w:rFonts w:asciiTheme="minorHAnsi" w:hAnsiTheme="minorHAnsi"/>
                <w:noProof w:val="0"/>
                <w:sz w:val="20"/>
              </w:rPr>
              <w:t xml:space="preserve"> </w:t>
            </w:r>
            <w:r w:rsidR="0032431A" w:rsidRPr="006051AC">
              <w:rPr>
                <w:rFonts w:asciiTheme="minorHAnsi" w:hAnsiTheme="minorHAnsi"/>
                <w:noProof w:val="0"/>
                <w:sz w:val="20"/>
              </w:rPr>
              <w:t xml:space="preserve">calendar </w:t>
            </w:r>
            <w:r w:rsidRPr="006051AC">
              <w:rPr>
                <w:rFonts w:asciiTheme="minorHAnsi" w:hAnsiTheme="minorHAnsi"/>
                <w:noProof w:val="0"/>
                <w:sz w:val="20"/>
              </w:rPr>
              <w:t>days of end of quarter</w:t>
            </w:r>
          </w:p>
        </w:tc>
      </w:tr>
      <w:tr w:rsidR="00D51C49" w:rsidRPr="00DF1D1C" w14:paraId="774F63A2" w14:textId="77777777" w:rsidTr="00EB6E6F">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auto"/>
          </w:tcPr>
          <w:p w14:paraId="3639AAAD"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HEDIS</w:t>
            </w:r>
          </w:p>
        </w:tc>
        <w:tc>
          <w:tcPr>
            <w:tcW w:w="1093" w:type="dxa"/>
            <w:tcBorders>
              <w:top w:val="nil"/>
              <w:left w:val="nil"/>
              <w:bottom w:val="single" w:sz="4" w:space="0" w:color="auto"/>
              <w:right w:val="single" w:sz="4" w:space="0" w:color="auto"/>
            </w:tcBorders>
            <w:shd w:val="clear" w:color="auto" w:fill="auto"/>
            <w:vAlign w:val="center"/>
          </w:tcPr>
          <w:p w14:paraId="5D557282"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3216BFE4"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2DCC5F6D"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auto"/>
            <w:vAlign w:val="center"/>
          </w:tcPr>
          <w:p w14:paraId="1475AB06"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tcPr>
          <w:p w14:paraId="012EB12B" w14:textId="5FAF9650"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On or before June 15</w:t>
            </w:r>
            <w:r w:rsidR="00782185" w:rsidRPr="006051AC">
              <w:rPr>
                <w:rFonts w:asciiTheme="minorHAnsi" w:hAnsiTheme="minorHAnsi"/>
                <w:noProof w:val="0"/>
                <w:sz w:val="20"/>
                <w:vertAlign w:val="superscript"/>
              </w:rPr>
              <w:t>th</w:t>
            </w:r>
            <w:r w:rsidR="003150A4" w:rsidRPr="006051AC">
              <w:rPr>
                <w:rFonts w:asciiTheme="minorHAnsi" w:hAnsiTheme="minorHAnsi"/>
                <w:noProof w:val="0"/>
                <w:sz w:val="20"/>
              </w:rPr>
              <w:t xml:space="preserve"> </w:t>
            </w:r>
            <w:r w:rsidRPr="006051AC">
              <w:rPr>
                <w:rFonts w:asciiTheme="minorHAnsi" w:hAnsiTheme="minorHAnsi"/>
                <w:noProof w:val="0"/>
                <w:sz w:val="20"/>
              </w:rPr>
              <w:t>(audited)</w:t>
            </w:r>
          </w:p>
        </w:tc>
      </w:tr>
      <w:tr w:rsidR="00D51C49" w:rsidRPr="00DF1D1C" w14:paraId="628CAEA1"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3BAE33B7"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QAPI Annual Evaluation Report Including Status and Results</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2502CE38"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77AE12E8"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6C1842F1"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79CD10B5"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4B06E504" w14:textId="01145EBB"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On or before June 15</w:t>
            </w:r>
            <w:r w:rsidR="00782185" w:rsidRPr="006051AC">
              <w:rPr>
                <w:rFonts w:asciiTheme="minorHAnsi" w:hAnsiTheme="minorHAnsi"/>
                <w:noProof w:val="0"/>
                <w:sz w:val="20"/>
                <w:vertAlign w:val="superscript"/>
              </w:rPr>
              <w:t>th</w:t>
            </w:r>
            <w:r w:rsidR="00782185" w:rsidRPr="006051AC">
              <w:rPr>
                <w:rFonts w:asciiTheme="minorHAnsi" w:hAnsiTheme="minorHAnsi"/>
                <w:noProof w:val="0"/>
                <w:sz w:val="20"/>
              </w:rPr>
              <w:t xml:space="preserve"> </w:t>
            </w:r>
          </w:p>
        </w:tc>
      </w:tr>
      <w:tr w:rsidR="00D51C49" w:rsidRPr="00DF1D1C" w14:paraId="752003F2" w14:textId="77777777" w:rsidTr="00EB6E6F">
        <w:trPr>
          <w:cantSplit/>
          <w:trHeight w:val="510"/>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4A145112" w14:textId="1DF4E9CE"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 xml:space="preserve">QAPI </w:t>
            </w:r>
            <w:r w:rsidR="00AC350C" w:rsidRPr="006051AC">
              <w:rPr>
                <w:rFonts w:asciiTheme="minorHAnsi" w:hAnsiTheme="minorHAnsi"/>
                <w:noProof w:val="0"/>
                <w:sz w:val="20"/>
              </w:rPr>
              <w:t>CAP</w:t>
            </w:r>
          </w:p>
        </w:tc>
        <w:tc>
          <w:tcPr>
            <w:tcW w:w="1093" w:type="dxa"/>
            <w:tcBorders>
              <w:top w:val="nil"/>
              <w:left w:val="nil"/>
              <w:bottom w:val="single" w:sz="4" w:space="0" w:color="auto"/>
              <w:right w:val="single" w:sz="4" w:space="0" w:color="auto"/>
            </w:tcBorders>
            <w:shd w:val="clear" w:color="auto" w:fill="auto"/>
            <w:vAlign w:val="center"/>
          </w:tcPr>
          <w:p w14:paraId="0876FFAD"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583B450C"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74D4B5D9"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1F513388"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4189" w:type="dxa"/>
            <w:tcBorders>
              <w:top w:val="nil"/>
              <w:left w:val="nil"/>
              <w:bottom w:val="single" w:sz="4" w:space="0" w:color="auto"/>
              <w:right w:val="single" w:sz="4" w:space="0" w:color="auto"/>
            </w:tcBorders>
            <w:shd w:val="clear" w:color="auto" w:fill="auto"/>
            <w:vAlign w:val="center"/>
          </w:tcPr>
          <w:p w14:paraId="093298E3" w14:textId="2EC7770A"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 xml:space="preserve">Within </w:t>
            </w:r>
            <w:r w:rsidR="00782185" w:rsidRPr="006051AC">
              <w:rPr>
                <w:rFonts w:asciiTheme="minorHAnsi" w:hAnsiTheme="minorHAnsi"/>
                <w:noProof w:val="0"/>
                <w:sz w:val="20"/>
              </w:rPr>
              <w:t>thirty (</w:t>
            </w:r>
            <w:r w:rsidRPr="006051AC">
              <w:rPr>
                <w:rFonts w:asciiTheme="minorHAnsi" w:hAnsiTheme="minorHAnsi"/>
                <w:noProof w:val="0"/>
                <w:sz w:val="20"/>
              </w:rPr>
              <w:t>30</w:t>
            </w:r>
            <w:r w:rsidR="00782185" w:rsidRPr="006051AC">
              <w:rPr>
                <w:rFonts w:asciiTheme="minorHAnsi" w:hAnsiTheme="minorHAnsi"/>
                <w:noProof w:val="0"/>
                <w:sz w:val="20"/>
              </w:rPr>
              <w:t>)</w:t>
            </w:r>
            <w:r w:rsidRPr="006051AC">
              <w:rPr>
                <w:rFonts w:asciiTheme="minorHAnsi" w:hAnsiTheme="minorHAnsi"/>
                <w:noProof w:val="0"/>
                <w:sz w:val="20"/>
              </w:rPr>
              <w:t xml:space="preserve"> </w:t>
            </w:r>
            <w:r w:rsidR="0032431A" w:rsidRPr="006051AC">
              <w:rPr>
                <w:rFonts w:asciiTheme="minorHAnsi" w:hAnsiTheme="minorHAnsi"/>
                <w:noProof w:val="0"/>
                <w:sz w:val="20"/>
              </w:rPr>
              <w:t xml:space="preserve">calendar </w:t>
            </w:r>
            <w:r w:rsidRPr="006051AC">
              <w:rPr>
                <w:rFonts w:asciiTheme="minorHAnsi" w:hAnsiTheme="minorHAnsi"/>
                <w:noProof w:val="0"/>
                <w:sz w:val="20"/>
              </w:rPr>
              <w:t>days of identification of systemic problem</w:t>
            </w:r>
          </w:p>
        </w:tc>
      </w:tr>
      <w:tr w:rsidR="00D51C49" w:rsidRPr="00DF1D1C" w14:paraId="73DF984A"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68443FB1" w14:textId="2BA84001" w:rsidR="00D51C49" w:rsidRPr="006051AC" w:rsidRDefault="00D51C49" w:rsidP="009B7161">
            <w:pPr>
              <w:spacing w:before="40" w:after="40"/>
              <w:rPr>
                <w:rFonts w:asciiTheme="minorHAnsi" w:hAnsiTheme="minorHAnsi"/>
                <w:noProof w:val="0"/>
                <w:sz w:val="20"/>
              </w:rPr>
            </w:pPr>
            <w:r w:rsidRPr="006051AC">
              <w:rPr>
                <w:rFonts w:asciiTheme="minorHAnsi" w:hAnsiTheme="minorHAnsi"/>
                <w:noProof w:val="0"/>
                <w:sz w:val="20"/>
              </w:rPr>
              <w:t xml:space="preserve">CAHPS </w:t>
            </w:r>
            <w:r w:rsidR="009B7161">
              <w:rPr>
                <w:rFonts w:asciiTheme="minorHAnsi" w:hAnsiTheme="minorHAnsi"/>
                <w:noProof w:val="0"/>
                <w:sz w:val="20"/>
              </w:rPr>
              <w:t>Enrollee</w:t>
            </w:r>
            <w:r w:rsidR="009B7161" w:rsidRPr="006051AC">
              <w:rPr>
                <w:rFonts w:asciiTheme="minorHAnsi" w:hAnsiTheme="minorHAnsi"/>
                <w:noProof w:val="0"/>
                <w:sz w:val="20"/>
              </w:rPr>
              <w:t xml:space="preserve"> </w:t>
            </w:r>
            <w:r w:rsidRPr="006051AC">
              <w:rPr>
                <w:rFonts w:asciiTheme="minorHAnsi" w:hAnsiTheme="minorHAnsi"/>
                <w:noProof w:val="0"/>
                <w:sz w:val="20"/>
              </w:rPr>
              <w:t>Survey Analysis</w:t>
            </w:r>
            <w:r w:rsidR="0067465A" w:rsidRPr="006051AC">
              <w:rPr>
                <w:rFonts w:asciiTheme="minorHAnsi" w:hAnsiTheme="minorHAnsi"/>
                <w:noProof w:val="0"/>
                <w:sz w:val="20"/>
              </w:rPr>
              <w:t>,</w:t>
            </w:r>
            <w:r w:rsidRPr="006051AC">
              <w:rPr>
                <w:rFonts w:asciiTheme="minorHAnsi" w:hAnsiTheme="minorHAnsi"/>
                <w:noProof w:val="0"/>
                <w:sz w:val="20"/>
              </w:rPr>
              <w:t xml:space="preserve"> Action Plan</w:t>
            </w:r>
            <w:r w:rsidR="0067465A" w:rsidRPr="006051AC">
              <w:rPr>
                <w:rFonts w:asciiTheme="minorHAnsi" w:hAnsiTheme="minorHAnsi"/>
                <w:noProof w:val="0"/>
                <w:sz w:val="20"/>
              </w:rPr>
              <w:t xml:space="preserve"> and Evaluation</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1D4C4EFB"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137EB952"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7F9832DC"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0CE42B58"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285F878B" w14:textId="352E8962"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Annual analysis is due on or before August 15</w:t>
            </w:r>
            <w:r w:rsidR="000E03CF" w:rsidRPr="006051AC">
              <w:rPr>
                <w:rFonts w:asciiTheme="minorHAnsi" w:hAnsiTheme="minorHAnsi"/>
                <w:noProof w:val="0"/>
                <w:sz w:val="20"/>
                <w:vertAlign w:val="superscript"/>
              </w:rPr>
              <w:t>th</w:t>
            </w:r>
            <w:r w:rsidRPr="006051AC">
              <w:rPr>
                <w:rFonts w:asciiTheme="minorHAnsi" w:hAnsiTheme="minorHAnsi"/>
                <w:noProof w:val="0"/>
                <w:sz w:val="20"/>
              </w:rPr>
              <w:t xml:space="preserve">. Quarterly updates are due within </w:t>
            </w:r>
            <w:r w:rsidR="000E03CF" w:rsidRPr="006051AC">
              <w:rPr>
                <w:rFonts w:asciiTheme="minorHAnsi" w:hAnsiTheme="minorHAnsi"/>
                <w:noProof w:val="0"/>
                <w:sz w:val="20"/>
              </w:rPr>
              <w:t>forty-five (</w:t>
            </w:r>
            <w:r w:rsidRPr="006051AC">
              <w:rPr>
                <w:rFonts w:asciiTheme="minorHAnsi" w:hAnsiTheme="minorHAnsi"/>
                <w:noProof w:val="0"/>
                <w:sz w:val="20"/>
              </w:rPr>
              <w:t>45</w:t>
            </w:r>
            <w:r w:rsidR="000E03CF" w:rsidRPr="006051AC">
              <w:rPr>
                <w:rFonts w:asciiTheme="minorHAnsi" w:hAnsiTheme="minorHAnsi"/>
                <w:noProof w:val="0"/>
                <w:sz w:val="20"/>
              </w:rPr>
              <w:t>)</w:t>
            </w:r>
            <w:r w:rsidRPr="006051AC">
              <w:rPr>
                <w:rFonts w:asciiTheme="minorHAnsi" w:hAnsiTheme="minorHAnsi"/>
                <w:noProof w:val="0"/>
                <w:sz w:val="20"/>
              </w:rPr>
              <w:t xml:space="preserve"> </w:t>
            </w:r>
            <w:r w:rsidR="0032431A" w:rsidRPr="006051AC">
              <w:rPr>
                <w:rFonts w:asciiTheme="minorHAnsi" w:hAnsiTheme="minorHAnsi"/>
                <w:noProof w:val="0"/>
                <w:sz w:val="20"/>
              </w:rPr>
              <w:t xml:space="preserve">calendar </w:t>
            </w:r>
            <w:r w:rsidRPr="006051AC">
              <w:rPr>
                <w:rFonts w:asciiTheme="minorHAnsi" w:hAnsiTheme="minorHAnsi"/>
                <w:noProof w:val="0"/>
                <w:sz w:val="20"/>
              </w:rPr>
              <w:t>days of end of quarter</w:t>
            </w:r>
            <w:r w:rsidR="00D13B84" w:rsidRPr="006051AC">
              <w:rPr>
                <w:rFonts w:asciiTheme="minorHAnsi" w:hAnsiTheme="minorHAnsi"/>
                <w:noProof w:val="0"/>
                <w:sz w:val="20"/>
              </w:rPr>
              <w:t xml:space="preserve"> (see MHT-15)</w:t>
            </w:r>
          </w:p>
        </w:tc>
      </w:tr>
      <w:tr w:rsidR="00D51C49" w:rsidRPr="00DF1D1C" w14:paraId="3F27B52B" w14:textId="77777777" w:rsidTr="00EB6E6F">
        <w:trPr>
          <w:cantSplit/>
          <w:trHeight w:val="300"/>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63E242F2"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Accreditation Review Report</w:t>
            </w:r>
          </w:p>
        </w:tc>
        <w:tc>
          <w:tcPr>
            <w:tcW w:w="1093" w:type="dxa"/>
            <w:tcBorders>
              <w:top w:val="nil"/>
              <w:left w:val="nil"/>
              <w:bottom w:val="single" w:sz="4" w:space="0" w:color="auto"/>
              <w:right w:val="single" w:sz="4" w:space="0" w:color="auto"/>
            </w:tcBorders>
            <w:shd w:val="clear" w:color="auto" w:fill="auto"/>
            <w:vAlign w:val="center"/>
          </w:tcPr>
          <w:p w14:paraId="7A2F25B0"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7DC5C0BA"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267FA013"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092CC02A"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4189" w:type="dxa"/>
            <w:tcBorders>
              <w:top w:val="nil"/>
              <w:left w:val="nil"/>
              <w:bottom w:val="single" w:sz="4" w:space="0" w:color="auto"/>
              <w:right w:val="single" w:sz="4" w:space="0" w:color="auto"/>
            </w:tcBorders>
            <w:shd w:val="clear" w:color="auto" w:fill="auto"/>
            <w:vAlign w:val="center"/>
          </w:tcPr>
          <w:p w14:paraId="14D4B4C5" w14:textId="36D7FC69"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Upon completion</w:t>
            </w:r>
            <w:r w:rsidR="00F24820" w:rsidRPr="006051AC">
              <w:rPr>
                <w:rFonts w:asciiTheme="minorHAnsi" w:hAnsiTheme="minorHAnsi"/>
                <w:noProof w:val="0"/>
                <w:sz w:val="20"/>
              </w:rPr>
              <w:t xml:space="preserve"> </w:t>
            </w:r>
            <w:r w:rsidRPr="006051AC">
              <w:rPr>
                <w:rFonts w:asciiTheme="minorHAnsi" w:hAnsiTheme="minorHAnsi"/>
                <w:noProof w:val="0"/>
                <w:sz w:val="20"/>
              </w:rPr>
              <w:t>or change in status</w:t>
            </w:r>
          </w:p>
        </w:tc>
      </w:tr>
      <w:tr w:rsidR="00D51C49" w:rsidRPr="00DF1D1C" w14:paraId="7A7ECCEA"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715E1706"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Encounter Data</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41A62A4E"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1EB1C62F"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250CB65E"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73BCFDF3"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34675042" w14:textId="55594AC5"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 xml:space="preserve">Within </w:t>
            </w:r>
            <w:r w:rsidR="000E03CF" w:rsidRPr="006051AC">
              <w:rPr>
                <w:rFonts w:asciiTheme="minorHAnsi" w:hAnsiTheme="minorHAnsi"/>
                <w:noProof w:val="0"/>
                <w:sz w:val="20"/>
              </w:rPr>
              <w:t>thirty (</w:t>
            </w:r>
            <w:r w:rsidRPr="006051AC">
              <w:rPr>
                <w:rFonts w:asciiTheme="minorHAnsi" w:hAnsiTheme="minorHAnsi"/>
                <w:noProof w:val="0"/>
                <w:sz w:val="20"/>
              </w:rPr>
              <w:t>30</w:t>
            </w:r>
            <w:r w:rsidR="000E03CF" w:rsidRPr="006051AC">
              <w:rPr>
                <w:rFonts w:asciiTheme="minorHAnsi" w:hAnsiTheme="minorHAnsi"/>
                <w:noProof w:val="0"/>
                <w:sz w:val="20"/>
              </w:rPr>
              <w:t>)</w:t>
            </w:r>
            <w:r w:rsidRPr="006051AC">
              <w:rPr>
                <w:rFonts w:asciiTheme="minorHAnsi" w:hAnsiTheme="minorHAnsi"/>
                <w:noProof w:val="0"/>
                <w:sz w:val="20"/>
              </w:rPr>
              <w:t xml:space="preserve"> </w:t>
            </w:r>
            <w:r w:rsidR="0032431A" w:rsidRPr="006051AC">
              <w:rPr>
                <w:rFonts w:asciiTheme="minorHAnsi" w:hAnsiTheme="minorHAnsi"/>
                <w:noProof w:val="0"/>
                <w:sz w:val="20"/>
              </w:rPr>
              <w:t xml:space="preserve">calendar </w:t>
            </w:r>
            <w:r w:rsidRPr="006051AC">
              <w:rPr>
                <w:rFonts w:asciiTheme="minorHAnsi" w:hAnsiTheme="minorHAnsi"/>
                <w:noProof w:val="0"/>
                <w:sz w:val="20"/>
              </w:rPr>
              <w:t>days of end of month</w:t>
            </w:r>
          </w:p>
        </w:tc>
      </w:tr>
      <w:tr w:rsidR="00D51C49" w:rsidRPr="00DF1D1C" w14:paraId="7C0EB086" w14:textId="77777777" w:rsidTr="00EB6E6F">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6D881E26"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Adult and Child Core Quality Measures</w:t>
            </w:r>
          </w:p>
        </w:tc>
        <w:tc>
          <w:tcPr>
            <w:tcW w:w="1093" w:type="dxa"/>
            <w:tcBorders>
              <w:top w:val="nil"/>
              <w:left w:val="nil"/>
              <w:bottom w:val="single" w:sz="4" w:space="0" w:color="auto"/>
              <w:right w:val="single" w:sz="4" w:space="0" w:color="auto"/>
            </w:tcBorders>
            <w:shd w:val="clear" w:color="auto" w:fill="auto"/>
            <w:vAlign w:val="center"/>
          </w:tcPr>
          <w:p w14:paraId="19F97C70"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13278611"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6E4F088C"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auto"/>
            <w:vAlign w:val="center"/>
          </w:tcPr>
          <w:p w14:paraId="6907E2E9"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vAlign w:val="center"/>
          </w:tcPr>
          <w:p w14:paraId="6E98EED1" w14:textId="53F7E106"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On or before September 1</w:t>
            </w:r>
            <w:r w:rsidR="000E03CF" w:rsidRPr="006051AC">
              <w:rPr>
                <w:rFonts w:asciiTheme="minorHAnsi" w:hAnsiTheme="minorHAnsi"/>
                <w:noProof w:val="0"/>
                <w:sz w:val="20"/>
                <w:vertAlign w:val="superscript"/>
              </w:rPr>
              <w:t>st</w:t>
            </w:r>
            <w:r w:rsidR="003150A4" w:rsidRPr="006051AC">
              <w:rPr>
                <w:rFonts w:asciiTheme="minorHAnsi" w:hAnsiTheme="minorHAnsi"/>
                <w:noProof w:val="0"/>
                <w:sz w:val="20"/>
              </w:rPr>
              <w:t xml:space="preserve"> </w:t>
            </w:r>
          </w:p>
        </w:tc>
      </w:tr>
      <w:tr w:rsidR="00D51C49" w:rsidRPr="00DF1D1C" w14:paraId="6C2AC04C" w14:textId="77777777" w:rsidTr="006051AC">
        <w:trPr>
          <w:cantSplit/>
          <w:trHeight w:val="278"/>
          <w:jc w:val="center"/>
        </w:trPr>
        <w:tc>
          <w:tcPr>
            <w:tcW w:w="12865" w:type="dxa"/>
            <w:gridSpan w:val="6"/>
            <w:tcBorders>
              <w:top w:val="single" w:sz="4" w:space="0" w:color="auto"/>
              <w:left w:val="single" w:sz="4" w:space="0" w:color="auto"/>
              <w:bottom w:val="single" w:sz="4" w:space="0" w:color="auto"/>
              <w:right w:val="single" w:sz="4" w:space="0" w:color="000000"/>
            </w:tcBorders>
            <w:shd w:val="clear" w:color="auto" w:fill="EAE4CE"/>
            <w:vAlign w:val="center"/>
          </w:tcPr>
          <w:p w14:paraId="5A96F465" w14:textId="57BA4F83" w:rsidR="00D51C49" w:rsidRPr="006051AC" w:rsidRDefault="00D51C49" w:rsidP="00257641">
            <w:pPr>
              <w:spacing w:before="40" w:after="40"/>
              <w:rPr>
                <w:rFonts w:asciiTheme="minorHAnsi" w:hAnsiTheme="minorHAnsi"/>
                <w:b/>
                <w:bCs/>
                <w:noProof w:val="0"/>
                <w:sz w:val="20"/>
              </w:rPr>
            </w:pPr>
            <w:r w:rsidRPr="006051AC">
              <w:rPr>
                <w:rFonts w:asciiTheme="minorHAnsi" w:hAnsiTheme="minorHAnsi"/>
                <w:b/>
                <w:bCs/>
                <w:noProof w:val="0"/>
                <w:sz w:val="20"/>
              </w:rPr>
              <w:t>Provider</w:t>
            </w:r>
            <w:r w:rsidR="00F136F9" w:rsidRPr="006051AC">
              <w:rPr>
                <w:rFonts w:asciiTheme="minorHAnsi" w:hAnsiTheme="minorHAnsi"/>
                <w:b/>
                <w:bCs/>
                <w:noProof w:val="0"/>
                <w:sz w:val="20"/>
              </w:rPr>
              <w:t xml:space="preserve"> Reporting</w:t>
            </w:r>
          </w:p>
        </w:tc>
      </w:tr>
      <w:tr w:rsidR="00D51C49" w:rsidRPr="00DF1D1C" w14:paraId="4FBC493C" w14:textId="77777777" w:rsidTr="00EB6E6F">
        <w:trPr>
          <w:cantSplit/>
          <w:trHeight w:val="510"/>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3F201C3F" w14:textId="36A542E3"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Provider Network Data</w:t>
            </w:r>
          </w:p>
        </w:tc>
        <w:tc>
          <w:tcPr>
            <w:tcW w:w="1093" w:type="dxa"/>
            <w:tcBorders>
              <w:top w:val="nil"/>
              <w:left w:val="nil"/>
              <w:bottom w:val="single" w:sz="4" w:space="0" w:color="auto"/>
              <w:right w:val="single" w:sz="4" w:space="0" w:color="auto"/>
            </w:tcBorders>
            <w:shd w:val="clear" w:color="auto" w:fill="auto"/>
            <w:vAlign w:val="center"/>
          </w:tcPr>
          <w:p w14:paraId="4DE86172"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202" w:type="dxa"/>
            <w:tcBorders>
              <w:top w:val="nil"/>
              <w:left w:val="nil"/>
              <w:bottom w:val="single" w:sz="4" w:space="0" w:color="auto"/>
              <w:right w:val="single" w:sz="4" w:space="0" w:color="auto"/>
            </w:tcBorders>
            <w:shd w:val="clear" w:color="auto" w:fill="auto"/>
            <w:vAlign w:val="center"/>
          </w:tcPr>
          <w:p w14:paraId="66EF33F8"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01A99DF8"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631DE3A5"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vAlign w:val="center"/>
          </w:tcPr>
          <w:p w14:paraId="0CB325C2" w14:textId="21893FF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 xml:space="preserve">Electronic provider directories to be submitted to </w:t>
            </w:r>
            <w:r w:rsidR="00F136F9" w:rsidRPr="006051AC">
              <w:rPr>
                <w:rFonts w:asciiTheme="minorHAnsi" w:hAnsiTheme="minorHAnsi"/>
                <w:noProof w:val="0"/>
                <w:sz w:val="20"/>
              </w:rPr>
              <w:t xml:space="preserve">the Department </w:t>
            </w:r>
            <w:r w:rsidRPr="006051AC">
              <w:rPr>
                <w:rFonts w:asciiTheme="minorHAnsi" w:hAnsiTheme="minorHAnsi"/>
                <w:noProof w:val="0"/>
                <w:sz w:val="20"/>
              </w:rPr>
              <w:t>monthly</w:t>
            </w:r>
          </w:p>
        </w:tc>
      </w:tr>
      <w:tr w:rsidR="00D51C49" w:rsidRPr="00DF1D1C" w14:paraId="124C8C67" w14:textId="77777777" w:rsidTr="006051AC">
        <w:trPr>
          <w:cantSplit/>
          <w:trHeight w:val="510"/>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055260C3"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lastRenderedPageBreak/>
              <w:t>Provider Network Adequacy</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4456C3C6"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4FA15FD7" w14:textId="58283E5F" w:rsidR="00D51C49" w:rsidRPr="006051AC" w:rsidRDefault="00F136F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7CE69DEF" w14:textId="76849A81" w:rsidR="00D51C49" w:rsidRPr="006051AC" w:rsidRDefault="00F136F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3645CA11"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5AFD83B6" w14:textId="77777777" w:rsidR="00F136F9" w:rsidRPr="006051AC" w:rsidRDefault="00F136F9" w:rsidP="00257641">
            <w:pPr>
              <w:pStyle w:val="ListParagraph"/>
              <w:numPr>
                <w:ilvl w:val="0"/>
                <w:numId w:val="964"/>
              </w:numPr>
              <w:spacing w:before="40" w:after="120" w:line="240" w:lineRule="auto"/>
              <w:ind w:left="202" w:hanging="202"/>
              <w:rPr>
                <w:rFonts w:asciiTheme="minorHAnsi" w:hAnsiTheme="minorHAnsi"/>
                <w:sz w:val="20"/>
                <w:szCs w:val="20"/>
              </w:rPr>
            </w:pPr>
            <w:r w:rsidRPr="006051AC">
              <w:rPr>
                <w:rFonts w:asciiTheme="minorHAnsi" w:hAnsiTheme="minorHAnsi"/>
                <w:sz w:val="20"/>
                <w:szCs w:val="20"/>
              </w:rPr>
              <w:t>Full network - Annually by October 31st</w:t>
            </w:r>
          </w:p>
          <w:p w14:paraId="4AB2C0B2" w14:textId="77777777" w:rsidR="00F136F9" w:rsidRPr="006051AC" w:rsidRDefault="00F136F9" w:rsidP="00257641">
            <w:pPr>
              <w:pStyle w:val="ListParagraph"/>
              <w:numPr>
                <w:ilvl w:val="0"/>
                <w:numId w:val="964"/>
              </w:numPr>
              <w:spacing w:before="40" w:after="120" w:line="240" w:lineRule="auto"/>
              <w:ind w:left="202" w:hanging="202"/>
              <w:rPr>
                <w:rFonts w:asciiTheme="minorHAnsi" w:hAnsiTheme="minorHAnsi"/>
                <w:sz w:val="20"/>
                <w:szCs w:val="20"/>
              </w:rPr>
            </w:pPr>
            <w:r w:rsidRPr="006051AC">
              <w:rPr>
                <w:rFonts w:asciiTheme="minorHAnsi" w:hAnsiTheme="minorHAnsi"/>
                <w:sz w:val="20"/>
                <w:szCs w:val="20"/>
              </w:rPr>
              <w:t xml:space="preserve">All Network changes by specialty – Quarterly, 45 days after end of the quarter </w:t>
            </w:r>
          </w:p>
          <w:p w14:paraId="469755DD" w14:textId="77777777" w:rsidR="00F136F9" w:rsidRPr="006051AC" w:rsidRDefault="00F136F9" w:rsidP="00257641">
            <w:pPr>
              <w:pStyle w:val="ListParagraph"/>
              <w:numPr>
                <w:ilvl w:val="0"/>
                <w:numId w:val="964"/>
              </w:numPr>
              <w:spacing w:before="40" w:after="120" w:line="240" w:lineRule="auto"/>
              <w:ind w:left="202" w:hanging="202"/>
              <w:rPr>
                <w:rFonts w:asciiTheme="minorHAnsi" w:hAnsiTheme="minorHAnsi"/>
                <w:sz w:val="20"/>
                <w:szCs w:val="20"/>
              </w:rPr>
            </w:pPr>
            <w:r w:rsidRPr="006051AC">
              <w:rPr>
                <w:rFonts w:asciiTheme="minorHAnsi" w:hAnsiTheme="minorHAnsi"/>
                <w:sz w:val="20"/>
                <w:szCs w:val="20"/>
              </w:rPr>
              <w:t>PCP changes –fourteen (14) days after the change</w:t>
            </w:r>
          </w:p>
          <w:p w14:paraId="36C5DA06" w14:textId="77777777" w:rsidR="00F136F9" w:rsidRPr="006051AC" w:rsidRDefault="00F136F9" w:rsidP="00257641">
            <w:pPr>
              <w:pStyle w:val="ListParagraph"/>
              <w:numPr>
                <w:ilvl w:val="0"/>
                <w:numId w:val="964"/>
              </w:numPr>
              <w:spacing w:before="40" w:after="120" w:line="240" w:lineRule="auto"/>
              <w:ind w:left="202" w:hanging="202"/>
              <w:rPr>
                <w:rFonts w:asciiTheme="minorHAnsi" w:hAnsiTheme="minorHAnsi"/>
                <w:sz w:val="20"/>
                <w:szCs w:val="20"/>
              </w:rPr>
            </w:pPr>
            <w:r w:rsidRPr="006051AC">
              <w:rPr>
                <w:rFonts w:asciiTheme="minorHAnsi" w:hAnsiTheme="minorHAnsi"/>
                <w:sz w:val="20"/>
                <w:szCs w:val="20"/>
              </w:rPr>
              <w:t>Hospital changes –immediately</w:t>
            </w:r>
          </w:p>
          <w:p w14:paraId="2E65CBEA" w14:textId="579ECD52" w:rsidR="00D51C49" w:rsidRPr="006051AC" w:rsidRDefault="00F136F9" w:rsidP="00257641">
            <w:pPr>
              <w:pStyle w:val="ListParagraph"/>
              <w:numPr>
                <w:ilvl w:val="0"/>
                <w:numId w:val="964"/>
              </w:numPr>
              <w:spacing w:before="40" w:after="120" w:line="240" w:lineRule="auto"/>
              <w:ind w:left="202" w:hanging="202"/>
              <w:rPr>
                <w:rFonts w:asciiTheme="minorHAnsi" w:hAnsiTheme="minorHAnsi"/>
                <w:sz w:val="20"/>
                <w:szCs w:val="20"/>
              </w:rPr>
            </w:pPr>
            <w:r w:rsidRPr="006051AC">
              <w:rPr>
                <w:rFonts w:asciiTheme="minorHAnsi" w:hAnsiTheme="minorHAnsi"/>
                <w:sz w:val="20"/>
                <w:szCs w:val="20"/>
              </w:rPr>
              <w:t xml:space="preserve">Material changes of other providers affecting service delivery- fourteen (14) days after the change </w:t>
            </w:r>
          </w:p>
        </w:tc>
      </w:tr>
      <w:tr w:rsidR="00D51C49" w:rsidRPr="00DF1D1C" w14:paraId="3DA4FF61" w14:textId="77777777" w:rsidTr="00EB6E6F">
        <w:trPr>
          <w:cantSplit/>
          <w:trHeight w:val="510"/>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1305CA30"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 xml:space="preserve">Provider Satisfaction Survey </w:t>
            </w:r>
          </w:p>
        </w:tc>
        <w:tc>
          <w:tcPr>
            <w:tcW w:w="1093" w:type="dxa"/>
            <w:tcBorders>
              <w:top w:val="nil"/>
              <w:left w:val="nil"/>
              <w:bottom w:val="single" w:sz="4" w:space="0" w:color="auto"/>
              <w:right w:val="single" w:sz="4" w:space="0" w:color="auto"/>
            </w:tcBorders>
            <w:shd w:val="clear" w:color="auto" w:fill="auto"/>
            <w:vAlign w:val="center"/>
          </w:tcPr>
          <w:p w14:paraId="602A43EA"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507C55DA"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auto"/>
            <w:vAlign w:val="center"/>
          </w:tcPr>
          <w:p w14:paraId="4CF670F9"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2558E610"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vAlign w:val="center"/>
          </w:tcPr>
          <w:p w14:paraId="5E7EB2FA" w14:textId="1CDFC134"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 xml:space="preserve">Within </w:t>
            </w:r>
            <w:r w:rsidR="000E03CF" w:rsidRPr="006051AC">
              <w:rPr>
                <w:rFonts w:asciiTheme="minorHAnsi" w:hAnsiTheme="minorHAnsi"/>
                <w:noProof w:val="0"/>
                <w:sz w:val="20"/>
              </w:rPr>
              <w:t>forty-five (</w:t>
            </w:r>
            <w:r w:rsidRPr="006051AC">
              <w:rPr>
                <w:rFonts w:asciiTheme="minorHAnsi" w:hAnsiTheme="minorHAnsi"/>
                <w:noProof w:val="0"/>
                <w:sz w:val="20"/>
              </w:rPr>
              <w:t>45</w:t>
            </w:r>
            <w:r w:rsidR="000E03CF" w:rsidRPr="006051AC">
              <w:rPr>
                <w:rFonts w:asciiTheme="minorHAnsi" w:hAnsiTheme="minorHAnsi"/>
                <w:noProof w:val="0"/>
                <w:sz w:val="20"/>
              </w:rPr>
              <w:t>)</w:t>
            </w:r>
            <w:r w:rsidRPr="006051AC">
              <w:rPr>
                <w:rFonts w:asciiTheme="minorHAnsi" w:hAnsiTheme="minorHAnsi"/>
                <w:noProof w:val="0"/>
                <w:sz w:val="20"/>
              </w:rPr>
              <w:t xml:space="preserve"> </w:t>
            </w:r>
            <w:r w:rsidR="0032431A" w:rsidRPr="006051AC">
              <w:rPr>
                <w:rFonts w:asciiTheme="minorHAnsi" w:hAnsiTheme="minorHAnsi"/>
                <w:noProof w:val="0"/>
                <w:sz w:val="20"/>
              </w:rPr>
              <w:t xml:space="preserve">calendar </w:t>
            </w:r>
            <w:r w:rsidRPr="006051AC">
              <w:rPr>
                <w:rFonts w:asciiTheme="minorHAnsi" w:hAnsiTheme="minorHAnsi"/>
                <w:noProof w:val="0"/>
                <w:sz w:val="20"/>
              </w:rPr>
              <w:t>days of end of quarter (by the 15</w:t>
            </w:r>
            <w:r w:rsidRPr="006051AC">
              <w:rPr>
                <w:rFonts w:asciiTheme="minorHAnsi" w:hAnsiTheme="minorHAnsi"/>
                <w:noProof w:val="0"/>
                <w:sz w:val="20"/>
                <w:vertAlign w:val="superscript"/>
              </w:rPr>
              <w:t>th</w:t>
            </w:r>
            <w:r w:rsidRPr="006051AC">
              <w:rPr>
                <w:rFonts w:asciiTheme="minorHAnsi" w:hAnsiTheme="minorHAnsi"/>
                <w:noProof w:val="0"/>
                <w:sz w:val="20"/>
              </w:rPr>
              <w:t xml:space="preserve"> day of the second month following the end of the reporting period)</w:t>
            </w:r>
          </w:p>
        </w:tc>
      </w:tr>
      <w:tr w:rsidR="00817E4C" w:rsidRPr="00DF1D1C" w14:paraId="12074658" w14:textId="77777777" w:rsidTr="006051AC">
        <w:trPr>
          <w:cantSplit/>
          <w:trHeight w:val="510"/>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0894DB38" w14:textId="0237A39A" w:rsidR="00817E4C" w:rsidRPr="006051AC" w:rsidRDefault="00F136F9" w:rsidP="00257641">
            <w:pPr>
              <w:spacing w:before="40" w:after="40"/>
              <w:rPr>
                <w:rFonts w:asciiTheme="minorHAnsi" w:hAnsiTheme="minorHAnsi"/>
                <w:noProof w:val="0"/>
                <w:sz w:val="20"/>
              </w:rPr>
            </w:pPr>
            <w:r w:rsidRPr="006051AC">
              <w:rPr>
                <w:rFonts w:asciiTheme="minorHAnsi" w:hAnsiTheme="minorHAnsi"/>
                <w:noProof w:val="0"/>
                <w:sz w:val="20"/>
              </w:rPr>
              <w:t>Suspension and Adverse Enrollment Action Report (formerly the CAF Suspension and PDC reports)</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51AAA146" w14:textId="7BD1FB0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19F9E189"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224DF5DA" w14:textId="77777777" w:rsidR="00817E4C" w:rsidRPr="006051AC" w:rsidRDefault="00817E4C"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23DD5EB3"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7E86BCD5" w14:textId="2B0D4C9B" w:rsidR="00817E4C" w:rsidRPr="006051AC" w:rsidRDefault="00F136F9" w:rsidP="00257641">
            <w:pPr>
              <w:spacing w:before="40" w:after="40"/>
              <w:rPr>
                <w:rFonts w:asciiTheme="minorHAnsi" w:hAnsiTheme="minorHAnsi"/>
                <w:noProof w:val="0"/>
                <w:sz w:val="20"/>
              </w:rPr>
            </w:pPr>
            <w:r w:rsidRPr="006051AC">
              <w:rPr>
                <w:rFonts w:asciiTheme="minorHAnsi" w:hAnsiTheme="minorHAnsi"/>
                <w:noProof w:val="0"/>
                <w:sz w:val="20"/>
              </w:rPr>
              <w:t>By the 15th of the following month</w:t>
            </w:r>
          </w:p>
        </w:tc>
      </w:tr>
      <w:tr w:rsidR="00D51C49" w:rsidRPr="00DF1D1C" w14:paraId="7DD72FAC" w14:textId="77777777" w:rsidTr="006051AC">
        <w:trPr>
          <w:cantSplit/>
          <w:trHeight w:val="255"/>
          <w:jc w:val="center"/>
        </w:trPr>
        <w:tc>
          <w:tcPr>
            <w:tcW w:w="12865" w:type="dxa"/>
            <w:gridSpan w:val="6"/>
            <w:tcBorders>
              <w:top w:val="single" w:sz="4" w:space="0" w:color="auto"/>
              <w:left w:val="single" w:sz="4" w:space="0" w:color="auto"/>
              <w:bottom w:val="single" w:sz="4" w:space="0" w:color="auto"/>
              <w:right w:val="single" w:sz="4" w:space="0" w:color="000000"/>
            </w:tcBorders>
            <w:shd w:val="clear" w:color="auto" w:fill="EAE4CE"/>
            <w:vAlign w:val="center"/>
          </w:tcPr>
          <w:p w14:paraId="7DE60EEA" w14:textId="77777777" w:rsidR="00D51C49" w:rsidRPr="006051AC" w:rsidRDefault="00D51C49" w:rsidP="00257641">
            <w:pPr>
              <w:spacing w:before="40" w:after="40"/>
              <w:rPr>
                <w:rFonts w:asciiTheme="minorHAnsi" w:hAnsiTheme="minorHAnsi"/>
                <w:b/>
                <w:bCs/>
                <w:noProof w:val="0"/>
                <w:sz w:val="20"/>
              </w:rPr>
            </w:pPr>
            <w:r w:rsidRPr="006051AC">
              <w:rPr>
                <w:rFonts w:asciiTheme="minorHAnsi" w:hAnsiTheme="minorHAnsi"/>
                <w:b/>
                <w:bCs/>
                <w:noProof w:val="0"/>
                <w:sz w:val="20"/>
              </w:rPr>
              <w:t>Financial Reporting</w:t>
            </w:r>
          </w:p>
        </w:tc>
      </w:tr>
      <w:tr w:rsidR="00D51C49" w:rsidRPr="00DF1D1C" w14:paraId="439A4675" w14:textId="77777777" w:rsidTr="00EB6E6F">
        <w:trPr>
          <w:cantSplit/>
          <w:trHeight w:val="206"/>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434CE5AD"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Annual Financial Statements</w:t>
            </w:r>
          </w:p>
        </w:tc>
        <w:tc>
          <w:tcPr>
            <w:tcW w:w="1093" w:type="dxa"/>
            <w:tcBorders>
              <w:top w:val="nil"/>
              <w:left w:val="nil"/>
              <w:bottom w:val="single" w:sz="4" w:space="0" w:color="auto"/>
              <w:right w:val="single" w:sz="4" w:space="0" w:color="auto"/>
            </w:tcBorders>
            <w:shd w:val="clear" w:color="auto" w:fill="auto"/>
            <w:vAlign w:val="center"/>
          </w:tcPr>
          <w:p w14:paraId="7813F1FD"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30377670"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5AC78685"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auto"/>
            <w:vAlign w:val="center"/>
          </w:tcPr>
          <w:p w14:paraId="3380825F"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vAlign w:val="center"/>
          </w:tcPr>
          <w:p w14:paraId="6416391F" w14:textId="6CAAD8A9"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On or before June 1</w:t>
            </w:r>
            <w:r w:rsidR="000E03CF" w:rsidRPr="006051AC">
              <w:rPr>
                <w:rFonts w:asciiTheme="minorHAnsi" w:hAnsiTheme="minorHAnsi"/>
                <w:noProof w:val="0"/>
                <w:sz w:val="20"/>
                <w:vertAlign w:val="superscript"/>
              </w:rPr>
              <w:t>st</w:t>
            </w:r>
            <w:r w:rsidR="000E03CF" w:rsidRPr="006051AC">
              <w:rPr>
                <w:rFonts w:asciiTheme="minorHAnsi" w:hAnsiTheme="minorHAnsi"/>
                <w:noProof w:val="0"/>
                <w:sz w:val="20"/>
              </w:rPr>
              <w:t xml:space="preserve"> </w:t>
            </w:r>
          </w:p>
        </w:tc>
      </w:tr>
      <w:tr w:rsidR="00D51C49" w:rsidRPr="00DF1D1C" w14:paraId="08AAF7DA" w14:textId="77777777" w:rsidTr="006051AC">
        <w:trPr>
          <w:cantSplit/>
          <w:trHeight w:val="510"/>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108DDB6F"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Offices of the Insurance Commissioner Reports – Quarterly and Annually</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2D27FE80"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725B51C8"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345D6B54"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7EEB5126"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249524A1"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Concurrent with DOI submission</w:t>
            </w:r>
          </w:p>
        </w:tc>
      </w:tr>
      <w:tr w:rsidR="00D51C49" w:rsidRPr="00DF1D1C" w14:paraId="28ADD132" w14:textId="77777777" w:rsidTr="00EB6E6F">
        <w:trPr>
          <w:cantSplit/>
          <w:trHeight w:val="602"/>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500C5BE7"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Third Party Liability Cases Not Pursued</w:t>
            </w:r>
          </w:p>
        </w:tc>
        <w:tc>
          <w:tcPr>
            <w:tcW w:w="1093" w:type="dxa"/>
            <w:tcBorders>
              <w:top w:val="nil"/>
              <w:left w:val="nil"/>
              <w:bottom w:val="single" w:sz="4" w:space="0" w:color="auto"/>
              <w:right w:val="single" w:sz="4" w:space="0" w:color="auto"/>
            </w:tcBorders>
            <w:shd w:val="clear" w:color="auto" w:fill="auto"/>
            <w:vAlign w:val="center"/>
          </w:tcPr>
          <w:p w14:paraId="052E9513"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202" w:type="dxa"/>
            <w:tcBorders>
              <w:top w:val="nil"/>
              <w:left w:val="nil"/>
              <w:bottom w:val="single" w:sz="4" w:space="0" w:color="auto"/>
              <w:right w:val="single" w:sz="4" w:space="0" w:color="auto"/>
            </w:tcBorders>
            <w:shd w:val="clear" w:color="auto" w:fill="auto"/>
            <w:vAlign w:val="center"/>
          </w:tcPr>
          <w:p w14:paraId="6719A4E9"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5DD86286"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51488D63"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vAlign w:val="center"/>
          </w:tcPr>
          <w:p w14:paraId="6764FF94" w14:textId="01005A5F"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The 15</w:t>
            </w:r>
            <w:r w:rsidRPr="006051AC">
              <w:rPr>
                <w:rFonts w:asciiTheme="minorHAnsi" w:hAnsiTheme="minorHAnsi"/>
                <w:noProof w:val="0"/>
                <w:sz w:val="20"/>
                <w:vertAlign w:val="superscript"/>
              </w:rPr>
              <w:t>th</w:t>
            </w:r>
            <w:r w:rsidRPr="006051AC">
              <w:rPr>
                <w:rFonts w:asciiTheme="minorHAnsi" w:hAnsiTheme="minorHAnsi"/>
                <w:noProof w:val="0"/>
                <w:sz w:val="20"/>
              </w:rPr>
              <w:t xml:space="preserve"> of each month (to include all events from the prior month)</w:t>
            </w:r>
          </w:p>
        </w:tc>
      </w:tr>
      <w:tr w:rsidR="00D51C49" w:rsidRPr="00DF1D1C" w14:paraId="68DDE084" w14:textId="77777777" w:rsidTr="006051AC">
        <w:trPr>
          <w:cantSplit/>
          <w:trHeight w:val="188"/>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2F3F2B61"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Provider-Preventable Conditions</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256FF544"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5321010D"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34323746"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057F5352"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00AC30EF"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To Be Determined</w:t>
            </w:r>
          </w:p>
        </w:tc>
      </w:tr>
      <w:tr w:rsidR="00D51C49" w:rsidRPr="00DF1D1C" w14:paraId="4AFCA3B5" w14:textId="77777777" w:rsidTr="00EB6E6F">
        <w:trPr>
          <w:cantSplit/>
          <w:trHeight w:val="188"/>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22FB21CA"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PCP Payment Methodology</w:t>
            </w:r>
          </w:p>
        </w:tc>
        <w:tc>
          <w:tcPr>
            <w:tcW w:w="1093" w:type="dxa"/>
            <w:tcBorders>
              <w:top w:val="nil"/>
              <w:left w:val="nil"/>
              <w:bottom w:val="single" w:sz="4" w:space="0" w:color="auto"/>
              <w:right w:val="single" w:sz="4" w:space="0" w:color="auto"/>
            </w:tcBorders>
            <w:shd w:val="clear" w:color="auto" w:fill="auto"/>
            <w:vAlign w:val="center"/>
          </w:tcPr>
          <w:p w14:paraId="174C0EAA"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5BDB3FC9"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052AEC6C"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5ABC9C03"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4189" w:type="dxa"/>
            <w:tcBorders>
              <w:top w:val="nil"/>
              <w:left w:val="nil"/>
              <w:bottom w:val="single" w:sz="4" w:space="0" w:color="auto"/>
              <w:right w:val="single" w:sz="4" w:space="0" w:color="auto"/>
            </w:tcBorders>
            <w:shd w:val="clear" w:color="auto" w:fill="auto"/>
            <w:vAlign w:val="center"/>
          </w:tcPr>
          <w:p w14:paraId="10BA0273" w14:textId="07EC91B8"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 xml:space="preserve">Upon request from </w:t>
            </w:r>
            <w:r w:rsidR="000E03CF" w:rsidRPr="006051AC">
              <w:rPr>
                <w:rFonts w:asciiTheme="minorHAnsi" w:hAnsiTheme="minorHAnsi"/>
                <w:noProof w:val="0"/>
                <w:sz w:val="20"/>
              </w:rPr>
              <w:t>DHHR</w:t>
            </w:r>
          </w:p>
        </w:tc>
      </w:tr>
      <w:tr w:rsidR="00D51C49" w:rsidRPr="00DF1D1C" w14:paraId="567B82A6" w14:textId="77777777" w:rsidTr="006051AC">
        <w:trPr>
          <w:cantSplit/>
          <w:trHeight w:val="188"/>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59213DDB" w14:textId="77777777"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Directed Payments Report</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6B4ED1FF" w14:textId="16FB0B6F"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49DB22DD" w14:textId="5C381DB1" w:rsidR="00D51C49" w:rsidRPr="006051AC" w:rsidRDefault="00534881"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76D5629B" w14:textId="7777777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7334CAD8"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4B56A818" w14:textId="24FD5AC9"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The 15</w:t>
            </w:r>
            <w:r w:rsidRPr="006051AC">
              <w:rPr>
                <w:rFonts w:asciiTheme="minorHAnsi" w:hAnsiTheme="minorHAnsi"/>
                <w:noProof w:val="0"/>
                <w:sz w:val="20"/>
                <w:vertAlign w:val="superscript"/>
              </w:rPr>
              <w:t>th</w:t>
            </w:r>
            <w:r w:rsidRPr="006051AC">
              <w:rPr>
                <w:rFonts w:asciiTheme="minorHAnsi" w:hAnsiTheme="minorHAnsi"/>
                <w:noProof w:val="0"/>
                <w:sz w:val="20"/>
              </w:rPr>
              <w:t xml:space="preserve"> of each month (to include all events from the prior month)</w:t>
            </w:r>
          </w:p>
        </w:tc>
      </w:tr>
      <w:tr w:rsidR="00817E4C" w:rsidRPr="00DF1D1C" w14:paraId="75C42E15" w14:textId="77777777" w:rsidTr="00EB6E6F">
        <w:trPr>
          <w:cantSplit/>
          <w:trHeight w:val="188"/>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7AD13AA5" w14:textId="2A75D9F5"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Provider Payment Suspensions Report</w:t>
            </w:r>
          </w:p>
        </w:tc>
        <w:tc>
          <w:tcPr>
            <w:tcW w:w="1093" w:type="dxa"/>
            <w:tcBorders>
              <w:top w:val="nil"/>
              <w:left w:val="nil"/>
              <w:bottom w:val="single" w:sz="4" w:space="0" w:color="auto"/>
              <w:right w:val="single" w:sz="4" w:space="0" w:color="auto"/>
            </w:tcBorders>
            <w:shd w:val="clear" w:color="auto" w:fill="auto"/>
            <w:vAlign w:val="center"/>
          </w:tcPr>
          <w:p w14:paraId="47C3C9AC" w14:textId="69B5CF4D"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202" w:type="dxa"/>
            <w:tcBorders>
              <w:top w:val="nil"/>
              <w:left w:val="nil"/>
              <w:bottom w:val="single" w:sz="4" w:space="0" w:color="auto"/>
              <w:right w:val="single" w:sz="4" w:space="0" w:color="auto"/>
            </w:tcBorders>
            <w:shd w:val="clear" w:color="auto" w:fill="auto"/>
            <w:vAlign w:val="center"/>
          </w:tcPr>
          <w:p w14:paraId="3D1C9D88"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0DD44047" w14:textId="77777777" w:rsidR="00817E4C" w:rsidRPr="006051AC" w:rsidRDefault="00817E4C"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22B29D6A"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vAlign w:val="center"/>
          </w:tcPr>
          <w:p w14:paraId="394DB922" w14:textId="77777777" w:rsidR="00817E4C" w:rsidRPr="006051AC" w:rsidRDefault="00817E4C" w:rsidP="00257641">
            <w:pPr>
              <w:spacing w:before="40" w:after="40"/>
              <w:rPr>
                <w:rFonts w:asciiTheme="minorHAnsi" w:hAnsiTheme="minorHAnsi"/>
                <w:noProof w:val="0"/>
                <w:sz w:val="20"/>
              </w:rPr>
            </w:pPr>
          </w:p>
        </w:tc>
      </w:tr>
      <w:tr w:rsidR="00D51C49" w:rsidRPr="00DF1D1C" w14:paraId="66004FD4" w14:textId="77777777" w:rsidTr="006051AC">
        <w:trPr>
          <w:cantSplit/>
          <w:trHeight w:val="188"/>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5B5003A7" w14:textId="199EE875"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MLR Reports and Calculations</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27A90658" w14:textId="77777777" w:rsidR="00D51C49" w:rsidRPr="006051AC" w:rsidRDefault="00D51C49"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1A652E4B"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36ADC24C" w14:textId="77777777" w:rsidR="00D51C49" w:rsidRPr="006051AC" w:rsidRDefault="00D51C4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4303A949"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7E8240E3" w14:textId="02E9CDBF" w:rsidR="00D51C49" w:rsidRPr="006051AC" w:rsidRDefault="00F136F9" w:rsidP="00257641">
            <w:pPr>
              <w:spacing w:before="40" w:after="40"/>
              <w:rPr>
                <w:rFonts w:asciiTheme="minorHAnsi" w:hAnsiTheme="minorHAnsi"/>
                <w:noProof w:val="0"/>
                <w:sz w:val="20"/>
              </w:rPr>
            </w:pPr>
            <w:r w:rsidRPr="006051AC">
              <w:rPr>
                <w:rFonts w:asciiTheme="minorHAnsi" w:hAnsiTheme="minorHAnsi"/>
                <w:noProof w:val="0"/>
                <w:sz w:val="20"/>
              </w:rPr>
              <w:t xml:space="preserve">Eight (8) </w:t>
            </w:r>
            <w:r w:rsidR="00D51C49" w:rsidRPr="006051AC">
              <w:rPr>
                <w:rFonts w:asciiTheme="minorHAnsi" w:hAnsiTheme="minorHAnsi"/>
                <w:noProof w:val="0"/>
                <w:sz w:val="20"/>
              </w:rPr>
              <w:t xml:space="preserve">months after </w:t>
            </w:r>
            <w:r w:rsidR="005B5965" w:rsidRPr="006051AC">
              <w:rPr>
                <w:rFonts w:asciiTheme="minorHAnsi" w:hAnsiTheme="minorHAnsi"/>
                <w:noProof w:val="0"/>
                <w:sz w:val="20"/>
              </w:rPr>
              <w:t>the end of the SFY</w:t>
            </w:r>
          </w:p>
        </w:tc>
      </w:tr>
      <w:tr w:rsidR="00D51C49" w:rsidRPr="00DF1D1C" w14:paraId="35C639FA" w14:textId="77777777" w:rsidTr="00EB6E6F">
        <w:trPr>
          <w:cantSplit/>
          <w:trHeight w:val="188"/>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35037286" w14:textId="11BBEDD9" w:rsidR="00D51C49" w:rsidRPr="006051AC" w:rsidRDefault="00D51C49" w:rsidP="00257641">
            <w:pPr>
              <w:spacing w:before="40" w:after="40"/>
              <w:rPr>
                <w:rFonts w:asciiTheme="minorHAnsi" w:hAnsiTheme="minorHAnsi"/>
                <w:noProof w:val="0"/>
                <w:sz w:val="20"/>
              </w:rPr>
            </w:pPr>
            <w:r w:rsidRPr="006051AC">
              <w:rPr>
                <w:rFonts w:asciiTheme="minorHAnsi" w:hAnsiTheme="minorHAnsi"/>
                <w:noProof w:val="0"/>
                <w:sz w:val="20"/>
              </w:rPr>
              <w:t xml:space="preserve">Recovery of </w:t>
            </w:r>
            <w:r w:rsidR="00817E4C" w:rsidRPr="006051AC">
              <w:rPr>
                <w:rFonts w:asciiTheme="minorHAnsi" w:hAnsiTheme="minorHAnsi"/>
                <w:noProof w:val="0"/>
                <w:sz w:val="20"/>
              </w:rPr>
              <w:t xml:space="preserve">All </w:t>
            </w:r>
            <w:r w:rsidRPr="006051AC">
              <w:rPr>
                <w:rFonts w:asciiTheme="minorHAnsi" w:hAnsiTheme="minorHAnsi"/>
                <w:noProof w:val="0"/>
                <w:sz w:val="20"/>
              </w:rPr>
              <w:t>Overpayments Report</w:t>
            </w:r>
            <w:r w:rsidR="00F136F9" w:rsidRPr="006051AC">
              <w:rPr>
                <w:rFonts w:asciiTheme="minorHAnsi" w:hAnsiTheme="minorHAnsi"/>
                <w:noProof w:val="0"/>
                <w:sz w:val="20"/>
              </w:rPr>
              <w:t xml:space="preserve"> (included in the FWA Report)</w:t>
            </w:r>
          </w:p>
        </w:tc>
        <w:tc>
          <w:tcPr>
            <w:tcW w:w="1093" w:type="dxa"/>
            <w:tcBorders>
              <w:top w:val="nil"/>
              <w:left w:val="nil"/>
              <w:bottom w:val="single" w:sz="4" w:space="0" w:color="auto"/>
              <w:right w:val="single" w:sz="4" w:space="0" w:color="auto"/>
            </w:tcBorders>
            <w:shd w:val="clear" w:color="auto" w:fill="auto"/>
            <w:vAlign w:val="center"/>
          </w:tcPr>
          <w:p w14:paraId="604D57D8" w14:textId="1119CA71" w:rsidR="00D51C49" w:rsidRPr="006051AC" w:rsidRDefault="00F136F9"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202" w:type="dxa"/>
            <w:tcBorders>
              <w:top w:val="nil"/>
              <w:left w:val="nil"/>
              <w:bottom w:val="single" w:sz="4" w:space="0" w:color="auto"/>
              <w:right w:val="single" w:sz="4" w:space="0" w:color="auto"/>
            </w:tcBorders>
            <w:shd w:val="clear" w:color="auto" w:fill="auto"/>
            <w:vAlign w:val="center"/>
          </w:tcPr>
          <w:p w14:paraId="122FD928" w14:textId="77777777" w:rsidR="00D51C49" w:rsidRPr="006051AC" w:rsidRDefault="00D51C49"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50AA8548" w14:textId="5E86D527" w:rsidR="00D51C49" w:rsidRPr="006051AC" w:rsidRDefault="00D51C49"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38C80C60" w14:textId="77777777" w:rsidR="00D51C49" w:rsidRPr="006051AC" w:rsidRDefault="00D51C49"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vAlign w:val="center"/>
          </w:tcPr>
          <w:p w14:paraId="6D8F83F5" w14:textId="7DA4305A" w:rsidR="00D51C49" w:rsidRPr="006051AC" w:rsidRDefault="00F136F9" w:rsidP="00257641">
            <w:pPr>
              <w:spacing w:before="40" w:after="40"/>
              <w:rPr>
                <w:rFonts w:asciiTheme="minorHAnsi" w:hAnsiTheme="minorHAnsi"/>
                <w:noProof w:val="0"/>
                <w:sz w:val="20"/>
              </w:rPr>
            </w:pPr>
            <w:r w:rsidRPr="006051AC">
              <w:rPr>
                <w:rFonts w:asciiTheme="minorHAnsi" w:hAnsiTheme="minorHAnsi"/>
                <w:noProof w:val="0"/>
                <w:sz w:val="20"/>
              </w:rPr>
              <w:t>By the 15</w:t>
            </w:r>
            <w:r w:rsidRPr="006051AC">
              <w:rPr>
                <w:rFonts w:asciiTheme="minorHAnsi" w:hAnsiTheme="minorHAnsi"/>
                <w:noProof w:val="0"/>
                <w:sz w:val="20"/>
                <w:vertAlign w:val="superscript"/>
              </w:rPr>
              <w:t>th</w:t>
            </w:r>
            <w:r w:rsidRPr="006051AC">
              <w:rPr>
                <w:rFonts w:asciiTheme="minorHAnsi" w:hAnsiTheme="minorHAnsi"/>
                <w:noProof w:val="0"/>
                <w:sz w:val="20"/>
              </w:rPr>
              <w:t xml:space="preserve"> of the month</w:t>
            </w:r>
          </w:p>
        </w:tc>
      </w:tr>
      <w:tr w:rsidR="00817E4C" w:rsidRPr="00DF1D1C" w14:paraId="5A1DA935" w14:textId="77777777" w:rsidTr="006051AC">
        <w:trPr>
          <w:cantSplit/>
          <w:trHeight w:val="188"/>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0A04C30C" w14:textId="5276789D"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IMD Report</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73BB62BF" w14:textId="76EFE60A"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76C82CD9"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786D7D96" w14:textId="77777777" w:rsidR="00817E4C" w:rsidRPr="006051AC" w:rsidRDefault="00817E4C"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1B77CDF8"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5E255AEA" w14:textId="45D0F3A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Submit on the 15</w:t>
            </w:r>
            <w:r w:rsidRPr="006051AC">
              <w:rPr>
                <w:rFonts w:asciiTheme="minorHAnsi" w:hAnsiTheme="minorHAnsi"/>
                <w:noProof w:val="0"/>
                <w:sz w:val="20"/>
                <w:vertAlign w:val="superscript"/>
              </w:rPr>
              <w:t>th</w:t>
            </w:r>
            <w:r w:rsidRPr="006051AC">
              <w:rPr>
                <w:rFonts w:asciiTheme="minorHAnsi" w:hAnsiTheme="minorHAnsi"/>
                <w:noProof w:val="0"/>
                <w:sz w:val="20"/>
              </w:rPr>
              <w:t xml:space="preserve"> and 30</w:t>
            </w:r>
            <w:r w:rsidRPr="006051AC">
              <w:rPr>
                <w:rFonts w:asciiTheme="minorHAnsi" w:hAnsiTheme="minorHAnsi"/>
                <w:noProof w:val="0"/>
                <w:sz w:val="20"/>
                <w:vertAlign w:val="superscript"/>
              </w:rPr>
              <w:t>th</w:t>
            </w:r>
            <w:r w:rsidRPr="006051AC">
              <w:rPr>
                <w:rFonts w:asciiTheme="minorHAnsi" w:hAnsiTheme="minorHAnsi"/>
                <w:noProof w:val="0"/>
                <w:sz w:val="20"/>
              </w:rPr>
              <w:t xml:space="preserve"> of each month</w:t>
            </w:r>
          </w:p>
        </w:tc>
      </w:tr>
      <w:tr w:rsidR="00817E4C" w:rsidRPr="00DF1D1C" w14:paraId="0A8F46E2" w14:textId="77777777" w:rsidTr="00EB6E6F">
        <w:trPr>
          <w:cantSplit/>
          <w:trHeight w:val="270"/>
          <w:jc w:val="center"/>
        </w:trPr>
        <w:tc>
          <w:tcPr>
            <w:tcW w:w="12865" w:type="dxa"/>
            <w:gridSpan w:val="6"/>
            <w:tcBorders>
              <w:top w:val="single" w:sz="4" w:space="0" w:color="auto"/>
              <w:left w:val="single" w:sz="4" w:space="0" w:color="auto"/>
              <w:bottom w:val="single" w:sz="4" w:space="0" w:color="auto"/>
              <w:right w:val="single" w:sz="4" w:space="0" w:color="000000"/>
            </w:tcBorders>
            <w:shd w:val="clear" w:color="auto" w:fill="D0CECE" w:themeFill="background2" w:themeFillShade="E6"/>
            <w:vAlign w:val="center"/>
          </w:tcPr>
          <w:p w14:paraId="10AAFBEC" w14:textId="77777777" w:rsidR="00817E4C" w:rsidRPr="006051AC" w:rsidRDefault="00817E4C" w:rsidP="00257641">
            <w:pPr>
              <w:spacing w:before="40" w:after="40"/>
              <w:rPr>
                <w:rFonts w:asciiTheme="minorHAnsi" w:hAnsiTheme="minorHAnsi"/>
                <w:b/>
                <w:bCs/>
                <w:noProof w:val="0"/>
                <w:sz w:val="20"/>
              </w:rPr>
            </w:pPr>
            <w:r w:rsidRPr="006051AC">
              <w:rPr>
                <w:rFonts w:asciiTheme="minorHAnsi" w:hAnsiTheme="minorHAnsi"/>
                <w:b/>
                <w:bCs/>
                <w:noProof w:val="0"/>
                <w:sz w:val="20"/>
              </w:rPr>
              <w:lastRenderedPageBreak/>
              <w:t>Federal Reporting</w:t>
            </w:r>
          </w:p>
        </w:tc>
      </w:tr>
      <w:tr w:rsidR="00817E4C" w:rsidRPr="00DF1D1C" w14:paraId="45F439FE" w14:textId="77777777" w:rsidTr="00EB6E6F">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359EFDC8"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Hysterectomies and Sterilizations</w:t>
            </w:r>
          </w:p>
        </w:tc>
        <w:tc>
          <w:tcPr>
            <w:tcW w:w="1093" w:type="dxa"/>
            <w:tcBorders>
              <w:top w:val="nil"/>
              <w:left w:val="nil"/>
              <w:bottom w:val="single" w:sz="4" w:space="0" w:color="auto"/>
              <w:right w:val="single" w:sz="4" w:space="0" w:color="auto"/>
            </w:tcBorders>
            <w:shd w:val="clear" w:color="auto" w:fill="auto"/>
            <w:vAlign w:val="center"/>
          </w:tcPr>
          <w:p w14:paraId="2F7AA58B"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0F2D8EB4"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61C8549F"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auto"/>
            <w:vAlign w:val="center"/>
          </w:tcPr>
          <w:p w14:paraId="5D6351AB"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vAlign w:val="center"/>
          </w:tcPr>
          <w:p w14:paraId="4640FB44" w14:textId="2B3E6514"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Submit attestation by October 1</w:t>
            </w:r>
            <w:r w:rsidRPr="006051AC">
              <w:rPr>
                <w:rFonts w:asciiTheme="minorHAnsi" w:hAnsiTheme="minorHAnsi"/>
                <w:noProof w:val="0"/>
                <w:sz w:val="20"/>
                <w:vertAlign w:val="superscript"/>
              </w:rPr>
              <w:t>st</w:t>
            </w:r>
            <w:r w:rsidRPr="006051AC">
              <w:rPr>
                <w:rFonts w:asciiTheme="minorHAnsi" w:hAnsiTheme="minorHAnsi"/>
                <w:noProof w:val="0"/>
                <w:sz w:val="20"/>
              </w:rPr>
              <w:t xml:space="preserve"> </w:t>
            </w:r>
          </w:p>
        </w:tc>
      </w:tr>
      <w:tr w:rsidR="00817E4C" w:rsidRPr="00DF1D1C" w14:paraId="3F98D859"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45619A64"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EPSDT Services and Reporting</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4C6CD55B"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0641D489"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26834265" w14:textId="77777777" w:rsidR="00817E4C" w:rsidRPr="006051AC" w:rsidRDefault="00817E4C"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1496E021"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7B2117BE" w14:textId="13B86E02"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Submit attestation by October 1</w:t>
            </w:r>
            <w:r w:rsidRPr="006051AC">
              <w:rPr>
                <w:rFonts w:asciiTheme="minorHAnsi" w:hAnsiTheme="minorHAnsi"/>
                <w:noProof w:val="0"/>
                <w:sz w:val="20"/>
                <w:vertAlign w:val="superscript"/>
              </w:rPr>
              <w:t>st</w:t>
            </w:r>
            <w:r w:rsidRPr="006051AC">
              <w:rPr>
                <w:rFonts w:asciiTheme="minorHAnsi" w:hAnsiTheme="minorHAnsi"/>
                <w:noProof w:val="0"/>
                <w:sz w:val="20"/>
              </w:rPr>
              <w:t xml:space="preserve"> </w:t>
            </w:r>
          </w:p>
        </w:tc>
      </w:tr>
      <w:tr w:rsidR="00817E4C" w:rsidRPr="00DF1D1C" w14:paraId="2B8F6D2D" w14:textId="77777777" w:rsidTr="006051AC">
        <w:trPr>
          <w:cantSplit/>
          <w:trHeight w:val="255"/>
          <w:jc w:val="center"/>
        </w:trPr>
        <w:tc>
          <w:tcPr>
            <w:tcW w:w="12865" w:type="dxa"/>
            <w:gridSpan w:val="6"/>
            <w:tcBorders>
              <w:top w:val="single" w:sz="4" w:space="0" w:color="auto"/>
              <w:left w:val="single" w:sz="4" w:space="0" w:color="auto"/>
              <w:bottom w:val="single" w:sz="4" w:space="0" w:color="auto"/>
              <w:right w:val="single" w:sz="4" w:space="0" w:color="000000"/>
            </w:tcBorders>
            <w:shd w:val="clear" w:color="auto" w:fill="EAE4CE"/>
            <w:vAlign w:val="center"/>
          </w:tcPr>
          <w:p w14:paraId="2099138B" w14:textId="77777777" w:rsidR="00817E4C" w:rsidRPr="006051AC" w:rsidRDefault="00817E4C" w:rsidP="00257641">
            <w:pPr>
              <w:spacing w:before="40" w:after="40"/>
              <w:rPr>
                <w:rFonts w:asciiTheme="minorHAnsi" w:hAnsiTheme="minorHAnsi"/>
                <w:b/>
                <w:bCs/>
                <w:noProof w:val="0"/>
                <w:sz w:val="20"/>
              </w:rPr>
            </w:pPr>
            <w:r w:rsidRPr="006051AC">
              <w:rPr>
                <w:rFonts w:asciiTheme="minorHAnsi" w:hAnsiTheme="minorHAnsi"/>
                <w:b/>
                <w:bCs/>
                <w:noProof w:val="0"/>
                <w:sz w:val="20"/>
              </w:rPr>
              <w:t>Other State Required Reporting</w:t>
            </w:r>
          </w:p>
        </w:tc>
      </w:tr>
      <w:tr w:rsidR="00817E4C" w:rsidRPr="00DF1D1C" w14:paraId="0400A86C" w14:textId="77777777" w:rsidTr="00EB6E6F">
        <w:trPr>
          <w:cantSplit/>
          <w:trHeight w:val="270"/>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385C1B3C"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Business Continuity Plan</w:t>
            </w:r>
          </w:p>
        </w:tc>
        <w:tc>
          <w:tcPr>
            <w:tcW w:w="1093" w:type="dxa"/>
            <w:tcBorders>
              <w:top w:val="nil"/>
              <w:left w:val="nil"/>
              <w:bottom w:val="single" w:sz="4" w:space="0" w:color="auto"/>
              <w:right w:val="single" w:sz="4" w:space="0" w:color="auto"/>
            </w:tcBorders>
            <w:shd w:val="clear" w:color="auto" w:fill="auto"/>
            <w:vAlign w:val="center"/>
          </w:tcPr>
          <w:p w14:paraId="408D9601"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12C0699A"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7A9FE620" w14:textId="77777777" w:rsidR="00817E4C" w:rsidRPr="006051AC" w:rsidRDefault="00817E4C"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634C47C5"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4189" w:type="dxa"/>
            <w:tcBorders>
              <w:top w:val="nil"/>
              <w:left w:val="nil"/>
              <w:bottom w:val="single" w:sz="4" w:space="0" w:color="auto"/>
              <w:right w:val="single" w:sz="4" w:space="0" w:color="auto"/>
            </w:tcBorders>
            <w:shd w:val="clear" w:color="auto" w:fill="auto"/>
            <w:vAlign w:val="center"/>
          </w:tcPr>
          <w:p w14:paraId="006A2B02" w14:textId="00489538"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Within ten (10) business days of DHHR written request</w:t>
            </w:r>
          </w:p>
        </w:tc>
      </w:tr>
      <w:tr w:rsidR="00817E4C" w:rsidRPr="00DF1D1C" w14:paraId="22D917E4" w14:textId="77777777" w:rsidTr="006051AC">
        <w:trPr>
          <w:cantSplit/>
          <w:trHeight w:val="270"/>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2849EFA9"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Disaster Recovery Plan</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377BDCC0"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25D08EB3"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4CFF3C33" w14:textId="77777777" w:rsidR="00817E4C" w:rsidRPr="006051AC" w:rsidRDefault="00817E4C"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76B53BD4"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21C522E9" w14:textId="7B91281B"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Within ten (10) business days of DHHR written request</w:t>
            </w:r>
          </w:p>
        </w:tc>
      </w:tr>
      <w:tr w:rsidR="00817E4C" w:rsidRPr="00DF1D1C" w14:paraId="096557B8" w14:textId="77777777" w:rsidTr="00EB6E6F">
        <w:trPr>
          <w:cantSplit/>
          <w:trHeight w:val="270"/>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7D765819"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Information Security Plan</w:t>
            </w:r>
          </w:p>
        </w:tc>
        <w:tc>
          <w:tcPr>
            <w:tcW w:w="1093" w:type="dxa"/>
            <w:tcBorders>
              <w:top w:val="nil"/>
              <w:left w:val="nil"/>
              <w:bottom w:val="single" w:sz="4" w:space="0" w:color="auto"/>
              <w:right w:val="single" w:sz="4" w:space="0" w:color="auto"/>
            </w:tcBorders>
            <w:shd w:val="clear" w:color="auto" w:fill="auto"/>
            <w:vAlign w:val="center"/>
          </w:tcPr>
          <w:p w14:paraId="401EA1DB"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72342240"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5512ED55" w14:textId="77777777" w:rsidR="00817E4C" w:rsidRPr="006051AC" w:rsidRDefault="00817E4C"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5227A7ED"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4189" w:type="dxa"/>
            <w:tcBorders>
              <w:top w:val="nil"/>
              <w:left w:val="nil"/>
              <w:bottom w:val="single" w:sz="4" w:space="0" w:color="auto"/>
              <w:right w:val="single" w:sz="4" w:space="0" w:color="auto"/>
            </w:tcBorders>
            <w:shd w:val="clear" w:color="auto" w:fill="auto"/>
            <w:vAlign w:val="center"/>
          </w:tcPr>
          <w:p w14:paraId="566204F7" w14:textId="0ABC9ECE"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Within ten (10) business days of DHHR written request</w:t>
            </w:r>
          </w:p>
        </w:tc>
      </w:tr>
      <w:tr w:rsidR="00817E4C" w:rsidRPr="00DF1D1C" w14:paraId="19715014" w14:textId="77777777" w:rsidTr="006051AC">
        <w:trPr>
          <w:cantSplit/>
          <w:trHeight w:val="270"/>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0FE2D51C" w14:textId="0125049B"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 xml:space="preserve">Children’s PRTF Services Report </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0C164D8B"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4EA99414"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5AA2A126" w14:textId="77777777" w:rsidR="00817E4C" w:rsidRPr="006051AC" w:rsidRDefault="00817E4C"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2C0D1F80"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0E7E2C2C" w14:textId="37E5020D"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The 15</w:t>
            </w:r>
            <w:r w:rsidRPr="006051AC">
              <w:rPr>
                <w:rFonts w:asciiTheme="minorHAnsi" w:hAnsiTheme="minorHAnsi"/>
                <w:noProof w:val="0"/>
                <w:sz w:val="20"/>
                <w:vertAlign w:val="superscript"/>
              </w:rPr>
              <w:t>th</w:t>
            </w:r>
            <w:r w:rsidRPr="006051AC">
              <w:rPr>
                <w:rFonts w:asciiTheme="minorHAnsi" w:hAnsiTheme="minorHAnsi"/>
                <w:noProof w:val="0"/>
                <w:sz w:val="20"/>
              </w:rPr>
              <w:t xml:space="preserve"> of each month (to include all events from the prior month)</w:t>
            </w:r>
          </w:p>
        </w:tc>
      </w:tr>
      <w:tr w:rsidR="00817E4C" w:rsidRPr="00DF1D1C" w14:paraId="3E53223E" w14:textId="77777777" w:rsidTr="00EB6E6F">
        <w:trPr>
          <w:cantSplit/>
          <w:trHeight w:val="270"/>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2B19DCAB"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System Quality Assurance Plan</w:t>
            </w:r>
          </w:p>
        </w:tc>
        <w:tc>
          <w:tcPr>
            <w:tcW w:w="1093" w:type="dxa"/>
            <w:tcBorders>
              <w:top w:val="nil"/>
              <w:left w:val="nil"/>
              <w:bottom w:val="single" w:sz="4" w:space="0" w:color="auto"/>
              <w:right w:val="single" w:sz="4" w:space="0" w:color="auto"/>
            </w:tcBorders>
            <w:shd w:val="clear" w:color="auto" w:fill="auto"/>
            <w:vAlign w:val="center"/>
          </w:tcPr>
          <w:p w14:paraId="1A3357F3"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3EC1D839"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2D90DF78" w14:textId="77777777" w:rsidR="00817E4C" w:rsidRPr="006051AC" w:rsidRDefault="00817E4C" w:rsidP="00257641">
            <w:pPr>
              <w:spacing w:before="40" w:after="40"/>
              <w:jc w:val="center"/>
              <w:rPr>
                <w:rFonts w:asciiTheme="minorHAnsi" w:hAnsiTheme="minorHAnsi"/>
                <w:b/>
                <w:noProof w:val="0"/>
                <w:sz w:val="20"/>
              </w:rPr>
            </w:pPr>
          </w:p>
        </w:tc>
        <w:tc>
          <w:tcPr>
            <w:tcW w:w="851" w:type="dxa"/>
            <w:tcBorders>
              <w:top w:val="nil"/>
              <w:left w:val="nil"/>
              <w:bottom w:val="single" w:sz="4" w:space="0" w:color="auto"/>
              <w:right w:val="single" w:sz="4" w:space="0" w:color="auto"/>
            </w:tcBorders>
            <w:shd w:val="clear" w:color="auto" w:fill="auto"/>
            <w:vAlign w:val="center"/>
          </w:tcPr>
          <w:p w14:paraId="29D9D37D"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4189" w:type="dxa"/>
            <w:tcBorders>
              <w:top w:val="nil"/>
              <w:left w:val="nil"/>
              <w:bottom w:val="single" w:sz="4" w:space="0" w:color="auto"/>
              <w:right w:val="single" w:sz="4" w:space="0" w:color="auto"/>
            </w:tcBorders>
            <w:shd w:val="clear" w:color="auto" w:fill="auto"/>
            <w:vAlign w:val="center"/>
          </w:tcPr>
          <w:p w14:paraId="24933489" w14:textId="042E518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Within ten (10) business days of DHHR written request</w:t>
            </w:r>
          </w:p>
        </w:tc>
      </w:tr>
      <w:tr w:rsidR="00817E4C" w:rsidRPr="00DF1D1C" w14:paraId="0E5EF33E" w14:textId="77777777" w:rsidTr="006051AC">
        <w:trPr>
          <w:cantSplit/>
          <w:trHeight w:val="270"/>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16558063"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Sexually Transmitted Diseases</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692B23F7"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370F97F1"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6C44D0E4"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270E9A97"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764D4BB9" w14:textId="202010F6"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Submit attestation by October 1</w:t>
            </w:r>
            <w:r w:rsidRPr="006051AC">
              <w:rPr>
                <w:rFonts w:asciiTheme="minorHAnsi" w:hAnsiTheme="minorHAnsi"/>
                <w:noProof w:val="0"/>
                <w:sz w:val="20"/>
                <w:vertAlign w:val="superscript"/>
              </w:rPr>
              <w:t>st</w:t>
            </w:r>
            <w:r w:rsidRPr="006051AC">
              <w:rPr>
                <w:rFonts w:asciiTheme="minorHAnsi" w:hAnsiTheme="minorHAnsi"/>
                <w:noProof w:val="0"/>
                <w:sz w:val="20"/>
              </w:rPr>
              <w:t xml:space="preserve"> </w:t>
            </w:r>
          </w:p>
        </w:tc>
      </w:tr>
      <w:tr w:rsidR="00817E4C" w:rsidRPr="00DF1D1C" w14:paraId="00A15C28" w14:textId="77777777" w:rsidTr="00EB6E6F">
        <w:trPr>
          <w:cantSplit/>
          <w:trHeight w:val="270"/>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6BA64EE3"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Tuberculosis</w:t>
            </w:r>
          </w:p>
        </w:tc>
        <w:tc>
          <w:tcPr>
            <w:tcW w:w="1093" w:type="dxa"/>
            <w:tcBorders>
              <w:top w:val="nil"/>
              <w:left w:val="nil"/>
              <w:bottom w:val="single" w:sz="4" w:space="0" w:color="auto"/>
              <w:right w:val="single" w:sz="4" w:space="0" w:color="auto"/>
            </w:tcBorders>
            <w:shd w:val="clear" w:color="auto" w:fill="auto"/>
            <w:vAlign w:val="center"/>
          </w:tcPr>
          <w:p w14:paraId="662D5199"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73A05397"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68B3AF1B"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auto"/>
            <w:vAlign w:val="center"/>
          </w:tcPr>
          <w:p w14:paraId="50518456"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vAlign w:val="center"/>
          </w:tcPr>
          <w:p w14:paraId="624EB5CD" w14:textId="0937687D"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Submit attestation by October 1</w:t>
            </w:r>
            <w:r w:rsidRPr="006051AC">
              <w:rPr>
                <w:rFonts w:asciiTheme="minorHAnsi" w:hAnsiTheme="minorHAnsi"/>
                <w:noProof w:val="0"/>
                <w:sz w:val="20"/>
                <w:vertAlign w:val="superscript"/>
              </w:rPr>
              <w:t>st</w:t>
            </w:r>
            <w:r w:rsidRPr="006051AC">
              <w:rPr>
                <w:rFonts w:asciiTheme="minorHAnsi" w:hAnsiTheme="minorHAnsi"/>
                <w:noProof w:val="0"/>
                <w:sz w:val="20"/>
              </w:rPr>
              <w:t xml:space="preserve"> </w:t>
            </w:r>
          </w:p>
        </w:tc>
      </w:tr>
      <w:tr w:rsidR="00817E4C" w:rsidRPr="00DF1D1C" w14:paraId="3A886F8E"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49592679"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Communicable Diseases</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7C25D5C8"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52875F8D"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2E6994D7"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237FD62C"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7A481632" w14:textId="2DB042F3"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Submit attestation by October 1</w:t>
            </w:r>
            <w:r w:rsidRPr="006051AC">
              <w:rPr>
                <w:rFonts w:asciiTheme="minorHAnsi" w:hAnsiTheme="minorHAnsi"/>
                <w:noProof w:val="0"/>
                <w:sz w:val="20"/>
                <w:vertAlign w:val="superscript"/>
              </w:rPr>
              <w:t>st</w:t>
            </w:r>
            <w:r w:rsidRPr="006051AC">
              <w:rPr>
                <w:rFonts w:asciiTheme="minorHAnsi" w:hAnsiTheme="minorHAnsi"/>
                <w:noProof w:val="0"/>
                <w:sz w:val="20"/>
              </w:rPr>
              <w:t xml:space="preserve"> </w:t>
            </w:r>
          </w:p>
        </w:tc>
      </w:tr>
      <w:tr w:rsidR="00817E4C" w:rsidRPr="00DF1D1C" w14:paraId="5F0DC123" w14:textId="77777777" w:rsidTr="00EB6E6F">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1F2C69F0"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MCO Annual Report</w:t>
            </w:r>
          </w:p>
        </w:tc>
        <w:tc>
          <w:tcPr>
            <w:tcW w:w="1093" w:type="dxa"/>
            <w:tcBorders>
              <w:top w:val="nil"/>
              <w:left w:val="nil"/>
              <w:bottom w:val="single" w:sz="4" w:space="0" w:color="auto"/>
              <w:right w:val="single" w:sz="4" w:space="0" w:color="auto"/>
            </w:tcBorders>
            <w:shd w:val="clear" w:color="auto" w:fill="auto"/>
            <w:vAlign w:val="center"/>
          </w:tcPr>
          <w:p w14:paraId="05E8DD61"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518186C3"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711BCD57"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auto"/>
            <w:vAlign w:val="center"/>
          </w:tcPr>
          <w:p w14:paraId="52A16F07"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vAlign w:val="center"/>
          </w:tcPr>
          <w:p w14:paraId="162D3317" w14:textId="5E053F50"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On or before April 1</w:t>
            </w:r>
            <w:r w:rsidRPr="006051AC">
              <w:rPr>
                <w:rFonts w:asciiTheme="minorHAnsi" w:hAnsiTheme="minorHAnsi"/>
                <w:noProof w:val="0"/>
                <w:sz w:val="20"/>
                <w:vertAlign w:val="superscript"/>
              </w:rPr>
              <w:t>st</w:t>
            </w:r>
            <w:r w:rsidRPr="006051AC">
              <w:rPr>
                <w:rFonts w:asciiTheme="minorHAnsi" w:hAnsiTheme="minorHAnsi"/>
                <w:noProof w:val="0"/>
                <w:sz w:val="20"/>
              </w:rPr>
              <w:t xml:space="preserve"> </w:t>
            </w:r>
          </w:p>
        </w:tc>
      </w:tr>
      <w:tr w:rsidR="00817E4C" w:rsidRPr="00DF1D1C" w14:paraId="5B7D240A" w14:textId="77777777" w:rsidTr="006051AC">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2DB73601"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Organization Chart</w:t>
            </w:r>
          </w:p>
        </w:tc>
        <w:tc>
          <w:tcPr>
            <w:tcW w:w="1093" w:type="dxa"/>
            <w:tcBorders>
              <w:top w:val="nil"/>
              <w:left w:val="nil"/>
              <w:bottom w:val="single" w:sz="4" w:space="0" w:color="auto"/>
              <w:right w:val="single" w:sz="4" w:space="0" w:color="auto"/>
            </w:tcBorders>
            <w:shd w:val="clear" w:color="auto" w:fill="DEEAF6" w:themeFill="accent1" w:themeFillTint="33"/>
            <w:vAlign w:val="center"/>
          </w:tcPr>
          <w:p w14:paraId="689F997B"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DEEAF6" w:themeFill="accent1" w:themeFillTint="33"/>
            <w:vAlign w:val="center"/>
          </w:tcPr>
          <w:p w14:paraId="4DCFEAB6"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DEEAF6" w:themeFill="accent1" w:themeFillTint="33"/>
            <w:vAlign w:val="center"/>
          </w:tcPr>
          <w:p w14:paraId="3C6C1897"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DEEAF6" w:themeFill="accent1" w:themeFillTint="33"/>
            <w:vAlign w:val="center"/>
          </w:tcPr>
          <w:p w14:paraId="19F835D8"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DEEAF6" w:themeFill="accent1" w:themeFillTint="33"/>
            <w:vAlign w:val="center"/>
          </w:tcPr>
          <w:p w14:paraId="623662E7" w14:textId="0A5AD481"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On or before October 1</w:t>
            </w:r>
            <w:r w:rsidRPr="006051AC">
              <w:rPr>
                <w:rFonts w:asciiTheme="minorHAnsi" w:hAnsiTheme="minorHAnsi"/>
                <w:noProof w:val="0"/>
                <w:sz w:val="20"/>
                <w:vertAlign w:val="superscript"/>
              </w:rPr>
              <w:t>st</w:t>
            </w:r>
            <w:r w:rsidRPr="006051AC">
              <w:rPr>
                <w:rFonts w:asciiTheme="minorHAnsi" w:hAnsiTheme="minorHAnsi"/>
                <w:noProof w:val="0"/>
                <w:sz w:val="20"/>
              </w:rPr>
              <w:t xml:space="preserve"> </w:t>
            </w:r>
          </w:p>
        </w:tc>
      </w:tr>
      <w:tr w:rsidR="00817E4C" w:rsidRPr="00DF1D1C" w14:paraId="783F28EC" w14:textId="77777777" w:rsidTr="00EB6E6F">
        <w:trPr>
          <w:cantSplit/>
          <w:trHeight w:val="255"/>
          <w:jc w:val="center"/>
        </w:trPr>
        <w:tc>
          <w:tcPr>
            <w:tcW w:w="4405" w:type="dxa"/>
            <w:tcBorders>
              <w:top w:val="nil"/>
              <w:left w:val="single" w:sz="4" w:space="0" w:color="auto"/>
              <w:bottom w:val="single" w:sz="4" w:space="0" w:color="auto"/>
              <w:right w:val="single" w:sz="4" w:space="0" w:color="auto"/>
            </w:tcBorders>
            <w:shd w:val="clear" w:color="auto" w:fill="auto"/>
            <w:vAlign w:val="center"/>
          </w:tcPr>
          <w:p w14:paraId="6ADC7197"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Marketing Plan</w:t>
            </w:r>
          </w:p>
        </w:tc>
        <w:tc>
          <w:tcPr>
            <w:tcW w:w="1093" w:type="dxa"/>
            <w:tcBorders>
              <w:top w:val="nil"/>
              <w:left w:val="nil"/>
              <w:bottom w:val="single" w:sz="4" w:space="0" w:color="auto"/>
              <w:right w:val="single" w:sz="4" w:space="0" w:color="auto"/>
            </w:tcBorders>
            <w:shd w:val="clear" w:color="auto" w:fill="auto"/>
            <w:vAlign w:val="center"/>
          </w:tcPr>
          <w:p w14:paraId="25FEA585"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nil"/>
              <w:left w:val="nil"/>
              <w:bottom w:val="single" w:sz="4" w:space="0" w:color="auto"/>
              <w:right w:val="single" w:sz="4" w:space="0" w:color="auto"/>
            </w:tcBorders>
            <w:shd w:val="clear" w:color="auto" w:fill="auto"/>
            <w:vAlign w:val="center"/>
          </w:tcPr>
          <w:p w14:paraId="352095F1"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nil"/>
              <w:left w:val="nil"/>
              <w:bottom w:val="single" w:sz="4" w:space="0" w:color="auto"/>
              <w:right w:val="single" w:sz="4" w:space="0" w:color="auto"/>
            </w:tcBorders>
            <w:shd w:val="clear" w:color="auto" w:fill="auto"/>
            <w:vAlign w:val="center"/>
          </w:tcPr>
          <w:p w14:paraId="3E2501FD"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nil"/>
              <w:left w:val="nil"/>
              <w:bottom w:val="single" w:sz="4" w:space="0" w:color="auto"/>
              <w:right w:val="single" w:sz="4" w:space="0" w:color="auto"/>
            </w:tcBorders>
            <w:shd w:val="clear" w:color="auto" w:fill="auto"/>
            <w:vAlign w:val="center"/>
          </w:tcPr>
          <w:p w14:paraId="2CCA0CAB"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nil"/>
              <w:left w:val="nil"/>
              <w:bottom w:val="single" w:sz="4" w:space="0" w:color="auto"/>
              <w:right w:val="single" w:sz="4" w:space="0" w:color="auto"/>
            </w:tcBorders>
            <w:shd w:val="clear" w:color="auto" w:fill="auto"/>
            <w:vAlign w:val="center"/>
          </w:tcPr>
          <w:p w14:paraId="5E54DA14" w14:textId="599716AE"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On or before October 1</w:t>
            </w:r>
            <w:r w:rsidRPr="006051AC">
              <w:rPr>
                <w:rFonts w:asciiTheme="minorHAnsi" w:hAnsiTheme="minorHAnsi"/>
                <w:noProof w:val="0"/>
                <w:sz w:val="20"/>
                <w:vertAlign w:val="superscript"/>
              </w:rPr>
              <w:t>st</w:t>
            </w:r>
            <w:r w:rsidRPr="006051AC">
              <w:rPr>
                <w:rFonts w:asciiTheme="minorHAnsi" w:hAnsiTheme="minorHAnsi"/>
                <w:noProof w:val="0"/>
                <w:sz w:val="20"/>
              </w:rPr>
              <w:t xml:space="preserve"> </w:t>
            </w:r>
          </w:p>
        </w:tc>
      </w:tr>
      <w:tr w:rsidR="00817E4C" w:rsidRPr="00DF1D1C" w14:paraId="2CB18CDB" w14:textId="77777777" w:rsidTr="006051AC">
        <w:trPr>
          <w:cantSplit/>
          <w:trHeight w:val="255"/>
          <w:jc w:val="center"/>
        </w:trPr>
        <w:tc>
          <w:tcPr>
            <w:tcW w:w="440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A11E903"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Subcontractor Monitoring Plan</w:t>
            </w:r>
          </w:p>
        </w:tc>
        <w:tc>
          <w:tcPr>
            <w:tcW w:w="1093"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0C24D48F"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7BFB3BD3"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70331199" w14:textId="77777777" w:rsidR="00817E4C" w:rsidRPr="006051AC" w:rsidRDefault="00817E4C" w:rsidP="00257641">
            <w:pPr>
              <w:spacing w:before="40" w:after="40"/>
              <w:jc w:val="center"/>
              <w:rPr>
                <w:rFonts w:asciiTheme="minorHAnsi" w:hAnsiTheme="minorHAnsi"/>
                <w:b/>
                <w:noProof w:val="0"/>
                <w:sz w:val="20"/>
              </w:rPr>
            </w:pPr>
          </w:p>
        </w:tc>
        <w:tc>
          <w:tcPr>
            <w:tcW w:w="851"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723715D6"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4189"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464DAB4D" w14:textId="0B678D19"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Within ten (10) business days of BMS written request</w:t>
            </w:r>
          </w:p>
        </w:tc>
      </w:tr>
      <w:tr w:rsidR="00817E4C" w:rsidRPr="00DF1D1C" w:rsidDel="00A22961" w14:paraId="4E129C2A" w14:textId="77777777" w:rsidTr="00EB6E6F">
        <w:trPr>
          <w:cantSplit/>
          <w:trHeight w:val="255"/>
          <w:jc w:val="center"/>
        </w:trPr>
        <w:tc>
          <w:tcPr>
            <w:tcW w:w="4405" w:type="dxa"/>
            <w:tcBorders>
              <w:top w:val="single" w:sz="4" w:space="0" w:color="auto"/>
              <w:left w:val="single" w:sz="4" w:space="0" w:color="auto"/>
              <w:bottom w:val="single" w:sz="4" w:space="0" w:color="auto"/>
              <w:right w:val="single" w:sz="4" w:space="0" w:color="auto"/>
            </w:tcBorders>
            <w:shd w:val="clear" w:color="auto" w:fill="auto"/>
            <w:vAlign w:val="center"/>
          </w:tcPr>
          <w:p w14:paraId="327565E8" w14:textId="77777777" w:rsidR="00817E4C" w:rsidRPr="006051AC" w:rsidDel="00A22961" w:rsidRDefault="00817E4C" w:rsidP="00257641">
            <w:pPr>
              <w:spacing w:before="40" w:after="40"/>
              <w:rPr>
                <w:rFonts w:asciiTheme="minorHAnsi" w:hAnsiTheme="minorHAnsi"/>
                <w:noProof w:val="0"/>
                <w:sz w:val="20"/>
              </w:rPr>
            </w:pPr>
            <w:r w:rsidRPr="006051AC">
              <w:rPr>
                <w:rFonts w:asciiTheme="minorHAnsi" w:hAnsiTheme="minorHAnsi"/>
                <w:noProof w:val="0"/>
                <w:sz w:val="20"/>
              </w:rPr>
              <w:t>Data Accuracy and Completeness Plan</w:t>
            </w:r>
          </w:p>
        </w:tc>
        <w:tc>
          <w:tcPr>
            <w:tcW w:w="1093" w:type="dxa"/>
            <w:tcBorders>
              <w:top w:val="single" w:sz="4" w:space="0" w:color="auto"/>
              <w:left w:val="nil"/>
              <w:bottom w:val="single" w:sz="4" w:space="0" w:color="auto"/>
              <w:right w:val="single" w:sz="4" w:space="0" w:color="auto"/>
            </w:tcBorders>
            <w:shd w:val="clear" w:color="auto" w:fill="auto"/>
            <w:vAlign w:val="center"/>
          </w:tcPr>
          <w:p w14:paraId="5CD33F89" w14:textId="77777777" w:rsidR="00817E4C" w:rsidRPr="006051AC" w:rsidDel="00A22961" w:rsidRDefault="00817E4C" w:rsidP="00257641">
            <w:pPr>
              <w:spacing w:before="40" w:after="40"/>
              <w:jc w:val="center"/>
              <w:rPr>
                <w:rFonts w:asciiTheme="minorHAnsi" w:hAnsiTheme="minorHAnsi"/>
                <w:b/>
                <w:noProof w:val="0"/>
                <w:sz w:val="20"/>
              </w:rPr>
            </w:pPr>
          </w:p>
        </w:tc>
        <w:tc>
          <w:tcPr>
            <w:tcW w:w="1202" w:type="dxa"/>
            <w:tcBorders>
              <w:top w:val="single" w:sz="4" w:space="0" w:color="auto"/>
              <w:left w:val="nil"/>
              <w:bottom w:val="single" w:sz="4" w:space="0" w:color="auto"/>
              <w:right w:val="single" w:sz="4" w:space="0" w:color="auto"/>
            </w:tcBorders>
            <w:shd w:val="clear" w:color="auto" w:fill="auto"/>
            <w:vAlign w:val="center"/>
          </w:tcPr>
          <w:p w14:paraId="2F3944D6" w14:textId="77777777" w:rsidR="00817E4C" w:rsidRPr="006051AC" w:rsidDel="00A22961" w:rsidRDefault="00817E4C" w:rsidP="00257641">
            <w:pPr>
              <w:spacing w:before="40" w:after="40"/>
              <w:jc w:val="center"/>
              <w:rPr>
                <w:rFonts w:asciiTheme="minorHAnsi" w:hAnsiTheme="minorHAnsi"/>
                <w:b/>
                <w:noProof w:val="0"/>
                <w:sz w:val="20"/>
              </w:rPr>
            </w:pPr>
          </w:p>
        </w:tc>
        <w:tc>
          <w:tcPr>
            <w:tcW w:w="1125" w:type="dxa"/>
            <w:tcBorders>
              <w:top w:val="single" w:sz="4" w:space="0" w:color="auto"/>
              <w:left w:val="nil"/>
              <w:bottom w:val="single" w:sz="4" w:space="0" w:color="auto"/>
              <w:right w:val="single" w:sz="4" w:space="0" w:color="auto"/>
            </w:tcBorders>
            <w:shd w:val="clear" w:color="auto" w:fill="auto"/>
            <w:vAlign w:val="center"/>
          </w:tcPr>
          <w:p w14:paraId="431285F5" w14:textId="77777777" w:rsidR="00817E4C" w:rsidRPr="006051AC" w:rsidDel="00A22961"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single" w:sz="4" w:space="0" w:color="auto"/>
              <w:left w:val="nil"/>
              <w:bottom w:val="single" w:sz="4" w:space="0" w:color="auto"/>
              <w:right w:val="single" w:sz="4" w:space="0" w:color="auto"/>
            </w:tcBorders>
            <w:shd w:val="clear" w:color="auto" w:fill="auto"/>
            <w:vAlign w:val="center"/>
          </w:tcPr>
          <w:p w14:paraId="38A9D508" w14:textId="77777777" w:rsidR="00817E4C" w:rsidRPr="006051AC" w:rsidDel="00A22961" w:rsidRDefault="00817E4C" w:rsidP="00257641">
            <w:pPr>
              <w:spacing w:before="40" w:after="40"/>
              <w:jc w:val="center"/>
              <w:rPr>
                <w:rFonts w:asciiTheme="minorHAnsi" w:hAnsiTheme="minorHAnsi"/>
                <w:b/>
                <w:noProof w:val="0"/>
                <w:sz w:val="20"/>
              </w:rPr>
            </w:pPr>
          </w:p>
        </w:tc>
        <w:tc>
          <w:tcPr>
            <w:tcW w:w="4189" w:type="dxa"/>
            <w:tcBorders>
              <w:top w:val="single" w:sz="4" w:space="0" w:color="auto"/>
              <w:left w:val="nil"/>
              <w:bottom w:val="single" w:sz="4" w:space="0" w:color="auto"/>
              <w:right w:val="single" w:sz="4" w:space="0" w:color="auto"/>
            </w:tcBorders>
            <w:shd w:val="clear" w:color="auto" w:fill="auto"/>
            <w:vAlign w:val="center"/>
          </w:tcPr>
          <w:p w14:paraId="665E6341" w14:textId="1E9CAD49" w:rsidR="00817E4C" w:rsidRPr="006051AC" w:rsidDel="00A22961" w:rsidRDefault="00817E4C" w:rsidP="00257641">
            <w:pPr>
              <w:spacing w:before="40" w:after="40"/>
              <w:rPr>
                <w:rFonts w:asciiTheme="minorHAnsi" w:hAnsiTheme="minorHAnsi"/>
                <w:noProof w:val="0"/>
                <w:sz w:val="20"/>
              </w:rPr>
            </w:pPr>
            <w:r w:rsidRPr="006051AC">
              <w:rPr>
                <w:rFonts w:asciiTheme="minorHAnsi" w:hAnsiTheme="minorHAnsi"/>
                <w:noProof w:val="0"/>
                <w:sz w:val="20"/>
              </w:rPr>
              <w:t>On or before October 1</w:t>
            </w:r>
            <w:r w:rsidRPr="006051AC">
              <w:rPr>
                <w:rFonts w:asciiTheme="minorHAnsi" w:hAnsiTheme="minorHAnsi"/>
                <w:noProof w:val="0"/>
                <w:sz w:val="20"/>
                <w:vertAlign w:val="superscript"/>
              </w:rPr>
              <w:t>st</w:t>
            </w:r>
            <w:r w:rsidRPr="006051AC">
              <w:rPr>
                <w:rFonts w:asciiTheme="minorHAnsi" w:hAnsiTheme="minorHAnsi"/>
                <w:noProof w:val="0"/>
                <w:sz w:val="20"/>
              </w:rPr>
              <w:t xml:space="preserve"> </w:t>
            </w:r>
          </w:p>
        </w:tc>
      </w:tr>
      <w:tr w:rsidR="00817E4C" w:rsidRPr="00DF1D1C" w14:paraId="71A325B8" w14:textId="77777777" w:rsidTr="006051AC">
        <w:trPr>
          <w:cantSplit/>
          <w:trHeight w:val="255"/>
          <w:jc w:val="center"/>
        </w:trPr>
        <w:tc>
          <w:tcPr>
            <w:tcW w:w="440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AFDD225" w14:textId="03669A02" w:rsidR="00817E4C" w:rsidRPr="006051AC" w:rsidRDefault="00F136F9" w:rsidP="00257641">
            <w:pPr>
              <w:spacing w:before="40" w:after="40"/>
              <w:rPr>
                <w:rFonts w:asciiTheme="minorHAnsi" w:hAnsiTheme="minorHAnsi"/>
                <w:noProof w:val="0"/>
                <w:sz w:val="20"/>
              </w:rPr>
            </w:pPr>
            <w:r w:rsidRPr="006051AC">
              <w:rPr>
                <w:rFonts w:asciiTheme="minorHAnsi" w:hAnsiTheme="minorHAnsi"/>
                <w:noProof w:val="0"/>
                <w:sz w:val="20"/>
              </w:rPr>
              <w:t xml:space="preserve">Activities Summary, </w:t>
            </w:r>
            <w:r w:rsidR="00817E4C" w:rsidRPr="006051AC">
              <w:rPr>
                <w:rFonts w:asciiTheme="minorHAnsi" w:hAnsiTheme="minorHAnsi"/>
                <w:noProof w:val="0"/>
                <w:sz w:val="20"/>
              </w:rPr>
              <w:t xml:space="preserve">Analyses and Results of Provider/Beneficiary Utilization to Detect </w:t>
            </w:r>
            <w:r w:rsidRPr="006051AC">
              <w:rPr>
                <w:rFonts w:asciiTheme="minorHAnsi" w:hAnsiTheme="minorHAnsi"/>
                <w:noProof w:val="0"/>
                <w:sz w:val="20"/>
              </w:rPr>
              <w:t>FWA</w:t>
            </w:r>
          </w:p>
        </w:tc>
        <w:tc>
          <w:tcPr>
            <w:tcW w:w="1093"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3673BBF2"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0FDF8FA"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7A453BED"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4D18DA46"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4D7A8DEA" w14:textId="7BB07BA5"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On or before June 15</w:t>
            </w:r>
            <w:r w:rsidRPr="006051AC">
              <w:rPr>
                <w:rFonts w:asciiTheme="minorHAnsi" w:hAnsiTheme="minorHAnsi"/>
                <w:noProof w:val="0"/>
                <w:sz w:val="20"/>
                <w:vertAlign w:val="superscript"/>
              </w:rPr>
              <w:t>th</w:t>
            </w:r>
            <w:r w:rsidRPr="006051AC">
              <w:rPr>
                <w:rFonts w:asciiTheme="minorHAnsi" w:hAnsiTheme="minorHAnsi"/>
                <w:noProof w:val="0"/>
                <w:sz w:val="20"/>
              </w:rPr>
              <w:t xml:space="preserve"> </w:t>
            </w:r>
          </w:p>
        </w:tc>
      </w:tr>
      <w:tr w:rsidR="00817E4C" w:rsidRPr="00DF1D1C" w14:paraId="4ED03B44" w14:textId="77777777" w:rsidTr="00EB6E6F">
        <w:trPr>
          <w:cantSplit/>
          <w:trHeight w:val="255"/>
          <w:jc w:val="center"/>
        </w:trPr>
        <w:tc>
          <w:tcPr>
            <w:tcW w:w="4405" w:type="dxa"/>
            <w:tcBorders>
              <w:top w:val="single" w:sz="4" w:space="0" w:color="auto"/>
              <w:left w:val="single" w:sz="4" w:space="0" w:color="auto"/>
              <w:bottom w:val="single" w:sz="4" w:space="0" w:color="auto"/>
              <w:right w:val="single" w:sz="4" w:space="0" w:color="auto"/>
            </w:tcBorders>
            <w:shd w:val="clear" w:color="auto" w:fill="auto"/>
            <w:vAlign w:val="center"/>
          </w:tcPr>
          <w:p w14:paraId="1AEAEA46"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HB 4217 Report</w:t>
            </w:r>
          </w:p>
        </w:tc>
        <w:tc>
          <w:tcPr>
            <w:tcW w:w="1093" w:type="dxa"/>
            <w:tcBorders>
              <w:top w:val="single" w:sz="4" w:space="0" w:color="auto"/>
              <w:left w:val="nil"/>
              <w:bottom w:val="single" w:sz="4" w:space="0" w:color="auto"/>
              <w:right w:val="single" w:sz="4" w:space="0" w:color="auto"/>
            </w:tcBorders>
            <w:shd w:val="clear" w:color="auto" w:fill="auto"/>
            <w:vAlign w:val="center"/>
          </w:tcPr>
          <w:p w14:paraId="412A3E98"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single" w:sz="4" w:space="0" w:color="auto"/>
              <w:left w:val="nil"/>
              <w:bottom w:val="single" w:sz="4" w:space="0" w:color="auto"/>
              <w:right w:val="single" w:sz="4" w:space="0" w:color="auto"/>
            </w:tcBorders>
            <w:shd w:val="clear" w:color="auto" w:fill="auto"/>
            <w:vAlign w:val="center"/>
          </w:tcPr>
          <w:p w14:paraId="0CB02BC8"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single" w:sz="4" w:space="0" w:color="auto"/>
              <w:left w:val="nil"/>
              <w:bottom w:val="single" w:sz="4" w:space="0" w:color="auto"/>
              <w:right w:val="single" w:sz="4" w:space="0" w:color="auto"/>
            </w:tcBorders>
            <w:shd w:val="clear" w:color="auto" w:fill="auto"/>
            <w:vAlign w:val="center"/>
          </w:tcPr>
          <w:p w14:paraId="5D8C53F9"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single" w:sz="4" w:space="0" w:color="auto"/>
              <w:left w:val="nil"/>
              <w:bottom w:val="single" w:sz="4" w:space="0" w:color="auto"/>
              <w:right w:val="single" w:sz="4" w:space="0" w:color="auto"/>
            </w:tcBorders>
            <w:shd w:val="clear" w:color="auto" w:fill="auto"/>
            <w:vAlign w:val="center"/>
          </w:tcPr>
          <w:p w14:paraId="6B7E59C3"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single" w:sz="4" w:space="0" w:color="auto"/>
              <w:left w:val="nil"/>
              <w:bottom w:val="single" w:sz="4" w:space="0" w:color="auto"/>
              <w:right w:val="single" w:sz="4" w:space="0" w:color="auto"/>
            </w:tcBorders>
            <w:shd w:val="clear" w:color="auto" w:fill="auto"/>
            <w:vAlign w:val="center"/>
          </w:tcPr>
          <w:p w14:paraId="694673AA"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On March 30</w:t>
            </w:r>
            <w:r w:rsidRPr="006051AC">
              <w:rPr>
                <w:rFonts w:asciiTheme="minorHAnsi" w:hAnsiTheme="minorHAnsi"/>
                <w:noProof w:val="0"/>
                <w:sz w:val="20"/>
                <w:vertAlign w:val="superscript"/>
              </w:rPr>
              <w:t>th</w:t>
            </w:r>
            <w:r w:rsidRPr="006051AC">
              <w:rPr>
                <w:rFonts w:asciiTheme="minorHAnsi" w:hAnsiTheme="minorHAnsi"/>
                <w:noProof w:val="0"/>
                <w:sz w:val="20"/>
              </w:rPr>
              <w:t xml:space="preserve"> of each year </w:t>
            </w:r>
          </w:p>
        </w:tc>
      </w:tr>
      <w:tr w:rsidR="00817E4C" w:rsidRPr="00DF1D1C" w14:paraId="2D6FD52C" w14:textId="77777777" w:rsidTr="006051AC">
        <w:trPr>
          <w:cantSplit/>
          <w:trHeight w:val="255"/>
          <w:jc w:val="center"/>
        </w:trPr>
        <w:tc>
          <w:tcPr>
            <w:tcW w:w="440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57E78DF" w14:textId="77777777"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Alternative Payment Model Report</w:t>
            </w:r>
          </w:p>
        </w:tc>
        <w:tc>
          <w:tcPr>
            <w:tcW w:w="1093"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7FEFBC54" w14:textId="77777777" w:rsidR="00817E4C" w:rsidRPr="006051AC" w:rsidRDefault="00817E4C" w:rsidP="00257641">
            <w:pPr>
              <w:spacing w:before="40" w:after="40"/>
              <w:jc w:val="center"/>
              <w:rPr>
                <w:rFonts w:asciiTheme="minorHAnsi" w:hAnsiTheme="minorHAnsi"/>
                <w:b/>
                <w:noProof w:val="0"/>
                <w:sz w:val="20"/>
              </w:rPr>
            </w:pPr>
          </w:p>
        </w:tc>
        <w:tc>
          <w:tcPr>
            <w:tcW w:w="120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2B18E0FF" w14:textId="77777777" w:rsidR="00817E4C" w:rsidRPr="006051AC" w:rsidRDefault="00817E4C" w:rsidP="00257641">
            <w:pPr>
              <w:spacing w:before="40" w:after="40"/>
              <w:jc w:val="center"/>
              <w:rPr>
                <w:rFonts w:asciiTheme="minorHAnsi" w:hAnsiTheme="minorHAnsi"/>
                <w:b/>
                <w:noProof w:val="0"/>
                <w:sz w:val="20"/>
              </w:rPr>
            </w:pPr>
          </w:p>
        </w:tc>
        <w:tc>
          <w:tcPr>
            <w:tcW w:w="1125"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747C617D" w14:textId="77777777" w:rsidR="00817E4C" w:rsidRPr="006051AC" w:rsidRDefault="00817E4C"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62B4E3DB" w14:textId="77777777" w:rsidR="00817E4C" w:rsidRPr="006051AC" w:rsidRDefault="00817E4C" w:rsidP="00257641">
            <w:pPr>
              <w:spacing w:before="40" w:after="40"/>
              <w:jc w:val="center"/>
              <w:rPr>
                <w:rFonts w:asciiTheme="minorHAnsi" w:hAnsiTheme="minorHAnsi"/>
                <w:b/>
                <w:noProof w:val="0"/>
                <w:sz w:val="20"/>
              </w:rPr>
            </w:pPr>
          </w:p>
        </w:tc>
        <w:tc>
          <w:tcPr>
            <w:tcW w:w="4189"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509634AE" w14:textId="3C8456A3" w:rsidR="00817E4C" w:rsidRPr="006051AC" w:rsidRDefault="00817E4C" w:rsidP="00257641">
            <w:pPr>
              <w:spacing w:before="40" w:after="40"/>
              <w:rPr>
                <w:rFonts w:asciiTheme="minorHAnsi" w:hAnsiTheme="minorHAnsi"/>
                <w:noProof w:val="0"/>
                <w:sz w:val="20"/>
              </w:rPr>
            </w:pPr>
            <w:r w:rsidRPr="006051AC">
              <w:rPr>
                <w:rFonts w:asciiTheme="minorHAnsi" w:hAnsiTheme="minorHAnsi"/>
                <w:noProof w:val="0"/>
                <w:sz w:val="20"/>
              </w:rPr>
              <w:t>August 15</w:t>
            </w:r>
            <w:r w:rsidRPr="006051AC">
              <w:rPr>
                <w:rFonts w:asciiTheme="minorHAnsi" w:hAnsiTheme="minorHAnsi"/>
                <w:noProof w:val="0"/>
                <w:sz w:val="20"/>
                <w:vertAlign w:val="superscript"/>
              </w:rPr>
              <w:t>th</w:t>
            </w:r>
            <w:r w:rsidRPr="006051AC">
              <w:rPr>
                <w:rFonts w:asciiTheme="minorHAnsi" w:hAnsiTheme="minorHAnsi"/>
                <w:noProof w:val="0"/>
                <w:sz w:val="20"/>
              </w:rPr>
              <w:t xml:space="preserve"> </w:t>
            </w:r>
          </w:p>
        </w:tc>
      </w:tr>
      <w:tr w:rsidR="001F7927" w:rsidRPr="00DF1D1C" w14:paraId="548CA463" w14:textId="77777777" w:rsidTr="00EB6E6F">
        <w:trPr>
          <w:cantSplit/>
          <w:trHeight w:val="255"/>
          <w:jc w:val="center"/>
        </w:trPr>
        <w:tc>
          <w:tcPr>
            <w:tcW w:w="4405" w:type="dxa"/>
            <w:tcBorders>
              <w:top w:val="single" w:sz="4" w:space="0" w:color="auto"/>
              <w:left w:val="single" w:sz="4" w:space="0" w:color="auto"/>
              <w:bottom w:val="single" w:sz="4" w:space="0" w:color="auto"/>
              <w:right w:val="single" w:sz="4" w:space="0" w:color="auto"/>
            </w:tcBorders>
            <w:shd w:val="clear" w:color="auto" w:fill="auto"/>
            <w:vAlign w:val="center"/>
          </w:tcPr>
          <w:p w14:paraId="4B2A9103" w14:textId="122EEC10" w:rsidR="001F7927" w:rsidRPr="006051AC" w:rsidRDefault="00C159FF" w:rsidP="00257641">
            <w:pPr>
              <w:spacing w:before="40" w:after="40"/>
              <w:rPr>
                <w:rFonts w:asciiTheme="minorHAnsi" w:hAnsiTheme="minorHAnsi"/>
                <w:noProof w:val="0"/>
                <w:sz w:val="20"/>
              </w:rPr>
            </w:pPr>
            <w:r w:rsidRPr="006051AC">
              <w:rPr>
                <w:rFonts w:asciiTheme="minorHAnsi" w:hAnsiTheme="minorHAnsi"/>
                <w:noProof w:val="0"/>
                <w:sz w:val="20"/>
              </w:rPr>
              <w:lastRenderedPageBreak/>
              <w:t>FWA</w:t>
            </w:r>
            <w:r w:rsidR="001F7927" w:rsidRPr="006051AC">
              <w:rPr>
                <w:rFonts w:asciiTheme="minorHAnsi" w:hAnsiTheme="minorHAnsi"/>
                <w:noProof w:val="0"/>
                <w:sz w:val="20"/>
              </w:rPr>
              <w:t xml:space="preserve"> Reporting</w:t>
            </w:r>
          </w:p>
        </w:tc>
        <w:tc>
          <w:tcPr>
            <w:tcW w:w="1093" w:type="dxa"/>
            <w:tcBorders>
              <w:top w:val="single" w:sz="4" w:space="0" w:color="auto"/>
              <w:left w:val="nil"/>
              <w:bottom w:val="single" w:sz="4" w:space="0" w:color="auto"/>
              <w:right w:val="single" w:sz="4" w:space="0" w:color="auto"/>
            </w:tcBorders>
            <w:shd w:val="clear" w:color="auto" w:fill="auto"/>
            <w:vAlign w:val="center"/>
          </w:tcPr>
          <w:p w14:paraId="3B09F37C" w14:textId="1DF2E21C" w:rsidR="001F7927" w:rsidRPr="006051AC" w:rsidRDefault="00C159FF"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202" w:type="dxa"/>
            <w:tcBorders>
              <w:top w:val="single" w:sz="4" w:space="0" w:color="auto"/>
              <w:left w:val="nil"/>
              <w:bottom w:val="single" w:sz="4" w:space="0" w:color="auto"/>
              <w:right w:val="single" w:sz="4" w:space="0" w:color="auto"/>
            </w:tcBorders>
            <w:shd w:val="clear" w:color="auto" w:fill="auto"/>
            <w:vAlign w:val="center"/>
          </w:tcPr>
          <w:p w14:paraId="07CEBC42" w14:textId="2D22D12B" w:rsidR="001F7927" w:rsidRPr="006051AC" w:rsidRDefault="001F7927" w:rsidP="00257641">
            <w:pPr>
              <w:spacing w:before="40" w:after="40"/>
              <w:jc w:val="center"/>
              <w:rPr>
                <w:rFonts w:asciiTheme="minorHAnsi" w:hAnsiTheme="minorHAnsi"/>
                <w:b/>
                <w:noProof w:val="0"/>
                <w:sz w:val="20"/>
              </w:rPr>
            </w:pPr>
          </w:p>
        </w:tc>
        <w:tc>
          <w:tcPr>
            <w:tcW w:w="1125" w:type="dxa"/>
            <w:tcBorders>
              <w:top w:val="single" w:sz="4" w:space="0" w:color="auto"/>
              <w:left w:val="nil"/>
              <w:bottom w:val="single" w:sz="4" w:space="0" w:color="auto"/>
              <w:right w:val="single" w:sz="4" w:space="0" w:color="auto"/>
            </w:tcBorders>
            <w:shd w:val="clear" w:color="auto" w:fill="auto"/>
            <w:vAlign w:val="center"/>
          </w:tcPr>
          <w:p w14:paraId="2118EC25" w14:textId="77777777" w:rsidR="001F7927" w:rsidRPr="006051AC" w:rsidRDefault="001F7927" w:rsidP="00257641">
            <w:pPr>
              <w:spacing w:before="40" w:after="40"/>
              <w:jc w:val="center"/>
              <w:rPr>
                <w:rFonts w:asciiTheme="minorHAnsi" w:hAnsiTheme="minorHAnsi"/>
                <w:b/>
                <w:noProof w:val="0"/>
                <w:sz w:val="20"/>
              </w:rPr>
            </w:pPr>
          </w:p>
        </w:tc>
        <w:tc>
          <w:tcPr>
            <w:tcW w:w="851" w:type="dxa"/>
            <w:tcBorders>
              <w:top w:val="single" w:sz="4" w:space="0" w:color="auto"/>
              <w:left w:val="nil"/>
              <w:bottom w:val="single" w:sz="4" w:space="0" w:color="auto"/>
              <w:right w:val="single" w:sz="4" w:space="0" w:color="auto"/>
            </w:tcBorders>
            <w:shd w:val="clear" w:color="auto" w:fill="auto"/>
            <w:vAlign w:val="center"/>
          </w:tcPr>
          <w:p w14:paraId="54281BCF" w14:textId="77777777" w:rsidR="001F7927" w:rsidRPr="006051AC" w:rsidRDefault="001F7927" w:rsidP="00257641">
            <w:pPr>
              <w:spacing w:before="40" w:after="40"/>
              <w:jc w:val="center"/>
              <w:rPr>
                <w:rFonts w:asciiTheme="minorHAnsi" w:hAnsiTheme="minorHAnsi"/>
                <w:b/>
                <w:noProof w:val="0"/>
                <w:sz w:val="20"/>
              </w:rPr>
            </w:pPr>
          </w:p>
        </w:tc>
        <w:tc>
          <w:tcPr>
            <w:tcW w:w="4189" w:type="dxa"/>
            <w:tcBorders>
              <w:top w:val="single" w:sz="4" w:space="0" w:color="auto"/>
              <w:left w:val="nil"/>
              <w:bottom w:val="single" w:sz="4" w:space="0" w:color="auto"/>
              <w:right w:val="single" w:sz="4" w:space="0" w:color="auto"/>
            </w:tcBorders>
            <w:shd w:val="clear" w:color="auto" w:fill="auto"/>
            <w:vAlign w:val="center"/>
          </w:tcPr>
          <w:p w14:paraId="21BFC245" w14:textId="2BBF30AB" w:rsidR="001F7927" w:rsidRPr="006051AC" w:rsidRDefault="00C159FF" w:rsidP="00257641">
            <w:pPr>
              <w:spacing w:before="40" w:after="40"/>
              <w:rPr>
                <w:rFonts w:asciiTheme="minorHAnsi" w:hAnsiTheme="minorHAnsi"/>
                <w:noProof w:val="0"/>
                <w:sz w:val="20"/>
              </w:rPr>
            </w:pPr>
            <w:r w:rsidRPr="006051AC">
              <w:rPr>
                <w:rFonts w:asciiTheme="minorHAnsi" w:hAnsiTheme="minorHAnsi"/>
                <w:noProof w:val="0"/>
                <w:sz w:val="20"/>
              </w:rPr>
              <w:t>By the 15</w:t>
            </w:r>
            <w:r w:rsidRPr="006051AC">
              <w:rPr>
                <w:rFonts w:asciiTheme="minorHAnsi" w:hAnsiTheme="minorHAnsi"/>
                <w:noProof w:val="0"/>
                <w:sz w:val="20"/>
                <w:vertAlign w:val="superscript"/>
              </w:rPr>
              <w:t>th</w:t>
            </w:r>
            <w:r w:rsidRPr="006051AC">
              <w:rPr>
                <w:rFonts w:asciiTheme="minorHAnsi" w:hAnsiTheme="minorHAnsi"/>
                <w:noProof w:val="0"/>
                <w:sz w:val="20"/>
              </w:rPr>
              <w:t xml:space="preserve"> of the following month</w:t>
            </w:r>
          </w:p>
        </w:tc>
      </w:tr>
      <w:tr w:rsidR="001F7927" w:rsidRPr="00DF1D1C" w14:paraId="6BEA3542" w14:textId="77777777" w:rsidTr="006051AC">
        <w:trPr>
          <w:cantSplit/>
          <w:trHeight w:val="255"/>
          <w:jc w:val="center"/>
        </w:trPr>
        <w:tc>
          <w:tcPr>
            <w:tcW w:w="440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1029BCB" w14:textId="06B5A5B9" w:rsidR="001F7927" w:rsidRPr="006051AC" w:rsidRDefault="001F7927" w:rsidP="00257641">
            <w:pPr>
              <w:spacing w:before="40" w:after="40"/>
              <w:rPr>
                <w:rFonts w:asciiTheme="minorHAnsi" w:hAnsiTheme="minorHAnsi"/>
                <w:noProof w:val="0"/>
                <w:sz w:val="20"/>
              </w:rPr>
            </w:pPr>
            <w:r w:rsidRPr="006051AC">
              <w:rPr>
                <w:rFonts w:asciiTheme="minorHAnsi" w:hAnsiTheme="minorHAnsi"/>
                <w:noProof w:val="0"/>
                <w:sz w:val="20"/>
              </w:rPr>
              <w:t>Disclosure of Ownership Reporting</w:t>
            </w:r>
          </w:p>
        </w:tc>
        <w:tc>
          <w:tcPr>
            <w:tcW w:w="1093"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7C1F8D63" w14:textId="77777777" w:rsidR="001F7927" w:rsidRPr="006051AC" w:rsidRDefault="001F7927" w:rsidP="00257641">
            <w:pPr>
              <w:spacing w:before="40" w:after="40"/>
              <w:jc w:val="center"/>
              <w:rPr>
                <w:rFonts w:asciiTheme="minorHAnsi" w:hAnsiTheme="minorHAnsi"/>
                <w:b/>
                <w:noProof w:val="0"/>
                <w:sz w:val="20"/>
              </w:rPr>
            </w:pPr>
          </w:p>
        </w:tc>
        <w:tc>
          <w:tcPr>
            <w:tcW w:w="120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61801C94" w14:textId="77777777" w:rsidR="001F7927" w:rsidRPr="006051AC" w:rsidRDefault="001F7927" w:rsidP="00257641">
            <w:pPr>
              <w:spacing w:before="40" w:after="40"/>
              <w:jc w:val="center"/>
              <w:rPr>
                <w:rFonts w:asciiTheme="minorHAnsi" w:hAnsiTheme="minorHAnsi"/>
                <w:b/>
                <w:noProof w:val="0"/>
                <w:sz w:val="20"/>
              </w:rPr>
            </w:pPr>
          </w:p>
        </w:tc>
        <w:tc>
          <w:tcPr>
            <w:tcW w:w="1125"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0AD53F4C" w14:textId="4626AAE7" w:rsidR="001F7927" w:rsidRPr="006051AC" w:rsidRDefault="001F7927"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31E9FECF" w14:textId="344337A4" w:rsidR="001F7927" w:rsidRPr="006051AC" w:rsidRDefault="001F7927"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4189"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6AA89E0D" w14:textId="77777777" w:rsidR="00C159FF" w:rsidRPr="006051AC" w:rsidRDefault="00C159FF" w:rsidP="00257641">
            <w:pPr>
              <w:pStyle w:val="ListParagraph"/>
              <w:numPr>
                <w:ilvl w:val="0"/>
                <w:numId w:val="964"/>
              </w:numPr>
              <w:spacing w:before="40" w:after="40" w:line="240" w:lineRule="auto"/>
              <w:ind w:left="206" w:hanging="206"/>
              <w:rPr>
                <w:rFonts w:asciiTheme="minorHAnsi" w:hAnsiTheme="minorHAnsi"/>
                <w:sz w:val="20"/>
                <w:szCs w:val="20"/>
              </w:rPr>
            </w:pPr>
            <w:r w:rsidRPr="006051AC">
              <w:rPr>
                <w:rFonts w:asciiTheme="minorHAnsi" w:hAnsiTheme="minorHAnsi"/>
                <w:sz w:val="20"/>
                <w:szCs w:val="20"/>
              </w:rPr>
              <w:t>Annually, on or before July 1</w:t>
            </w:r>
            <w:r w:rsidRPr="006051AC">
              <w:rPr>
                <w:rFonts w:asciiTheme="minorHAnsi" w:hAnsiTheme="minorHAnsi"/>
                <w:sz w:val="20"/>
                <w:szCs w:val="20"/>
                <w:vertAlign w:val="superscript"/>
              </w:rPr>
              <w:t>st</w:t>
            </w:r>
            <w:r w:rsidRPr="006051AC">
              <w:rPr>
                <w:rFonts w:asciiTheme="minorHAnsi" w:hAnsiTheme="minorHAnsi"/>
                <w:sz w:val="20"/>
                <w:szCs w:val="20"/>
              </w:rPr>
              <w:t>;</w:t>
            </w:r>
          </w:p>
          <w:p w14:paraId="049A47EB" w14:textId="77777777" w:rsidR="00C159FF" w:rsidRPr="006051AC" w:rsidRDefault="00C159FF" w:rsidP="00257641">
            <w:pPr>
              <w:pStyle w:val="ListParagraph"/>
              <w:numPr>
                <w:ilvl w:val="0"/>
                <w:numId w:val="964"/>
              </w:numPr>
              <w:spacing w:before="40" w:after="40" w:line="240" w:lineRule="auto"/>
              <w:ind w:left="206" w:hanging="206"/>
              <w:rPr>
                <w:rFonts w:asciiTheme="minorHAnsi" w:hAnsiTheme="minorHAnsi"/>
                <w:sz w:val="20"/>
                <w:szCs w:val="20"/>
              </w:rPr>
            </w:pPr>
            <w:r w:rsidRPr="006051AC">
              <w:rPr>
                <w:rFonts w:asciiTheme="minorHAnsi" w:hAnsiTheme="minorHAnsi"/>
                <w:sz w:val="20"/>
                <w:szCs w:val="20"/>
              </w:rPr>
              <w:t>Upon request, within thirty-five (35) calendar days; or</w:t>
            </w:r>
          </w:p>
          <w:p w14:paraId="78E10783" w14:textId="60BAE5FD" w:rsidR="001F7927" w:rsidRPr="006051AC" w:rsidRDefault="00C159FF" w:rsidP="00257641">
            <w:pPr>
              <w:pStyle w:val="ListParagraph"/>
              <w:numPr>
                <w:ilvl w:val="0"/>
                <w:numId w:val="964"/>
              </w:numPr>
              <w:spacing w:before="40" w:after="40" w:line="240" w:lineRule="auto"/>
              <w:ind w:left="206" w:hanging="206"/>
              <w:rPr>
                <w:rFonts w:asciiTheme="minorHAnsi" w:hAnsiTheme="minorHAnsi"/>
                <w:sz w:val="20"/>
                <w:szCs w:val="20"/>
              </w:rPr>
            </w:pPr>
            <w:r w:rsidRPr="006051AC">
              <w:rPr>
                <w:rFonts w:asciiTheme="minorHAnsi" w:hAnsiTheme="minorHAnsi"/>
                <w:sz w:val="20"/>
                <w:szCs w:val="20"/>
              </w:rPr>
              <w:t>Upon change in ownership, within thirty-five (35) calendar days</w:t>
            </w:r>
          </w:p>
        </w:tc>
      </w:tr>
      <w:tr w:rsidR="001F7927" w:rsidRPr="00DF1D1C" w14:paraId="157045EA" w14:textId="77777777" w:rsidTr="00EB6E6F">
        <w:trPr>
          <w:cantSplit/>
          <w:trHeight w:val="255"/>
          <w:jc w:val="center"/>
        </w:trPr>
        <w:tc>
          <w:tcPr>
            <w:tcW w:w="4405" w:type="dxa"/>
            <w:tcBorders>
              <w:top w:val="single" w:sz="4" w:space="0" w:color="auto"/>
              <w:left w:val="single" w:sz="4" w:space="0" w:color="auto"/>
              <w:bottom w:val="single" w:sz="4" w:space="0" w:color="auto"/>
              <w:right w:val="single" w:sz="4" w:space="0" w:color="auto"/>
            </w:tcBorders>
            <w:shd w:val="clear" w:color="auto" w:fill="auto"/>
            <w:vAlign w:val="center"/>
          </w:tcPr>
          <w:p w14:paraId="1AD610C0" w14:textId="7D15FAE4" w:rsidR="001F7927" w:rsidRPr="006051AC" w:rsidRDefault="00C159FF" w:rsidP="00257641">
            <w:pPr>
              <w:spacing w:before="40" w:after="40"/>
              <w:rPr>
                <w:rFonts w:asciiTheme="minorHAnsi" w:hAnsiTheme="minorHAnsi"/>
                <w:noProof w:val="0"/>
                <w:sz w:val="20"/>
              </w:rPr>
            </w:pPr>
            <w:r w:rsidRPr="006051AC">
              <w:rPr>
                <w:rFonts w:asciiTheme="minorHAnsi" w:hAnsiTheme="minorHAnsi"/>
                <w:noProof w:val="0"/>
                <w:sz w:val="20"/>
              </w:rPr>
              <w:t>FWA Internal</w:t>
            </w:r>
            <w:r w:rsidR="001F7927" w:rsidRPr="006051AC">
              <w:rPr>
                <w:rFonts w:asciiTheme="minorHAnsi" w:hAnsiTheme="minorHAnsi"/>
                <w:noProof w:val="0"/>
                <w:sz w:val="20"/>
              </w:rPr>
              <w:t xml:space="preserve"> Compliance Plan</w:t>
            </w:r>
          </w:p>
        </w:tc>
        <w:tc>
          <w:tcPr>
            <w:tcW w:w="1093" w:type="dxa"/>
            <w:tcBorders>
              <w:top w:val="single" w:sz="4" w:space="0" w:color="auto"/>
              <w:left w:val="nil"/>
              <w:bottom w:val="single" w:sz="4" w:space="0" w:color="auto"/>
              <w:right w:val="single" w:sz="4" w:space="0" w:color="auto"/>
            </w:tcBorders>
            <w:shd w:val="clear" w:color="auto" w:fill="auto"/>
            <w:vAlign w:val="center"/>
          </w:tcPr>
          <w:p w14:paraId="214D52AB" w14:textId="77777777" w:rsidR="001F7927" w:rsidRPr="006051AC" w:rsidRDefault="001F7927" w:rsidP="00257641">
            <w:pPr>
              <w:spacing w:before="40" w:after="40"/>
              <w:jc w:val="center"/>
              <w:rPr>
                <w:rFonts w:asciiTheme="minorHAnsi" w:hAnsiTheme="minorHAnsi"/>
                <w:b/>
                <w:noProof w:val="0"/>
                <w:sz w:val="20"/>
              </w:rPr>
            </w:pPr>
          </w:p>
        </w:tc>
        <w:tc>
          <w:tcPr>
            <w:tcW w:w="1202" w:type="dxa"/>
            <w:tcBorders>
              <w:top w:val="single" w:sz="4" w:space="0" w:color="auto"/>
              <w:left w:val="nil"/>
              <w:bottom w:val="single" w:sz="4" w:space="0" w:color="auto"/>
              <w:right w:val="single" w:sz="4" w:space="0" w:color="auto"/>
            </w:tcBorders>
            <w:shd w:val="clear" w:color="auto" w:fill="auto"/>
            <w:vAlign w:val="center"/>
          </w:tcPr>
          <w:p w14:paraId="2E693773" w14:textId="77777777" w:rsidR="001F7927" w:rsidRPr="006051AC" w:rsidRDefault="001F7927" w:rsidP="00257641">
            <w:pPr>
              <w:spacing w:before="40" w:after="40"/>
              <w:jc w:val="center"/>
              <w:rPr>
                <w:rFonts w:asciiTheme="minorHAnsi" w:hAnsiTheme="minorHAnsi"/>
                <w:b/>
                <w:noProof w:val="0"/>
                <w:sz w:val="20"/>
              </w:rPr>
            </w:pPr>
          </w:p>
        </w:tc>
        <w:tc>
          <w:tcPr>
            <w:tcW w:w="1125" w:type="dxa"/>
            <w:tcBorders>
              <w:top w:val="single" w:sz="4" w:space="0" w:color="auto"/>
              <w:left w:val="nil"/>
              <w:bottom w:val="single" w:sz="4" w:space="0" w:color="auto"/>
              <w:right w:val="single" w:sz="4" w:space="0" w:color="auto"/>
            </w:tcBorders>
            <w:shd w:val="clear" w:color="auto" w:fill="auto"/>
            <w:vAlign w:val="center"/>
          </w:tcPr>
          <w:p w14:paraId="1580FBA4" w14:textId="69187DC4" w:rsidR="001F7927" w:rsidRPr="006051AC" w:rsidRDefault="001F7927"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single" w:sz="4" w:space="0" w:color="auto"/>
              <w:left w:val="nil"/>
              <w:bottom w:val="single" w:sz="4" w:space="0" w:color="auto"/>
              <w:right w:val="single" w:sz="4" w:space="0" w:color="auto"/>
            </w:tcBorders>
            <w:shd w:val="clear" w:color="auto" w:fill="auto"/>
            <w:vAlign w:val="center"/>
          </w:tcPr>
          <w:p w14:paraId="10427349" w14:textId="77777777" w:rsidR="001F7927" w:rsidRPr="006051AC" w:rsidRDefault="001F7927" w:rsidP="00257641">
            <w:pPr>
              <w:spacing w:before="40" w:after="40"/>
              <w:jc w:val="center"/>
              <w:rPr>
                <w:rFonts w:asciiTheme="minorHAnsi" w:hAnsiTheme="minorHAnsi"/>
                <w:b/>
                <w:noProof w:val="0"/>
                <w:sz w:val="20"/>
              </w:rPr>
            </w:pPr>
          </w:p>
        </w:tc>
        <w:tc>
          <w:tcPr>
            <w:tcW w:w="4189" w:type="dxa"/>
            <w:tcBorders>
              <w:top w:val="single" w:sz="4" w:space="0" w:color="auto"/>
              <w:left w:val="nil"/>
              <w:bottom w:val="single" w:sz="4" w:space="0" w:color="auto"/>
              <w:right w:val="single" w:sz="4" w:space="0" w:color="auto"/>
            </w:tcBorders>
            <w:shd w:val="clear" w:color="auto" w:fill="auto"/>
            <w:vAlign w:val="center"/>
          </w:tcPr>
          <w:p w14:paraId="604D6D8B" w14:textId="21224A6E" w:rsidR="001F7927" w:rsidRPr="006051AC" w:rsidRDefault="001F7927" w:rsidP="00257641">
            <w:pPr>
              <w:spacing w:before="40" w:after="40"/>
              <w:rPr>
                <w:rFonts w:asciiTheme="minorHAnsi" w:hAnsiTheme="minorHAnsi"/>
                <w:noProof w:val="0"/>
                <w:sz w:val="20"/>
              </w:rPr>
            </w:pPr>
            <w:r w:rsidRPr="006051AC">
              <w:rPr>
                <w:rFonts w:asciiTheme="minorHAnsi" w:hAnsiTheme="minorHAnsi"/>
                <w:noProof w:val="0"/>
                <w:sz w:val="20"/>
              </w:rPr>
              <w:t>On or before October 1</w:t>
            </w:r>
            <w:r w:rsidRPr="006051AC">
              <w:rPr>
                <w:rFonts w:asciiTheme="minorHAnsi" w:hAnsiTheme="minorHAnsi"/>
                <w:noProof w:val="0"/>
                <w:sz w:val="20"/>
                <w:vertAlign w:val="superscript"/>
              </w:rPr>
              <w:t>st</w:t>
            </w:r>
          </w:p>
        </w:tc>
      </w:tr>
      <w:tr w:rsidR="00EB5EFE" w:rsidRPr="00DF1D1C" w14:paraId="3B6B39B1" w14:textId="77777777" w:rsidTr="006051AC">
        <w:trPr>
          <w:cantSplit/>
          <w:trHeight w:val="255"/>
          <w:jc w:val="center"/>
        </w:trPr>
        <w:tc>
          <w:tcPr>
            <w:tcW w:w="440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6783DB" w14:textId="04C5C426" w:rsidR="00EB5EFE" w:rsidRPr="006051AC" w:rsidDel="00C159FF" w:rsidRDefault="00EB5EFE" w:rsidP="00257641">
            <w:pPr>
              <w:spacing w:before="40" w:after="40"/>
              <w:rPr>
                <w:rFonts w:asciiTheme="minorHAnsi" w:hAnsiTheme="minorHAnsi"/>
                <w:noProof w:val="0"/>
                <w:sz w:val="20"/>
              </w:rPr>
            </w:pPr>
            <w:r w:rsidRPr="006051AC">
              <w:rPr>
                <w:rFonts w:asciiTheme="minorHAnsi" w:hAnsiTheme="minorHAnsi"/>
                <w:noProof w:val="0"/>
                <w:sz w:val="20"/>
              </w:rPr>
              <w:t>Parity in Mental Health and Substance Use Disorder (SUD) Benefits Compliance Plan</w:t>
            </w:r>
          </w:p>
        </w:tc>
        <w:tc>
          <w:tcPr>
            <w:tcW w:w="1093"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763A4B29" w14:textId="77777777" w:rsidR="00EB5EFE" w:rsidRPr="006051AC" w:rsidRDefault="00EB5EFE" w:rsidP="00257641">
            <w:pPr>
              <w:spacing w:before="40" w:after="40"/>
              <w:jc w:val="center"/>
              <w:rPr>
                <w:rFonts w:asciiTheme="minorHAnsi" w:hAnsiTheme="minorHAnsi"/>
                <w:b/>
                <w:noProof w:val="0"/>
                <w:sz w:val="20"/>
              </w:rPr>
            </w:pPr>
          </w:p>
        </w:tc>
        <w:tc>
          <w:tcPr>
            <w:tcW w:w="120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35626599" w14:textId="77777777" w:rsidR="00EB5EFE" w:rsidRPr="006051AC" w:rsidRDefault="00EB5EFE" w:rsidP="00257641">
            <w:pPr>
              <w:spacing w:before="40" w:after="40"/>
              <w:jc w:val="center"/>
              <w:rPr>
                <w:rFonts w:asciiTheme="minorHAnsi" w:hAnsiTheme="minorHAnsi"/>
                <w:b/>
                <w:noProof w:val="0"/>
                <w:sz w:val="20"/>
              </w:rPr>
            </w:pPr>
          </w:p>
        </w:tc>
        <w:tc>
          <w:tcPr>
            <w:tcW w:w="1125"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AE0623F" w14:textId="32029310" w:rsidR="00EB5EFE" w:rsidRPr="006051AC" w:rsidRDefault="00EB5EFE"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851"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2D25BF30" w14:textId="77777777" w:rsidR="00EB5EFE" w:rsidRPr="006051AC" w:rsidRDefault="00EB5EFE" w:rsidP="00257641">
            <w:pPr>
              <w:spacing w:before="40" w:after="40"/>
              <w:jc w:val="center"/>
              <w:rPr>
                <w:rFonts w:asciiTheme="minorHAnsi" w:hAnsiTheme="minorHAnsi"/>
                <w:b/>
                <w:noProof w:val="0"/>
                <w:sz w:val="20"/>
              </w:rPr>
            </w:pPr>
          </w:p>
        </w:tc>
        <w:tc>
          <w:tcPr>
            <w:tcW w:w="4189"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C246609" w14:textId="27D09B90" w:rsidR="00EB5EFE" w:rsidRPr="006051AC" w:rsidRDefault="00EB5EFE" w:rsidP="00257641">
            <w:pPr>
              <w:spacing w:before="40" w:after="40"/>
              <w:rPr>
                <w:rFonts w:asciiTheme="minorHAnsi" w:hAnsiTheme="minorHAnsi"/>
                <w:noProof w:val="0"/>
                <w:sz w:val="20"/>
              </w:rPr>
            </w:pPr>
            <w:r w:rsidRPr="006051AC">
              <w:rPr>
                <w:rFonts w:asciiTheme="minorHAnsi" w:hAnsiTheme="minorHAnsi"/>
                <w:noProof w:val="0"/>
                <w:sz w:val="20"/>
              </w:rPr>
              <w:t>On or before June 30</w:t>
            </w:r>
            <w:r w:rsidRPr="006051AC">
              <w:rPr>
                <w:rFonts w:asciiTheme="minorHAnsi" w:hAnsiTheme="minorHAnsi"/>
                <w:noProof w:val="0"/>
                <w:sz w:val="20"/>
                <w:vertAlign w:val="superscript"/>
              </w:rPr>
              <w:t>th</w:t>
            </w:r>
            <w:r w:rsidRPr="006051AC">
              <w:rPr>
                <w:rFonts w:asciiTheme="minorHAnsi" w:hAnsiTheme="minorHAnsi"/>
                <w:noProof w:val="0"/>
                <w:sz w:val="20"/>
              </w:rPr>
              <w:t xml:space="preserve"> </w:t>
            </w:r>
          </w:p>
        </w:tc>
      </w:tr>
      <w:tr w:rsidR="00937B46" w:rsidRPr="00DF1D1C" w14:paraId="37DA23DC" w14:textId="77777777" w:rsidTr="00937B46">
        <w:trPr>
          <w:cantSplit/>
          <w:trHeight w:val="255"/>
          <w:jc w:val="center"/>
        </w:trPr>
        <w:tc>
          <w:tcPr>
            <w:tcW w:w="44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175151" w14:textId="4A05B911" w:rsidR="00937B46" w:rsidRPr="006051AC" w:rsidRDefault="00937B46" w:rsidP="00937B46">
            <w:pPr>
              <w:spacing w:before="40" w:after="40"/>
              <w:rPr>
                <w:rFonts w:asciiTheme="minorHAnsi" w:hAnsiTheme="minorHAnsi"/>
                <w:noProof w:val="0"/>
                <w:sz w:val="20"/>
              </w:rPr>
            </w:pPr>
            <w:r w:rsidRPr="006051AC">
              <w:rPr>
                <w:rFonts w:asciiTheme="minorHAnsi" w:hAnsiTheme="minorHAnsi"/>
                <w:noProof w:val="0"/>
                <w:sz w:val="20"/>
              </w:rPr>
              <w:t>Claims Aging Report</w:t>
            </w:r>
          </w:p>
        </w:tc>
        <w:tc>
          <w:tcPr>
            <w:tcW w:w="1093" w:type="dxa"/>
            <w:tcBorders>
              <w:top w:val="single" w:sz="4" w:space="0" w:color="auto"/>
              <w:left w:val="nil"/>
              <w:bottom w:val="single" w:sz="4" w:space="0" w:color="auto"/>
              <w:right w:val="single" w:sz="4" w:space="0" w:color="auto"/>
            </w:tcBorders>
            <w:shd w:val="clear" w:color="auto" w:fill="FFFFFF" w:themeFill="background1"/>
            <w:vAlign w:val="center"/>
          </w:tcPr>
          <w:p w14:paraId="4F976CA9" w14:textId="58998F8D" w:rsidR="00937B46" w:rsidRPr="006051AC" w:rsidRDefault="00937B46" w:rsidP="00937B46">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202" w:type="dxa"/>
            <w:tcBorders>
              <w:top w:val="single" w:sz="4" w:space="0" w:color="auto"/>
              <w:left w:val="nil"/>
              <w:bottom w:val="single" w:sz="4" w:space="0" w:color="auto"/>
              <w:right w:val="single" w:sz="4" w:space="0" w:color="auto"/>
            </w:tcBorders>
            <w:shd w:val="clear" w:color="auto" w:fill="FFFFFF" w:themeFill="background1"/>
            <w:vAlign w:val="center"/>
          </w:tcPr>
          <w:p w14:paraId="7F30803C" w14:textId="77777777" w:rsidR="00937B46" w:rsidRPr="006051AC" w:rsidRDefault="00937B46" w:rsidP="00937B46">
            <w:pPr>
              <w:spacing w:before="40" w:after="40"/>
              <w:jc w:val="center"/>
              <w:rPr>
                <w:rFonts w:asciiTheme="minorHAnsi" w:hAnsiTheme="minorHAnsi"/>
                <w:b/>
                <w:noProof w:val="0"/>
                <w:sz w:val="20"/>
              </w:rPr>
            </w:pPr>
          </w:p>
        </w:tc>
        <w:tc>
          <w:tcPr>
            <w:tcW w:w="1125" w:type="dxa"/>
            <w:tcBorders>
              <w:top w:val="single" w:sz="4" w:space="0" w:color="auto"/>
              <w:left w:val="nil"/>
              <w:bottom w:val="single" w:sz="4" w:space="0" w:color="auto"/>
              <w:right w:val="single" w:sz="4" w:space="0" w:color="auto"/>
            </w:tcBorders>
            <w:shd w:val="clear" w:color="auto" w:fill="FFFFFF" w:themeFill="background1"/>
            <w:vAlign w:val="center"/>
          </w:tcPr>
          <w:p w14:paraId="02B46CC5" w14:textId="77777777" w:rsidR="00937B46" w:rsidRPr="006051AC" w:rsidRDefault="00937B46" w:rsidP="00937B46">
            <w:pPr>
              <w:spacing w:before="40" w:after="40"/>
              <w:jc w:val="center"/>
              <w:rPr>
                <w:rFonts w:asciiTheme="minorHAnsi" w:hAnsiTheme="minorHAnsi"/>
                <w:b/>
                <w:noProof w:val="0"/>
                <w:sz w:val="20"/>
              </w:rPr>
            </w:pPr>
          </w:p>
        </w:tc>
        <w:tc>
          <w:tcPr>
            <w:tcW w:w="851" w:type="dxa"/>
            <w:tcBorders>
              <w:top w:val="single" w:sz="4" w:space="0" w:color="auto"/>
              <w:left w:val="nil"/>
              <w:bottom w:val="single" w:sz="4" w:space="0" w:color="auto"/>
              <w:right w:val="single" w:sz="4" w:space="0" w:color="auto"/>
            </w:tcBorders>
            <w:shd w:val="clear" w:color="auto" w:fill="FFFFFF" w:themeFill="background1"/>
            <w:vAlign w:val="center"/>
          </w:tcPr>
          <w:p w14:paraId="5EBD757D" w14:textId="77777777" w:rsidR="00937B46" w:rsidRPr="006051AC" w:rsidRDefault="00937B46" w:rsidP="00937B46">
            <w:pPr>
              <w:spacing w:before="40" w:after="40"/>
              <w:jc w:val="center"/>
              <w:rPr>
                <w:rFonts w:asciiTheme="minorHAnsi" w:hAnsiTheme="minorHAnsi"/>
                <w:b/>
                <w:noProof w:val="0"/>
                <w:sz w:val="20"/>
              </w:rPr>
            </w:pPr>
          </w:p>
        </w:tc>
        <w:tc>
          <w:tcPr>
            <w:tcW w:w="4189" w:type="dxa"/>
            <w:tcBorders>
              <w:top w:val="single" w:sz="4" w:space="0" w:color="auto"/>
              <w:left w:val="nil"/>
              <w:bottom w:val="single" w:sz="4" w:space="0" w:color="auto"/>
              <w:right w:val="single" w:sz="4" w:space="0" w:color="auto"/>
            </w:tcBorders>
            <w:shd w:val="clear" w:color="auto" w:fill="FFFFFF" w:themeFill="background1"/>
            <w:vAlign w:val="center"/>
          </w:tcPr>
          <w:p w14:paraId="255137E5" w14:textId="1624EDEA" w:rsidR="00937B46" w:rsidRPr="006051AC" w:rsidRDefault="00937B46" w:rsidP="00937B46">
            <w:pPr>
              <w:spacing w:before="40" w:after="40"/>
              <w:rPr>
                <w:rFonts w:asciiTheme="minorHAnsi" w:hAnsiTheme="minorHAnsi"/>
                <w:noProof w:val="0"/>
                <w:sz w:val="20"/>
              </w:rPr>
            </w:pPr>
            <w:r w:rsidRPr="006051AC">
              <w:rPr>
                <w:rFonts w:asciiTheme="minorHAnsi" w:hAnsiTheme="minorHAnsi"/>
                <w:noProof w:val="0"/>
                <w:sz w:val="20"/>
              </w:rPr>
              <w:t>By the 15</w:t>
            </w:r>
            <w:r w:rsidRPr="006051AC">
              <w:rPr>
                <w:rFonts w:asciiTheme="minorHAnsi" w:hAnsiTheme="minorHAnsi"/>
                <w:noProof w:val="0"/>
                <w:sz w:val="20"/>
                <w:vertAlign w:val="superscript"/>
              </w:rPr>
              <w:t>th</w:t>
            </w:r>
            <w:r w:rsidRPr="006051AC">
              <w:rPr>
                <w:rFonts w:asciiTheme="minorHAnsi" w:hAnsiTheme="minorHAnsi"/>
                <w:noProof w:val="0"/>
                <w:sz w:val="20"/>
              </w:rPr>
              <w:t xml:space="preserve"> of the following month</w:t>
            </w:r>
          </w:p>
        </w:tc>
      </w:tr>
      <w:tr w:rsidR="00937B46" w:rsidRPr="00DF1D1C" w14:paraId="703C4D51" w14:textId="77777777" w:rsidTr="006051AC">
        <w:trPr>
          <w:cantSplit/>
          <w:trHeight w:val="255"/>
          <w:jc w:val="center"/>
        </w:trPr>
        <w:tc>
          <w:tcPr>
            <w:tcW w:w="440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CB2D4C" w14:textId="096533CA" w:rsidR="00937B46" w:rsidRPr="006051AC" w:rsidRDefault="00937B46" w:rsidP="00937B46">
            <w:pPr>
              <w:spacing w:before="40" w:after="40"/>
              <w:rPr>
                <w:rFonts w:asciiTheme="minorHAnsi" w:hAnsiTheme="minorHAnsi"/>
                <w:noProof w:val="0"/>
                <w:sz w:val="20"/>
              </w:rPr>
            </w:pPr>
            <w:r>
              <w:rPr>
                <w:rFonts w:asciiTheme="minorHAnsi" w:hAnsiTheme="minorHAnsi"/>
                <w:noProof w:val="0"/>
                <w:sz w:val="20"/>
              </w:rPr>
              <w:t>SNS</w:t>
            </w:r>
            <w:r w:rsidRPr="00937B46">
              <w:rPr>
                <w:rFonts w:asciiTheme="minorHAnsi" w:hAnsiTheme="minorHAnsi"/>
                <w:noProof w:val="0"/>
                <w:sz w:val="20"/>
              </w:rPr>
              <w:t xml:space="preserve"> underserved areas of the State where they additional SNS providers </w:t>
            </w:r>
            <w:r>
              <w:rPr>
                <w:rFonts w:asciiTheme="minorHAnsi" w:hAnsiTheme="minorHAnsi"/>
                <w:noProof w:val="0"/>
                <w:sz w:val="20"/>
              </w:rPr>
              <w:t>are needed</w:t>
            </w:r>
          </w:p>
        </w:tc>
        <w:tc>
          <w:tcPr>
            <w:tcW w:w="1093"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0C956752" w14:textId="00ACF5F7" w:rsidR="00937B46" w:rsidRPr="006051AC" w:rsidRDefault="00937B46" w:rsidP="00257641">
            <w:pPr>
              <w:spacing w:before="40" w:after="40"/>
              <w:jc w:val="center"/>
              <w:rPr>
                <w:rFonts w:asciiTheme="minorHAnsi" w:hAnsiTheme="minorHAnsi"/>
                <w:b/>
                <w:noProof w:val="0"/>
                <w:sz w:val="20"/>
              </w:rPr>
            </w:pPr>
            <w:r w:rsidRPr="006051AC">
              <w:rPr>
                <w:rFonts w:asciiTheme="minorHAnsi" w:hAnsiTheme="minorHAnsi"/>
                <w:b/>
                <w:noProof w:val="0"/>
                <w:sz w:val="20"/>
              </w:rPr>
              <w:t>X</w:t>
            </w:r>
          </w:p>
        </w:tc>
        <w:tc>
          <w:tcPr>
            <w:tcW w:w="120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5AA97CCB" w14:textId="77777777" w:rsidR="00937B46" w:rsidRPr="006051AC" w:rsidRDefault="00937B46" w:rsidP="00257641">
            <w:pPr>
              <w:spacing w:before="40" w:after="40"/>
              <w:jc w:val="center"/>
              <w:rPr>
                <w:rFonts w:asciiTheme="minorHAnsi" w:hAnsiTheme="minorHAnsi"/>
                <w:b/>
                <w:noProof w:val="0"/>
                <w:sz w:val="20"/>
              </w:rPr>
            </w:pPr>
          </w:p>
        </w:tc>
        <w:tc>
          <w:tcPr>
            <w:tcW w:w="1125"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332566F1" w14:textId="77777777" w:rsidR="00937B46" w:rsidRPr="006051AC" w:rsidRDefault="00937B46" w:rsidP="00257641">
            <w:pPr>
              <w:spacing w:before="40" w:after="40"/>
              <w:jc w:val="center"/>
              <w:rPr>
                <w:rFonts w:asciiTheme="minorHAnsi" w:hAnsiTheme="minorHAnsi"/>
                <w:b/>
                <w:noProof w:val="0"/>
                <w:sz w:val="20"/>
              </w:rPr>
            </w:pPr>
          </w:p>
        </w:tc>
        <w:tc>
          <w:tcPr>
            <w:tcW w:w="851"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3CEAF44F" w14:textId="77777777" w:rsidR="00937B46" w:rsidRPr="006051AC" w:rsidRDefault="00937B46" w:rsidP="00257641">
            <w:pPr>
              <w:spacing w:before="40" w:after="40"/>
              <w:jc w:val="center"/>
              <w:rPr>
                <w:rFonts w:asciiTheme="minorHAnsi" w:hAnsiTheme="minorHAnsi"/>
                <w:b/>
                <w:noProof w:val="0"/>
                <w:sz w:val="20"/>
              </w:rPr>
            </w:pPr>
          </w:p>
        </w:tc>
        <w:tc>
          <w:tcPr>
            <w:tcW w:w="4189"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CAB3C7D" w14:textId="77777777" w:rsidR="00937B46" w:rsidRPr="006051AC" w:rsidRDefault="00937B46" w:rsidP="00257641">
            <w:pPr>
              <w:spacing w:before="40" w:after="40"/>
              <w:rPr>
                <w:rFonts w:asciiTheme="minorHAnsi" w:hAnsiTheme="minorHAnsi"/>
                <w:noProof w:val="0"/>
                <w:sz w:val="20"/>
              </w:rPr>
            </w:pPr>
          </w:p>
        </w:tc>
      </w:tr>
    </w:tbl>
    <w:p w14:paraId="535343F4" w14:textId="77777777" w:rsidR="00EB5EFE" w:rsidRDefault="00EB5EFE" w:rsidP="00257641">
      <w:pPr>
        <w:rPr>
          <w:b/>
          <w:noProof w:val="0"/>
        </w:rPr>
      </w:pPr>
    </w:p>
    <w:p w14:paraId="604DE425" w14:textId="77777777" w:rsidR="00D51C49" w:rsidRPr="00DF1D1C" w:rsidRDefault="00D51C49" w:rsidP="00257641">
      <w:pPr>
        <w:sectPr w:rsidR="00D51C49" w:rsidRPr="00DF1D1C" w:rsidSect="00F34033">
          <w:footerReference w:type="default" r:id="rId25"/>
          <w:pgSz w:w="15840" w:h="12240" w:orient="landscape" w:code="1"/>
          <w:pgMar w:top="1440" w:right="1440" w:bottom="1440" w:left="1440" w:header="720" w:footer="720" w:gutter="0"/>
          <w:pgNumType w:start="1"/>
          <w:cols w:space="720"/>
          <w:docGrid w:linePitch="326"/>
        </w:sectPr>
      </w:pPr>
    </w:p>
    <w:p w14:paraId="69486DE8" w14:textId="4F46F0D1" w:rsidR="00B32FCA" w:rsidRPr="00DF1D1C" w:rsidRDefault="00F33B38" w:rsidP="00257641">
      <w:pPr>
        <w:pStyle w:val="Heading1"/>
      </w:pPr>
      <w:bookmarkStart w:id="254" w:name="_Toc8129103"/>
      <w:r>
        <w:lastRenderedPageBreak/>
        <w:t>Appendix</w:t>
      </w:r>
      <w:r w:rsidR="00B32FCA" w:rsidRPr="00DF1D1C">
        <w:t xml:space="preserve"> </w:t>
      </w:r>
      <w:r w:rsidR="004D7640">
        <w:t>E</w:t>
      </w:r>
      <w:r w:rsidR="00A13BFB">
        <w:t xml:space="preserve"> 1</w:t>
      </w:r>
      <w:r w:rsidR="004C69E3">
        <w:t xml:space="preserve">: </w:t>
      </w:r>
      <w:r w:rsidR="00B32FCA" w:rsidRPr="00DF1D1C">
        <w:t>Data Certification Form</w:t>
      </w:r>
      <w:bookmarkEnd w:id="254"/>
    </w:p>
    <w:p w14:paraId="07D130C2" w14:textId="77777777" w:rsidR="00B32FCA" w:rsidRPr="00DF1D1C" w:rsidRDefault="00B32FCA" w:rsidP="00257641">
      <w:pPr>
        <w:jc w:val="center"/>
        <w:rPr>
          <w:b/>
          <w:smallCaps/>
        </w:rPr>
      </w:pPr>
      <w:r w:rsidRPr="00DF1D1C">
        <w:rPr>
          <w:b/>
          <w:smallCaps/>
        </w:rPr>
        <w:t>State of West Virginia</w:t>
      </w:r>
    </w:p>
    <w:p w14:paraId="00F3C9FC" w14:textId="77777777" w:rsidR="001414E2" w:rsidRPr="00DF1D1C" w:rsidRDefault="00B32FCA" w:rsidP="00257641">
      <w:pPr>
        <w:jc w:val="center"/>
        <w:rPr>
          <w:b/>
          <w:smallCaps/>
        </w:rPr>
      </w:pPr>
      <w:r w:rsidRPr="00DF1D1C">
        <w:rPr>
          <w:b/>
          <w:smallCaps/>
        </w:rPr>
        <w:t xml:space="preserve">Data Certification for </w:t>
      </w:r>
      <w:r w:rsidRPr="00DF1D1C">
        <w:rPr>
          <w:b/>
          <w:smallCaps/>
          <w:u w:val="single"/>
        </w:rPr>
        <w:tab/>
      </w:r>
      <w:r w:rsidRPr="00DF1D1C">
        <w:rPr>
          <w:b/>
          <w:smallCaps/>
          <w:u w:val="single"/>
        </w:rPr>
        <w:tab/>
      </w:r>
      <w:r w:rsidRPr="00DF1D1C">
        <w:rPr>
          <w:b/>
          <w:smallCaps/>
          <w:u w:val="single"/>
        </w:rPr>
        <w:tab/>
      </w:r>
      <w:r w:rsidRPr="00DF1D1C">
        <w:rPr>
          <w:b/>
          <w:smallCaps/>
          <w:u w:val="single"/>
        </w:rPr>
        <w:tab/>
      </w:r>
      <w:r w:rsidRPr="00DF1D1C">
        <w:rPr>
          <w:b/>
          <w:smallCaps/>
          <w:u w:val="single"/>
        </w:rPr>
        <w:tab/>
      </w:r>
      <w:r w:rsidRPr="00DF1D1C">
        <w:rPr>
          <w:b/>
          <w:smallCaps/>
        </w:rPr>
        <w:t>Report Submission</w:t>
      </w:r>
    </w:p>
    <w:p w14:paraId="2B7BE81F" w14:textId="77777777" w:rsidR="001E1127" w:rsidRDefault="001E1127" w:rsidP="00257641">
      <w:pPr>
        <w:tabs>
          <w:tab w:val="left" w:pos="3240"/>
          <w:tab w:val="right" w:pos="5760"/>
        </w:tabs>
        <w:spacing w:after="120"/>
        <w:rPr>
          <w:szCs w:val="22"/>
          <w:u w:val="single"/>
        </w:rPr>
      </w:pPr>
      <w:r>
        <w:rPr>
          <w:szCs w:val="22"/>
        </w:rPr>
        <w:t>Date Of Data Submission</w:t>
      </w:r>
      <w:r w:rsidRPr="00DF1D1C">
        <w:rPr>
          <w:szCs w:val="22"/>
        </w:rPr>
        <w:t>:</w:t>
      </w:r>
      <w:r w:rsidRPr="00DF1D1C">
        <w:rPr>
          <w:szCs w:val="22"/>
        </w:rPr>
        <w:tab/>
      </w:r>
      <w:r w:rsidRPr="00D15495">
        <w:rPr>
          <w:szCs w:val="22"/>
          <w:highlight w:val="yellow"/>
          <w:u w:val="single"/>
        </w:rPr>
        <w:t>MM/DD/YYYY</w:t>
      </w:r>
      <w:r>
        <w:rPr>
          <w:szCs w:val="22"/>
          <w:u w:val="single"/>
        </w:rPr>
        <w:tab/>
      </w:r>
    </w:p>
    <w:p w14:paraId="4B84C0B2" w14:textId="77777777" w:rsidR="001E1127" w:rsidRPr="001414E2" w:rsidRDefault="001E1127" w:rsidP="00257641">
      <w:pPr>
        <w:tabs>
          <w:tab w:val="left" w:pos="3240"/>
          <w:tab w:val="right" w:pos="5760"/>
        </w:tabs>
        <w:spacing w:after="120"/>
        <w:rPr>
          <w:szCs w:val="22"/>
        </w:rPr>
      </w:pPr>
      <w:r>
        <w:rPr>
          <w:szCs w:val="22"/>
          <w:u w:val="single"/>
        </w:rPr>
        <w:t>Managed Care Program Type</w:t>
      </w:r>
      <w:r w:rsidRPr="001414E2">
        <w:rPr>
          <w:szCs w:val="22"/>
        </w:rPr>
        <w:t>:</w:t>
      </w:r>
      <w:r w:rsidR="004C69E3">
        <w:rPr>
          <w:szCs w:val="22"/>
        </w:rPr>
        <w:tab/>
      </w:r>
      <w:r w:rsidR="004C69E3">
        <w:rPr>
          <w:szCs w:val="22"/>
          <w:u w:val="single"/>
        </w:rPr>
        <w:tab/>
      </w:r>
    </w:p>
    <w:p w14:paraId="3EE13D2D" w14:textId="77777777" w:rsidR="001E1127" w:rsidRPr="00DF1D1C" w:rsidRDefault="001E1127" w:rsidP="00257641">
      <w:pPr>
        <w:tabs>
          <w:tab w:val="left" w:pos="3240"/>
          <w:tab w:val="right" w:pos="5760"/>
        </w:tabs>
        <w:rPr>
          <w:szCs w:val="22"/>
        </w:rPr>
      </w:pPr>
      <w:r w:rsidRPr="00DF1D1C">
        <w:rPr>
          <w:szCs w:val="22"/>
        </w:rPr>
        <w:t>Data Submitted to:</w:t>
      </w:r>
      <w:r w:rsidRPr="00DF1D1C">
        <w:rPr>
          <w:szCs w:val="22"/>
        </w:rPr>
        <w:tab/>
      </w:r>
      <w:r w:rsidRPr="00DF1D1C">
        <w:rPr>
          <w:szCs w:val="22"/>
          <w:u w:val="single"/>
        </w:rPr>
        <w:tab/>
      </w:r>
    </w:p>
    <w:p w14:paraId="61F4B4AC" w14:textId="77777777" w:rsidR="001E1127" w:rsidRPr="00DF1D1C" w:rsidRDefault="001E1127" w:rsidP="00257641">
      <w:pPr>
        <w:tabs>
          <w:tab w:val="left" w:pos="3240"/>
        </w:tabs>
        <w:spacing w:after="120"/>
        <w:rPr>
          <w:sz w:val="18"/>
          <w:szCs w:val="18"/>
        </w:rPr>
      </w:pPr>
      <w:r w:rsidRPr="00DF1D1C">
        <w:rPr>
          <w:szCs w:val="22"/>
        </w:rPr>
        <w:tab/>
      </w:r>
      <w:r w:rsidRPr="00DF1D1C">
        <w:rPr>
          <w:sz w:val="18"/>
          <w:szCs w:val="18"/>
        </w:rPr>
        <w:t>Name of Agency Official</w:t>
      </w:r>
    </w:p>
    <w:p w14:paraId="03C415B6" w14:textId="77777777" w:rsidR="001E1127" w:rsidRPr="00DF1D1C" w:rsidRDefault="001E1127" w:rsidP="00257641">
      <w:pPr>
        <w:tabs>
          <w:tab w:val="left" w:pos="3240"/>
          <w:tab w:val="right" w:pos="5760"/>
        </w:tabs>
        <w:rPr>
          <w:szCs w:val="22"/>
          <w:u w:val="single"/>
        </w:rPr>
      </w:pPr>
      <w:r w:rsidRPr="00DF1D1C">
        <w:rPr>
          <w:szCs w:val="22"/>
        </w:rPr>
        <w:tab/>
      </w:r>
      <w:r w:rsidRPr="00DF1D1C">
        <w:rPr>
          <w:szCs w:val="22"/>
          <w:u w:val="single"/>
        </w:rPr>
        <w:tab/>
      </w:r>
    </w:p>
    <w:p w14:paraId="148197D3" w14:textId="77777777" w:rsidR="001E1127" w:rsidRPr="00DF1D1C" w:rsidRDefault="001E1127" w:rsidP="00257641">
      <w:pPr>
        <w:tabs>
          <w:tab w:val="left" w:pos="3240"/>
        </w:tabs>
        <w:rPr>
          <w:sz w:val="18"/>
          <w:szCs w:val="18"/>
        </w:rPr>
      </w:pPr>
      <w:r w:rsidRPr="00DF1D1C">
        <w:rPr>
          <w:szCs w:val="22"/>
        </w:rPr>
        <w:tab/>
      </w:r>
      <w:r w:rsidRPr="00DF1D1C">
        <w:rPr>
          <w:sz w:val="18"/>
          <w:szCs w:val="18"/>
        </w:rPr>
        <w:t>Agency/Division</w:t>
      </w:r>
    </w:p>
    <w:p w14:paraId="4AAA2FAD" w14:textId="353BAB2C" w:rsidR="00B32FCA" w:rsidRPr="00DF1D1C" w:rsidRDefault="00B32FCA" w:rsidP="00257641">
      <w:pPr>
        <w:tabs>
          <w:tab w:val="right" w:pos="3600"/>
          <w:tab w:val="left" w:pos="3690"/>
          <w:tab w:val="right" w:pos="5130"/>
        </w:tabs>
        <w:rPr>
          <w:szCs w:val="22"/>
        </w:rPr>
      </w:pPr>
      <w:r w:rsidRPr="00DF1D1C">
        <w:rPr>
          <w:szCs w:val="22"/>
        </w:rPr>
        <w:t>Method Of Data Transmission:</w:t>
      </w:r>
      <w:r w:rsidR="00F24820">
        <w:rPr>
          <w:szCs w:val="22"/>
        </w:rPr>
        <w:t xml:space="preserve"> </w:t>
      </w:r>
      <w:r w:rsidR="008759CC">
        <w:rPr>
          <w:szCs w:val="22"/>
          <w:u w:val="single"/>
        </w:rPr>
        <w:tab/>
      </w:r>
      <w:r w:rsidR="008759CC">
        <w:rPr>
          <w:szCs w:val="22"/>
        </w:rPr>
        <w:tab/>
      </w:r>
      <w:r w:rsidRPr="00DF1D1C">
        <w:rPr>
          <w:szCs w:val="22"/>
        </w:rPr>
        <w:t>Electronic</w:t>
      </w:r>
      <w:r w:rsidR="00F24820">
        <w:rPr>
          <w:szCs w:val="22"/>
        </w:rPr>
        <w:t xml:space="preserve"> </w:t>
      </w:r>
      <w:r w:rsidR="008759CC">
        <w:rPr>
          <w:szCs w:val="22"/>
          <w:u w:val="single"/>
        </w:rPr>
        <w:tab/>
      </w:r>
      <w:r w:rsidR="008759CC">
        <w:rPr>
          <w:szCs w:val="22"/>
          <w:u w:val="single"/>
        </w:rPr>
        <w:tab/>
      </w:r>
      <w:r w:rsidR="00F24820">
        <w:rPr>
          <w:szCs w:val="22"/>
        </w:rPr>
        <w:t xml:space="preserve"> </w:t>
      </w:r>
      <w:r w:rsidRPr="00DF1D1C">
        <w:rPr>
          <w:szCs w:val="22"/>
        </w:rPr>
        <w:t>Hard Copy</w:t>
      </w:r>
    </w:p>
    <w:p w14:paraId="7DF3D842" w14:textId="3F8B725C" w:rsidR="00B32FCA" w:rsidRPr="00DF1D1C" w:rsidRDefault="00B32FCA" w:rsidP="00096A5D">
      <w:pPr>
        <w:pStyle w:val="BodyText"/>
      </w:pPr>
      <w:r w:rsidRPr="00DF1D1C">
        <w:t>I hereby certify that, in my belief and to the best of my knowledge (based on all information available to me)</w:t>
      </w:r>
      <w:r w:rsidR="00F33B38" w:rsidRPr="00DF1D1C">
        <w:t>, the</w:t>
      </w:r>
      <w:r w:rsidRPr="00DF1D1C">
        <w:t xml:space="preserve"> data contained in the </w:t>
      </w:r>
      <w:r w:rsidRPr="00DF1D1C">
        <w:rPr>
          <w:u w:val="single"/>
        </w:rPr>
        <w:tab/>
      </w:r>
      <w:r w:rsidRPr="00DF1D1C">
        <w:rPr>
          <w:u w:val="single"/>
        </w:rPr>
        <w:tab/>
      </w:r>
      <w:r w:rsidR="001F7927">
        <w:rPr>
          <w:u w:val="single"/>
        </w:rPr>
        <w:t xml:space="preserve"> </w:t>
      </w:r>
      <w:r w:rsidRPr="00D15495">
        <w:rPr>
          <w:highlight w:val="yellow"/>
          <w:u w:val="single"/>
        </w:rPr>
        <w:t>&lt;name of report&gt;</w:t>
      </w:r>
      <w:r w:rsidRPr="00DF1D1C">
        <w:rPr>
          <w:u w:val="single"/>
        </w:rPr>
        <w:tab/>
      </w:r>
      <w:r w:rsidRPr="00DF1D1C">
        <w:rPr>
          <w:u w:val="single"/>
        </w:rPr>
        <w:tab/>
      </w:r>
      <w:r w:rsidR="001F7927">
        <w:rPr>
          <w:u w:val="single"/>
        </w:rPr>
        <w:t xml:space="preserve"> </w:t>
      </w:r>
      <w:r w:rsidRPr="00DF1D1C">
        <w:t xml:space="preserve">Report submission by </w:t>
      </w:r>
      <w:r w:rsidRPr="00DF1D1C">
        <w:rPr>
          <w:u w:val="single"/>
        </w:rPr>
        <w:tab/>
      </w:r>
      <w:r w:rsidR="001F7927">
        <w:rPr>
          <w:u w:val="single"/>
        </w:rPr>
        <w:t xml:space="preserve"> </w:t>
      </w:r>
      <w:r w:rsidRPr="00D15495">
        <w:rPr>
          <w:highlight w:val="yellow"/>
          <w:u w:val="single"/>
        </w:rPr>
        <w:t>&lt;MCO&gt;</w:t>
      </w:r>
      <w:r w:rsidRPr="00DF1D1C">
        <w:rPr>
          <w:u w:val="single"/>
        </w:rPr>
        <w:tab/>
      </w:r>
      <w:r w:rsidRPr="00DF1D1C">
        <w:rPr>
          <w:u w:val="single"/>
        </w:rPr>
        <w:tab/>
      </w:r>
      <w:r w:rsidRPr="00DF1D1C">
        <w:t xml:space="preserve"> is accurate, complete, and truthful, and that it has no known or suspected material limitations or imperfections unless described in detail in a statement provided with this submission</w:t>
      </w:r>
      <w:r w:rsidR="0078080B" w:rsidRPr="00DF1D1C">
        <w:t xml:space="preserve">. </w:t>
      </w:r>
    </w:p>
    <w:p w14:paraId="0EBC6912" w14:textId="63AEFF9F" w:rsidR="00B32FCA" w:rsidRPr="00DF1D1C" w:rsidRDefault="00B32FCA" w:rsidP="00096A5D">
      <w:pPr>
        <w:pStyle w:val="BodyText"/>
      </w:pPr>
      <w:r w:rsidRPr="00DF1D1C">
        <w:t xml:space="preserve">I further certify that I have authority* to sign this certification on behalf of </w:t>
      </w:r>
      <w:r w:rsidRPr="00DF1D1C">
        <w:rPr>
          <w:u w:val="single"/>
        </w:rPr>
        <w:tab/>
      </w:r>
      <w:r w:rsidR="001F7927">
        <w:rPr>
          <w:u w:val="single"/>
        </w:rPr>
        <w:t xml:space="preserve"> </w:t>
      </w:r>
      <w:r w:rsidRPr="00D15495">
        <w:rPr>
          <w:highlight w:val="yellow"/>
          <w:u w:val="single"/>
        </w:rPr>
        <w:t>&lt;MCO&gt;</w:t>
      </w:r>
      <w:r w:rsidRPr="00DF1D1C">
        <w:rPr>
          <w:u w:val="single"/>
        </w:rPr>
        <w:tab/>
      </w:r>
    </w:p>
    <w:p w14:paraId="6D178C36" w14:textId="77777777" w:rsidR="00B32FCA" w:rsidRPr="00DF1D1C" w:rsidRDefault="00B32FCA" w:rsidP="00257641">
      <w:pPr>
        <w:tabs>
          <w:tab w:val="left" w:pos="1800"/>
        </w:tabs>
      </w:pPr>
      <w:r w:rsidRPr="00DF1D1C">
        <w:t>Certified by</w:t>
      </w:r>
      <w:r w:rsidR="00DC4A76" w:rsidRPr="00DF1D1C">
        <w:rPr>
          <w:rStyle w:val="FootnoteReference"/>
        </w:rPr>
        <w:t>*</w:t>
      </w:r>
      <w:r w:rsidRPr="00DF1D1C">
        <w:t xml:space="preserve">: </w:t>
      </w:r>
      <w:r w:rsidRPr="00DF1D1C">
        <w:tab/>
        <w:t>______________________________</w:t>
      </w:r>
      <w:r w:rsidRPr="00DF1D1C">
        <w:br/>
      </w:r>
      <w:r w:rsidRPr="00DF1D1C">
        <w:tab/>
      </w:r>
      <w:r w:rsidRPr="008759CC">
        <w:rPr>
          <w:sz w:val="20"/>
        </w:rPr>
        <w:t>Name</w:t>
      </w:r>
    </w:p>
    <w:p w14:paraId="3B6AE80E" w14:textId="77777777" w:rsidR="00B32FCA" w:rsidRPr="008759CC" w:rsidRDefault="00B32FCA" w:rsidP="00257641">
      <w:pPr>
        <w:tabs>
          <w:tab w:val="left" w:pos="1800"/>
        </w:tabs>
        <w:ind w:left="1440" w:firstLine="360"/>
        <w:rPr>
          <w:sz w:val="20"/>
        </w:rPr>
      </w:pPr>
      <w:r w:rsidRPr="00DF1D1C">
        <w:t>______________________________</w:t>
      </w:r>
      <w:r w:rsidRPr="00DF1D1C">
        <w:br/>
      </w:r>
      <w:r w:rsidRPr="00DF1D1C">
        <w:tab/>
      </w:r>
      <w:r w:rsidRPr="008759CC">
        <w:rPr>
          <w:sz w:val="20"/>
        </w:rPr>
        <w:t>Title</w:t>
      </w:r>
    </w:p>
    <w:p w14:paraId="0F55456B" w14:textId="77777777" w:rsidR="00B32FCA" w:rsidRPr="008759CC" w:rsidRDefault="00B32FCA" w:rsidP="00257641">
      <w:pPr>
        <w:tabs>
          <w:tab w:val="left" w:pos="1800"/>
        </w:tabs>
        <w:rPr>
          <w:sz w:val="20"/>
        </w:rPr>
      </w:pPr>
      <w:r w:rsidRPr="00DF1D1C">
        <w:tab/>
        <w:t>______________________________</w:t>
      </w:r>
      <w:r w:rsidRPr="00DF1D1C">
        <w:br/>
      </w:r>
      <w:r w:rsidRPr="00DF1D1C">
        <w:tab/>
      </w:r>
      <w:r w:rsidR="008759CC" w:rsidRPr="008759CC">
        <w:rPr>
          <w:sz w:val="20"/>
        </w:rPr>
        <w:t>Date of Submission</w:t>
      </w:r>
    </w:p>
    <w:p w14:paraId="3295B2A6" w14:textId="77777777" w:rsidR="00B32FCA" w:rsidRPr="00DF1D1C" w:rsidRDefault="00B32FCA" w:rsidP="00257641">
      <w:r w:rsidRPr="00DF1D1C">
        <w:t>^ Data certification must be submitted concurrently with the certified data (42 CFR 438.606(c)).</w:t>
      </w:r>
    </w:p>
    <w:p w14:paraId="33F3669E" w14:textId="4D229611" w:rsidR="00B32FCA" w:rsidRPr="00DF1D1C" w:rsidRDefault="00B32FCA" w:rsidP="00257641">
      <w:r w:rsidRPr="00DF1D1C">
        <w:rPr>
          <w:rStyle w:val="FootnoteReference"/>
        </w:rPr>
        <w:t>*</w:t>
      </w:r>
      <w:r w:rsidR="00F24820">
        <w:t xml:space="preserve"> </w:t>
      </w:r>
      <w:r w:rsidRPr="00DF1D1C">
        <w:t>Certification must be signed by the MCO</w:t>
      </w:r>
      <w:r w:rsidR="00FA1C0C" w:rsidRPr="00DF1D1C">
        <w:t>’</w:t>
      </w:r>
      <w:r w:rsidRPr="00DF1D1C">
        <w:t>s Chief Executive Officer (CEO), Chief Financial Officer (CFO), or an individual who has delegated authority to sign for and who reports directly to the MCO</w:t>
      </w:r>
      <w:r w:rsidR="00FA1C0C" w:rsidRPr="00DF1D1C">
        <w:t>’</w:t>
      </w:r>
      <w:r w:rsidRPr="00DF1D1C">
        <w:t>s CEO or CFO (42 CFR 438.606(a)).</w:t>
      </w:r>
    </w:p>
    <w:p w14:paraId="1BB48CD9" w14:textId="77777777" w:rsidR="00F414D0" w:rsidRDefault="00F414D0" w:rsidP="00257641">
      <w:pPr>
        <w:tabs>
          <w:tab w:val="left" w:pos="360"/>
        </w:tabs>
        <w:jc w:val="center"/>
        <w:sectPr w:rsidR="00F414D0" w:rsidSect="000845A6">
          <w:footerReference w:type="default" r:id="rId26"/>
          <w:pgSz w:w="12240" w:h="15840" w:code="1"/>
          <w:pgMar w:top="1440" w:right="1440" w:bottom="1440" w:left="1440" w:header="720" w:footer="720" w:gutter="0"/>
          <w:pgNumType w:start="1" w:chapStyle="1"/>
          <w:cols w:space="720"/>
        </w:sectPr>
      </w:pPr>
    </w:p>
    <w:p w14:paraId="788C2550" w14:textId="7168A252" w:rsidR="008759CC" w:rsidRPr="00A13BFB" w:rsidRDefault="00C16038" w:rsidP="00257641">
      <w:pPr>
        <w:pStyle w:val="Heading1"/>
      </w:pPr>
      <w:r>
        <w:br w:type="page"/>
      </w:r>
      <w:bookmarkStart w:id="255" w:name="_Toc8129104"/>
      <w:r w:rsidR="00F33B38">
        <w:lastRenderedPageBreak/>
        <w:t>Appendix</w:t>
      </w:r>
      <w:r w:rsidR="00A13BFB">
        <w:t xml:space="preserve"> </w:t>
      </w:r>
      <w:r w:rsidR="004D7640">
        <w:t>E</w:t>
      </w:r>
      <w:r w:rsidR="00A13BFB">
        <w:t xml:space="preserve"> 2</w:t>
      </w:r>
      <w:r w:rsidR="008759CC">
        <w:t xml:space="preserve">: </w:t>
      </w:r>
      <w:r w:rsidR="008759CC" w:rsidRPr="00A13BFB">
        <w:t xml:space="preserve">Data Certification for </w:t>
      </w:r>
      <w:r w:rsidR="008759CC" w:rsidRPr="006E61D4">
        <w:t>Monthly</w:t>
      </w:r>
      <w:r w:rsidR="000F688D" w:rsidRPr="006E61D4">
        <w:t xml:space="preserve"> AND Weekly</w:t>
      </w:r>
      <w:r w:rsidR="008759CC" w:rsidRPr="006E61D4">
        <w:t xml:space="preserve"> Encounter Data</w:t>
      </w:r>
      <w:r w:rsidR="008759CC" w:rsidRPr="00E32F20">
        <w:t xml:space="preserve"> </w:t>
      </w:r>
      <w:r w:rsidR="008759CC" w:rsidRPr="00A13BFB">
        <w:t>Report Submission</w:t>
      </w:r>
      <w:bookmarkEnd w:id="255"/>
    </w:p>
    <w:p w14:paraId="612FB728" w14:textId="77777777" w:rsidR="00A13BFB" w:rsidRPr="00A13BFB" w:rsidRDefault="00A13BFB" w:rsidP="00257641">
      <w:pPr>
        <w:jc w:val="center"/>
        <w:rPr>
          <w:b/>
          <w:smallCaps/>
          <w:noProof w:val="0"/>
          <w:szCs w:val="24"/>
        </w:rPr>
      </w:pPr>
      <w:r w:rsidRPr="00A13BFB">
        <w:rPr>
          <w:b/>
          <w:smallCaps/>
          <w:noProof w:val="0"/>
          <w:szCs w:val="24"/>
        </w:rPr>
        <w:t>State of West Virginia</w:t>
      </w:r>
    </w:p>
    <w:p w14:paraId="0BC53B3B" w14:textId="49D74901" w:rsidR="007A400C" w:rsidRDefault="007A400C" w:rsidP="006051AC">
      <w:pPr>
        <w:tabs>
          <w:tab w:val="left" w:pos="3150"/>
          <w:tab w:val="decimal" w:pos="5940"/>
        </w:tabs>
        <w:rPr>
          <w:szCs w:val="22"/>
          <w:u w:val="single"/>
        </w:rPr>
      </w:pPr>
      <w:r>
        <w:rPr>
          <w:szCs w:val="22"/>
        </w:rPr>
        <w:t>Date Of Data Submission</w:t>
      </w:r>
      <w:r w:rsidRPr="00DF1D1C">
        <w:rPr>
          <w:szCs w:val="22"/>
        </w:rPr>
        <w:t>:</w:t>
      </w:r>
      <w:r w:rsidRPr="00DF1D1C">
        <w:rPr>
          <w:szCs w:val="22"/>
        </w:rPr>
        <w:tab/>
      </w:r>
      <w:r w:rsidRPr="00D15495">
        <w:rPr>
          <w:szCs w:val="22"/>
          <w:highlight w:val="yellow"/>
          <w:u w:val="single"/>
        </w:rPr>
        <w:t>MM/DD/YYYY</w:t>
      </w:r>
      <w:r>
        <w:rPr>
          <w:szCs w:val="22"/>
          <w:u w:val="single"/>
        </w:rPr>
        <w:tab/>
      </w:r>
      <w:r w:rsidR="00F24820">
        <w:rPr>
          <w:szCs w:val="22"/>
          <w:u w:val="single"/>
        </w:rPr>
        <w:t xml:space="preserve"> </w:t>
      </w:r>
    </w:p>
    <w:p w14:paraId="287E06A6" w14:textId="0F68FDA4" w:rsidR="007A400C" w:rsidRPr="001414E2" w:rsidRDefault="007A400C" w:rsidP="006051AC">
      <w:pPr>
        <w:tabs>
          <w:tab w:val="left" w:pos="3150"/>
          <w:tab w:val="decimal" w:pos="5940"/>
        </w:tabs>
        <w:rPr>
          <w:szCs w:val="22"/>
        </w:rPr>
      </w:pPr>
      <w:r w:rsidRPr="00D353E1">
        <w:rPr>
          <w:szCs w:val="22"/>
        </w:rPr>
        <w:t>Managed Care Program Type</w:t>
      </w:r>
      <w:r w:rsidRPr="001414E2">
        <w:rPr>
          <w:szCs w:val="22"/>
        </w:rPr>
        <w:t>:</w:t>
      </w:r>
      <w:r w:rsidR="003150A4">
        <w:rPr>
          <w:szCs w:val="22"/>
        </w:rPr>
        <w:t xml:space="preserve"> </w:t>
      </w:r>
      <w:r w:rsidR="006051AC">
        <w:rPr>
          <w:szCs w:val="22"/>
        </w:rPr>
        <w:tab/>
      </w:r>
      <w:r w:rsidRPr="00DF1D1C">
        <w:rPr>
          <w:szCs w:val="22"/>
          <w:u w:val="single"/>
        </w:rPr>
        <w:tab/>
      </w:r>
      <w:r w:rsidR="003150A4">
        <w:rPr>
          <w:szCs w:val="22"/>
          <w:u w:val="single"/>
        </w:rPr>
        <w:t xml:space="preserve"> </w:t>
      </w:r>
    </w:p>
    <w:p w14:paraId="05D1DB56" w14:textId="5D7EE82A" w:rsidR="007A400C" w:rsidRPr="00DF1D1C" w:rsidRDefault="007A400C" w:rsidP="00235E1B">
      <w:pPr>
        <w:tabs>
          <w:tab w:val="left" w:pos="3150"/>
          <w:tab w:val="decimal" w:pos="5940"/>
        </w:tabs>
        <w:spacing w:after="120"/>
        <w:rPr>
          <w:szCs w:val="22"/>
        </w:rPr>
      </w:pPr>
      <w:r w:rsidRPr="00DF1D1C">
        <w:rPr>
          <w:szCs w:val="22"/>
        </w:rPr>
        <w:t>Data Submitted to:</w:t>
      </w:r>
      <w:r w:rsidRPr="00DF1D1C">
        <w:rPr>
          <w:szCs w:val="22"/>
        </w:rPr>
        <w:tab/>
      </w:r>
      <w:r w:rsidRPr="00DF1D1C">
        <w:rPr>
          <w:szCs w:val="22"/>
          <w:u w:val="single"/>
        </w:rPr>
        <w:tab/>
      </w:r>
      <w:r w:rsidR="003150A4">
        <w:rPr>
          <w:szCs w:val="22"/>
          <w:u w:val="single"/>
        </w:rPr>
        <w:t xml:space="preserve"> </w:t>
      </w:r>
    </w:p>
    <w:p w14:paraId="5ED81B3A" w14:textId="0A5D1462" w:rsidR="007A400C" w:rsidRPr="00DF1D1C" w:rsidRDefault="007A400C" w:rsidP="006051AC">
      <w:pPr>
        <w:tabs>
          <w:tab w:val="left" w:pos="3150"/>
          <w:tab w:val="decimal" w:pos="5940"/>
        </w:tabs>
        <w:rPr>
          <w:sz w:val="18"/>
          <w:szCs w:val="18"/>
        </w:rPr>
      </w:pPr>
      <w:r w:rsidRPr="00DF1D1C">
        <w:rPr>
          <w:szCs w:val="22"/>
        </w:rPr>
        <w:tab/>
      </w:r>
      <w:r w:rsidRPr="00DF1D1C">
        <w:rPr>
          <w:sz w:val="18"/>
          <w:szCs w:val="18"/>
        </w:rPr>
        <w:t>Name of Agency Official</w:t>
      </w:r>
    </w:p>
    <w:p w14:paraId="239967A0" w14:textId="6BB45879" w:rsidR="007A400C" w:rsidRPr="00DF1D1C" w:rsidRDefault="007A400C" w:rsidP="00235E1B">
      <w:pPr>
        <w:tabs>
          <w:tab w:val="left" w:pos="3150"/>
          <w:tab w:val="decimal" w:pos="5940"/>
        </w:tabs>
        <w:spacing w:after="120"/>
        <w:rPr>
          <w:szCs w:val="22"/>
          <w:u w:val="single"/>
        </w:rPr>
      </w:pPr>
      <w:r w:rsidRPr="00DF1D1C">
        <w:rPr>
          <w:szCs w:val="22"/>
        </w:rPr>
        <w:tab/>
      </w:r>
      <w:r w:rsidRPr="00DF1D1C">
        <w:rPr>
          <w:szCs w:val="22"/>
          <w:u w:val="single"/>
        </w:rPr>
        <w:tab/>
      </w:r>
      <w:r w:rsidR="006051AC">
        <w:rPr>
          <w:szCs w:val="22"/>
          <w:u w:val="single"/>
        </w:rPr>
        <w:t xml:space="preserve"> </w:t>
      </w:r>
    </w:p>
    <w:p w14:paraId="4F2919A6" w14:textId="7DBE49D7" w:rsidR="007A400C" w:rsidRPr="00DF1D1C" w:rsidRDefault="007A400C" w:rsidP="006051AC">
      <w:pPr>
        <w:tabs>
          <w:tab w:val="left" w:pos="3150"/>
          <w:tab w:val="decimal" w:pos="5940"/>
        </w:tabs>
        <w:rPr>
          <w:sz w:val="18"/>
          <w:szCs w:val="18"/>
        </w:rPr>
      </w:pPr>
      <w:r w:rsidRPr="00DF1D1C">
        <w:rPr>
          <w:szCs w:val="22"/>
        </w:rPr>
        <w:tab/>
      </w:r>
      <w:r w:rsidRPr="00DF1D1C">
        <w:rPr>
          <w:sz w:val="18"/>
          <w:szCs w:val="18"/>
        </w:rPr>
        <w:t>Agency/Division</w:t>
      </w:r>
    </w:p>
    <w:p w14:paraId="76C9DBCE" w14:textId="77777777" w:rsidR="00A13BFB" w:rsidRPr="00A13BFB" w:rsidRDefault="00A13BFB" w:rsidP="00257641">
      <w:pPr>
        <w:spacing w:before="240"/>
        <w:rPr>
          <w:noProof w:val="0"/>
          <w:szCs w:val="22"/>
        </w:rPr>
      </w:pPr>
      <w:r w:rsidRPr="00A13BFB">
        <w:rPr>
          <w:noProof w:val="0"/>
          <w:szCs w:val="22"/>
        </w:rPr>
        <w:t xml:space="preserve">Method </w:t>
      </w:r>
      <w:r w:rsidR="00F33B38" w:rsidRPr="00A13BFB">
        <w:rPr>
          <w:noProof w:val="0"/>
          <w:szCs w:val="22"/>
        </w:rPr>
        <w:t>of</w:t>
      </w:r>
      <w:r w:rsidRPr="00A13BFB">
        <w:rPr>
          <w:noProof w:val="0"/>
          <w:szCs w:val="22"/>
        </w:rPr>
        <w:t xml:space="preserve"> Data Transmission:</w:t>
      </w:r>
      <w:r w:rsidRPr="00A13BFB">
        <w:rPr>
          <w:noProof w:val="0"/>
          <w:szCs w:val="22"/>
        </w:rPr>
        <w:tab/>
      </w:r>
      <w:r w:rsidRPr="00A13BFB">
        <w:rPr>
          <w:noProof w:val="0"/>
          <w:szCs w:val="22"/>
          <w:u w:val="single"/>
        </w:rPr>
        <w:tab/>
      </w:r>
      <w:r w:rsidRPr="00A13BFB">
        <w:rPr>
          <w:noProof w:val="0"/>
          <w:szCs w:val="22"/>
        </w:rPr>
        <w:t>Electronic</w:t>
      </w:r>
      <w:r w:rsidRPr="00A13BFB">
        <w:rPr>
          <w:noProof w:val="0"/>
          <w:szCs w:val="22"/>
        </w:rPr>
        <w:tab/>
      </w:r>
      <w:r w:rsidRPr="00A13BFB">
        <w:rPr>
          <w:noProof w:val="0"/>
          <w:szCs w:val="22"/>
        </w:rPr>
        <w:tab/>
      </w:r>
      <w:r w:rsidRPr="00A13BFB">
        <w:rPr>
          <w:noProof w:val="0"/>
          <w:szCs w:val="22"/>
          <w:u w:val="single"/>
        </w:rPr>
        <w:tab/>
      </w:r>
      <w:r w:rsidRPr="00A13BFB">
        <w:rPr>
          <w:noProof w:val="0"/>
          <w:szCs w:val="22"/>
        </w:rPr>
        <w:t>Hard Copy</w:t>
      </w:r>
    </w:p>
    <w:p w14:paraId="39025A42" w14:textId="236ADF81" w:rsidR="00A13BFB" w:rsidRPr="00A13BFB" w:rsidRDefault="00A13BFB" w:rsidP="00257641">
      <w:pPr>
        <w:rPr>
          <w:noProof w:val="0"/>
          <w:szCs w:val="24"/>
        </w:rPr>
      </w:pPr>
      <w:r w:rsidRPr="00A13BFB">
        <w:rPr>
          <w:noProof w:val="0"/>
          <w:szCs w:val="24"/>
        </w:rPr>
        <w:t xml:space="preserve">I hereby certify that, in my belief and to the best of my knowledge (based on all information available to me at the time such data was submitted), the data contained in the </w:t>
      </w:r>
      <w:r w:rsidRPr="00D15495">
        <w:rPr>
          <w:b/>
          <w:noProof w:val="0"/>
          <w:szCs w:val="24"/>
          <w:highlight w:val="yellow"/>
          <w:u w:val="single"/>
        </w:rPr>
        <w:t>MCO</w:t>
      </w:r>
      <w:r w:rsidRPr="007B4FDE">
        <w:rPr>
          <w:b/>
          <w:noProof w:val="0"/>
          <w:szCs w:val="24"/>
          <w:u w:val="single"/>
        </w:rPr>
        <w:t>_</w:t>
      </w:r>
      <w:r w:rsidRPr="00E32F20">
        <w:rPr>
          <w:b/>
          <w:noProof w:val="0"/>
          <w:szCs w:val="24"/>
        </w:rPr>
        <w:t xml:space="preserve"> </w:t>
      </w:r>
      <w:r w:rsidRPr="00D15495">
        <w:rPr>
          <w:b/>
          <w:noProof w:val="0"/>
          <w:szCs w:val="24"/>
          <w:highlight w:val="yellow"/>
          <w:u w:val="single"/>
        </w:rPr>
        <w:t>MedEncs_YYYYMM_YYYYMM.txt</w:t>
      </w:r>
      <w:r w:rsidRPr="00A13BFB">
        <w:rPr>
          <w:noProof w:val="0"/>
          <w:szCs w:val="24"/>
        </w:rPr>
        <w:t xml:space="preserve"> </w:t>
      </w:r>
      <w:r w:rsidRPr="00A13BFB">
        <w:rPr>
          <w:rFonts w:cs="Arial"/>
          <w:noProof w:val="0"/>
          <w:color w:val="000000"/>
          <w:szCs w:val="22"/>
        </w:rPr>
        <w:t>r</w:t>
      </w:r>
      <w:r w:rsidRPr="00A13BFB">
        <w:rPr>
          <w:noProof w:val="0"/>
          <w:szCs w:val="24"/>
        </w:rPr>
        <w:t>eport submission by</w:t>
      </w:r>
      <w:r w:rsidR="00AA1728">
        <w:rPr>
          <w:noProof w:val="0"/>
          <w:szCs w:val="24"/>
        </w:rPr>
        <w:t xml:space="preserve"> </w:t>
      </w:r>
      <w:r w:rsidRPr="00D15495">
        <w:rPr>
          <w:b/>
          <w:noProof w:val="0"/>
          <w:szCs w:val="24"/>
          <w:highlight w:val="yellow"/>
          <w:u w:val="single"/>
        </w:rPr>
        <w:t>MCO Name</w:t>
      </w:r>
      <w:r w:rsidR="00AA1728" w:rsidRPr="004475BC">
        <w:rPr>
          <w:b/>
          <w:noProof w:val="0"/>
          <w:szCs w:val="24"/>
        </w:rPr>
        <w:t xml:space="preserve"> </w:t>
      </w:r>
      <w:r w:rsidRPr="00A13BFB">
        <w:rPr>
          <w:noProof w:val="0"/>
          <w:szCs w:val="24"/>
        </w:rPr>
        <w:t>was accurate, complete, and truthful, and that it had no known or suspected material limitations or imperfections unless described in detail in a statement provided with that submission.</w:t>
      </w:r>
      <w:r w:rsidR="00F24820">
        <w:rPr>
          <w:noProof w:val="0"/>
          <w:szCs w:val="24"/>
        </w:rPr>
        <w:t xml:space="preserve"> </w:t>
      </w:r>
    </w:p>
    <w:p w14:paraId="2A4D6986" w14:textId="77777777" w:rsidR="00A13BFB" w:rsidRPr="00A13BFB" w:rsidRDefault="00A13BFB" w:rsidP="00257641">
      <w:pPr>
        <w:spacing w:before="240"/>
        <w:rPr>
          <w:noProof w:val="0"/>
          <w:szCs w:val="24"/>
        </w:rPr>
      </w:pPr>
      <w:r w:rsidRPr="00A13BFB">
        <w:rPr>
          <w:noProof w:val="0"/>
          <w:szCs w:val="24"/>
        </w:rPr>
        <w:t xml:space="preserve">I further certify that I have authority* to sign </w:t>
      </w:r>
      <w:r w:rsidR="002B2E30">
        <w:rPr>
          <w:noProof w:val="0"/>
          <w:szCs w:val="24"/>
        </w:rPr>
        <w:t xml:space="preserve">this certification on behalf of </w:t>
      </w:r>
      <w:r w:rsidRPr="00D15495">
        <w:rPr>
          <w:b/>
          <w:noProof w:val="0"/>
          <w:szCs w:val="24"/>
          <w:highlight w:val="yellow"/>
          <w:u w:val="single"/>
        </w:rPr>
        <w:t>MCO</w:t>
      </w:r>
      <w:r w:rsidRPr="00E32F20">
        <w:rPr>
          <w:noProof w:val="0"/>
          <w:szCs w:val="24"/>
        </w:rPr>
        <w:t>.</w:t>
      </w:r>
    </w:p>
    <w:p w14:paraId="0B02E629" w14:textId="77777777" w:rsidR="00E16B64" w:rsidRDefault="00A13BFB" w:rsidP="00257641">
      <w:pPr>
        <w:tabs>
          <w:tab w:val="left" w:pos="2880"/>
          <w:tab w:val="right" w:pos="6480"/>
        </w:tabs>
        <w:ind w:left="1800" w:hanging="1800"/>
        <w:jc w:val="both"/>
        <w:rPr>
          <w:noProof w:val="0"/>
          <w:szCs w:val="24"/>
        </w:rPr>
      </w:pPr>
      <w:r w:rsidRPr="00A13BFB">
        <w:rPr>
          <w:noProof w:val="0"/>
          <w:szCs w:val="24"/>
        </w:rPr>
        <w:t>Certified by</w:t>
      </w:r>
      <w:r w:rsidR="003D1400" w:rsidRPr="00DF1D1C">
        <w:rPr>
          <w:rStyle w:val="FootnoteReference"/>
        </w:rPr>
        <w:t>*</w:t>
      </w:r>
      <w:r w:rsidRPr="00A13BFB">
        <w:rPr>
          <w:noProof w:val="0"/>
          <w:szCs w:val="24"/>
        </w:rPr>
        <w:t xml:space="preserve">: </w:t>
      </w:r>
      <w:r w:rsidRPr="00A13BFB">
        <w:rPr>
          <w:noProof w:val="0"/>
          <w:szCs w:val="24"/>
        </w:rPr>
        <w:tab/>
      </w:r>
    </w:p>
    <w:p w14:paraId="1F65E434" w14:textId="77777777" w:rsidR="00E16B64" w:rsidRDefault="00E16B64" w:rsidP="00257641">
      <w:pPr>
        <w:tabs>
          <w:tab w:val="left" w:pos="2880"/>
          <w:tab w:val="right" w:pos="6480"/>
        </w:tabs>
        <w:spacing w:before="240" w:after="0"/>
        <w:rPr>
          <w:noProof w:val="0"/>
          <w:szCs w:val="22"/>
        </w:rPr>
      </w:pPr>
      <w:r>
        <w:rPr>
          <w:noProof w:val="0"/>
          <w:szCs w:val="22"/>
          <w:u w:val="single"/>
        </w:rPr>
        <w:tab/>
      </w:r>
    </w:p>
    <w:p w14:paraId="22F06B3F" w14:textId="77777777" w:rsidR="00E16B64" w:rsidRPr="00A13BFB" w:rsidRDefault="00E16B64" w:rsidP="00257641">
      <w:pPr>
        <w:tabs>
          <w:tab w:val="left" w:pos="2880"/>
          <w:tab w:val="right" w:pos="6480"/>
        </w:tabs>
        <w:rPr>
          <w:noProof w:val="0"/>
          <w:sz w:val="18"/>
          <w:szCs w:val="18"/>
        </w:rPr>
      </w:pPr>
      <w:r>
        <w:rPr>
          <w:noProof w:val="0"/>
          <w:sz w:val="18"/>
          <w:szCs w:val="18"/>
        </w:rPr>
        <w:t>Signature</w:t>
      </w:r>
    </w:p>
    <w:p w14:paraId="7EC7F260" w14:textId="20435324" w:rsidR="00E16B64" w:rsidRPr="00E32F20" w:rsidRDefault="00E16B64" w:rsidP="00257641">
      <w:pPr>
        <w:tabs>
          <w:tab w:val="left" w:pos="2880"/>
          <w:tab w:val="right" w:pos="6480"/>
        </w:tabs>
        <w:spacing w:after="0"/>
        <w:rPr>
          <w:noProof w:val="0"/>
          <w:szCs w:val="22"/>
        </w:rPr>
      </w:pPr>
      <w:r>
        <w:rPr>
          <w:noProof w:val="0"/>
          <w:szCs w:val="22"/>
          <w:u w:val="single"/>
        </w:rPr>
        <w:tab/>
      </w:r>
      <w:r w:rsidR="003150A4">
        <w:rPr>
          <w:noProof w:val="0"/>
          <w:szCs w:val="22"/>
        </w:rPr>
        <w:t xml:space="preserve"> </w:t>
      </w:r>
    </w:p>
    <w:p w14:paraId="57AA4AD4" w14:textId="77777777" w:rsidR="00E16B64" w:rsidRDefault="00E16B64" w:rsidP="00257641">
      <w:pPr>
        <w:tabs>
          <w:tab w:val="left" w:pos="1440"/>
        </w:tabs>
        <w:rPr>
          <w:noProof w:val="0"/>
          <w:sz w:val="18"/>
          <w:szCs w:val="18"/>
        </w:rPr>
      </w:pPr>
      <w:r>
        <w:rPr>
          <w:noProof w:val="0"/>
          <w:sz w:val="18"/>
          <w:szCs w:val="18"/>
        </w:rPr>
        <w:t>Name</w:t>
      </w:r>
    </w:p>
    <w:p w14:paraId="5F214CBA" w14:textId="1F9ECCBF" w:rsidR="007B6833" w:rsidRPr="00E32F20" w:rsidRDefault="007B6833" w:rsidP="00257641">
      <w:pPr>
        <w:tabs>
          <w:tab w:val="left" w:pos="2880"/>
          <w:tab w:val="right" w:pos="6480"/>
        </w:tabs>
        <w:spacing w:after="0"/>
        <w:rPr>
          <w:noProof w:val="0"/>
          <w:szCs w:val="22"/>
        </w:rPr>
      </w:pPr>
      <w:r>
        <w:rPr>
          <w:noProof w:val="0"/>
          <w:szCs w:val="22"/>
          <w:u w:val="single"/>
        </w:rPr>
        <w:tab/>
      </w:r>
      <w:r w:rsidR="003150A4">
        <w:rPr>
          <w:noProof w:val="0"/>
          <w:szCs w:val="22"/>
        </w:rPr>
        <w:t xml:space="preserve"> </w:t>
      </w:r>
    </w:p>
    <w:p w14:paraId="1B8960CD" w14:textId="77777777" w:rsidR="007B6833" w:rsidRDefault="007B6833" w:rsidP="00257641">
      <w:pPr>
        <w:tabs>
          <w:tab w:val="left" w:pos="1440"/>
        </w:tabs>
        <w:rPr>
          <w:noProof w:val="0"/>
          <w:sz w:val="18"/>
          <w:szCs w:val="18"/>
        </w:rPr>
      </w:pPr>
      <w:r>
        <w:rPr>
          <w:noProof w:val="0"/>
          <w:sz w:val="18"/>
          <w:szCs w:val="18"/>
        </w:rPr>
        <w:t>Title</w:t>
      </w:r>
    </w:p>
    <w:p w14:paraId="18DD00B3" w14:textId="77777777" w:rsidR="00E16B64" w:rsidRDefault="00A13BFB" w:rsidP="00257641">
      <w:pPr>
        <w:tabs>
          <w:tab w:val="left" w:pos="2880"/>
          <w:tab w:val="right" w:pos="6480"/>
        </w:tabs>
        <w:ind w:left="1800" w:hanging="1800"/>
        <w:jc w:val="both"/>
        <w:rPr>
          <w:noProof w:val="0"/>
          <w:sz w:val="18"/>
          <w:szCs w:val="18"/>
        </w:rPr>
      </w:pPr>
      <w:r w:rsidRPr="00D15495">
        <w:rPr>
          <w:noProof w:val="0"/>
          <w:szCs w:val="22"/>
          <w:highlight w:val="yellow"/>
          <w:u w:val="single"/>
        </w:rPr>
        <w:t>MM/DD/YYYY</w:t>
      </w:r>
    </w:p>
    <w:p w14:paraId="71708D78" w14:textId="77777777" w:rsidR="00A13BFB" w:rsidRPr="00E32F20" w:rsidRDefault="00A13BFB" w:rsidP="00257641">
      <w:pPr>
        <w:tabs>
          <w:tab w:val="left" w:pos="2880"/>
          <w:tab w:val="right" w:pos="6480"/>
        </w:tabs>
        <w:ind w:left="1800" w:hanging="1800"/>
        <w:jc w:val="both"/>
        <w:rPr>
          <w:noProof w:val="0"/>
          <w:sz w:val="18"/>
          <w:szCs w:val="18"/>
        </w:rPr>
      </w:pPr>
      <w:r w:rsidRPr="00E32F20">
        <w:rPr>
          <w:noProof w:val="0"/>
          <w:sz w:val="18"/>
          <w:szCs w:val="18"/>
        </w:rPr>
        <w:t xml:space="preserve">Date </w:t>
      </w:r>
    </w:p>
    <w:p w14:paraId="6B760C35" w14:textId="77777777" w:rsidR="003D1400" w:rsidRPr="00DF1D1C" w:rsidRDefault="003D1400" w:rsidP="00257641">
      <w:r w:rsidRPr="00DF1D1C">
        <w:t>^ Data certification must be submitted concurrently with the certified data (42 CFR 438.606(c)).</w:t>
      </w:r>
    </w:p>
    <w:p w14:paraId="2ABF4F7B" w14:textId="1BAF5EE3" w:rsidR="003D1400" w:rsidRPr="00DF1D1C" w:rsidRDefault="003D1400" w:rsidP="00257641">
      <w:r w:rsidRPr="00DF1D1C">
        <w:rPr>
          <w:rStyle w:val="FootnoteReference"/>
        </w:rPr>
        <w:t>*</w:t>
      </w:r>
      <w:r w:rsidR="00F24820">
        <w:t xml:space="preserve"> </w:t>
      </w:r>
      <w:r w:rsidRPr="00DF1D1C">
        <w:t>Certification must be signed by the MCO’s Chief Executive Officer (CEO), Chief Financial Officer (CFO), or an individual who has delegated authority to sign for and who reports directly to the MCO’s CEO or CFO (42 CFR 438.606(a)).</w:t>
      </w:r>
    </w:p>
    <w:p w14:paraId="0858EFD6" w14:textId="77777777" w:rsidR="003D1400" w:rsidRDefault="003D1400" w:rsidP="00257641">
      <w:pPr>
        <w:tabs>
          <w:tab w:val="left" w:pos="360"/>
        </w:tabs>
        <w:jc w:val="center"/>
        <w:sectPr w:rsidR="003D1400" w:rsidSect="008D623B">
          <w:headerReference w:type="even" r:id="rId27"/>
          <w:footerReference w:type="default" r:id="rId28"/>
          <w:type w:val="continuous"/>
          <w:pgSz w:w="12240" w:h="15840" w:code="1"/>
          <w:pgMar w:top="1440" w:right="1440" w:bottom="1440" w:left="1440" w:header="720" w:footer="720" w:gutter="0"/>
          <w:pgNumType w:start="1"/>
          <w:cols w:space="720"/>
        </w:sectPr>
      </w:pPr>
    </w:p>
    <w:p w14:paraId="56F5A986" w14:textId="3AF0C0A9" w:rsidR="00ED53E7" w:rsidRPr="00EC6897" w:rsidRDefault="00F33B38" w:rsidP="00257641">
      <w:pPr>
        <w:pStyle w:val="Heading1"/>
      </w:pPr>
      <w:bookmarkStart w:id="256" w:name="_Toc8129105"/>
      <w:r>
        <w:lastRenderedPageBreak/>
        <w:t>APPENDIX</w:t>
      </w:r>
      <w:r w:rsidR="00EC6897" w:rsidRPr="00EC6897">
        <w:t xml:space="preserve"> </w:t>
      </w:r>
      <w:r w:rsidR="004D7640">
        <w:t>F</w:t>
      </w:r>
      <w:r w:rsidR="00ED53E7">
        <w:t xml:space="preserve">: </w:t>
      </w:r>
      <w:r w:rsidR="001F7927">
        <w:t>Service Level Agreements (SLA)</w:t>
      </w:r>
      <w:r w:rsidR="00D1718D">
        <w:t xml:space="preserve"> and </w:t>
      </w:r>
      <w:r w:rsidR="00ED53E7" w:rsidRPr="00EC6897">
        <w:t>Liquidated</w:t>
      </w:r>
      <w:r w:rsidR="00ED53E7">
        <w:t xml:space="preserve"> </w:t>
      </w:r>
      <w:r w:rsidR="00ED53E7" w:rsidRPr="00EC6897">
        <w:t>Damages Matrix</w:t>
      </w:r>
      <w:bookmarkEnd w:id="256"/>
    </w:p>
    <w:p w14:paraId="3CD96063" w14:textId="77777777" w:rsidR="00C542AD" w:rsidRPr="00C542AD" w:rsidRDefault="00C542AD" w:rsidP="00257641">
      <w:r>
        <w:rPr>
          <w:szCs w:val="22"/>
        </w:rPr>
        <w:t xml:space="preserve">All areas of responsibility and all requirements in the </w:t>
      </w:r>
      <w:r w:rsidR="009B19C2">
        <w:rPr>
          <w:szCs w:val="22"/>
        </w:rPr>
        <w:t xml:space="preserve">Contract </w:t>
      </w:r>
      <w:r>
        <w:rPr>
          <w:szCs w:val="22"/>
        </w:rPr>
        <w:t>will be subject to performance evaluation by the Department. Any and all responsibilities or requirements not fulfilled may have remedies</w:t>
      </w:r>
      <w:r w:rsidR="005A38AD">
        <w:rPr>
          <w:szCs w:val="22"/>
        </w:rPr>
        <w:t>,</w:t>
      </w:r>
      <w:r>
        <w:rPr>
          <w:szCs w:val="22"/>
        </w:rPr>
        <w:t xml:space="preserve"> and </w:t>
      </w:r>
      <w:r w:rsidR="00C80C7C">
        <w:rPr>
          <w:szCs w:val="22"/>
        </w:rPr>
        <w:t xml:space="preserve">the </w:t>
      </w:r>
      <w:r>
        <w:rPr>
          <w:szCs w:val="22"/>
        </w:rPr>
        <w:t>Department will assess either actual or liquidated damages. This Appendix outlines</w:t>
      </w:r>
      <w:r w:rsidRPr="00C542AD">
        <w:rPr>
          <w:szCs w:val="22"/>
        </w:rPr>
        <w:t xml:space="preserve"> performance standards that carry liquidated damage values.</w:t>
      </w:r>
    </w:p>
    <w:tbl>
      <w:tblPr>
        <w:tblW w:w="12734" w:type="dxa"/>
        <w:jc w:val="center"/>
        <w:tblBorders>
          <w:top w:val="nil"/>
          <w:left w:val="nil"/>
          <w:bottom w:val="nil"/>
          <w:right w:val="nil"/>
        </w:tblBorders>
        <w:tblLayout w:type="fixed"/>
        <w:tblLook w:val="0020" w:firstRow="1" w:lastRow="0" w:firstColumn="0" w:lastColumn="0" w:noHBand="0" w:noVBand="0"/>
      </w:tblPr>
      <w:tblGrid>
        <w:gridCol w:w="558"/>
        <w:gridCol w:w="5017"/>
        <w:gridCol w:w="3019"/>
        <w:gridCol w:w="4140"/>
      </w:tblGrid>
      <w:tr w:rsidR="00EC6897" w:rsidRPr="006B10B7" w14:paraId="4C5CD623" w14:textId="77777777" w:rsidTr="00235E1B">
        <w:trPr>
          <w:trHeight w:val="233"/>
          <w:tblHeader/>
          <w:jc w:val="center"/>
        </w:trPr>
        <w:tc>
          <w:tcPr>
            <w:tcW w:w="558" w:type="dxa"/>
            <w:tcBorders>
              <w:top w:val="single" w:sz="4" w:space="0" w:color="auto"/>
              <w:left w:val="single" w:sz="4" w:space="0" w:color="auto"/>
              <w:bottom w:val="single" w:sz="4" w:space="0" w:color="auto"/>
              <w:right w:val="single" w:sz="4" w:space="0" w:color="FFFFFF" w:themeColor="background1"/>
            </w:tcBorders>
            <w:shd w:val="clear" w:color="auto" w:fill="004250"/>
            <w:vAlign w:val="center"/>
          </w:tcPr>
          <w:p w14:paraId="71C0CF04" w14:textId="77777777" w:rsidR="00EC6897" w:rsidRPr="00235E1B" w:rsidRDefault="00EC6897" w:rsidP="00235E1B">
            <w:pPr>
              <w:spacing w:before="40" w:after="40"/>
              <w:jc w:val="center"/>
              <w:rPr>
                <w:rFonts w:asciiTheme="minorHAnsi" w:hAnsiTheme="minorHAnsi" w:cs="Arial"/>
                <w:noProof w:val="0"/>
                <w:sz w:val="20"/>
              </w:rPr>
            </w:pPr>
            <w:r w:rsidRPr="00235E1B">
              <w:rPr>
                <w:rFonts w:asciiTheme="minorHAnsi" w:hAnsiTheme="minorHAnsi" w:cs="Arial"/>
                <w:b/>
                <w:bCs/>
                <w:noProof w:val="0"/>
                <w:sz w:val="20"/>
              </w:rPr>
              <w:t>#</w:t>
            </w:r>
          </w:p>
        </w:tc>
        <w:tc>
          <w:tcPr>
            <w:tcW w:w="501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4250"/>
          </w:tcPr>
          <w:p w14:paraId="0CD2BB6D" w14:textId="77777777" w:rsidR="00EC6897" w:rsidRPr="00235E1B" w:rsidRDefault="00EC6897" w:rsidP="00235E1B">
            <w:pPr>
              <w:spacing w:before="40" w:after="40"/>
              <w:jc w:val="center"/>
              <w:rPr>
                <w:rFonts w:asciiTheme="minorHAnsi" w:hAnsiTheme="minorHAnsi" w:cs="Arial"/>
                <w:noProof w:val="0"/>
                <w:sz w:val="20"/>
              </w:rPr>
            </w:pPr>
            <w:r w:rsidRPr="00235E1B">
              <w:rPr>
                <w:rFonts w:asciiTheme="minorHAnsi" w:hAnsiTheme="minorHAnsi" w:cs="Arial"/>
                <w:b/>
                <w:bCs/>
                <w:noProof w:val="0"/>
                <w:sz w:val="20"/>
              </w:rPr>
              <w:t>Program Non-Performance</w:t>
            </w:r>
          </w:p>
        </w:tc>
        <w:tc>
          <w:tcPr>
            <w:tcW w:w="301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4250"/>
          </w:tcPr>
          <w:p w14:paraId="0B6CF887" w14:textId="77777777" w:rsidR="00EC6897" w:rsidRPr="00235E1B" w:rsidRDefault="00EC6897" w:rsidP="00235E1B">
            <w:pPr>
              <w:spacing w:before="40" w:after="40"/>
              <w:jc w:val="center"/>
              <w:rPr>
                <w:rFonts w:asciiTheme="minorHAnsi" w:hAnsiTheme="minorHAnsi" w:cs="Arial"/>
                <w:noProof w:val="0"/>
                <w:sz w:val="20"/>
              </w:rPr>
            </w:pPr>
            <w:r w:rsidRPr="00235E1B">
              <w:rPr>
                <w:rFonts w:asciiTheme="minorHAnsi" w:hAnsiTheme="minorHAnsi" w:cs="Arial"/>
                <w:b/>
                <w:bCs/>
                <w:noProof w:val="0"/>
                <w:sz w:val="20"/>
              </w:rPr>
              <w:t>Measurement Period</w:t>
            </w:r>
          </w:p>
        </w:tc>
        <w:tc>
          <w:tcPr>
            <w:tcW w:w="4140" w:type="dxa"/>
            <w:tcBorders>
              <w:top w:val="single" w:sz="4" w:space="0" w:color="auto"/>
              <w:left w:val="single" w:sz="4" w:space="0" w:color="FFFFFF" w:themeColor="background1"/>
              <w:bottom w:val="single" w:sz="4" w:space="0" w:color="auto"/>
              <w:right w:val="single" w:sz="4" w:space="0" w:color="auto"/>
            </w:tcBorders>
            <w:shd w:val="clear" w:color="auto" w:fill="004250"/>
          </w:tcPr>
          <w:p w14:paraId="6E8701CC" w14:textId="77777777" w:rsidR="00EC6897" w:rsidRPr="00235E1B" w:rsidRDefault="00EC6897" w:rsidP="00235E1B">
            <w:pPr>
              <w:spacing w:before="40" w:after="40"/>
              <w:jc w:val="center"/>
              <w:rPr>
                <w:rFonts w:asciiTheme="minorHAnsi" w:hAnsiTheme="minorHAnsi" w:cs="Arial"/>
                <w:noProof w:val="0"/>
                <w:sz w:val="20"/>
              </w:rPr>
            </w:pPr>
            <w:r w:rsidRPr="00235E1B">
              <w:rPr>
                <w:rFonts w:asciiTheme="minorHAnsi" w:hAnsiTheme="minorHAnsi" w:cs="Arial"/>
                <w:b/>
                <w:bCs/>
                <w:noProof w:val="0"/>
                <w:sz w:val="20"/>
              </w:rPr>
              <w:t>Liquidated Damages</w:t>
            </w:r>
          </w:p>
        </w:tc>
      </w:tr>
      <w:tr w:rsidR="00EC6897" w:rsidRPr="006B10B7" w14:paraId="47ED48DF" w14:textId="77777777" w:rsidTr="00235E1B">
        <w:trPr>
          <w:trHeight w:val="2015"/>
          <w:jc w:val="center"/>
        </w:trPr>
        <w:tc>
          <w:tcPr>
            <w:tcW w:w="558" w:type="dxa"/>
            <w:tcBorders>
              <w:top w:val="single" w:sz="4" w:space="0" w:color="auto"/>
              <w:left w:val="single" w:sz="4" w:space="0" w:color="auto"/>
              <w:bottom w:val="single" w:sz="4" w:space="0" w:color="auto"/>
              <w:right w:val="single" w:sz="4" w:space="0" w:color="auto"/>
            </w:tcBorders>
            <w:vAlign w:val="center"/>
          </w:tcPr>
          <w:p w14:paraId="208FCD44" w14:textId="77777777" w:rsidR="00EC6897" w:rsidRPr="00235E1B" w:rsidRDefault="00EC6897" w:rsidP="00235E1B">
            <w:pPr>
              <w:spacing w:before="40" w:after="40"/>
              <w:jc w:val="center"/>
              <w:rPr>
                <w:rFonts w:asciiTheme="minorHAnsi" w:hAnsiTheme="minorHAnsi" w:cs="Arial"/>
                <w:noProof w:val="0"/>
                <w:sz w:val="20"/>
              </w:rPr>
            </w:pPr>
            <w:r w:rsidRPr="00235E1B">
              <w:rPr>
                <w:rFonts w:asciiTheme="minorHAnsi" w:hAnsiTheme="minorHAnsi" w:cs="Arial"/>
                <w:noProof w:val="0"/>
                <w:sz w:val="20"/>
              </w:rPr>
              <w:t>1</w:t>
            </w:r>
          </w:p>
        </w:tc>
        <w:tc>
          <w:tcPr>
            <w:tcW w:w="5017" w:type="dxa"/>
            <w:tcBorders>
              <w:top w:val="single" w:sz="4" w:space="0" w:color="auto"/>
              <w:left w:val="single" w:sz="4" w:space="0" w:color="auto"/>
              <w:bottom w:val="single" w:sz="4" w:space="0" w:color="auto"/>
              <w:right w:val="single" w:sz="4" w:space="0" w:color="auto"/>
            </w:tcBorders>
            <w:vAlign w:val="center"/>
          </w:tcPr>
          <w:p w14:paraId="47C2674B" w14:textId="10980D7D" w:rsidR="00EC6897" w:rsidRPr="00235E1B" w:rsidRDefault="00EC6897" w:rsidP="00235E1B">
            <w:pPr>
              <w:spacing w:before="40" w:after="40"/>
              <w:rPr>
                <w:rFonts w:asciiTheme="minorHAnsi" w:hAnsiTheme="minorHAnsi" w:cs="Arial"/>
                <w:noProof w:val="0"/>
                <w:sz w:val="20"/>
              </w:rPr>
            </w:pPr>
            <w:r w:rsidRPr="00235E1B">
              <w:rPr>
                <w:rFonts w:asciiTheme="minorHAnsi" w:hAnsiTheme="minorHAnsi" w:cs="Arial"/>
                <w:noProof w:val="0"/>
                <w:sz w:val="20"/>
              </w:rPr>
              <w:t xml:space="preserve">Failure to submit required reports, </w:t>
            </w:r>
            <w:r w:rsidR="003B1469" w:rsidRPr="00235E1B">
              <w:rPr>
                <w:rFonts w:asciiTheme="minorHAnsi" w:hAnsiTheme="minorHAnsi" w:cs="Arial"/>
                <w:noProof w:val="0"/>
                <w:sz w:val="20"/>
              </w:rPr>
              <w:t xml:space="preserve">information requests, </w:t>
            </w:r>
            <w:r w:rsidRPr="00235E1B">
              <w:rPr>
                <w:rFonts w:asciiTheme="minorHAnsi" w:hAnsiTheme="minorHAnsi" w:cs="Arial"/>
                <w:noProof w:val="0"/>
                <w:sz w:val="20"/>
              </w:rPr>
              <w:t xml:space="preserve">documentation, ad hoc reports, data certification forms, </w:t>
            </w:r>
            <w:r w:rsidR="00492013" w:rsidRPr="00235E1B">
              <w:rPr>
                <w:rFonts w:asciiTheme="minorHAnsi" w:hAnsiTheme="minorHAnsi"/>
                <w:noProof w:val="0"/>
                <w:sz w:val="20"/>
              </w:rPr>
              <w:t xml:space="preserve">overpayment remittances, </w:t>
            </w:r>
            <w:r w:rsidRPr="00235E1B">
              <w:rPr>
                <w:rFonts w:asciiTheme="minorHAnsi" w:hAnsiTheme="minorHAnsi" w:cs="Arial"/>
                <w:noProof w:val="0"/>
                <w:sz w:val="20"/>
              </w:rPr>
              <w:t xml:space="preserve">or any other </w:t>
            </w:r>
            <w:r w:rsidR="00492013" w:rsidRPr="00235E1B">
              <w:rPr>
                <w:rFonts w:asciiTheme="minorHAnsi" w:hAnsiTheme="minorHAnsi" w:cs="Arial"/>
                <w:noProof w:val="0"/>
                <w:sz w:val="20"/>
              </w:rPr>
              <w:t xml:space="preserve">item </w:t>
            </w:r>
            <w:r w:rsidRPr="00235E1B">
              <w:rPr>
                <w:rFonts w:asciiTheme="minorHAnsi" w:hAnsiTheme="minorHAnsi" w:cs="Arial"/>
                <w:noProof w:val="0"/>
                <w:sz w:val="20"/>
              </w:rPr>
              <w:t xml:space="preserve">required within the timeframes provided by this </w:t>
            </w:r>
            <w:r w:rsidR="009B19C2" w:rsidRPr="00235E1B">
              <w:rPr>
                <w:rFonts w:asciiTheme="minorHAnsi" w:hAnsiTheme="minorHAnsi" w:cs="Arial"/>
                <w:noProof w:val="0"/>
                <w:sz w:val="20"/>
              </w:rPr>
              <w:t xml:space="preserve">Contract </w:t>
            </w:r>
            <w:r w:rsidRPr="00235E1B">
              <w:rPr>
                <w:rFonts w:asciiTheme="minorHAnsi" w:hAnsiTheme="minorHAnsi" w:cs="Arial"/>
                <w:noProof w:val="0"/>
                <w:sz w:val="20"/>
              </w:rPr>
              <w:t>or by the Department. The MCO may have a one</w:t>
            </w:r>
            <w:r w:rsidR="0032431A" w:rsidRPr="00235E1B">
              <w:rPr>
                <w:rFonts w:asciiTheme="minorHAnsi" w:hAnsiTheme="minorHAnsi" w:cs="Arial"/>
                <w:noProof w:val="0"/>
                <w:sz w:val="20"/>
              </w:rPr>
              <w:t xml:space="preserve"> (1)</w:t>
            </w:r>
            <w:r w:rsidRPr="00235E1B">
              <w:rPr>
                <w:rFonts w:asciiTheme="minorHAnsi" w:hAnsiTheme="minorHAnsi" w:cs="Arial"/>
                <w:noProof w:val="0"/>
                <w:sz w:val="20"/>
              </w:rPr>
              <w:t xml:space="preserve"> business day grace period following the due date of the data, report,</w:t>
            </w:r>
            <w:r w:rsidR="00492013" w:rsidRPr="00235E1B">
              <w:rPr>
                <w:rFonts w:asciiTheme="minorHAnsi" w:hAnsiTheme="minorHAnsi"/>
                <w:noProof w:val="0"/>
                <w:sz w:val="20"/>
              </w:rPr>
              <w:t xml:space="preserve"> remittance,</w:t>
            </w:r>
            <w:r w:rsidRPr="00235E1B">
              <w:rPr>
                <w:rFonts w:asciiTheme="minorHAnsi" w:hAnsiTheme="minorHAnsi" w:cs="Arial"/>
                <w:noProof w:val="0"/>
                <w:sz w:val="20"/>
              </w:rPr>
              <w:t xml:space="preserve"> or form. Article II, </w:t>
            </w:r>
            <w:r w:rsidR="000E03CF" w:rsidRPr="00235E1B">
              <w:rPr>
                <w:rFonts w:asciiTheme="minorHAnsi" w:hAnsiTheme="minorHAnsi" w:cs="Arial"/>
                <w:noProof w:val="0"/>
                <w:sz w:val="20"/>
              </w:rPr>
              <w:t xml:space="preserve">Section </w:t>
            </w:r>
            <w:r w:rsidRPr="00235E1B">
              <w:rPr>
                <w:rFonts w:asciiTheme="minorHAnsi" w:hAnsiTheme="minorHAnsi" w:cs="Arial"/>
                <w:noProof w:val="0"/>
                <w:sz w:val="20"/>
              </w:rPr>
              <w:t>4.1</w:t>
            </w:r>
            <w:r w:rsidR="003F0A43">
              <w:rPr>
                <w:rFonts w:asciiTheme="minorHAnsi" w:hAnsiTheme="minorHAnsi" w:cs="Arial"/>
                <w:noProof w:val="0"/>
                <w:sz w:val="20"/>
              </w:rPr>
              <w:t>3</w:t>
            </w:r>
            <w:r w:rsidR="006164F9" w:rsidRPr="00235E1B">
              <w:rPr>
                <w:rFonts w:asciiTheme="minorHAnsi" w:hAnsiTheme="minorHAnsi" w:cs="Arial"/>
                <w:noProof w:val="0"/>
                <w:sz w:val="20"/>
              </w:rPr>
              <w:t xml:space="preserve">, unless otherwise specified in this </w:t>
            </w:r>
            <w:r w:rsidR="00F33B38" w:rsidRPr="00235E1B">
              <w:rPr>
                <w:rFonts w:asciiTheme="minorHAnsi" w:hAnsiTheme="minorHAnsi" w:cs="Arial"/>
                <w:noProof w:val="0"/>
                <w:sz w:val="20"/>
              </w:rPr>
              <w:t>Appendix</w:t>
            </w:r>
            <w:r w:rsidR="006164F9" w:rsidRPr="00235E1B">
              <w:rPr>
                <w:rFonts w:asciiTheme="minorHAnsi" w:hAnsiTheme="minorHAnsi" w:cs="Arial"/>
                <w:noProof w:val="0"/>
                <w:sz w:val="20"/>
              </w:rPr>
              <w:t>.</w:t>
            </w:r>
          </w:p>
        </w:tc>
        <w:tc>
          <w:tcPr>
            <w:tcW w:w="3019" w:type="dxa"/>
            <w:tcBorders>
              <w:top w:val="single" w:sz="4" w:space="0" w:color="auto"/>
              <w:left w:val="single" w:sz="4" w:space="0" w:color="auto"/>
              <w:bottom w:val="single" w:sz="4" w:space="0" w:color="auto"/>
              <w:right w:val="single" w:sz="4" w:space="0" w:color="auto"/>
            </w:tcBorders>
            <w:vAlign w:val="center"/>
          </w:tcPr>
          <w:p w14:paraId="08018DED" w14:textId="77777777" w:rsidR="00EC6897" w:rsidRPr="00235E1B" w:rsidRDefault="00EC6897" w:rsidP="00235E1B">
            <w:pPr>
              <w:spacing w:before="40" w:after="40"/>
              <w:rPr>
                <w:rFonts w:asciiTheme="minorHAnsi" w:hAnsiTheme="minorHAnsi" w:cs="Arial"/>
                <w:noProof w:val="0"/>
                <w:sz w:val="20"/>
              </w:rPr>
            </w:pPr>
            <w:r w:rsidRPr="00235E1B">
              <w:rPr>
                <w:rFonts w:asciiTheme="minorHAnsi" w:hAnsiTheme="minorHAnsi" w:cs="Arial"/>
                <w:noProof w:val="0"/>
                <w:sz w:val="20"/>
              </w:rPr>
              <w:t>Ongoing</w:t>
            </w:r>
          </w:p>
        </w:tc>
        <w:tc>
          <w:tcPr>
            <w:tcW w:w="4140" w:type="dxa"/>
            <w:tcBorders>
              <w:top w:val="single" w:sz="4" w:space="0" w:color="auto"/>
              <w:left w:val="single" w:sz="4" w:space="0" w:color="auto"/>
              <w:bottom w:val="single" w:sz="4" w:space="0" w:color="auto"/>
              <w:right w:val="single" w:sz="4" w:space="0" w:color="auto"/>
            </w:tcBorders>
            <w:vAlign w:val="center"/>
          </w:tcPr>
          <w:p w14:paraId="3EAE833B" w14:textId="32301437" w:rsidR="00EC6897" w:rsidRPr="00235E1B" w:rsidRDefault="00EC6897" w:rsidP="00235E1B">
            <w:pPr>
              <w:spacing w:before="40" w:after="40"/>
              <w:rPr>
                <w:rFonts w:asciiTheme="minorHAnsi" w:hAnsiTheme="minorHAnsi" w:cs="Arial"/>
                <w:noProof w:val="0"/>
                <w:sz w:val="20"/>
              </w:rPr>
            </w:pPr>
            <w:r w:rsidRPr="00235E1B">
              <w:rPr>
                <w:rFonts w:asciiTheme="minorHAnsi" w:hAnsiTheme="minorHAnsi" w:cs="Arial"/>
                <w:noProof w:val="0"/>
                <w:sz w:val="20"/>
              </w:rPr>
              <w:t xml:space="preserve">$250 per </w:t>
            </w:r>
            <w:r w:rsidR="00492013" w:rsidRPr="00235E1B">
              <w:rPr>
                <w:rFonts w:asciiTheme="minorHAnsi" w:hAnsiTheme="minorHAnsi" w:cs="Arial"/>
                <w:noProof w:val="0"/>
                <w:sz w:val="20"/>
              </w:rPr>
              <w:t xml:space="preserve">business </w:t>
            </w:r>
            <w:r w:rsidRPr="00235E1B">
              <w:rPr>
                <w:rFonts w:asciiTheme="minorHAnsi" w:hAnsiTheme="minorHAnsi" w:cs="Arial"/>
                <w:noProof w:val="0"/>
                <w:sz w:val="20"/>
              </w:rPr>
              <w:t xml:space="preserve">day per each item that is overdue until the satisfactory submission of the required report, documentation, ad hoc report, data certification form, or data required to meet any State or federal reporting requirements After three (3) instances of non-performance during the </w:t>
            </w:r>
            <w:r w:rsidR="009B19C2" w:rsidRPr="00235E1B">
              <w:rPr>
                <w:rFonts w:asciiTheme="minorHAnsi" w:hAnsiTheme="minorHAnsi" w:cs="Arial"/>
                <w:noProof w:val="0"/>
                <w:sz w:val="20"/>
              </w:rPr>
              <w:t xml:space="preserve">Contract </w:t>
            </w:r>
            <w:r w:rsidRPr="00235E1B">
              <w:rPr>
                <w:rFonts w:asciiTheme="minorHAnsi" w:hAnsiTheme="minorHAnsi" w:cs="Arial"/>
                <w:noProof w:val="0"/>
                <w:sz w:val="20"/>
              </w:rPr>
              <w:t xml:space="preserve">period, the amount is increased </w:t>
            </w:r>
            <w:r w:rsidR="00492013" w:rsidRPr="00235E1B">
              <w:rPr>
                <w:rFonts w:asciiTheme="minorHAnsi" w:hAnsiTheme="minorHAnsi"/>
                <w:noProof w:val="0"/>
                <w:sz w:val="20"/>
              </w:rPr>
              <w:t xml:space="preserve">to $1,250 </w:t>
            </w:r>
            <w:r w:rsidRPr="00235E1B">
              <w:rPr>
                <w:rFonts w:asciiTheme="minorHAnsi" w:hAnsiTheme="minorHAnsi" w:cs="Arial"/>
                <w:noProof w:val="0"/>
                <w:sz w:val="20"/>
              </w:rPr>
              <w:t xml:space="preserve">per </w:t>
            </w:r>
            <w:r w:rsidR="00492013" w:rsidRPr="00235E1B">
              <w:rPr>
                <w:rFonts w:asciiTheme="minorHAnsi" w:hAnsiTheme="minorHAnsi" w:cs="Arial"/>
                <w:noProof w:val="0"/>
                <w:sz w:val="20"/>
              </w:rPr>
              <w:t xml:space="preserve">business </w:t>
            </w:r>
            <w:r w:rsidRPr="00235E1B">
              <w:rPr>
                <w:rFonts w:asciiTheme="minorHAnsi" w:hAnsiTheme="minorHAnsi" w:cs="Arial"/>
                <w:noProof w:val="0"/>
                <w:sz w:val="20"/>
              </w:rPr>
              <w:t xml:space="preserve">day per each item that is overdue. </w:t>
            </w:r>
          </w:p>
        </w:tc>
      </w:tr>
      <w:tr w:rsidR="00EC6897" w:rsidRPr="006B10B7" w14:paraId="4C27C6F3" w14:textId="77777777" w:rsidTr="00235E1B">
        <w:trPr>
          <w:trHeight w:val="715"/>
          <w:jc w:val="center"/>
        </w:trPr>
        <w:tc>
          <w:tcPr>
            <w:tcW w:w="55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5117610" w14:textId="77777777" w:rsidR="00EC6897" w:rsidRPr="00235E1B" w:rsidRDefault="00EC6897" w:rsidP="00235E1B">
            <w:pPr>
              <w:spacing w:before="40" w:after="40"/>
              <w:jc w:val="center"/>
              <w:rPr>
                <w:rFonts w:asciiTheme="minorHAnsi" w:hAnsiTheme="minorHAnsi" w:cs="Arial"/>
                <w:noProof w:val="0"/>
                <w:sz w:val="20"/>
              </w:rPr>
            </w:pPr>
            <w:r w:rsidRPr="00235E1B">
              <w:rPr>
                <w:rFonts w:asciiTheme="minorHAnsi" w:hAnsiTheme="minorHAnsi" w:cs="Arial"/>
                <w:bCs/>
                <w:noProof w:val="0"/>
                <w:sz w:val="20"/>
              </w:rPr>
              <w:t>2</w:t>
            </w:r>
          </w:p>
        </w:tc>
        <w:tc>
          <w:tcPr>
            <w:tcW w:w="501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EB48F6" w14:textId="344A3573" w:rsidR="00EC6897" w:rsidRPr="00235E1B" w:rsidRDefault="00EC6897" w:rsidP="00235E1B">
            <w:pPr>
              <w:spacing w:before="40" w:after="40"/>
              <w:rPr>
                <w:rFonts w:asciiTheme="minorHAnsi" w:hAnsiTheme="minorHAnsi" w:cs="Arial"/>
                <w:noProof w:val="0"/>
                <w:sz w:val="20"/>
              </w:rPr>
            </w:pPr>
            <w:r w:rsidRPr="00235E1B">
              <w:rPr>
                <w:rFonts w:asciiTheme="minorHAnsi" w:hAnsiTheme="minorHAnsi" w:cs="Arial"/>
                <w:noProof w:val="0"/>
                <w:sz w:val="20"/>
              </w:rPr>
              <w:t xml:space="preserve">Failure to comply with encounter data submission requirements </w:t>
            </w:r>
            <w:r w:rsidR="002025ED" w:rsidRPr="00235E1B">
              <w:rPr>
                <w:rFonts w:asciiTheme="minorHAnsi" w:hAnsiTheme="minorHAnsi" w:cs="Arial"/>
                <w:noProof w:val="0"/>
                <w:sz w:val="20"/>
              </w:rPr>
              <w:t xml:space="preserve">including </w:t>
            </w:r>
            <w:r w:rsidRPr="00235E1B">
              <w:rPr>
                <w:rFonts w:asciiTheme="minorHAnsi" w:hAnsiTheme="minorHAnsi" w:cs="Arial"/>
                <w:noProof w:val="0"/>
                <w:sz w:val="20"/>
              </w:rPr>
              <w:t xml:space="preserve">the failure to address or resolve problems with encounter records in a timely manner as required by </w:t>
            </w:r>
            <w:r w:rsidR="00773207" w:rsidRPr="00235E1B">
              <w:rPr>
                <w:rFonts w:asciiTheme="minorHAnsi" w:hAnsiTheme="minorHAnsi" w:cs="Arial"/>
                <w:noProof w:val="0"/>
                <w:sz w:val="20"/>
              </w:rPr>
              <w:t xml:space="preserve">Article III, </w:t>
            </w:r>
            <w:r w:rsidR="000E03CF" w:rsidRPr="00235E1B">
              <w:rPr>
                <w:rFonts w:asciiTheme="minorHAnsi" w:hAnsiTheme="minorHAnsi" w:cs="Arial"/>
                <w:noProof w:val="0"/>
                <w:sz w:val="20"/>
              </w:rPr>
              <w:t xml:space="preserve">Section </w:t>
            </w:r>
            <w:r w:rsidR="00773207" w:rsidRPr="00235E1B">
              <w:rPr>
                <w:rFonts w:asciiTheme="minorHAnsi" w:hAnsiTheme="minorHAnsi" w:cs="Arial"/>
                <w:noProof w:val="0"/>
                <w:sz w:val="20"/>
              </w:rPr>
              <w:t>5.1</w:t>
            </w:r>
            <w:r w:rsidR="0000169B">
              <w:rPr>
                <w:rFonts w:asciiTheme="minorHAnsi" w:hAnsiTheme="minorHAnsi" w:cs="Arial"/>
                <w:noProof w:val="0"/>
                <w:sz w:val="20"/>
              </w:rPr>
              <w:t>0</w:t>
            </w:r>
            <w:r w:rsidR="00AD3BA3" w:rsidRPr="00235E1B">
              <w:rPr>
                <w:rFonts w:asciiTheme="minorHAnsi" w:hAnsiTheme="minorHAnsi" w:cs="Arial"/>
                <w:noProof w:val="0"/>
                <w:sz w:val="20"/>
              </w:rPr>
              <w:t>.</w:t>
            </w:r>
          </w:p>
        </w:tc>
        <w:tc>
          <w:tcPr>
            <w:tcW w:w="3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25AD6AB" w14:textId="77777777" w:rsidR="00EC6897" w:rsidRPr="00235E1B" w:rsidRDefault="00EC6897" w:rsidP="00235E1B">
            <w:pPr>
              <w:spacing w:before="40" w:after="40"/>
              <w:rPr>
                <w:rFonts w:asciiTheme="minorHAnsi" w:hAnsiTheme="minorHAnsi" w:cs="Arial"/>
                <w:noProof w:val="0"/>
                <w:sz w:val="20"/>
              </w:rPr>
            </w:pPr>
            <w:r w:rsidRPr="00235E1B">
              <w:rPr>
                <w:rFonts w:asciiTheme="minorHAnsi" w:hAnsiTheme="minorHAnsi" w:cs="Arial"/>
                <w:noProof w:val="0"/>
                <w:sz w:val="20"/>
              </w:rPr>
              <w:t>Monthly</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1EA14AB" w14:textId="77777777" w:rsidR="00EC6897" w:rsidRPr="00235E1B" w:rsidRDefault="00EC6897" w:rsidP="00235E1B">
            <w:pPr>
              <w:spacing w:before="40" w:after="40"/>
              <w:rPr>
                <w:rFonts w:asciiTheme="minorHAnsi" w:hAnsiTheme="minorHAnsi" w:cs="Arial"/>
                <w:noProof w:val="0"/>
                <w:sz w:val="20"/>
              </w:rPr>
            </w:pPr>
            <w:r w:rsidRPr="00235E1B">
              <w:rPr>
                <w:rFonts w:asciiTheme="minorHAnsi" w:hAnsiTheme="minorHAnsi" w:cs="Arial"/>
                <w:noProof w:val="0"/>
                <w:sz w:val="20"/>
              </w:rPr>
              <w:t>$1,000 per single encounter file per reporting period.</w:t>
            </w:r>
          </w:p>
        </w:tc>
      </w:tr>
      <w:tr w:rsidR="00CB5E77" w:rsidRPr="006B10B7" w14:paraId="023808AD" w14:textId="77777777" w:rsidTr="00EB6E6F">
        <w:trPr>
          <w:trHeight w:val="715"/>
          <w:jc w:val="center"/>
        </w:trPr>
        <w:tc>
          <w:tcPr>
            <w:tcW w:w="558" w:type="dxa"/>
            <w:tcBorders>
              <w:top w:val="single" w:sz="4" w:space="0" w:color="auto"/>
              <w:left w:val="single" w:sz="4" w:space="0" w:color="auto"/>
              <w:bottom w:val="single" w:sz="4" w:space="0" w:color="auto"/>
              <w:right w:val="single" w:sz="4" w:space="0" w:color="auto"/>
            </w:tcBorders>
            <w:vAlign w:val="center"/>
          </w:tcPr>
          <w:p w14:paraId="0ED0ECF0" w14:textId="3AB17CDC" w:rsidR="00CB5E77" w:rsidRPr="00235E1B" w:rsidRDefault="00CB5E77"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3</w:t>
            </w:r>
          </w:p>
        </w:tc>
        <w:tc>
          <w:tcPr>
            <w:tcW w:w="5017" w:type="dxa"/>
            <w:tcBorders>
              <w:top w:val="single" w:sz="4" w:space="0" w:color="auto"/>
              <w:left w:val="single" w:sz="4" w:space="0" w:color="auto"/>
              <w:bottom w:val="single" w:sz="4" w:space="0" w:color="auto"/>
              <w:right w:val="single" w:sz="4" w:space="0" w:color="auto"/>
            </w:tcBorders>
            <w:vAlign w:val="center"/>
          </w:tcPr>
          <w:p w14:paraId="001E65B2" w14:textId="1DF149BB" w:rsidR="00CB5E77" w:rsidRPr="00235E1B" w:rsidRDefault="00CB5E77" w:rsidP="00235E1B">
            <w:pPr>
              <w:spacing w:before="40" w:after="40"/>
              <w:rPr>
                <w:rFonts w:asciiTheme="minorHAnsi" w:hAnsiTheme="minorHAnsi" w:cs="Arial"/>
                <w:noProof w:val="0"/>
                <w:sz w:val="20"/>
              </w:rPr>
            </w:pPr>
            <w:r w:rsidRPr="00235E1B">
              <w:rPr>
                <w:rFonts w:asciiTheme="minorHAnsi" w:hAnsiTheme="minorHAnsi" w:cs="Arial"/>
                <w:noProof w:val="0"/>
                <w:sz w:val="20"/>
              </w:rPr>
              <w:t>Failure to meet a</w:t>
            </w:r>
            <w:r w:rsidR="005F045E" w:rsidRPr="00235E1B">
              <w:rPr>
                <w:rFonts w:asciiTheme="minorHAnsi" w:hAnsiTheme="minorHAnsi" w:cs="Arial"/>
                <w:noProof w:val="0"/>
                <w:sz w:val="20"/>
              </w:rPr>
              <w:t xml:space="preserve"> ninety-five</w:t>
            </w:r>
            <w:r w:rsidRPr="00235E1B">
              <w:rPr>
                <w:rFonts w:asciiTheme="minorHAnsi" w:hAnsiTheme="minorHAnsi" w:cs="Arial"/>
                <w:noProof w:val="0"/>
                <w:sz w:val="20"/>
              </w:rPr>
              <w:t xml:space="preserve"> </w:t>
            </w:r>
            <w:r w:rsidR="005F045E" w:rsidRPr="00235E1B">
              <w:rPr>
                <w:rFonts w:asciiTheme="minorHAnsi" w:hAnsiTheme="minorHAnsi" w:cs="Arial"/>
                <w:noProof w:val="0"/>
                <w:sz w:val="20"/>
              </w:rPr>
              <w:t>percent</w:t>
            </w:r>
            <w:r w:rsidRPr="00235E1B">
              <w:rPr>
                <w:rFonts w:asciiTheme="minorHAnsi" w:hAnsiTheme="minorHAnsi" w:cs="Arial"/>
                <w:noProof w:val="0"/>
                <w:sz w:val="20"/>
              </w:rPr>
              <w:t xml:space="preserve"> </w:t>
            </w:r>
            <w:r w:rsidR="00492013" w:rsidRPr="00235E1B">
              <w:rPr>
                <w:rFonts w:asciiTheme="minorHAnsi" w:hAnsiTheme="minorHAnsi" w:cs="Arial"/>
                <w:noProof w:val="0"/>
                <w:sz w:val="20"/>
              </w:rPr>
              <w:t xml:space="preserve">(95%) </w:t>
            </w:r>
            <w:r w:rsidRPr="00235E1B">
              <w:rPr>
                <w:rFonts w:asciiTheme="minorHAnsi" w:hAnsiTheme="minorHAnsi" w:cs="Arial"/>
                <w:noProof w:val="0"/>
                <w:sz w:val="20"/>
              </w:rPr>
              <w:t xml:space="preserve">encounter acceptance rate as required by Article III, </w:t>
            </w:r>
            <w:r w:rsidR="000E03CF" w:rsidRPr="00235E1B">
              <w:rPr>
                <w:rFonts w:asciiTheme="minorHAnsi" w:hAnsiTheme="minorHAnsi" w:cs="Arial"/>
                <w:noProof w:val="0"/>
                <w:sz w:val="20"/>
              </w:rPr>
              <w:t xml:space="preserve">Section </w:t>
            </w:r>
            <w:r w:rsidRPr="00235E1B">
              <w:rPr>
                <w:rFonts w:asciiTheme="minorHAnsi" w:hAnsiTheme="minorHAnsi" w:cs="Arial"/>
                <w:noProof w:val="0"/>
                <w:sz w:val="20"/>
              </w:rPr>
              <w:t>5.1</w:t>
            </w:r>
            <w:r w:rsidR="0000169B">
              <w:rPr>
                <w:rFonts w:asciiTheme="minorHAnsi" w:hAnsiTheme="minorHAnsi" w:cs="Arial"/>
                <w:noProof w:val="0"/>
                <w:sz w:val="20"/>
              </w:rPr>
              <w:t>0</w:t>
            </w:r>
          </w:p>
        </w:tc>
        <w:tc>
          <w:tcPr>
            <w:tcW w:w="3019" w:type="dxa"/>
            <w:tcBorders>
              <w:top w:val="single" w:sz="4" w:space="0" w:color="auto"/>
              <w:left w:val="single" w:sz="4" w:space="0" w:color="auto"/>
              <w:bottom w:val="single" w:sz="4" w:space="0" w:color="auto"/>
              <w:right w:val="single" w:sz="4" w:space="0" w:color="auto"/>
            </w:tcBorders>
            <w:vAlign w:val="center"/>
          </w:tcPr>
          <w:p w14:paraId="292FFB1D" w14:textId="69B5AAC5" w:rsidR="00CB5E77" w:rsidRPr="00235E1B" w:rsidRDefault="00CB5E77" w:rsidP="00235E1B">
            <w:pPr>
              <w:spacing w:before="40" w:after="40"/>
              <w:rPr>
                <w:rFonts w:asciiTheme="minorHAnsi" w:hAnsiTheme="minorHAnsi" w:cs="Arial"/>
                <w:noProof w:val="0"/>
                <w:sz w:val="20"/>
              </w:rPr>
            </w:pPr>
            <w:r w:rsidRPr="00235E1B">
              <w:rPr>
                <w:rFonts w:asciiTheme="minorHAnsi" w:hAnsiTheme="minorHAnsi" w:cs="Arial"/>
                <w:noProof w:val="0"/>
                <w:sz w:val="20"/>
              </w:rPr>
              <w:t>Monthly</w:t>
            </w:r>
          </w:p>
        </w:tc>
        <w:tc>
          <w:tcPr>
            <w:tcW w:w="4140" w:type="dxa"/>
            <w:tcBorders>
              <w:top w:val="single" w:sz="4" w:space="0" w:color="auto"/>
              <w:left w:val="single" w:sz="4" w:space="0" w:color="auto"/>
              <w:bottom w:val="single" w:sz="4" w:space="0" w:color="auto"/>
              <w:right w:val="single" w:sz="4" w:space="0" w:color="auto"/>
            </w:tcBorders>
            <w:vAlign w:val="center"/>
          </w:tcPr>
          <w:p w14:paraId="30C149C6" w14:textId="7C7524ED" w:rsidR="00CB5E77" w:rsidRPr="00235E1B" w:rsidRDefault="00CB5E77" w:rsidP="00235E1B">
            <w:pPr>
              <w:spacing w:before="40" w:after="40"/>
              <w:rPr>
                <w:rFonts w:asciiTheme="minorHAnsi" w:hAnsiTheme="minorHAnsi" w:cs="Arial"/>
                <w:noProof w:val="0"/>
                <w:sz w:val="20"/>
              </w:rPr>
            </w:pPr>
            <w:r w:rsidRPr="00235E1B">
              <w:rPr>
                <w:rFonts w:asciiTheme="minorHAnsi" w:hAnsiTheme="minorHAnsi" w:cs="Arial"/>
                <w:noProof w:val="0"/>
                <w:sz w:val="20"/>
              </w:rPr>
              <w:t xml:space="preserve">$100 per each rejected encounter </w:t>
            </w:r>
            <w:r w:rsidR="00F31DCE" w:rsidRPr="00235E1B">
              <w:rPr>
                <w:rFonts w:asciiTheme="minorHAnsi" w:hAnsiTheme="minorHAnsi" w:cs="Arial"/>
                <w:noProof w:val="0"/>
                <w:sz w:val="20"/>
              </w:rPr>
              <w:t>below</w:t>
            </w:r>
            <w:r w:rsidRPr="00235E1B">
              <w:rPr>
                <w:rFonts w:asciiTheme="minorHAnsi" w:hAnsiTheme="minorHAnsi" w:cs="Arial"/>
                <w:noProof w:val="0"/>
                <w:sz w:val="20"/>
              </w:rPr>
              <w:t xml:space="preserve"> the </w:t>
            </w:r>
            <w:r w:rsidR="005F045E" w:rsidRPr="00235E1B">
              <w:rPr>
                <w:rFonts w:asciiTheme="minorHAnsi" w:hAnsiTheme="minorHAnsi" w:cs="Arial"/>
                <w:noProof w:val="0"/>
                <w:sz w:val="20"/>
              </w:rPr>
              <w:t>ninety-five percent</w:t>
            </w:r>
            <w:r w:rsidRPr="00235E1B">
              <w:rPr>
                <w:rFonts w:asciiTheme="minorHAnsi" w:hAnsiTheme="minorHAnsi" w:cs="Arial"/>
                <w:noProof w:val="0"/>
                <w:sz w:val="20"/>
              </w:rPr>
              <w:t xml:space="preserve"> </w:t>
            </w:r>
            <w:r w:rsidR="00492013" w:rsidRPr="00235E1B">
              <w:rPr>
                <w:rFonts w:asciiTheme="minorHAnsi" w:hAnsiTheme="minorHAnsi" w:cs="Arial"/>
                <w:noProof w:val="0"/>
                <w:sz w:val="20"/>
              </w:rPr>
              <w:t xml:space="preserve">(95%) </w:t>
            </w:r>
            <w:r w:rsidRPr="00235E1B">
              <w:rPr>
                <w:rFonts w:asciiTheme="minorHAnsi" w:hAnsiTheme="minorHAnsi" w:cs="Arial"/>
                <w:noProof w:val="0"/>
                <w:sz w:val="20"/>
              </w:rPr>
              <w:t xml:space="preserve">acceptance rate threshold. </w:t>
            </w:r>
          </w:p>
        </w:tc>
      </w:tr>
      <w:tr w:rsidR="00EC6897" w:rsidRPr="006B10B7" w14:paraId="10CAD686" w14:textId="77777777" w:rsidTr="00235E1B">
        <w:trPr>
          <w:trHeight w:val="715"/>
          <w:jc w:val="center"/>
        </w:trPr>
        <w:tc>
          <w:tcPr>
            <w:tcW w:w="55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D084885" w14:textId="31D7E788" w:rsidR="00EC6897" w:rsidRPr="00235E1B" w:rsidRDefault="000B7C7D"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4</w:t>
            </w:r>
          </w:p>
        </w:tc>
        <w:tc>
          <w:tcPr>
            <w:tcW w:w="501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D2F3E7" w14:textId="60CD4FF8" w:rsidR="00EC6897" w:rsidRPr="00235E1B" w:rsidRDefault="00EC6897" w:rsidP="009B7161">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Failure </w:t>
            </w:r>
            <w:r w:rsidR="00503C7A" w:rsidRPr="00235E1B">
              <w:rPr>
                <w:rFonts w:asciiTheme="minorHAnsi" w:hAnsiTheme="minorHAnsi" w:cs="Arial"/>
                <w:bCs/>
                <w:noProof w:val="0"/>
                <w:sz w:val="20"/>
              </w:rPr>
              <w:t xml:space="preserve">to </w:t>
            </w:r>
            <w:r w:rsidRPr="00235E1B">
              <w:rPr>
                <w:rFonts w:asciiTheme="minorHAnsi" w:hAnsiTheme="minorHAnsi" w:cs="Arial"/>
                <w:bCs/>
                <w:noProof w:val="0"/>
                <w:sz w:val="20"/>
              </w:rPr>
              <w:t>resolve at least</w:t>
            </w:r>
            <w:r w:rsidR="00ED53E7" w:rsidRPr="00235E1B">
              <w:rPr>
                <w:rFonts w:asciiTheme="minorHAnsi" w:hAnsiTheme="minorHAnsi" w:cs="Arial"/>
                <w:bCs/>
                <w:noProof w:val="0"/>
                <w:sz w:val="20"/>
              </w:rPr>
              <w:t xml:space="preserve"> </w:t>
            </w:r>
            <w:r w:rsidR="0032431A" w:rsidRPr="00235E1B">
              <w:rPr>
                <w:rFonts w:asciiTheme="minorHAnsi" w:hAnsiTheme="minorHAnsi" w:cs="Arial"/>
                <w:bCs/>
                <w:noProof w:val="0"/>
                <w:sz w:val="20"/>
              </w:rPr>
              <w:t>ninety-eight percent</w:t>
            </w:r>
            <w:r w:rsidRPr="00235E1B">
              <w:rPr>
                <w:rFonts w:asciiTheme="minorHAnsi" w:hAnsiTheme="minorHAnsi" w:cs="Arial"/>
                <w:bCs/>
                <w:noProof w:val="0"/>
                <w:sz w:val="20"/>
              </w:rPr>
              <w:t xml:space="preserve"> </w:t>
            </w:r>
            <w:r w:rsidR="00492013" w:rsidRPr="00235E1B">
              <w:rPr>
                <w:rFonts w:asciiTheme="minorHAnsi" w:hAnsiTheme="minorHAnsi" w:cs="Arial"/>
                <w:noProof w:val="0"/>
                <w:sz w:val="20"/>
              </w:rPr>
              <w:t xml:space="preserve">(98%) </w:t>
            </w:r>
            <w:r w:rsidRPr="00235E1B">
              <w:rPr>
                <w:rFonts w:asciiTheme="minorHAnsi" w:hAnsiTheme="minorHAnsi" w:cs="Arial"/>
                <w:bCs/>
                <w:noProof w:val="0"/>
                <w:sz w:val="20"/>
              </w:rPr>
              <w:t xml:space="preserve">of </w:t>
            </w:r>
            <w:r w:rsidR="009B7161">
              <w:rPr>
                <w:rFonts w:asciiTheme="minorHAnsi" w:hAnsiTheme="minorHAnsi" w:cs="Arial"/>
                <w:bCs/>
                <w:noProof w:val="0"/>
                <w:sz w:val="20"/>
              </w:rPr>
              <w:t>enrollee</w:t>
            </w:r>
            <w:r w:rsidR="009B7161" w:rsidRPr="00235E1B">
              <w:rPr>
                <w:rFonts w:asciiTheme="minorHAnsi" w:hAnsiTheme="minorHAnsi" w:cs="Arial"/>
                <w:bCs/>
                <w:noProof w:val="0"/>
                <w:sz w:val="20"/>
              </w:rPr>
              <w:t xml:space="preserve"> </w:t>
            </w:r>
            <w:r w:rsidRPr="00235E1B">
              <w:rPr>
                <w:rFonts w:asciiTheme="minorHAnsi" w:hAnsiTheme="minorHAnsi" w:cs="Arial"/>
                <w:bCs/>
                <w:noProof w:val="0"/>
                <w:sz w:val="20"/>
              </w:rPr>
              <w:t xml:space="preserve">appeals within </w:t>
            </w:r>
            <w:r w:rsidR="0032431A" w:rsidRPr="00235E1B">
              <w:rPr>
                <w:rFonts w:asciiTheme="minorHAnsi" w:hAnsiTheme="minorHAnsi" w:cs="Arial"/>
                <w:bCs/>
                <w:noProof w:val="0"/>
                <w:sz w:val="20"/>
              </w:rPr>
              <w:t>thirty (</w:t>
            </w:r>
            <w:r w:rsidR="00110CD1" w:rsidRPr="00235E1B">
              <w:rPr>
                <w:rFonts w:asciiTheme="minorHAnsi" w:hAnsiTheme="minorHAnsi" w:cs="Arial"/>
                <w:bCs/>
                <w:noProof w:val="0"/>
                <w:sz w:val="20"/>
              </w:rPr>
              <w:t>30</w:t>
            </w:r>
            <w:r w:rsidR="0032431A" w:rsidRPr="00235E1B">
              <w:rPr>
                <w:rFonts w:asciiTheme="minorHAnsi" w:hAnsiTheme="minorHAnsi" w:cs="Arial"/>
                <w:bCs/>
                <w:noProof w:val="0"/>
                <w:sz w:val="20"/>
              </w:rPr>
              <w:t>)</w:t>
            </w:r>
            <w:r w:rsidRPr="00235E1B">
              <w:rPr>
                <w:rFonts w:asciiTheme="minorHAnsi" w:hAnsiTheme="minorHAnsi" w:cs="Arial"/>
                <w:bCs/>
                <w:noProof w:val="0"/>
                <w:sz w:val="20"/>
              </w:rPr>
              <w:t xml:space="preserve"> calendar days from the date the appeal is filed with the MCO</w:t>
            </w:r>
            <w:r w:rsidR="00071DED" w:rsidRPr="00235E1B">
              <w:rPr>
                <w:rFonts w:asciiTheme="minorHAnsi" w:hAnsiTheme="minorHAnsi" w:cs="Arial"/>
                <w:bCs/>
                <w:noProof w:val="0"/>
                <w:sz w:val="20"/>
              </w:rPr>
              <w:t xml:space="preserve">, unless </w:t>
            </w:r>
            <w:r w:rsidR="00503C7A" w:rsidRPr="00235E1B">
              <w:rPr>
                <w:rFonts w:asciiTheme="minorHAnsi" w:hAnsiTheme="minorHAnsi" w:cs="Arial"/>
                <w:bCs/>
                <w:noProof w:val="0"/>
                <w:sz w:val="20"/>
              </w:rPr>
              <w:t xml:space="preserve">an </w:t>
            </w:r>
            <w:r w:rsidR="00D44717" w:rsidRPr="00235E1B">
              <w:rPr>
                <w:rFonts w:asciiTheme="minorHAnsi" w:hAnsiTheme="minorHAnsi" w:cs="Arial"/>
                <w:noProof w:val="0"/>
                <w:sz w:val="20"/>
              </w:rPr>
              <w:t>enrollee requests an extension or the MCO shows that a delay is necessary and in the interest of the enrollee</w:t>
            </w:r>
            <w:r w:rsidRPr="00235E1B">
              <w:rPr>
                <w:rFonts w:asciiTheme="minorHAnsi" w:hAnsiTheme="minorHAnsi" w:cs="Arial"/>
                <w:bCs/>
                <w:noProof w:val="0"/>
                <w:sz w:val="20"/>
              </w:rPr>
              <w:t xml:space="preserve">. Article III, </w:t>
            </w:r>
            <w:r w:rsidR="000E03CF" w:rsidRPr="00235E1B">
              <w:rPr>
                <w:rFonts w:asciiTheme="minorHAnsi" w:hAnsiTheme="minorHAnsi" w:cs="Arial"/>
                <w:bCs/>
                <w:noProof w:val="0"/>
                <w:sz w:val="20"/>
              </w:rPr>
              <w:t xml:space="preserve">Section </w:t>
            </w:r>
            <w:r w:rsidR="0000169B">
              <w:rPr>
                <w:rFonts w:asciiTheme="minorHAnsi" w:hAnsiTheme="minorHAnsi" w:cs="Arial"/>
                <w:bCs/>
                <w:noProof w:val="0"/>
                <w:sz w:val="20"/>
              </w:rPr>
              <w:t>4</w:t>
            </w:r>
            <w:r w:rsidRPr="00235E1B">
              <w:rPr>
                <w:rFonts w:asciiTheme="minorHAnsi" w:hAnsiTheme="minorHAnsi" w:cs="Arial"/>
                <w:bCs/>
                <w:noProof w:val="0"/>
                <w:sz w:val="20"/>
              </w:rPr>
              <w:t>.8.</w:t>
            </w:r>
          </w:p>
        </w:tc>
        <w:tc>
          <w:tcPr>
            <w:tcW w:w="3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4E3B9BE" w14:textId="77777777"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Quarterly </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5952D1" w14:textId="2F122F01" w:rsidR="00EC6897" w:rsidRPr="00235E1B" w:rsidRDefault="00EC6897" w:rsidP="00235E1B">
            <w:pPr>
              <w:spacing w:before="40" w:after="40"/>
              <w:rPr>
                <w:rFonts w:asciiTheme="minorHAnsi" w:hAnsiTheme="minorHAnsi" w:cs="Arial"/>
                <w:noProof w:val="0"/>
                <w:sz w:val="20"/>
              </w:rPr>
            </w:pPr>
            <w:r w:rsidRPr="00235E1B">
              <w:rPr>
                <w:rFonts w:asciiTheme="minorHAnsi" w:hAnsiTheme="minorHAnsi" w:cs="Arial"/>
                <w:noProof w:val="0"/>
                <w:sz w:val="20"/>
              </w:rPr>
              <w:t>$1,000 for each percent</w:t>
            </w:r>
            <w:r w:rsidR="00503C7A" w:rsidRPr="00235E1B">
              <w:rPr>
                <w:rFonts w:asciiTheme="minorHAnsi" w:hAnsiTheme="minorHAnsi" w:cs="Arial"/>
                <w:noProof w:val="0"/>
                <w:sz w:val="20"/>
              </w:rPr>
              <w:t>age point</w:t>
            </w:r>
            <w:r w:rsidRPr="00235E1B">
              <w:rPr>
                <w:rFonts w:asciiTheme="minorHAnsi" w:hAnsiTheme="minorHAnsi" w:cs="Arial"/>
                <w:noProof w:val="0"/>
                <w:sz w:val="20"/>
              </w:rPr>
              <w:t xml:space="preserve"> below </w:t>
            </w:r>
            <w:r w:rsidR="0032431A" w:rsidRPr="00235E1B">
              <w:rPr>
                <w:rFonts w:asciiTheme="minorHAnsi" w:hAnsiTheme="minorHAnsi" w:cs="Arial"/>
                <w:noProof w:val="0"/>
                <w:sz w:val="20"/>
              </w:rPr>
              <w:t>ninety-eight percent</w:t>
            </w:r>
            <w:r w:rsidRPr="00235E1B">
              <w:rPr>
                <w:rFonts w:asciiTheme="minorHAnsi" w:hAnsiTheme="minorHAnsi" w:cs="Arial"/>
                <w:noProof w:val="0"/>
                <w:sz w:val="20"/>
              </w:rPr>
              <w:t xml:space="preserve"> </w:t>
            </w:r>
            <w:r w:rsidR="00492013" w:rsidRPr="00235E1B">
              <w:rPr>
                <w:rFonts w:asciiTheme="minorHAnsi" w:hAnsiTheme="minorHAnsi" w:cs="Arial"/>
                <w:noProof w:val="0"/>
                <w:sz w:val="20"/>
              </w:rPr>
              <w:t xml:space="preserve">(98%) </w:t>
            </w:r>
            <w:r w:rsidRPr="00235E1B">
              <w:rPr>
                <w:rFonts w:asciiTheme="minorHAnsi" w:hAnsiTheme="minorHAnsi" w:cs="Arial"/>
                <w:noProof w:val="0"/>
                <w:sz w:val="20"/>
              </w:rPr>
              <w:t>if the MCO fails to meet the standard.</w:t>
            </w:r>
          </w:p>
        </w:tc>
      </w:tr>
      <w:tr w:rsidR="00EC6897" w:rsidRPr="00666EF8" w14:paraId="56654F57" w14:textId="77777777" w:rsidTr="00EB6E6F">
        <w:trPr>
          <w:trHeight w:val="715"/>
          <w:jc w:val="center"/>
        </w:trPr>
        <w:tc>
          <w:tcPr>
            <w:tcW w:w="558" w:type="dxa"/>
            <w:tcBorders>
              <w:top w:val="single" w:sz="4" w:space="0" w:color="auto"/>
              <w:left w:val="single" w:sz="4" w:space="0" w:color="auto"/>
              <w:bottom w:val="single" w:sz="4" w:space="0" w:color="auto"/>
              <w:right w:val="single" w:sz="4" w:space="0" w:color="auto"/>
            </w:tcBorders>
            <w:vAlign w:val="center"/>
          </w:tcPr>
          <w:p w14:paraId="509487CE" w14:textId="4630AE1A" w:rsidR="00EC6897" w:rsidRPr="00235E1B" w:rsidRDefault="000B7C7D"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5</w:t>
            </w:r>
          </w:p>
        </w:tc>
        <w:tc>
          <w:tcPr>
            <w:tcW w:w="5017" w:type="dxa"/>
            <w:tcBorders>
              <w:top w:val="single" w:sz="4" w:space="0" w:color="auto"/>
              <w:left w:val="single" w:sz="4" w:space="0" w:color="auto"/>
              <w:bottom w:val="single" w:sz="4" w:space="0" w:color="auto"/>
              <w:right w:val="single" w:sz="4" w:space="0" w:color="auto"/>
            </w:tcBorders>
            <w:vAlign w:val="center"/>
          </w:tcPr>
          <w:p w14:paraId="6D2ABB5B" w14:textId="3F81B91B" w:rsidR="00EC6897" w:rsidRPr="00235E1B" w:rsidRDefault="00EC6897" w:rsidP="009B7161">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Failure to notify affected </w:t>
            </w:r>
            <w:r w:rsidR="009B7161">
              <w:rPr>
                <w:rFonts w:asciiTheme="minorHAnsi" w:hAnsiTheme="minorHAnsi" w:cs="Arial"/>
                <w:bCs/>
                <w:noProof w:val="0"/>
                <w:sz w:val="20"/>
              </w:rPr>
              <w:t>enrollee</w:t>
            </w:r>
            <w:r w:rsidR="009B7161" w:rsidRPr="00235E1B">
              <w:rPr>
                <w:rFonts w:asciiTheme="minorHAnsi" w:hAnsiTheme="minorHAnsi" w:cs="Arial"/>
                <w:bCs/>
                <w:noProof w:val="0"/>
                <w:sz w:val="20"/>
              </w:rPr>
              <w:t xml:space="preserve">s </w:t>
            </w:r>
            <w:r w:rsidRPr="00235E1B">
              <w:rPr>
                <w:rFonts w:asciiTheme="minorHAnsi" w:hAnsiTheme="minorHAnsi" w:cs="Arial"/>
                <w:noProof w:val="0"/>
                <w:sz w:val="20"/>
              </w:rPr>
              <w:t>of program or service site changes, at least fourteen</w:t>
            </w:r>
            <w:r w:rsidR="0032431A" w:rsidRPr="00235E1B">
              <w:rPr>
                <w:rFonts w:asciiTheme="minorHAnsi" w:hAnsiTheme="minorHAnsi" w:cs="Arial"/>
                <w:noProof w:val="0"/>
                <w:sz w:val="20"/>
              </w:rPr>
              <w:t xml:space="preserve"> (14)</w:t>
            </w:r>
            <w:r w:rsidRPr="00235E1B">
              <w:rPr>
                <w:rFonts w:asciiTheme="minorHAnsi" w:hAnsiTheme="minorHAnsi" w:cs="Arial"/>
                <w:noProof w:val="0"/>
                <w:sz w:val="20"/>
              </w:rPr>
              <w:t xml:space="preserve"> calendar days before </w:t>
            </w:r>
            <w:r w:rsidR="004578A0" w:rsidRPr="00235E1B">
              <w:rPr>
                <w:rFonts w:asciiTheme="minorHAnsi" w:hAnsiTheme="minorHAnsi" w:cs="Arial"/>
                <w:noProof w:val="0"/>
                <w:sz w:val="20"/>
              </w:rPr>
              <w:t xml:space="preserve">the </w:t>
            </w:r>
            <w:r w:rsidRPr="00235E1B">
              <w:rPr>
                <w:rFonts w:asciiTheme="minorHAnsi" w:hAnsiTheme="minorHAnsi" w:cs="Arial"/>
                <w:noProof w:val="0"/>
                <w:sz w:val="20"/>
              </w:rPr>
              <w:t xml:space="preserve">intended effective date of the change. </w:t>
            </w:r>
            <w:r w:rsidRPr="00235E1B">
              <w:rPr>
                <w:rFonts w:asciiTheme="minorHAnsi" w:hAnsiTheme="minorHAnsi" w:cs="Arial"/>
                <w:bCs/>
                <w:noProof w:val="0"/>
                <w:sz w:val="20"/>
              </w:rPr>
              <w:t xml:space="preserve">Article III, </w:t>
            </w:r>
            <w:r w:rsidR="000E03CF" w:rsidRPr="00235E1B">
              <w:rPr>
                <w:rFonts w:asciiTheme="minorHAnsi" w:hAnsiTheme="minorHAnsi" w:cs="Arial"/>
                <w:bCs/>
                <w:noProof w:val="0"/>
                <w:sz w:val="20"/>
              </w:rPr>
              <w:t xml:space="preserve">Section </w:t>
            </w:r>
            <w:r w:rsidR="00C20149">
              <w:rPr>
                <w:rFonts w:asciiTheme="minorHAnsi" w:hAnsiTheme="minorHAnsi" w:cs="Arial"/>
                <w:bCs/>
                <w:noProof w:val="0"/>
                <w:sz w:val="20"/>
              </w:rPr>
              <w:t>4.4.</w:t>
            </w:r>
          </w:p>
        </w:tc>
        <w:tc>
          <w:tcPr>
            <w:tcW w:w="3019" w:type="dxa"/>
            <w:tcBorders>
              <w:top w:val="single" w:sz="4" w:space="0" w:color="auto"/>
              <w:left w:val="single" w:sz="4" w:space="0" w:color="auto"/>
              <w:bottom w:val="single" w:sz="4" w:space="0" w:color="auto"/>
              <w:right w:val="single" w:sz="4" w:space="0" w:color="auto"/>
            </w:tcBorders>
            <w:vAlign w:val="center"/>
          </w:tcPr>
          <w:p w14:paraId="1B6283E1" w14:textId="77777777"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Ongoing </w:t>
            </w:r>
          </w:p>
        </w:tc>
        <w:tc>
          <w:tcPr>
            <w:tcW w:w="4140" w:type="dxa"/>
            <w:tcBorders>
              <w:top w:val="single" w:sz="4" w:space="0" w:color="auto"/>
              <w:left w:val="single" w:sz="4" w:space="0" w:color="auto"/>
              <w:bottom w:val="single" w:sz="4" w:space="0" w:color="auto"/>
              <w:right w:val="single" w:sz="4" w:space="0" w:color="auto"/>
            </w:tcBorders>
            <w:vAlign w:val="center"/>
          </w:tcPr>
          <w:p w14:paraId="2D69FEEB" w14:textId="6EA71CBE" w:rsidR="00EC6897" w:rsidRPr="00235E1B" w:rsidRDefault="00EC6897" w:rsidP="009B7161">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$250 per each incident per affected </w:t>
            </w:r>
            <w:r w:rsidR="009B7161">
              <w:rPr>
                <w:rFonts w:asciiTheme="minorHAnsi" w:hAnsiTheme="minorHAnsi" w:cs="Arial"/>
                <w:bCs/>
                <w:noProof w:val="0"/>
                <w:sz w:val="20"/>
              </w:rPr>
              <w:t>enrollee</w:t>
            </w:r>
            <w:r w:rsidRPr="00235E1B">
              <w:rPr>
                <w:rFonts w:asciiTheme="minorHAnsi" w:hAnsiTheme="minorHAnsi" w:cs="Arial"/>
                <w:bCs/>
                <w:noProof w:val="0"/>
                <w:sz w:val="20"/>
              </w:rPr>
              <w:t>.</w:t>
            </w:r>
          </w:p>
        </w:tc>
      </w:tr>
      <w:tr w:rsidR="00EC6897" w:rsidRPr="00666EF8" w14:paraId="0FFBE8D3" w14:textId="77777777" w:rsidTr="00235E1B">
        <w:trPr>
          <w:trHeight w:val="715"/>
          <w:jc w:val="center"/>
        </w:trPr>
        <w:tc>
          <w:tcPr>
            <w:tcW w:w="55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7A1B1DF" w14:textId="5493F343" w:rsidR="00EC6897" w:rsidRPr="00235E1B" w:rsidRDefault="000B7C7D"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lastRenderedPageBreak/>
              <w:t>6</w:t>
            </w:r>
          </w:p>
        </w:tc>
        <w:tc>
          <w:tcPr>
            <w:tcW w:w="501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13175C0" w14:textId="0C8379D0"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Failure to report </w:t>
            </w:r>
            <w:r w:rsidR="004578A0" w:rsidRPr="00235E1B">
              <w:rPr>
                <w:rFonts w:asciiTheme="minorHAnsi" w:hAnsiTheme="minorHAnsi" w:cs="Arial"/>
                <w:bCs/>
                <w:noProof w:val="0"/>
                <w:sz w:val="20"/>
              </w:rPr>
              <w:t xml:space="preserve">timely </w:t>
            </w:r>
            <w:r w:rsidRPr="00235E1B">
              <w:rPr>
                <w:rFonts w:asciiTheme="minorHAnsi" w:hAnsiTheme="minorHAnsi" w:cs="Arial"/>
                <w:bCs/>
                <w:noProof w:val="0"/>
                <w:sz w:val="20"/>
              </w:rPr>
              <w:t xml:space="preserve">to </w:t>
            </w:r>
            <w:r w:rsidR="000E03CF" w:rsidRPr="00235E1B">
              <w:rPr>
                <w:rFonts w:asciiTheme="minorHAnsi" w:hAnsiTheme="minorHAnsi" w:cs="Arial"/>
                <w:bCs/>
                <w:noProof w:val="0"/>
                <w:sz w:val="20"/>
              </w:rPr>
              <w:t xml:space="preserve">DHHR </w:t>
            </w:r>
            <w:r w:rsidRPr="00235E1B">
              <w:rPr>
                <w:rFonts w:asciiTheme="minorHAnsi" w:hAnsiTheme="minorHAnsi" w:cs="Arial"/>
                <w:bCs/>
                <w:noProof w:val="0"/>
                <w:sz w:val="20"/>
              </w:rPr>
              <w:t xml:space="preserve">significant network changes as described in Article III, </w:t>
            </w:r>
            <w:r w:rsidR="000E03CF" w:rsidRPr="00235E1B">
              <w:rPr>
                <w:rFonts w:asciiTheme="minorHAnsi" w:hAnsiTheme="minorHAnsi" w:cs="Arial"/>
                <w:bCs/>
                <w:noProof w:val="0"/>
                <w:sz w:val="20"/>
              </w:rPr>
              <w:t xml:space="preserve">Section </w:t>
            </w:r>
            <w:r w:rsidR="00793248">
              <w:rPr>
                <w:rFonts w:asciiTheme="minorHAnsi" w:hAnsiTheme="minorHAnsi" w:cs="Arial"/>
                <w:bCs/>
                <w:noProof w:val="0"/>
                <w:sz w:val="20"/>
              </w:rPr>
              <w:t>3</w:t>
            </w:r>
            <w:r w:rsidRPr="00235E1B">
              <w:rPr>
                <w:rFonts w:asciiTheme="minorHAnsi" w:hAnsiTheme="minorHAnsi" w:cs="Arial"/>
                <w:bCs/>
                <w:noProof w:val="0"/>
                <w:sz w:val="20"/>
              </w:rPr>
              <w:t>.1, Network Changes.</w:t>
            </w:r>
          </w:p>
        </w:tc>
        <w:tc>
          <w:tcPr>
            <w:tcW w:w="3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17F3A5D" w14:textId="77777777"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Ongoing </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EEE60A" w14:textId="77777777"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$500 per incident of non-compliance. </w:t>
            </w:r>
          </w:p>
        </w:tc>
      </w:tr>
      <w:tr w:rsidR="00EC6897" w:rsidRPr="00666EF8" w14:paraId="4BFCD057" w14:textId="77777777" w:rsidTr="00EB6E6F">
        <w:trPr>
          <w:trHeight w:val="715"/>
          <w:jc w:val="center"/>
        </w:trPr>
        <w:tc>
          <w:tcPr>
            <w:tcW w:w="558" w:type="dxa"/>
            <w:tcBorders>
              <w:top w:val="single" w:sz="4" w:space="0" w:color="auto"/>
              <w:left w:val="single" w:sz="4" w:space="0" w:color="auto"/>
              <w:bottom w:val="single" w:sz="4" w:space="0" w:color="auto"/>
              <w:right w:val="single" w:sz="4" w:space="0" w:color="auto"/>
            </w:tcBorders>
            <w:vAlign w:val="center"/>
          </w:tcPr>
          <w:p w14:paraId="4E1F9C4D" w14:textId="4AE826AF" w:rsidR="00EC6897" w:rsidRPr="00235E1B" w:rsidRDefault="000B7C7D"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7</w:t>
            </w:r>
          </w:p>
        </w:tc>
        <w:tc>
          <w:tcPr>
            <w:tcW w:w="5017" w:type="dxa"/>
            <w:tcBorders>
              <w:top w:val="single" w:sz="4" w:space="0" w:color="auto"/>
              <w:left w:val="single" w:sz="4" w:space="0" w:color="auto"/>
              <w:bottom w:val="single" w:sz="4" w:space="0" w:color="auto"/>
              <w:right w:val="single" w:sz="4" w:space="0" w:color="auto"/>
            </w:tcBorders>
            <w:vAlign w:val="center"/>
          </w:tcPr>
          <w:p w14:paraId="2DBC11E9" w14:textId="2AE4E439"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Failure to meet provider credentialing requirements, including background screening requirements, specified in Article III, </w:t>
            </w:r>
            <w:r w:rsidR="000E03CF" w:rsidRPr="00235E1B">
              <w:rPr>
                <w:rFonts w:asciiTheme="minorHAnsi" w:hAnsiTheme="minorHAnsi" w:cs="Arial"/>
                <w:bCs/>
                <w:noProof w:val="0"/>
                <w:sz w:val="20"/>
              </w:rPr>
              <w:t xml:space="preserve">Section </w:t>
            </w:r>
            <w:r w:rsidR="00793248">
              <w:rPr>
                <w:rFonts w:asciiTheme="minorHAnsi" w:hAnsiTheme="minorHAnsi" w:cs="Arial"/>
                <w:bCs/>
                <w:noProof w:val="0"/>
                <w:sz w:val="20"/>
              </w:rPr>
              <w:t>3</w:t>
            </w:r>
            <w:r w:rsidRPr="00235E1B">
              <w:rPr>
                <w:rFonts w:asciiTheme="minorHAnsi" w:hAnsiTheme="minorHAnsi" w:cs="Arial"/>
                <w:bCs/>
                <w:noProof w:val="0"/>
                <w:sz w:val="20"/>
              </w:rPr>
              <w:t>.1, Provider Qualification and Selection.</w:t>
            </w:r>
          </w:p>
        </w:tc>
        <w:tc>
          <w:tcPr>
            <w:tcW w:w="3019" w:type="dxa"/>
            <w:tcBorders>
              <w:top w:val="single" w:sz="4" w:space="0" w:color="auto"/>
              <w:left w:val="single" w:sz="4" w:space="0" w:color="auto"/>
              <w:bottom w:val="single" w:sz="4" w:space="0" w:color="auto"/>
              <w:right w:val="single" w:sz="4" w:space="0" w:color="auto"/>
            </w:tcBorders>
            <w:vAlign w:val="center"/>
          </w:tcPr>
          <w:p w14:paraId="2307EC9E" w14:textId="77777777"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Ongoing </w:t>
            </w:r>
          </w:p>
        </w:tc>
        <w:tc>
          <w:tcPr>
            <w:tcW w:w="4140" w:type="dxa"/>
            <w:tcBorders>
              <w:top w:val="single" w:sz="4" w:space="0" w:color="auto"/>
              <w:left w:val="single" w:sz="4" w:space="0" w:color="auto"/>
              <w:bottom w:val="single" w:sz="4" w:space="0" w:color="auto"/>
              <w:right w:val="single" w:sz="4" w:space="0" w:color="auto"/>
            </w:tcBorders>
            <w:vAlign w:val="center"/>
          </w:tcPr>
          <w:p w14:paraId="020D1C21" w14:textId="77777777"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$500 per incident of non-compliance.</w:t>
            </w:r>
          </w:p>
        </w:tc>
      </w:tr>
      <w:tr w:rsidR="00EC6897" w:rsidRPr="00666EF8" w14:paraId="2CA586D4" w14:textId="77777777" w:rsidTr="00235E1B">
        <w:trPr>
          <w:trHeight w:val="715"/>
          <w:jc w:val="center"/>
        </w:trPr>
        <w:tc>
          <w:tcPr>
            <w:tcW w:w="55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CD175D8" w14:textId="4720DD24" w:rsidR="00EC6897" w:rsidRPr="00235E1B" w:rsidRDefault="000B7C7D"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8</w:t>
            </w:r>
          </w:p>
        </w:tc>
        <w:tc>
          <w:tcPr>
            <w:tcW w:w="501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AA2C0F3" w14:textId="2A14395F"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Failure to comply with the marketing requirements</w:t>
            </w:r>
            <w:r w:rsidR="004578A0" w:rsidRPr="00235E1B">
              <w:rPr>
                <w:rFonts w:asciiTheme="minorHAnsi" w:hAnsiTheme="minorHAnsi" w:cs="Arial"/>
                <w:bCs/>
                <w:noProof w:val="0"/>
                <w:sz w:val="20"/>
              </w:rPr>
              <w:t>,</w:t>
            </w:r>
            <w:r w:rsidRPr="00235E1B">
              <w:rPr>
                <w:rFonts w:asciiTheme="minorHAnsi" w:hAnsiTheme="minorHAnsi" w:cs="Arial"/>
                <w:bCs/>
                <w:noProof w:val="0"/>
                <w:sz w:val="20"/>
              </w:rPr>
              <w:t xml:space="preserve"> or engagement in prohibited marketing practices. </w:t>
            </w:r>
            <w:r w:rsidR="00FA7EC1" w:rsidRPr="00235E1B">
              <w:rPr>
                <w:rFonts w:asciiTheme="minorHAnsi" w:hAnsiTheme="minorHAnsi" w:cs="Arial"/>
                <w:bCs/>
                <w:noProof w:val="0"/>
                <w:sz w:val="20"/>
              </w:rPr>
              <w:t xml:space="preserve">Failure to </w:t>
            </w:r>
            <w:r w:rsidR="00966982" w:rsidRPr="00235E1B">
              <w:rPr>
                <w:rFonts w:asciiTheme="minorHAnsi" w:hAnsiTheme="minorHAnsi" w:cs="Arial"/>
                <w:bCs/>
                <w:noProof w:val="0"/>
                <w:sz w:val="20"/>
              </w:rPr>
              <w:t>meet all social media marketing requirements</w:t>
            </w:r>
            <w:r w:rsidR="006045F4" w:rsidRPr="00235E1B">
              <w:rPr>
                <w:rFonts w:asciiTheme="minorHAnsi" w:hAnsiTheme="minorHAnsi" w:cs="Arial"/>
                <w:bCs/>
                <w:noProof w:val="0"/>
                <w:sz w:val="20"/>
              </w:rPr>
              <w:t>, or</w:t>
            </w:r>
            <w:r w:rsidR="00966982" w:rsidRPr="00235E1B">
              <w:rPr>
                <w:rFonts w:asciiTheme="minorHAnsi" w:hAnsiTheme="minorHAnsi" w:cs="Arial"/>
                <w:bCs/>
                <w:noProof w:val="0"/>
                <w:sz w:val="20"/>
              </w:rPr>
              <w:t xml:space="preserve"> engage</w:t>
            </w:r>
            <w:r w:rsidR="006045F4" w:rsidRPr="00235E1B">
              <w:rPr>
                <w:rFonts w:asciiTheme="minorHAnsi" w:hAnsiTheme="minorHAnsi" w:cs="Arial"/>
                <w:bCs/>
                <w:noProof w:val="0"/>
                <w:sz w:val="20"/>
              </w:rPr>
              <w:t>ment</w:t>
            </w:r>
            <w:r w:rsidR="00966982" w:rsidRPr="00235E1B">
              <w:rPr>
                <w:rFonts w:asciiTheme="minorHAnsi" w:hAnsiTheme="minorHAnsi" w:cs="Arial"/>
                <w:bCs/>
                <w:noProof w:val="0"/>
                <w:sz w:val="20"/>
              </w:rPr>
              <w:t xml:space="preserve"> in any prohibited social media practices. </w:t>
            </w:r>
            <w:r w:rsidR="00B31779" w:rsidRPr="00235E1B">
              <w:rPr>
                <w:rFonts w:asciiTheme="minorHAnsi" w:hAnsiTheme="minorHAnsi" w:cs="Arial"/>
                <w:bCs/>
                <w:noProof w:val="0"/>
                <w:sz w:val="20"/>
              </w:rPr>
              <w:t xml:space="preserve">Article III, </w:t>
            </w:r>
            <w:r w:rsidR="000E03CF" w:rsidRPr="00235E1B">
              <w:rPr>
                <w:rFonts w:asciiTheme="minorHAnsi" w:hAnsiTheme="minorHAnsi" w:cs="Arial"/>
                <w:bCs/>
                <w:noProof w:val="0"/>
                <w:sz w:val="20"/>
              </w:rPr>
              <w:t xml:space="preserve">Section </w:t>
            </w:r>
            <w:r w:rsidR="00793248">
              <w:rPr>
                <w:rFonts w:asciiTheme="minorHAnsi" w:hAnsiTheme="minorHAnsi" w:cs="Arial"/>
                <w:bCs/>
                <w:noProof w:val="0"/>
                <w:sz w:val="20"/>
              </w:rPr>
              <w:t>4</w:t>
            </w:r>
            <w:r w:rsidR="00B31779" w:rsidRPr="00235E1B">
              <w:rPr>
                <w:rFonts w:asciiTheme="minorHAnsi" w:hAnsiTheme="minorHAnsi" w:cs="Arial"/>
                <w:bCs/>
                <w:noProof w:val="0"/>
                <w:sz w:val="20"/>
              </w:rPr>
              <w:t>.1 a</w:t>
            </w:r>
            <w:r w:rsidR="00AC432F" w:rsidRPr="00235E1B">
              <w:rPr>
                <w:rFonts w:asciiTheme="minorHAnsi" w:hAnsiTheme="minorHAnsi" w:cs="Arial"/>
                <w:bCs/>
                <w:noProof w:val="0"/>
                <w:sz w:val="20"/>
              </w:rPr>
              <w:t>n</w:t>
            </w:r>
            <w:r w:rsidR="00B31779" w:rsidRPr="00235E1B">
              <w:rPr>
                <w:rFonts w:asciiTheme="minorHAnsi" w:hAnsiTheme="minorHAnsi" w:cs="Arial"/>
                <w:bCs/>
                <w:noProof w:val="0"/>
                <w:sz w:val="20"/>
              </w:rPr>
              <w:t xml:space="preserve">d </w:t>
            </w:r>
            <w:r w:rsidR="00F33B38" w:rsidRPr="00235E1B">
              <w:rPr>
                <w:rFonts w:asciiTheme="minorHAnsi" w:hAnsiTheme="minorHAnsi" w:cs="Arial"/>
                <w:bCs/>
                <w:noProof w:val="0"/>
                <w:sz w:val="20"/>
              </w:rPr>
              <w:t>Appendix</w:t>
            </w:r>
            <w:r w:rsidRPr="00235E1B">
              <w:rPr>
                <w:rFonts w:asciiTheme="minorHAnsi" w:hAnsiTheme="minorHAnsi" w:cs="Arial"/>
                <w:bCs/>
                <w:noProof w:val="0"/>
                <w:sz w:val="20"/>
              </w:rPr>
              <w:t xml:space="preserve"> </w:t>
            </w:r>
            <w:r w:rsidR="000C0DE5" w:rsidRPr="00235E1B">
              <w:rPr>
                <w:rFonts w:asciiTheme="minorHAnsi" w:hAnsiTheme="minorHAnsi" w:cs="Arial"/>
                <w:bCs/>
                <w:noProof w:val="0"/>
                <w:sz w:val="20"/>
              </w:rPr>
              <w:t>C</w:t>
            </w:r>
            <w:r w:rsidRPr="00235E1B">
              <w:rPr>
                <w:rFonts w:asciiTheme="minorHAnsi" w:hAnsiTheme="minorHAnsi" w:cs="Arial"/>
                <w:bCs/>
                <w:noProof w:val="0"/>
                <w:sz w:val="20"/>
              </w:rPr>
              <w:t>.</w:t>
            </w:r>
          </w:p>
        </w:tc>
        <w:tc>
          <w:tcPr>
            <w:tcW w:w="3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0D1102E" w14:textId="77777777"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Ongoing </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F668FC0" w14:textId="77777777"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$1,000 per each incident of non-compliance.</w:t>
            </w:r>
          </w:p>
        </w:tc>
      </w:tr>
      <w:tr w:rsidR="00492013" w:rsidRPr="00666EF8" w14:paraId="7E78BBDA" w14:textId="77777777" w:rsidTr="00EB6E6F">
        <w:trPr>
          <w:trHeight w:val="715"/>
          <w:jc w:val="center"/>
        </w:trPr>
        <w:tc>
          <w:tcPr>
            <w:tcW w:w="558" w:type="dxa"/>
            <w:tcBorders>
              <w:top w:val="single" w:sz="4" w:space="0" w:color="auto"/>
              <w:left w:val="single" w:sz="4" w:space="0" w:color="auto"/>
              <w:bottom w:val="single" w:sz="4" w:space="0" w:color="auto"/>
              <w:right w:val="single" w:sz="4" w:space="0" w:color="auto"/>
            </w:tcBorders>
            <w:vAlign w:val="center"/>
          </w:tcPr>
          <w:p w14:paraId="2C54574A" w14:textId="78CB972C" w:rsidR="00492013" w:rsidRPr="00235E1B" w:rsidRDefault="00492013"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9</w:t>
            </w:r>
          </w:p>
        </w:tc>
        <w:tc>
          <w:tcPr>
            <w:tcW w:w="5017" w:type="dxa"/>
            <w:tcBorders>
              <w:top w:val="single" w:sz="4" w:space="0" w:color="auto"/>
              <w:left w:val="single" w:sz="4" w:space="0" w:color="auto"/>
              <w:bottom w:val="single" w:sz="4" w:space="0" w:color="auto"/>
              <w:right w:val="single" w:sz="4" w:space="0" w:color="auto"/>
            </w:tcBorders>
            <w:vAlign w:val="center"/>
          </w:tcPr>
          <w:p w14:paraId="3AA58AD3" w14:textId="64E9C31B" w:rsidR="00492013" w:rsidRPr="00235E1B" w:rsidRDefault="00492013" w:rsidP="00793248">
            <w:pPr>
              <w:spacing w:before="40" w:after="40"/>
              <w:rPr>
                <w:rFonts w:asciiTheme="minorHAnsi" w:hAnsiTheme="minorHAnsi" w:cs="Arial"/>
                <w:bCs/>
                <w:noProof w:val="0"/>
                <w:sz w:val="20"/>
              </w:rPr>
            </w:pPr>
            <w:r w:rsidRPr="00235E1B">
              <w:rPr>
                <w:rFonts w:asciiTheme="minorHAnsi" w:hAnsiTheme="minorHAnsi"/>
                <w:bCs/>
                <w:noProof w:val="0"/>
                <w:sz w:val="20"/>
              </w:rPr>
              <w:t xml:space="preserve">Failure to pay clean claims within </w:t>
            </w:r>
            <w:r w:rsidR="00793248">
              <w:rPr>
                <w:rFonts w:asciiTheme="minorHAnsi" w:hAnsiTheme="minorHAnsi"/>
                <w:bCs/>
                <w:noProof w:val="0"/>
                <w:sz w:val="20"/>
              </w:rPr>
              <w:t>thirty (</w:t>
            </w:r>
            <w:r w:rsidRPr="00235E1B">
              <w:rPr>
                <w:rFonts w:asciiTheme="minorHAnsi" w:hAnsiTheme="minorHAnsi"/>
                <w:bCs/>
                <w:noProof w:val="0"/>
                <w:sz w:val="20"/>
              </w:rPr>
              <w:t>30</w:t>
            </w:r>
            <w:r w:rsidR="00793248">
              <w:rPr>
                <w:rFonts w:asciiTheme="minorHAnsi" w:hAnsiTheme="minorHAnsi"/>
                <w:bCs/>
                <w:noProof w:val="0"/>
                <w:sz w:val="20"/>
              </w:rPr>
              <w:t>)</w:t>
            </w:r>
            <w:r w:rsidRPr="00235E1B">
              <w:rPr>
                <w:rFonts w:asciiTheme="minorHAnsi" w:hAnsiTheme="minorHAnsi"/>
                <w:bCs/>
                <w:noProof w:val="0"/>
                <w:sz w:val="20"/>
              </w:rPr>
              <w:t xml:space="preserve"> calendar days as required in Article III, Section 2</w:t>
            </w:r>
            <w:r w:rsidR="00793248">
              <w:rPr>
                <w:rFonts w:asciiTheme="minorHAnsi" w:hAnsiTheme="minorHAnsi"/>
                <w:bCs/>
                <w:noProof w:val="0"/>
                <w:sz w:val="20"/>
              </w:rPr>
              <w:t>3</w:t>
            </w:r>
            <w:r w:rsidRPr="00235E1B">
              <w:rPr>
                <w:rFonts w:asciiTheme="minorHAnsi" w:hAnsiTheme="minorHAnsi"/>
                <w:bCs/>
                <w:noProof w:val="0"/>
                <w:sz w:val="20"/>
              </w:rPr>
              <w:t>7.</w:t>
            </w:r>
          </w:p>
        </w:tc>
        <w:tc>
          <w:tcPr>
            <w:tcW w:w="3019" w:type="dxa"/>
            <w:tcBorders>
              <w:top w:val="single" w:sz="4" w:space="0" w:color="auto"/>
              <w:left w:val="single" w:sz="4" w:space="0" w:color="auto"/>
              <w:bottom w:val="single" w:sz="4" w:space="0" w:color="auto"/>
              <w:right w:val="single" w:sz="4" w:space="0" w:color="auto"/>
            </w:tcBorders>
            <w:vAlign w:val="center"/>
          </w:tcPr>
          <w:p w14:paraId="7BCB8B6D" w14:textId="17B7725C" w:rsidR="00492013" w:rsidRPr="00235E1B" w:rsidRDefault="00492013" w:rsidP="00235E1B">
            <w:pPr>
              <w:spacing w:before="40" w:after="40"/>
              <w:rPr>
                <w:rFonts w:asciiTheme="minorHAnsi" w:hAnsiTheme="minorHAnsi" w:cs="Arial"/>
                <w:bCs/>
                <w:noProof w:val="0"/>
                <w:sz w:val="20"/>
              </w:rPr>
            </w:pPr>
            <w:r w:rsidRPr="00235E1B">
              <w:rPr>
                <w:rFonts w:asciiTheme="minorHAnsi" w:hAnsiTheme="minorHAnsi"/>
                <w:bCs/>
                <w:noProof w:val="0"/>
                <w:sz w:val="20"/>
              </w:rPr>
              <w:t>Monthly</w:t>
            </w:r>
          </w:p>
        </w:tc>
        <w:tc>
          <w:tcPr>
            <w:tcW w:w="4140" w:type="dxa"/>
            <w:tcBorders>
              <w:top w:val="single" w:sz="4" w:space="0" w:color="auto"/>
              <w:left w:val="single" w:sz="4" w:space="0" w:color="auto"/>
              <w:bottom w:val="single" w:sz="4" w:space="0" w:color="auto"/>
              <w:right w:val="single" w:sz="4" w:space="0" w:color="auto"/>
            </w:tcBorders>
            <w:vAlign w:val="center"/>
          </w:tcPr>
          <w:p w14:paraId="4AB0DF71" w14:textId="73AAFD86" w:rsidR="00492013" w:rsidRPr="00235E1B" w:rsidRDefault="00492013" w:rsidP="00235E1B">
            <w:pPr>
              <w:spacing w:before="40" w:after="40"/>
              <w:rPr>
                <w:rFonts w:asciiTheme="minorHAnsi" w:hAnsiTheme="minorHAnsi" w:cs="Arial"/>
                <w:bCs/>
                <w:noProof w:val="0"/>
                <w:sz w:val="20"/>
              </w:rPr>
            </w:pPr>
            <w:r w:rsidRPr="00235E1B">
              <w:rPr>
                <w:rFonts w:asciiTheme="minorHAnsi" w:hAnsiTheme="minorHAnsi"/>
                <w:bCs/>
                <w:noProof w:val="0"/>
                <w:sz w:val="20"/>
              </w:rPr>
              <w:t>Up to $10,000 per month for any month in which the MCO fails to meet clean claims timely processing requirements.</w:t>
            </w:r>
          </w:p>
        </w:tc>
      </w:tr>
      <w:tr w:rsidR="00EC6897" w:rsidRPr="00666EF8" w14:paraId="5D3686A3" w14:textId="77777777" w:rsidTr="00235E1B">
        <w:trPr>
          <w:trHeight w:val="1340"/>
          <w:jc w:val="center"/>
        </w:trPr>
        <w:tc>
          <w:tcPr>
            <w:tcW w:w="55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53230D4" w14:textId="4CC2465A" w:rsidR="00EC6897" w:rsidRPr="00235E1B" w:rsidRDefault="00492013"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10</w:t>
            </w:r>
          </w:p>
        </w:tc>
        <w:tc>
          <w:tcPr>
            <w:tcW w:w="501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1882F99" w14:textId="5E000E21" w:rsidR="00EC6897" w:rsidRPr="00235E1B" w:rsidRDefault="00275695" w:rsidP="00DA2A0A">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Failure to pay </w:t>
            </w:r>
            <w:r w:rsidR="00492013" w:rsidRPr="00235E1B">
              <w:rPr>
                <w:rFonts w:asciiTheme="minorHAnsi" w:hAnsiTheme="minorHAnsi"/>
                <w:bCs/>
                <w:noProof w:val="0"/>
                <w:sz w:val="20"/>
              </w:rPr>
              <w:t xml:space="preserve">eighteen percent (18%) </w:t>
            </w:r>
            <w:r w:rsidR="00EC6897" w:rsidRPr="00235E1B">
              <w:rPr>
                <w:rFonts w:asciiTheme="minorHAnsi" w:hAnsiTheme="minorHAnsi" w:cs="Arial"/>
                <w:bCs/>
                <w:noProof w:val="0"/>
                <w:sz w:val="20"/>
              </w:rPr>
              <w:t>annual interest on the same date as an in-network</w:t>
            </w:r>
            <w:r w:rsidR="00DA2A0A">
              <w:t xml:space="preserve"> </w:t>
            </w:r>
            <w:r w:rsidR="00DA2A0A">
              <w:rPr>
                <w:rFonts w:asciiTheme="minorHAnsi" w:hAnsiTheme="minorHAnsi" w:cs="Arial"/>
                <w:bCs/>
                <w:noProof w:val="0"/>
                <w:sz w:val="20"/>
              </w:rPr>
              <w:t>or out-of-network provider</w:t>
            </w:r>
            <w:r w:rsidR="00EC6897" w:rsidRPr="00235E1B">
              <w:rPr>
                <w:rFonts w:asciiTheme="minorHAnsi" w:hAnsiTheme="minorHAnsi" w:cs="Arial"/>
                <w:bCs/>
                <w:noProof w:val="0"/>
                <w:sz w:val="20"/>
              </w:rPr>
              <w:t xml:space="preserve"> clean claim </w:t>
            </w:r>
            <w:r w:rsidR="004578A0" w:rsidRPr="00235E1B">
              <w:rPr>
                <w:rFonts w:asciiTheme="minorHAnsi" w:hAnsiTheme="minorHAnsi" w:cs="Arial"/>
                <w:bCs/>
                <w:noProof w:val="0"/>
                <w:sz w:val="20"/>
              </w:rPr>
              <w:t>that</w:t>
            </w:r>
            <w:r w:rsidR="00EC6897" w:rsidRPr="00235E1B">
              <w:rPr>
                <w:rFonts w:asciiTheme="minorHAnsi" w:hAnsiTheme="minorHAnsi" w:cs="Arial"/>
                <w:bCs/>
                <w:noProof w:val="0"/>
                <w:sz w:val="20"/>
              </w:rPr>
              <w:t xml:space="preserve"> remained unpaid beyond the </w:t>
            </w:r>
            <w:r w:rsidR="0032431A" w:rsidRPr="00235E1B">
              <w:rPr>
                <w:rFonts w:asciiTheme="minorHAnsi" w:hAnsiTheme="minorHAnsi" w:cs="Arial"/>
                <w:bCs/>
                <w:noProof w:val="0"/>
                <w:sz w:val="20"/>
              </w:rPr>
              <w:t>thirty (</w:t>
            </w:r>
            <w:r w:rsidR="00EC6897" w:rsidRPr="00235E1B">
              <w:rPr>
                <w:rFonts w:asciiTheme="minorHAnsi" w:hAnsiTheme="minorHAnsi" w:cs="Arial"/>
                <w:bCs/>
                <w:noProof w:val="0"/>
                <w:sz w:val="20"/>
              </w:rPr>
              <w:t>30</w:t>
            </w:r>
            <w:r w:rsidR="0032431A" w:rsidRPr="00235E1B">
              <w:rPr>
                <w:rFonts w:asciiTheme="minorHAnsi" w:hAnsiTheme="minorHAnsi" w:cs="Arial"/>
                <w:bCs/>
                <w:noProof w:val="0"/>
                <w:sz w:val="20"/>
              </w:rPr>
              <w:t>)</w:t>
            </w:r>
            <w:r w:rsidR="00492013" w:rsidRPr="00235E1B">
              <w:rPr>
                <w:rFonts w:asciiTheme="minorHAnsi" w:hAnsiTheme="minorHAnsi" w:cs="Arial"/>
                <w:bCs/>
                <w:noProof w:val="0"/>
                <w:sz w:val="20"/>
              </w:rPr>
              <w:t xml:space="preserve"> calendar </w:t>
            </w:r>
            <w:r w:rsidR="00EC6897" w:rsidRPr="00235E1B">
              <w:rPr>
                <w:rFonts w:asciiTheme="minorHAnsi" w:hAnsiTheme="minorHAnsi" w:cs="Arial"/>
                <w:bCs/>
                <w:noProof w:val="0"/>
                <w:sz w:val="20"/>
              </w:rPr>
              <w:t xml:space="preserve">day claims payment deadline. Article III, </w:t>
            </w:r>
            <w:r w:rsidR="000E03CF" w:rsidRPr="00235E1B">
              <w:rPr>
                <w:rFonts w:asciiTheme="minorHAnsi" w:hAnsiTheme="minorHAnsi" w:cs="Arial"/>
                <w:bCs/>
                <w:noProof w:val="0"/>
                <w:sz w:val="20"/>
              </w:rPr>
              <w:t xml:space="preserve">Section </w:t>
            </w:r>
            <w:r w:rsidR="00DA2A0A">
              <w:rPr>
                <w:rFonts w:asciiTheme="minorHAnsi" w:hAnsiTheme="minorHAnsi" w:cs="Arial"/>
                <w:bCs/>
                <w:noProof w:val="0"/>
                <w:sz w:val="20"/>
              </w:rPr>
              <w:t>3</w:t>
            </w:r>
            <w:r w:rsidR="00EC6897" w:rsidRPr="00235E1B">
              <w:rPr>
                <w:rFonts w:asciiTheme="minorHAnsi" w:hAnsiTheme="minorHAnsi" w:cs="Arial"/>
                <w:bCs/>
                <w:noProof w:val="0"/>
                <w:sz w:val="20"/>
              </w:rPr>
              <w:t>.7, Timely Payment Requirement.</w:t>
            </w:r>
          </w:p>
        </w:tc>
        <w:tc>
          <w:tcPr>
            <w:tcW w:w="3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096E0B6" w14:textId="77777777"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Quarterly </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737A80A" w14:textId="77777777" w:rsidR="00EC6897" w:rsidRPr="00235E1B" w:rsidRDefault="00EC6897" w:rsidP="00235E1B">
            <w:pPr>
              <w:spacing w:before="40" w:after="40"/>
              <w:rPr>
                <w:rFonts w:asciiTheme="minorHAnsi" w:hAnsiTheme="minorHAnsi" w:cs="Arial"/>
                <w:bCs/>
                <w:noProof w:val="0"/>
                <w:sz w:val="20"/>
                <w:highlight w:val="yellow"/>
              </w:rPr>
            </w:pPr>
            <w:r w:rsidRPr="00235E1B">
              <w:rPr>
                <w:rFonts w:asciiTheme="minorHAnsi" w:hAnsiTheme="minorHAnsi" w:cs="Arial"/>
                <w:bCs/>
                <w:noProof w:val="0"/>
                <w:sz w:val="20"/>
              </w:rPr>
              <w:t>$500 per each in-network clean claim for which the interest remained unpaid on the same date as a claim’s payment.</w:t>
            </w:r>
          </w:p>
        </w:tc>
      </w:tr>
      <w:tr w:rsidR="00EC6897" w:rsidRPr="00666EF8" w14:paraId="57A8AF9E" w14:textId="77777777" w:rsidTr="00EB6E6F">
        <w:trPr>
          <w:trHeight w:val="1349"/>
          <w:jc w:val="center"/>
        </w:trPr>
        <w:tc>
          <w:tcPr>
            <w:tcW w:w="558" w:type="dxa"/>
            <w:tcBorders>
              <w:top w:val="single" w:sz="4" w:space="0" w:color="auto"/>
              <w:left w:val="single" w:sz="4" w:space="0" w:color="auto"/>
              <w:bottom w:val="single" w:sz="4" w:space="0" w:color="auto"/>
              <w:right w:val="single" w:sz="4" w:space="0" w:color="auto"/>
            </w:tcBorders>
            <w:vAlign w:val="center"/>
          </w:tcPr>
          <w:p w14:paraId="0FD7F07D" w14:textId="6CB0185B" w:rsidR="00EC6897" w:rsidRPr="00235E1B" w:rsidRDefault="000B7C7D"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1</w:t>
            </w:r>
            <w:r w:rsidR="00492013" w:rsidRPr="00235E1B">
              <w:rPr>
                <w:rFonts w:asciiTheme="minorHAnsi" w:hAnsiTheme="minorHAnsi" w:cs="Arial"/>
                <w:bCs/>
                <w:noProof w:val="0"/>
                <w:sz w:val="20"/>
              </w:rPr>
              <w:t>1</w:t>
            </w:r>
          </w:p>
        </w:tc>
        <w:tc>
          <w:tcPr>
            <w:tcW w:w="5017" w:type="dxa"/>
            <w:tcBorders>
              <w:top w:val="single" w:sz="4" w:space="0" w:color="auto"/>
              <w:left w:val="single" w:sz="4" w:space="0" w:color="auto"/>
              <w:bottom w:val="single" w:sz="4" w:space="0" w:color="auto"/>
              <w:right w:val="single" w:sz="4" w:space="0" w:color="auto"/>
            </w:tcBorders>
            <w:vAlign w:val="center"/>
          </w:tcPr>
          <w:p w14:paraId="6A3193A5" w14:textId="45429C4C" w:rsidR="00EC6897" w:rsidRPr="00235E1B" w:rsidRDefault="00EC6897" w:rsidP="009B7161">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Failure to provide </w:t>
            </w:r>
            <w:r w:rsidR="004578A0" w:rsidRPr="00235E1B">
              <w:rPr>
                <w:rFonts w:asciiTheme="minorHAnsi" w:hAnsiTheme="minorHAnsi" w:cs="Arial"/>
                <w:bCs/>
                <w:noProof w:val="0"/>
                <w:sz w:val="20"/>
              </w:rPr>
              <w:t xml:space="preserve">timely </w:t>
            </w:r>
            <w:r w:rsidRPr="00235E1B">
              <w:rPr>
                <w:rFonts w:asciiTheme="minorHAnsi" w:hAnsiTheme="minorHAnsi" w:cs="Arial"/>
                <w:bCs/>
                <w:noProof w:val="0"/>
                <w:sz w:val="20"/>
              </w:rPr>
              <w:t>M</w:t>
            </w:r>
            <w:r w:rsidR="00AF06C6" w:rsidRPr="00235E1B">
              <w:rPr>
                <w:rFonts w:asciiTheme="minorHAnsi" w:hAnsiTheme="minorHAnsi" w:cs="Arial"/>
                <w:bCs/>
                <w:noProof w:val="0"/>
                <w:sz w:val="20"/>
              </w:rPr>
              <w:t xml:space="preserve">CO </w:t>
            </w:r>
            <w:r w:rsidRPr="00235E1B">
              <w:rPr>
                <w:rFonts w:asciiTheme="minorHAnsi" w:hAnsiTheme="minorHAnsi" w:cs="Arial"/>
                <w:bCs/>
                <w:noProof w:val="0"/>
                <w:sz w:val="20"/>
              </w:rPr>
              <w:t>covered service</w:t>
            </w:r>
            <w:r w:rsidR="00CD4AD4" w:rsidRPr="00235E1B">
              <w:rPr>
                <w:rFonts w:asciiTheme="minorHAnsi" w:hAnsiTheme="minorHAnsi" w:cs="Arial"/>
                <w:bCs/>
                <w:noProof w:val="0"/>
                <w:sz w:val="20"/>
              </w:rPr>
              <w:t>s</w:t>
            </w:r>
            <w:r w:rsidRPr="00235E1B">
              <w:rPr>
                <w:rFonts w:asciiTheme="minorHAnsi" w:hAnsiTheme="minorHAnsi" w:cs="Arial"/>
                <w:bCs/>
                <w:noProof w:val="0"/>
                <w:sz w:val="20"/>
              </w:rPr>
              <w:t xml:space="preserve"> </w:t>
            </w:r>
            <w:r w:rsidR="009F4DA3" w:rsidRPr="00235E1B">
              <w:rPr>
                <w:rFonts w:asciiTheme="minorHAnsi" w:hAnsiTheme="minorHAnsi" w:cs="Arial"/>
                <w:bCs/>
                <w:noProof w:val="0"/>
                <w:sz w:val="20"/>
              </w:rPr>
              <w:t xml:space="preserve">as </w:t>
            </w:r>
            <w:r w:rsidRPr="00235E1B">
              <w:rPr>
                <w:rFonts w:asciiTheme="minorHAnsi" w:hAnsiTheme="minorHAnsi" w:cs="Arial"/>
                <w:bCs/>
                <w:noProof w:val="0"/>
                <w:sz w:val="20"/>
              </w:rPr>
              <w:t xml:space="preserve">described in </w:t>
            </w:r>
            <w:r w:rsidR="00F33B38" w:rsidRPr="00235E1B">
              <w:rPr>
                <w:rFonts w:asciiTheme="minorHAnsi" w:hAnsiTheme="minorHAnsi" w:cs="Arial"/>
                <w:bCs/>
                <w:noProof w:val="0"/>
                <w:sz w:val="20"/>
              </w:rPr>
              <w:t>Appendix</w:t>
            </w:r>
            <w:r w:rsidRPr="00235E1B">
              <w:rPr>
                <w:rFonts w:asciiTheme="minorHAnsi" w:hAnsiTheme="minorHAnsi" w:cs="Arial"/>
                <w:bCs/>
                <w:noProof w:val="0"/>
                <w:sz w:val="20"/>
              </w:rPr>
              <w:t xml:space="preserve"> A of</w:t>
            </w:r>
            <w:r w:rsidR="0073235A" w:rsidRPr="00235E1B">
              <w:rPr>
                <w:rFonts w:asciiTheme="minorHAnsi" w:hAnsiTheme="minorHAnsi" w:cs="Arial"/>
                <w:bCs/>
                <w:noProof w:val="0"/>
                <w:sz w:val="20"/>
              </w:rPr>
              <w:t xml:space="preserve"> this </w:t>
            </w:r>
            <w:r w:rsidR="009B19C2" w:rsidRPr="00235E1B">
              <w:rPr>
                <w:rFonts w:asciiTheme="minorHAnsi" w:hAnsiTheme="minorHAnsi" w:cs="Arial"/>
                <w:bCs/>
                <w:noProof w:val="0"/>
                <w:sz w:val="20"/>
              </w:rPr>
              <w:t xml:space="preserve">Contract </w:t>
            </w:r>
            <w:r w:rsidR="004578A0" w:rsidRPr="00235E1B">
              <w:rPr>
                <w:rFonts w:asciiTheme="minorHAnsi" w:hAnsiTheme="minorHAnsi" w:cs="Arial"/>
                <w:bCs/>
                <w:noProof w:val="0"/>
                <w:sz w:val="20"/>
              </w:rPr>
              <w:t>when</w:t>
            </w:r>
            <w:r w:rsidR="009F4DA3" w:rsidRPr="00235E1B">
              <w:rPr>
                <w:rFonts w:asciiTheme="minorHAnsi" w:hAnsiTheme="minorHAnsi" w:cs="Arial"/>
                <w:bCs/>
                <w:noProof w:val="0"/>
                <w:sz w:val="20"/>
              </w:rPr>
              <w:t>,</w:t>
            </w:r>
            <w:r w:rsidR="00AF06C6" w:rsidRPr="00235E1B">
              <w:rPr>
                <w:rFonts w:asciiTheme="minorHAnsi" w:hAnsiTheme="minorHAnsi" w:cs="Arial"/>
                <w:bCs/>
                <w:noProof w:val="0"/>
                <w:sz w:val="20"/>
              </w:rPr>
              <w:t xml:space="preserve"> </w:t>
            </w:r>
            <w:r w:rsidRPr="00235E1B">
              <w:rPr>
                <w:rFonts w:asciiTheme="minorHAnsi" w:hAnsiTheme="minorHAnsi" w:cs="Arial"/>
                <w:bCs/>
                <w:noProof w:val="0"/>
                <w:sz w:val="20"/>
              </w:rPr>
              <w:t xml:space="preserve">in the determination of </w:t>
            </w:r>
            <w:r w:rsidR="00476D15" w:rsidRPr="00235E1B">
              <w:rPr>
                <w:rFonts w:asciiTheme="minorHAnsi" w:hAnsiTheme="minorHAnsi" w:cs="Arial"/>
                <w:bCs/>
                <w:noProof w:val="0"/>
                <w:sz w:val="20"/>
              </w:rPr>
              <w:t>DHHR</w:t>
            </w:r>
            <w:r w:rsidRPr="00235E1B">
              <w:rPr>
                <w:rFonts w:asciiTheme="minorHAnsi" w:hAnsiTheme="minorHAnsi" w:cs="Arial"/>
                <w:bCs/>
                <w:noProof w:val="0"/>
                <w:sz w:val="20"/>
              </w:rPr>
              <w:t>, such failure results in actual harm to a</w:t>
            </w:r>
            <w:r w:rsidR="009B7161">
              <w:rPr>
                <w:rFonts w:asciiTheme="minorHAnsi" w:hAnsiTheme="minorHAnsi" w:cs="Arial"/>
                <w:bCs/>
                <w:noProof w:val="0"/>
                <w:sz w:val="20"/>
              </w:rPr>
              <w:t>n</w:t>
            </w:r>
            <w:r w:rsidRPr="00235E1B">
              <w:rPr>
                <w:rFonts w:asciiTheme="minorHAnsi" w:hAnsiTheme="minorHAnsi" w:cs="Arial"/>
                <w:bCs/>
                <w:noProof w:val="0"/>
                <w:sz w:val="20"/>
              </w:rPr>
              <w:t xml:space="preserve"> </w:t>
            </w:r>
            <w:r w:rsidR="009B7161">
              <w:rPr>
                <w:rFonts w:asciiTheme="minorHAnsi" w:hAnsiTheme="minorHAnsi" w:cs="Arial"/>
                <w:bCs/>
                <w:noProof w:val="0"/>
                <w:sz w:val="20"/>
              </w:rPr>
              <w:t>enrollee</w:t>
            </w:r>
            <w:r w:rsidR="009B7161" w:rsidRPr="00235E1B">
              <w:rPr>
                <w:rFonts w:asciiTheme="minorHAnsi" w:hAnsiTheme="minorHAnsi" w:cs="Arial"/>
                <w:bCs/>
                <w:noProof w:val="0"/>
                <w:sz w:val="20"/>
              </w:rPr>
              <w:t xml:space="preserve"> </w:t>
            </w:r>
            <w:r w:rsidRPr="00235E1B">
              <w:rPr>
                <w:rFonts w:asciiTheme="minorHAnsi" w:hAnsiTheme="minorHAnsi" w:cs="Arial"/>
                <w:bCs/>
                <w:noProof w:val="0"/>
                <w:sz w:val="20"/>
              </w:rPr>
              <w:t>or places a</w:t>
            </w:r>
            <w:r w:rsidR="009B7161">
              <w:rPr>
                <w:rFonts w:asciiTheme="minorHAnsi" w:hAnsiTheme="minorHAnsi" w:cs="Arial"/>
                <w:bCs/>
                <w:noProof w:val="0"/>
                <w:sz w:val="20"/>
              </w:rPr>
              <w:t>n</w:t>
            </w:r>
            <w:r w:rsidRPr="00235E1B">
              <w:rPr>
                <w:rFonts w:asciiTheme="minorHAnsi" w:hAnsiTheme="minorHAnsi" w:cs="Arial"/>
                <w:bCs/>
                <w:noProof w:val="0"/>
                <w:sz w:val="20"/>
              </w:rPr>
              <w:t xml:space="preserve"> </w:t>
            </w:r>
            <w:r w:rsidR="009B7161">
              <w:rPr>
                <w:rFonts w:asciiTheme="minorHAnsi" w:hAnsiTheme="minorHAnsi" w:cs="Arial"/>
                <w:bCs/>
                <w:noProof w:val="0"/>
                <w:sz w:val="20"/>
              </w:rPr>
              <w:t>enrollee</w:t>
            </w:r>
            <w:r w:rsidR="009B7161" w:rsidRPr="00235E1B">
              <w:rPr>
                <w:rFonts w:asciiTheme="minorHAnsi" w:hAnsiTheme="minorHAnsi" w:cs="Arial"/>
                <w:bCs/>
                <w:noProof w:val="0"/>
                <w:sz w:val="20"/>
              </w:rPr>
              <w:t xml:space="preserve"> </w:t>
            </w:r>
            <w:r w:rsidRPr="00235E1B">
              <w:rPr>
                <w:rFonts w:asciiTheme="minorHAnsi" w:hAnsiTheme="minorHAnsi" w:cs="Arial"/>
                <w:bCs/>
                <w:noProof w:val="0"/>
                <w:sz w:val="20"/>
              </w:rPr>
              <w:t>at risk of imminent harm.</w:t>
            </w:r>
          </w:p>
        </w:tc>
        <w:tc>
          <w:tcPr>
            <w:tcW w:w="3019" w:type="dxa"/>
            <w:tcBorders>
              <w:top w:val="single" w:sz="4" w:space="0" w:color="auto"/>
              <w:left w:val="single" w:sz="4" w:space="0" w:color="auto"/>
              <w:bottom w:val="single" w:sz="4" w:space="0" w:color="auto"/>
              <w:right w:val="single" w:sz="4" w:space="0" w:color="auto"/>
            </w:tcBorders>
            <w:vAlign w:val="center"/>
          </w:tcPr>
          <w:p w14:paraId="0AFA0F8A" w14:textId="77777777" w:rsidR="00EC6897" w:rsidRPr="00235E1B" w:rsidRDefault="00EC6897"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Ongoing </w:t>
            </w:r>
          </w:p>
        </w:tc>
        <w:tc>
          <w:tcPr>
            <w:tcW w:w="4140" w:type="dxa"/>
            <w:tcBorders>
              <w:top w:val="single" w:sz="4" w:space="0" w:color="auto"/>
              <w:left w:val="single" w:sz="4" w:space="0" w:color="auto"/>
              <w:bottom w:val="single" w:sz="4" w:space="0" w:color="auto"/>
              <w:right w:val="single" w:sz="4" w:space="0" w:color="auto"/>
            </w:tcBorders>
            <w:vAlign w:val="center"/>
          </w:tcPr>
          <w:p w14:paraId="3632D881" w14:textId="743A6A30" w:rsidR="00EC6897" w:rsidRPr="00235E1B" w:rsidRDefault="00FE20F1"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w:t>
            </w:r>
            <w:r w:rsidR="00EC6897" w:rsidRPr="00235E1B">
              <w:rPr>
                <w:rFonts w:asciiTheme="minorHAnsi" w:hAnsiTheme="minorHAnsi" w:cs="Arial"/>
                <w:bCs/>
                <w:noProof w:val="0"/>
                <w:sz w:val="20"/>
              </w:rPr>
              <w:t xml:space="preserve">7,500 per </w:t>
            </w:r>
            <w:r w:rsidR="00492013" w:rsidRPr="00235E1B">
              <w:rPr>
                <w:rFonts w:asciiTheme="minorHAnsi" w:hAnsiTheme="minorHAnsi" w:cs="Arial"/>
                <w:bCs/>
                <w:noProof w:val="0"/>
                <w:sz w:val="20"/>
              </w:rPr>
              <w:t xml:space="preserve">business </w:t>
            </w:r>
            <w:r w:rsidR="00EC6897" w:rsidRPr="00235E1B">
              <w:rPr>
                <w:rFonts w:asciiTheme="minorHAnsi" w:hAnsiTheme="minorHAnsi" w:cs="Arial"/>
                <w:bCs/>
                <w:noProof w:val="0"/>
                <w:sz w:val="20"/>
              </w:rPr>
              <w:t>day for each incident of non-compliance.</w:t>
            </w:r>
          </w:p>
        </w:tc>
      </w:tr>
      <w:tr w:rsidR="00963C3C" w:rsidRPr="00666EF8" w14:paraId="08CB9384" w14:textId="77777777" w:rsidTr="00235E1B">
        <w:trPr>
          <w:trHeight w:val="1277"/>
          <w:jc w:val="center"/>
        </w:trPr>
        <w:tc>
          <w:tcPr>
            <w:tcW w:w="55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D6629AB" w14:textId="3AA35784" w:rsidR="00963C3C" w:rsidRPr="00235E1B" w:rsidRDefault="00963C3C"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1</w:t>
            </w:r>
            <w:r w:rsidR="00492013" w:rsidRPr="00235E1B">
              <w:rPr>
                <w:rFonts w:asciiTheme="minorHAnsi" w:hAnsiTheme="minorHAnsi" w:cs="Arial"/>
                <w:bCs/>
                <w:noProof w:val="0"/>
                <w:sz w:val="20"/>
              </w:rPr>
              <w:t>2</w:t>
            </w:r>
          </w:p>
        </w:tc>
        <w:tc>
          <w:tcPr>
            <w:tcW w:w="501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3598D31" w14:textId="432ADE75" w:rsidR="002C633C" w:rsidRPr="00235E1B" w:rsidRDefault="002C633C"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Failure to make at least </w:t>
            </w:r>
            <w:r w:rsidR="0032431A" w:rsidRPr="00235E1B">
              <w:rPr>
                <w:rFonts w:asciiTheme="minorHAnsi" w:hAnsiTheme="minorHAnsi" w:cs="Arial"/>
                <w:bCs/>
                <w:noProof w:val="0"/>
                <w:sz w:val="20"/>
              </w:rPr>
              <w:t>ninety-five percent</w:t>
            </w:r>
            <w:r w:rsidRPr="00235E1B">
              <w:rPr>
                <w:rFonts w:asciiTheme="minorHAnsi" w:hAnsiTheme="minorHAnsi" w:cs="Arial"/>
                <w:bCs/>
                <w:noProof w:val="0"/>
                <w:sz w:val="20"/>
              </w:rPr>
              <w:t xml:space="preserve"> </w:t>
            </w:r>
            <w:r w:rsidR="00492013" w:rsidRPr="00235E1B">
              <w:rPr>
                <w:rFonts w:asciiTheme="minorHAnsi" w:hAnsiTheme="minorHAnsi" w:cs="Arial"/>
                <w:bCs/>
                <w:noProof w:val="0"/>
                <w:sz w:val="20"/>
              </w:rPr>
              <w:t xml:space="preserve">(95%) </w:t>
            </w:r>
            <w:r w:rsidRPr="00235E1B">
              <w:rPr>
                <w:rFonts w:asciiTheme="minorHAnsi" w:hAnsiTheme="minorHAnsi" w:cs="Arial"/>
                <w:bCs/>
                <w:noProof w:val="0"/>
                <w:sz w:val="20"/>
              </w:rPr>
              <w:t xml:space="preserve">of authorization decisions and provide written notice within seven (7) calendar days of receiving the request for service for the purposes of standard authorization decisions as described in Article III, Section </w:t>
            </w:r>
            <w:r w:rsidR="000D1DCF">
              <w:rPr>
                <w:rFonts w:asciiTheme="minorHAnsi" w:hAnsiTheme="minorHAnsi" w:cs="Arial"/>
                <w:bCs/>
                <w:noProof w:val="0"/>
                <w:sz w:val="20"/>
              </w:rPr>
              <w:t>6</w:t>
            </w:r>
            <w:r w:rsidRPr="00235E1B">
              <w:rPr>
                <w:rFonts w:asciiTheme="minorHAnsi" w:hAnsiTheme="minorHAnsi" w:cs="Arial"/>
                <w:bCs/>
                <w:noProof w:val="0"/>
                <w:sz w:val="20"/>
              </w:rPr>
              <w:t>.4.</w:t>
            </w:r>
          </w:p>
        </w:tc>
        <w:tc>
          <w:tcPr>
            <w:tcW w:w="3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D8A653F" w14:textId="1C44E3AB" w:rsidR="00963C3C" w:rsidRPr="00235E1B" w:rsidRDefault="002C633C"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Quarterly</w:t>
            </w:r>
            <w:r w:rsidR="0073235A" w:rsidRPr="00235E1B">
              <w:rPr>
                <w:rFonts w:asciiTheme="minorHAnsi" w:hAnsiTheme="minorHAnsi" w:cs="Arial"/>
                <w:bCs/>
                <w:noProof w:val="0"/>
                <w:sz w:val="20"/>
              </w:rPr>
              <w:t xml:space="preserve"> </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5AF090" w14:textId="14DB0C91" w:rsidR="00963C3C" w:rsidRPr="00235E1B" w:rsidRDefault="002C633C"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 $250,000 for each quarter in which the threshold is not met </w:t>
            </w:r>
          </w:p>
        </w:tc>
      </w:tr>
      <w:tr w:rsidR="00D63ABA" w:rsidRPr="00666EF8" w14:paraId="46CAE678" w14:textId="77777777" w:rsidTr="00235E1B">
        <w:trPr>
          <w:trHeight w:val="827"/>
          <w:jc w:val="center"/>
        </w:trPr>
        <w:tc>
          <w:tcPr>
            <w:tcW w:w="558" w:type="dxa"/>
            <w:tcBorders>
              <w:top w:val="single" w:sz="4" w:space="0" w:color="auto"/>
              <w:left w:val="single" w:sz="4" w:space="0" w:color="auto"/>
              <w:bottom w:val="single" w:sz="4" w:space="0" w:color="auto"/>
              <w:right w:val="single" w:sz="4" w:space="0" w:color="auto"/>
            </w:tcBorders>
            <w:vAlign w:val="center"/>
          </w:tcPr>
          <w:p w14:paraId="04E6E235" w14:textId="432C0526" w:rsidR="00D63ABA" w:rsidRPr="00235E1B" w:rsidRDefault="00D63ABA"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1</w:t>
            </w:r>
            <w:r w:rsidR="00492013" w:rsidRPr="00235E1B">
              <w:rPr>
                <w:rFonts w:asciiTheme="minorHAnsi" w:hAnsiTheme="minorHAnsi" w:cs="Arial"/>
                <w:bCs/>
                <w:noProof w:val="0"/>
                <w:sz w:val="20"/>
              </w:rPr>
              <w:t>3</w:t>
            </w:r>
          </w:p>
        </w:tc>
        <w:tc>
          <w:tcPr>
            <w:tcW w:w="5017" w:type="dxa"/>
            <w:tcBorders>
              <w:top w:val="single" w:sz="4" w:space="0" w:color="auto"/>
              <w:left w:val="single" w:sz="4" w:space="0" w:color="auto"/>
              <w:bottom w:val="single" w:sz="4" w:space="0" w:color="auto"/>
              <w:right w:val="single" w:sz="4" w:space="0" w:color="auto"/>
            </w:tcBorders>
            <w:vAlign w:val="center"/>
          </w:tcPr>
          <w:p w14:paraId="2880C806" w14:textId="2772F643" w:rsidR="00D63ABA" w:rsidRPr="00235E1B" w:rsidRDefault="00276721" w:rsidP="009B7161">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Failure to </w:t>
            </w:r>
            <w:r w:rsidR="005F42EF" w:rsidRPr="00235E1B">
              <w:rPr>
                <w:rFonts w:asciiTheme="minorHAnsi" w:hAnsiTheme="minorHAnsi" w:cs="Arial"/>
                <w:bCs/>
                <w:noProof w:val="0"/>
                <w:sz w:val="20"/>
              </w:rPr>
              <w:t>a</w:t>
            </w:r>
            <w:r w:rsidR="003205DA" w:rsidRPr="00235E1B">
              <w:rPr>
                <w:rFonts w:asciiTheme="minorHAnsi" w:hAnsiTheme="minorHAnsi" w:cs="Arial"/>
                <w:bCs/>
                <w:noProof w:val="0"/>
                <w:sz w:val="20"/>
              </w:rPr>
              <w:t xml:space="preserve">dminister </w:t>
            </w:r>
            <w:r w:rsidR="009B7161">
              <w:rPr>
                <w:rFonts w:asciiTheme="minorHAnsi" w:hAnsiTheme="minorHAnsi" w:cs="Arial"/>
                <w:bCs/>
                <w:noProof w:val="0"/>
                <w:sz w:val="20"/>
              </w:rPr>
              <w:t>enrollee</w:t>
            </w:r>
            <w:r w:rsidR="009B7161" w:rsidRPr="00235E1B">
              <w:rPr>
                <w:rFonts w:asciiTheme="minorHAnsi" w:hAnsiTheme="minorHAnsi" w:cs="Arial"/>
                <w:bCs/>
                <w:noProof w:val="0"/>
                <w:sz w:val="20"/>
              </w:rPr>
              <w:t xml:space="preserve"> </w:t>
            </w:r>
            <w:r w:rsidR="005F42EF" w:rsidRPr="00235E1B">
              <w:rPr>
                <w:rFonts w:asciiTheme="minorHAnsi" w:hAnsiTheme="minorHAnsi" w:cs="Arial"/>
                <w:bCs/>
                <w:noProof w:val="0"/>
                <w:sz w:val="20"/>
              </w:rPr>
              <w:t>copayments</w:t>
            </w:r>
            <w:r w:rsidR="002A0AAF" w:rsidRPr="00235E1B">
              <w:rPr>
                <w:rFonts w:asciiTheme="minorHAnsi" w:hAnsiTheme="minorHAnsi" w:cs="Arial"/>
                <w:bCs/>
                <w:noProof w:val="0"/>
                <w:sz w:val="20"/>
              </w:rPr>
              <w:t>, including charging excess copayment</w:t>
            </w:r>
            <w:r w:rsidR="00D4043F" w:rsidRPr="00235E1B">
              <w:rPr>
                <w:rFonts w:asciiTheme="minorHAnsi" w:hAnsiTheme="minorHAnsi" w:cs="Arial"/>
                <w:bCs/>
                <w:noProof w:val="0"/>
                <w:sz w:val="20"/>
              </w:rPr>
              <w:t>s</w:t>
            </w:r>
            <w:r w:rsidR="005F42EF" w:rsidRPr="00235E1B">
              <w:rPr>
                <w:rFonts w:asciiTheme="minorHAnsi" w:hAnsiTheme="minorHAnsi" w:cs="Arial"/>
                <w:bCs/>
                <w:noProof w:val="0"/>
                <w:sz w:val="20"/>
              </w:rPr>
              <w:t xml:space="preserve"> </w:t>
            </w:r>
            <w:r w:rsidR="00BF6A39" w:rsidRPr="00235E1B">
              <w:rPr>
                <w:rFonts w:asciiTheme="minorHAnsi" w:eastAsia="Calibri" w:hAnsiTheme="minorHAnsi"/>
                <w:sz w:val="20"/>
              </w:rPr>
              <w:t>for covered services</w:t>
            </w:r>
            <w:r w:rsidR="00B6739C" w:rsidRPr="00235E1B">
              <w:rPr>
                <w:rFonts w:asciiTheme="minorHAnsi" w:eastAsia="Calibri" w:hAnsiTheme="minorHAnsi"/>
                <w:sz w:val="20"/>
              </w:rPr>
              <w:t>,</w:t>
            </w:r>
            <w:r w:rsidR="00E27704" w:rsidRPr="00235E1B">
              <w:rPr>
                <w:rFonts w:asciiTheme="minorHAnsi" w:eastAsia="Calibri" w:hAnsiTheme="minorHAnsi"/>
                <w:sz w:val="20"/>
              </w:rPr>
              <w:t xml:space="preserve"> </w:t>
            </w:r>
            <w:r w:rsidR="00BF6A39" w:rsidRPr="00235E1B">
              <w:rPr>
                <w:rFonts w:asciiTheme="minorHAnsi" w:eastAsia="Calibri" w:hAnsiTheme="minorHAnsi"/>
                <w:sz w:val="20"/>
              </w:rPr>
              <w:t xml:space="preserve">as determined by the Department and outlined in Article III, </w:t>
            </w:r>
            <w:r w:rsidR="00D726C4" w:rsidRPr="00235E1B">
              <w:rPr>
                <w:rFonts w:asciiTheme="minorHAnsi" w:eastAsia="Calibri" w:hAnsiTheme="minorHAnsi"/>
                <w:sz w:val="20"/>
              </w:rPr>
              <w:t xml:space="preserve">Section </w:t>
            </w:r>
            <w:r w:rsidR="000D1DCF">
              <w:rPr>
                <w:rFonts w:asciiTheme="minorHAnsi" w:eastAsia="Calibri" w:hAnsiTheme="minorHAnsi"/>
                <w:sz w:val="20"/>
              </w:rPr>
              <w:t>4</w:t>
            </w:r>
            <w:r w:rsidR="00BF6A39" w:rsidRPr="00235E1B">
              <w:rPr>
                <w:rFonts w:asciiTheme="minorHAnsi" w:eastAsia="Calibri" w:hAnsiTheme="minorHAnsi"/>
                <w:sz w:val="20"/>
              </w:rPr>
              <w:t>.9.</w:t>
            </w:r>
            <w:r w:rsidR="003205DA" w:rsidRPr="00235E1B">
              <w:rPr>
                <w:rFonts w:asciiTheme="minorHAnsi" w:eastAsia="Calibri" w:hAnsiTheme="minorHAnsi"/>
                <w:sz w:val="20"/>
              </w:rPr>
              <w:t xml:space="preserve"> </w:t>
            </w:r>
          </w:p>
        </w:tc>
        <w:tc>
          <w:tcPr>
            <w:tcW w:w="3019" w:type="dxa"/>
            <w:tcBorders>
              <w:top w:val="single" w:sz="4" w:space="0" w:color="auto"/>
              <w:left w:val="single" w:sz="4" w:space="0" w:color="auto"/>
              <w:bottom w:val="single" w:sz="4" w:space="0" w:color="auto"/>
              <w:right w:val="single" w:sz="4" w:space="0" w:color="auto"/>
            </w:tcBorders>
            <w:vAlign w:val="center"/>
          </w:tcPr>
          <w:p w14:paraId="6F864D91" w14:textId="77777777" w:rsidR="00D63ABA" w:rsidRPr="00235E1B" w:rsidRDefault="00946B6D"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Ongoing </w:t>
            </w:r>
          </w:p>
        </w:tc>
        <w:tc>
          <w:tcPr>
            <w:tcW w:w="4140" w:type="dxa"/>
            <w:tcBorders>
              <w:top w:val="single" w:sz="4" w:space="0" w:color="auto"/>
              <w:left w:val="single" w:sz="4" w:space="0" w:color="auto"/>
              <w:bottom w:val="single" w:sz="4" w:space="0" w:color="auto"/>
              <w:right w:val="single" w:sz="4" w:space="0" w:color="auto"/>
            </w:tcBorders>
            <w:vAlign w:val="center"/>
          </w:tcPr>
          <w:p w14:paraId="0E5AA725" w14:textId="1D9BD909" w:rsidR="00D63ABA" w:rsidRPr="00235E1B" w:rsidRDefault="00946B6D"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$100 per each copay incident imposed in error</w:t>
            </w:r>
            <w:r w:rsidR="00E7397B" w:rsidRPr="00235E1B">
              <w:rPr>
                <w:rFonts w:asciiTheme="minorHAnsi" w:hAnsiTheme="minorHAnsi" w:cs="Arial"/>
                <w:bCs/>
                <w:noProof w:val="0"/>
                <w:sz w:val="20"/>
              </w:rPr>
              <w:t>.</w:t>
            </w:r>
            <w:r w:rsidR="00F24820" w:rsidRPr="00235E1B">
              <w:rPr>
                <w:rFonts w:asciiTheme="minorHAnsi" w:hAnsiTheme="minorHAnsi" w:cs="Arial"/>
                <w:bCs/>
                <w:noProof w:val="0"/>
                <w:sz w:val="20"/>
              </w:rPr>
              <w:t xml:space="preserve"> </w:t>
            </w:r>
          </w:p>
        </w:tc>
      </w:tr>
      <w:tr w:rsidR="00177C32" w:rsidRPr="00666EF8" w14:paraId="7F9F7BE7" w14:textId="77777777" w:rsidTr="00235E1B">
        <w:trPr>
          <w:trHeight w:val="575"/>
          <w:jc w:val="center"/>
        </w:trPr>
        <w:tc>
          <w:tcPr>
            <w:tcW w:w="55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0F873FD" w14:textId="0ACE6C15" w:rsidR="00177C32" w:rsidRPr="00235E1B" w:rsidRDefault="00177C32"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lastRenderedPageBreak/>
              <w:t>1</w:t>
            </w:r>
            <w:r w:rsidR="00492013" w:rsidRPr="00235E1B">
              <w:rPr>
                <w:rFonts w:asciiTheme="minorHAnsi" w:hAnsiTheme="minorHAnsi" w:cs="Arial"/>
                <w:bCs/>
                <w:noProof w:val="0"/>
                <w:sz w:val="20"/>
              </w:rPr>
              <w:t>4</w:t>
            </w:r>
          </w:p>
        </w:tc>
        <w:tc>
          <w:tcPr>
            <w:tcW w:w="501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86AE6B" w14:textId="77777777" w:rsidR="00177C32" w:rsidRPr="00235E1B" w:rsidRDefault="00177C32"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Failure to hold or improperly release funds subject to a credible allegation of fraud payment hold. </w:t>
            </w:r>
          </w:p>
        </w:tc>
        <w:tc>
          <w:tcPr>
            <w:tcW w:w="3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DDFBEF" w14:textId="77777777" w:rsidR="00177C32" w:rsidRPr="00235E1B" w:rsidRDefault="00E64DF8"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 xml:space="preserve">Ongoing </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A170174" w14:textId="2DA260B2" w:rsidR="00186486" w:rsidRPr="00235E1B" w:rsidRDefault="00E7397B"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A</w:t>
            </w:r>
            <w:r w:rsidR="00E64DF8" w:rsidRPr="00235E1B">
              <w:rPr>
                <w:rFonts w:asciiTheme="minorHAnsi" w:hAnsiTheme="minorHAnsi" w:cs="Arial"/>
                <w:bCs/>
                <w:noProof w:val="0"/>
                <w:sz w:val="20"/>
              </w:rPr>
              <w:t>mount held or released improperly.</w:t>
            </w:r>
          </w:p>
        </w:tc>
      </w:tr>
      <w:tr w:rsidR="00137FD1" w:rsidRPr="00666EF8" w14:paraId="75E56E72" w14:textId="77777777" w:rsidTr="00235E1B">
        <w:trPr>
          <w:trHeight w:val="800"/>
          <w:jc w:val="center"/>
        </w:trPr>
        <w:tc>
          <w:tcPr>
            <w:tcW w:w="558" w:type="dxa"/>
            <w:tcBorders>
              <w:top w:val="single" w:sz="4" w:space="0" w:color="auto"/>
              <w:left w:val="single" w:sz="4" w:space="0" w:color="auto"/>
              <w:bottom w:val="single" w:sz="4" w:space="0" w:color="auto"/>
              <w:right w:val="single" w:sz="4" w:space="0" w:color="auto"/>
            </w:tcBorders>
            <w:vAlign w:val="center"/>
          </w:tcPr>
          <w:p w14:paraId="3772EB42" w14:textId="47BA539C" w:rsidR="00137FD1" w:rsidRPr="00235E1B" w:rsidDel="005834FE" w:rsidRDefault="00137FD1"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15</w:t>
            </w:r>
          </w:p>
        </w:tc>
        <w:tc>
          <w:tcPr>
            <w:tcW w:w="5017" w:type="dxa"/>
            <w:tcBorders>
              <w:top w:val="single" w:sz="4" w:space="0" w:color="auto"/>
              <w:left w:val="single" w:sz="4" w:space="0" w:color="auto"/>
              <w:bottom w:val="single" w:sz="4" w:space="0" w:color="auto"/>
              <w:right w:val="single" w:sz="4" w:space="0" w:color="auto"/>
            </w:tcBorders>
            <w:vAlign w:val="center"/>
          </w:tcPr>
          <w:p w14:paraId="4EB826B5" w14:textId="7A04C33E" w:rsidR="00137FD1" w:rsidRPr="00235E1B" w:rsidDel="00137FD1" w:rsidRDefault="00137FD1" w:rsidP="00235E1B">
            <w:pPr>
              <w:spacing w:before="40" w:after="40"/>
              <w:rPr>
                <w:rFonts w:asciiTheme="minorHAnsi" w:hAnsiTheme="minorHAnsi" w:cs="Arial"/>
                <w:bCs/>
                <w:noProof w:val="0"/>
                <w:sz w:val="20"/>
              </w:rPr>
            </w:pPr>
            <w:r w:rsidRPr="00235E1B">
              <w:rPr>
                <w:rFonts w:asciiTheme="minorHAnsi" w:hAnsiTheme="minorHAnsi"/>
                <w:bCs/>
                <w:noProof w:val="0"/>
                <w:sz w:val="20"/>
              </w:rPr>
              <w:t xml:space="preserve">Failure to adhere to the prohibitions and requirements related to program integrity activities and the recovery of overpayments as outlined in Article III, </w:t>
            </w:r>
            <w:r w:rsidR="000D1DCF">
              <w:rPr>
                <w:rFonts w:asciiTheme="minorHAnsi" w:hAnsiTheme="minorHAnsi"/>
                <w:bCs/>
                <w:noProof w:val="0"/>
                <w:sz w:val="20"/>
              </w:rPr>
              <w:t>9</w:t>
            </w:r>
            <w:r w:rsidRPr="00235E1B">
              <w:rPr>
                <w:rFonts w:asciiTheme="minorHAnsi" w:hAnsiTheme="minorHAnsi"/>
                <w:bCs/>
                <w:noProof w:val="0"/>
                <w:sz w:val="20"/>
              </w:rPr>
              <w:t>.</w:t>
            </w:r>
          </w:p>
        </w:tc>
        <w:tc>
          <w:tcPr>
            <w:tcW w:w="3019" w:type="dxa"/>
            <w:tcBorders>
              <w:top w:val="single" w:sz="4" w:space="0" w:color="auto"/>
              <w:left w:val="single" w:sz="4" w:space="0" w:color="auto"/>
              <w:bottom w:val="single" w:sz="4" w:space="0" w:color="auto"/>
              <w:right w:val="single" w:sz="4" w:space="0" w:color="auto"/>
            </w:tcBorders>
            <w:vAlign w:val="center"/>
          </w:tcPr>
          <w:p w14:paraId="09B1BE88" w14:textId="2278C82D" w:rsidR="00137FD1" w:rsidRPr="00235E1B" w:rsidDel="00137FD1" w:rsidRDefault="00137FD1" w:rsidP="00235E1B">
            <w:pPr>
              <w:spacing w:before="40" w:after="40"/>
              <w:rPr>
                <w:rFonts w:asciiTheme="minorHAnsi" w:hAnsiTheme="minorHAnsi" w:cs="Arial"/>
                <w:bCs/>
                <w:noProof w:val="0"/>
                <w:sz w:val="20"/>
              </w:rPr>
            </w:pPr>
            <w:r w:rsidRPr="00235E1B">
              <w:rPr>
                <w:rFonts w:asciiTheme="minorHAnsi" w:hAnsiTheme="minorHAnsi"/>
                <w:bCs/>
                <w:noProof w:val="0"/>
                <w:sz w:val="20"/>
              </w:rPr>
              <w:t>Ongoing</w:t>
            </w:r>
          </w:p>
        </w:tc>
        <w:tc>
          <w:tcPr>
            <w:tcW w:w="4140" w:type="dxa"/>
            <w:tcBorders>
              <w:top w:val="single" w:sz="4" w:space="0" w:color="auto"/>
              <w:left w:val="single" w:sz="4" w:space="0" w:color="auto"/>
              <w:bottom w:val="single" w:sz="4" w:space="0" w:color="auto"/>
              <w:right w:val="single" w:sz="4" w:space="0" w:color="auto"/>
            </w:tcBorders>
            <w:vAlign w:val="center"/>
          </w:tcPr>
          <w:p w14:paraId="02E7138B" w14:textId="249B3B45" w:rsidR="00137FD1" w:rsidRPr="00235E1B" w:rsidDel="00137FD1" w:rsidRDefault="00137FD1" w:rsidP="00235E1B">
            <w:pPr>
              <w:pStyle w:val="Default"/>
              <w:spacing w:before="40" w:after="40"/>
              <w:jc w:val="both"/>
              <w:rPr>
                <w:rFonts w:asciiTheme="minorHAnsi" w:hAnsiTheme="minorHAnsi" w:cs="Arial"/>
                <w:bCs/>
                <w:sz w:val="20"/>
                <w:szCs w:val="20"/>
              </w:rPr>
            </w:pPr>
            <w:r w:rsidRPr="00235E1B">
              <w:rPr>
                <w:rFonts w:asciiTheme="minorHAnsi" w:hAnsiTheme="minorHAnsi"/>
                <w:sz w:val="20"/>
                <w:szCs w:val="20"/>
              </w:rPr>
              <w:t>$5,000 per occurrence, plus forfeiture of all related recovered overpayments.</w:t>
            </w:r>
          </w:p>
        </w:tc>
      </w:tr>
      <w:tr w:rsidR="00137FD1" w:rsidRPr="00666EF8" w14:paraId="585BECBD" w14:textId="77777777" w:rsidTr="00235E1B">
        <w:trPr>
          <w:trHeight w:val="692"/>
          <w:jc w:val="center"/>
        </w:trPr>
        <w:tc>
          <w:tcPr>
            <w:tcW w:w="55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DAF586" w14:textId="71BB4B27" w:rsidR="00137FD1" w:rsidRPr="00235E1B" w:rsidRDefault="00137FD1"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16</w:t>
            </w:r>
          </w:p>
        </w:tc>
        <w:tc>
          <w:tcPr>
            <w:tcW w:w="501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709D632" w14:textId="4B22711D" w:rsidR="00137FD1" w:rsidRPr="00235E1B" w:rsidRDefault="00137FD1" w:rsidP="00235E1B">
            <w:pPr>
              <w:spacing w:before="40" w:after="40"/>
              <w:rPr>
                <w:rFonts w:asciiTheme="minorHAnsi" w:hAnsiTheme="minorHAnsi"/>
                <w:bCs/>
                <w:noProof w:val="0"/>
                <w:sz w:val="20"/>
              </w:rPr>
            </w:pPr>
            <w:r w:rsidRPr="00235E1B">
              <w:rPr>
                <w:rFonts w:asciiTheme="minorHAnsi" w:hAnsiTheme="minorHAnsi"/>
                <w:sz w:val="20"/>
              </w:rPr>
              <w:t>In addition to the liquidated damages described in this table, the state agency reserves the right to assess a general liquidated damage with any notice of deficiency.</w:t>
            </w:r>
          </w:p>
        </w:tc>
        <w:tc>
          <w:tcPr>
            <w:tcW w:w="3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F6AFEB3" w14:textId="035A485F" w:rsidR="00137FD1" w:rsidRPr="00235E1B" w:rsidRDefault="00137FD1" w:rsidP="00235E1B">
            <w:pPr>
              <w:spacing w:before="40" w:after="40"/>
              <w:rPr>
                <w:rFonts w:asciiTheme="minorHAnsi" w:hAnsiTheme="minorHAnsi"/>
                <w:bCs/>
                <w:noProof w:val="0"/>
                <w:sz w:val="20"/>
              </w:rPr>
            </w:pPr>
            <w:r w:rsidRPr="00235E1B">
              <w:rPr>
                <w:rFonts w:asciiTheme="minorHAnsi" w:hAnsiTheme="minorHAnsi"/>
                <w:sz w:val="20"/>
              </w:rPr>
              <w:t>Ongoing</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6B9FE41" w14:textId="6FF53A91" w:rsidR="00137FD1" w:rsidRPr="00235E1B" w:rsidRDefault="00137FD1" w:rsidP="00235E1B">
            <w:pPr>
              <w:spacing w:before="40" w:after="40"/>
              <w:rPr>
                <w:rFonts w:asciiTheme="minorHAnsi" w:hAnsiTheme="minorHAnsi"/>
                <w:sz w:val="20"/>
              </w:rPr>
            </w:pPr>
            <w:r w:rsidRPr="00235E1B">
              <w:rPr>
                <w:rFonts w:asciiTheme="minorHAnsi" w:hAnsiTheme="minorHAnsi"/>
                <w:sz w:val="20"/>
              </w:rPr>
              <w:t>$500 per occurrence of any deficiency.</w:t>
            </w:r>
            <w:r w:rsidR="003150A4" w:rsidRPr="00235E1B">
              <w:rPr>
                <w:rFonts w:asciiTheme="minorHAnsi" w:hAnsiTheme="minorHAnsi"/>
                <w:sz w:val="20"/>
              </w:rPr>
              <w:t xml:space="preserve"> </w:t>
            </w:r>
          </w:p>
        </w:tc>
      </w:tr>
      <w:tr w:rsidR="0027635C" w:rsidRPr="00666EF8" w14:paraId="0BD40926" w14:textId="77777777" w:rsidTr="00235E1B">
        <w:trPr>
          <w:trHeight w:val="593"/>
          <w:jc w:val="center"/>
        </w:trPr>
        <w:tc>
          <w:tcPr>
            <w:tcW w:w="558" w:type="dxa"/>
            <w:tcBorders>
              <w:top w:val="single" w:sz="4" w:space="0" w:color="auto"/>
              <w:left w:val="single" w:sz="4" w:space="0" w:color="auto"/>
              <w:bottom w:val="single" w:sz="4" w:space="0" w:color="auto"/>
              <w:right w:val="single" w:sz="4" w:space="0" w:color="auto"/>
            </w:tcBorders>
            <w:vAlign w:val="center"/>
          </w:tcPr>
          <w:p w14:paraId="20553928" w14:textId="4331578A" w:rsidR="0027635C" w:rsidRPr="00235E1B" w:rsidRDefault="005834FE"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1</w:t>
            </w:r>
            <w:r w:rsidR="00137FD1" w:rsidRPr="00235E1B">
              <w:rPr>
                <w:rFonts w:asciiTheme="minorHAnsi" w:hAnsiTheme="minorHAnsi" w:cs="Arial"/>
                <w:bCs/>
                <w:noProof w:val="0"/>
                <w:sz w:val="20"/>
              </w:rPr>
              <w:t>7</w:t>
            </w:r>
          </w:p>
        </w:tc>
        <w:tc>
          <w:tcPr>
            <w:tcW w:w="5017" w:type="dxa"/>
            <w:tcBorders>
              <w:top w:val="single" w:sz="4" w:space="0" w:color="auto"/>
              <w:left w:val="single" w:sz="4" w:space="0" w:color="auto"/>
              <w:bottom w:val="single" w:sz="4" w:space="0" w:color="auto"/>
              <w:right w:val="single" w:sz="4" w:space="0" w:color="auto"/>
            </w:tcBorders>
            <w:vAlign w:val="center"/>
          </w:tcPr>
          <w:p w14:paraId="007E6C8E" w14:textId="116D1D40" w:rsidR="0027635C" w:rsidRPr="00235E1B" w:rsidRDefault="00D2147D" w:rsidP="00235E1B">
            <w:pPr>
              <w:spacing w:before="40" w:after="40"/>
              <w:rPr>
                <w:rFonts w:asciiTheme="minorHAnsi" w:hAnsiTheme="minorHAnsi" w:cs="Arial"/>
                <w:bCs/>
                <w:noProof w:val="0"/>
                <w:sz w:val="20"/>
              </w:rPr>
            </w:pPr>
            <w:r w:rsidRPr="00235E1B">
              <w:rPr>
                <w:rFonts w:asciiTheme="minorHAnsi" w:hAnsiTheme="minorHAnsi"/>
                <w:sz w:val="20"/>
              </w:rPr>
              <w:t xml:space="preserve">Failure by the MCO to ensure at least </w:t>
            </w:r>
            <w:r w:rsidR="00433355" w:rsidRPr="00235E1B">
              <w:rPr>
                <w:rFonts w:asciiTheme="minorHAnsi" w:hAnsiTheme="minorHAnsi"/>
                <w:noProof w:val="0"/>
                <w:sz w:val="20"/>
              </w:rPr>
              <w:t>eighty</w:t>
            </w:r>
            <w:r w:rsidRPr="00235E1B">
              <w:rPr>
                <w:rFonts w:asciiTheme="minorHAnsi" w:hAnsiTheme="minorHAnsi"/>
                <w:noProof w:val="0"/>
                <w:sz w:val="20"/>
              </w:rPr>
              <w:t xml:space="preserve">- three percent </w:t>
            </w:r>
            <w:r w:rsidR="00137FD1" w:rsidRPr="00235E1B">
              <w:rPr>
                <w:rFonts w:asciiTheme="minorHAnsi" w:hAnsiTheme="minorHAnsi"/>
                <w:noProof w:val="0"/>
                <w:sz w:val="20"/>
              </w:rPr>
              <w:t xml:space="preserve">(83%) </w:t>
            </w:r>
            <w:r w:rsidRPr="00235E1B">
              <w:rPr>
                <w:rFonts w:asciiTheme="minorHAnsi" w:hAnsiTheme="minorHAnsi"/>
                <w:noProof w:val="0"/>
                <w:sz w:val="20"/>
              </w:rPr>
              <w:t>of provider calls are answered live within thirty (30) seconds during operating hours</w:t>
            </w:r>
            <w:r w:rsidRPr="00235E1B">
              <w:rPr>
                <w:rFonts w:asciiTheme="minorHAnsi" w:hAnsiTheme="minorHAnsi"/>
                <w:sz w:val="20"/>
              </w:rPr>
              <w:t xml:space="preserve"> </w:t>
            </w:r>
          </w:p>
        </w:tc>
        <w:tc>
          <w:tcPr>
            <w:tcW w:w="3019" w:type="dxa"/>
            <w:tcBorders>
              <w:top w:val="single" w:sz="4" w:space="0" w:color="auto"/>
              <w:left w:val="single" w:sz="4" w:space="0" w:color="auto"/>
              <w:bottom w:val="single" w:sz="4" w:space="0" w:color="auto"/>
              <w:right w:val="single" w:sz="4" w:space="0" w:color="auto"/>
            </w:tcBorders>
            <w:vAlign w:val="center"/>
          </w:tcPr>
          <w:p w14:paraId="0D173FD5" w14:textId="40D80DC9" w:rsidR="0027635C" w:rsidRPr="00235E1B" w:rsidRDefault="00D2147D"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Monthly</w:t>
            </w:r>
          </w:p>
        </w:tc>
        <w:tc>
          <w:tcPr>
            <w:tcW w:w="4140" w:type="dxa"/>
            <w:tcBorders>
              <w:top w:val="single" w:sz="4" w:space="0" w:color="auto"/>
              <w:left w:val="single" w:sz="4" w:space="0" w:color="auto"/>
              <w:bottom w:val="single" w:sz="4" w:space="0" w:color="auto"/>
              <w:right w:val="single" w:sz="4" w:space="0" w:color="auto"/>
            </w:tcBorders>
            <w:vAlign w:val="center"/>
          </w:tcPr>
          <w:p w14:paraId="4FF8835B" w14:textId="0983291D" w:rsidR="0027635C" w:rsidRPr="00235E1B" w:rsidRDefault="00D2147D"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$5,000 per month</w:t>
            </w:r>
            <w:r w:rsidR="00FA7848" w:rsidRPr="00235E1B">
              <w:rPr>
                <w:rFonts w:asciiTheme="minorHAnsi" w:hAnsiTheme="minorHAnsi" w:cs="Arial"/>
                <w:bCs/>
                <w:noProof w:val="0"/>
                <w:sz w:val="20"/>
              </w:rPr>
              <w:t xml:space="preserve"> for non-compliance</w:t>
            </w:r>
          </w:p>
        </w:tc>
      </w:tr>
      <w:tr w:rsidR="00FA7848" w:rsidRPr="00666EF8" w14:paraId="3B65922C" w14:textId="77777777" w:rsidTr="00235E1B">
        <w:trPr>
          <w:trHeight w:val="755"/>
          <w:jc w:val="center"/>
        </w:trPr>
        <w:tc>
          <w:tcPr>
            <w:tcW w:w="55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04AECEB" w14:textId="583D797B" w:rsidR="00FA7848" w:rsidRPr="00235E1B" w:rsidRDefault="005834FE"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16</w:t>
            </w:r>
          </w:p>
        </w:tc>
        <w:tc>
          <w:tcPr>
            <w:tcW w:w="501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6FE09E" w14:textId="00552F62" w:rsidR="00FA7848" w:rsidRPr="00235E1B" w:rsidRDefault="00FA7848" w:rsidP="00235E1B">
            <w:pPr>
              <w:spacing w:before="40" w:after="40"/>
              <w:rPr>
                <w:rFonts w:asciiTheme="minorHAnsi" w:hAnsiTheme="minorHAnsi"/>
                <w:sz w:val="20"/>
              </w:rPr>
            </w:pPr>
            <w:r w:rsidRPr="00235E1B">
              <w:rPr>
                <w:rFonts w:asciiTheme="minorHAnsi" w:hAnsiTheme="minorHAnsi"/>
                <w:sz w:val="20"/>
              </w:rPr>
              <w:t>Failure by the MCO to ensure t</w:t>
            </w:r>
            <w:r w:rsidRPr="00235E1B">
              <w:rPr>
                <w:rFonts w:asciiTheme="minorHAnsi" w:hAnsiTheme="minorHAnsi"/>
                <w:noProof w:val="0"/>
                <w:sz w:val="20"/>
              </w:rPr>
              <w:t>he provider call abandonment rate does not exceed five percent</w:t>
            </w:r>
            <w:r w:rsidR="00137FD1" w:rsidRPr="00235E1B">
              <w:rPr>
                <w:rFonts w:asciiTheme="minorHAnsi" w:hAnsiTheme="minorHAnsi"/>
                <w:noProof w:val="0"/>
                <w:sz w:val="20"/>
              </w:rPr>
              <w:t xml:space="preserve"> (5%)</w:t>
            </w:r>
          </w:p>
        </w:tc>
        <w:tc>
          <w:tcPr>
            <w:tcW w:w="3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08E0CC" w14:textId="7FF7850D" w:rsidR="00FA7848" w:rsidRPr="00235E1B" w:rsidRDefault="00FA7848"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Monthly</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A4ABF5" w14:textId="6E72CFBC" w:rsidR="00FA7848" w:rsidRPr="00235E1B" w:rsidRDefault="00FA7848"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$5,000 per month for non-compliance</w:t>
            </w:r>
          </w:p>
        </w:tc>
      </w:tr>
      <w:tr w:rsidR="00C85784" w:rsidRPr="00666EF8" w14:paraId="108F2B02" w14:textId="77777777" w:rsidTr="00235E1B">
        <w:trPr>
          <w:trHeight w:val="800"/>
          <w:jc w:val="center"/>
        </w:trPr>
        <w:tc>
          <w:tcPr>
            <w:tcW w:w="558" w:type="dxa"/>
            <w:tcBorders>
              <w:top w:val="single" w:sz="4" w:space="0" w:color="auto"/>
              <w:left w:val="single" w:sz="4" w:space="0" w:color="auto"/>
              <w:bottom w:val="single" w:sz="4" w:space="0" w:color="auto"/>
              <w:right w:val="single" w:sz="4" w:space="0" w:color="auto"/>
            </w:tcBorders>
            <w:vAlign w:val="center"/>
          </w:tcPr>
          <w:p w14:paraId="7CFA2538" w14:textId="50FEB782" w:rsidR="00C85784" w:rsidRPr="00235E1B" w:rsidRDefault="005834FE" w:rsidP="00235E1B">
            <w:pPr>
              <w:spacing w:before="40" w:after="40"/>
              <w:jc w:val="center"/>
              <w:rPr>
                <w:rFonts w:asciiTheme="minorHAnsi" w:hAnsiTheme="minorHAnsi" w:cs="Arial"/>
                <w:bCs/>
                <w:noProof w:val="0"/>
                <w:sz w:val="20"/>
              </w:rPr>
            </w:pPr>
            <w:r w:rsidRPr="00235E1B">
              <w:rPr>
                <w:rFonts w:asciiTheme="minorHAnsi" w:hAnsiTheme="minorHAnsi" w:cs="Arial"/>
                <w:bCs/>
                <w:noProof w:val="0"/>
                <w:sz w:val="20"/>
              </w:rPr>
              <w:t>1</w:t>
            </w:r>
            <w:r w:rsidR="00E5524F" w:rsidRPr="00235E1B">
              <w:rPr>
                <w:rFonts w:asciiTheme="minorHAnsi" w:hAnsiTheme="minorHAnsi" w:cs="Arial"/>
                <w:bCs/>
                <w:noProof w:val="0"/>
                <w:sz w:val="20"/>
              </w:rPr>
              <w:t>7</w:t>
            </w:r>
          </w:p>
        </w:tc>
        <w:tc>
          <w:tcPr>
            <w:tcW w:w="5017" w:type="dxa"/>
            <w:tcBorders>
              <w:top w:val="single" w:sz="4" w:space="0" w:color="auto"/>
              <w:left w:val="single" w:sz="4" w:space="0" w:color="auto"/>
              <w:bottom w:val="single" w:sz="4" w:space="0" w:color="auto"/>
              <w:right w:val="single" w:sz="4" w:space="0" w:color="auto"/>
            </w:tcBorders>
            <w:vAlign w:val="center"/>
          </w:tcPr>
          <w:p w14:paraId="2372DCD1" w14:textId="2F83F14E" w:rsidR="00C85784" w:rsidRPr="00235E1B" w:rsidRDefault="00C85784" w:rsidP="00235E1B">
            <w:pPr>
              <w:spacing w:before="40" w:after="40"/>
              <w:rPr>
                <w:rFonts w:asciiTheme="minorHAnsi" w:hAnsiTheme="minorHAnsi"/>
                <w:sz w:val="20"/>
              </w:rPr>
            </w:pPr>
            <w:r w:rsidRPr="00235E1B">
              <w:rPr>
                <w:rFonts w:asciiTheme="minorHAnsi" w:hAnsiTheme="minorHAnsi"/>
                <w:sz w:val="20"/>
              </w:rPr>
              <w:t xml:space="preserve">Failure by the MCO to ensure the independent assessment of appropriateness of the QRTP placement is completed within thirty (30) days after the child is placed in the QRTP </w:t>
            </w:r>
          </w:p>
        </w:tc>
        <w:tc>
          <w:tcPr>
            <w:tcW w:w="3019" w:type="dxa"/>
            <w:tcBorders>
              <w:top w:val="single" w:sz="4" w:space="0" w:color="auto"/>
              <w:left w:val="single" w:sz="4" w:space="0" w:color="auto"/>
              <w:bottom w:val="single" w:sz="4" w:space="0" w:color="auto"/>
              <w:right w:val="single" w:sz="4" w:space="0" w:color="auto"/>
            </w:tcBorders>
            <w:vAlign w:val="center"/>
          </w:tcPr>
          <w:p w14:paraId="088E00FE" w14:textId="663E5EB6" w:rsidR="00C85784" w:rsidRPr="00235E1B" w:rsidRDefault="00C85784" w:rsidP="00235E1B">
            <w:pPr>
              <w:spacing w:before="40" w:after="40"/>
              <w:rPr>
                <w:rFonts w:asciiTheme="minorHAnsi" w:hAnsiTheme="minorHAnsi" w:cs="Arial"/>
                <w:bCs/>
                <w:noProof w:val="0"/>
                <w:sz w:val="20"/>
              </w:rPr>
            </w:pPr>
            <w:r w:rsidRPr="00235E1B">
              <w:rPr>
                <w:rFonts w:asciiTheme="minorHAnsi" w:hAnsiTheme="minorHAnsi" w:cs="Arial"/>
                <w:bCs/>
                <w:noProof w:val="0"/>
                <w:sz w:val="20"/>
              </w:rPr>
              <w:t>Monthly</w:t>
            </w:r>
          </w:p>
        </w:tc>
        <w:tc>
          <w:tcPr>
            <w:tcW w:w="4140" w:type="dxa"/>
            <w:tcBorders>
              <w:top w:val="single" w:sz="4" w:space="0" w:color="auto"/>
              <w:left w:val="single" w:sz="4" w:space="0" w:color="auto"/>
              <w:bottom w:val="single" w:sz="4" w:space="0" w:color="auto"/>
              <w:right w:val="single" w:sz="4" w:space="0" w:color="auto"/>
            </w:tcBorders>
            <w:vAlign w:val="center"/>
          </w:tcPr>
          <w:p w14:paraId="4AC8B331" w14:textId="709090B7" w:rsidR="00C85784" w:rsidRPr="00235E1B" w:rsidRDefault="00C85784" w:rsidP="00235E1B">
            <w:pPr>
              <w:spacing w:before="40" w:after="40"/>
              <w:rPr>
                <w:rFonts w:asciiTheme="minorHAnsi" w:hAnsiTheme="minorHAnsi" w:cs="Arial"/>
                <w:bCs/>
                <w:noProof w:val="0"/>
                <w:sz w:val="20"/>
              </w:rPr>
            </w:pPr>
            <w:r w:rsidRPr="00235E1B">
              <w:rPr>
                <w:rFonts w:asciiTheme="minorHAnsi" w:hAnsiTheme="minorHAnsi"/>
                <w:sz w:val="20"/>
              </w:rPr>
              <w:t>$10,000 per child</w:t>
            </w:r>
          </w:p>
        </w:tc>
      </w:tr>
    </w:tbl>
    <w:p w14:paraId="24615909" w14:textId="77777777" w:rsidR="007E4E30" w:rsidRDefault="007E4E30" w:rsidP="00257641"/>
    <w:p w14:paraId="45A17B85" w14:textId="179FD64C" w:rsidR="008A3F4A" w:rsidRDefault="008A3F4A" w:rsidP="00257641">
      <w:pPr>
        <w:pStyle w:val="Heading1"/>
        <w:sectPr w:rsidR="008A3F4A" w:rsidSect="005B6E6D">
          <w:headerReference w:type="even" r:id="rId29"/>
          <w:headerReference w:type="default" r:id="rId30"/>
          <w:footerReference w:type="even" r:id="rId31"/>
          <w:footerReference w:type="default" r:id="rId32"/>
          <w:headerReference w:type="first" r:id="rId33"/>
          <w:footerReference w:type="first" r:id="rId34"/>
          <w:pgSz w:w="15840" w:h="12240" w:orient="landscape" w:code="1"/>
          <w:pgMar w:top="1440" w:right="1440" w:bottom="1440" w:left="1440" w:header="720" w:footer="720" w:gutter="0"/>
          <w:pgNumType w:start="1"/>
          <w:cols w:space="720"/>
          <w:docGrid w:linePitch="299"/>
        </w:sectPr>
      </w:pPr>
    </w:p>
    <w:p w14:paraId="5F0C8192" w14:textId="49F42747" w:rsidR="00611AD3" w:rsidRPr="00DD3C0C" w:rsidRDefault="00F33B38" w:rsidP="00257641">
      <w:pPr>
        <w:pStyle w:val="Heading1"/>
      </w:pPr>
      <w:bookmarkStart w:id="257" w:name="_Toc8129106"/>
      <w:r>
        <w:lastRenderedPageBreak/>
        <w:t>APPENDIX</w:t>
      </w:r>
      <w:r w:rsidR="001240BD">
        <w:t xml:space="preserve"> </w:t>
      </w:r>
      <w:r w:rsidR="004D7640">
        <w:t>G</w:t>
      </w:r>
      <w:r w:rsidR="00ED53E7">
        <w:t xml:space="preserve">: </w:t>
      </w:r>
      <w:r w:rsidR="00611AD3" w:rsidRPr="00DD3C0C">
        <w:t>Medical L</w:t>
      </w:r>
      <w:r w:rsidR="0054576D">
        <w:t xml:space="preserve">oss Ratio </w:t>
      </w:r>
      <w:r w:rsidR="00233688">
        <w:t xml:space="preserve">(MLR) </w:t>
      </w:r>
      <w:r w:rsidR="0054576D">
        <w:t xml:space="preserve">Reporting </w:t>
      </w:r>
      <w:r w:rsidR="00611AD3" w:rsidRPr="00DD3C0C">
        <w:t>Methodology</w:t>
      </w:r>
      <w:bookmarkEnd w:id="257"/>
    </w:p>
    <w:p w14:paraId="4EA07A12" w14:textId="2207D35A" w:rsidR="00137FD1" w:rsidRPr="0061295E" w:rsidRDefault="00F33B38" w:rsidP="00257641">
      <w:pPr>
        <w:rPr>
          <w:rFonts w:eastAsia="Calibri"/>
        </w:rPr>
      </w:pPr>
      <w:r>
        <w:rPr>
          <w:rFonts w:eastAsia="Calibri"/>
        </w:rPr>
        <w:t>Appendix</w:t>
      </w:r>
      <w:r w:rsidR="00DD3C0C" w:rsidRPr="00DD3C0C">
        <w:rPr>
          <w:rFonts w:eastAsia="Calibri"/>
        </w:rPr>
        <w:t xml:space="preserve"> </w:t>
      </w:r>
      <w:r w:rsidR="000C0DE5">
        <w:rPr>
          <w:rFonts w:eastAsia="Calibri"/>
        </w:rPr>
        <w:t>G</w:t>
      </w:r>
      <w:r w:rsidR="00DD3C0C" w:rsidRPr="00DD3C0C">
        <w:rPr>
          <w:rFonts w:eastAsia="Calibri"/>
        </w:rPr>
        <w:t xml:space="preserve"> of this </w:t>
      </w:r>
      <w:r w:rsidR="009B19C2">
        <w:rPr>
          <w:rFonts w:eastAsia="Calibri"/>
        </w:rPr>
        <w:t xml:space="preserve">Contract </w:t>
      </w:r>
      <w:r w:rsidR="00DD3C0C" w:rsidRPr="00DD3C0C">
        <w:rPr>
          <w:rFonts w:eastAsia="Calibri"/>
        </w:rPr>
        <w:t xml:space="preserve">outlines the requirements for the MLR reporting and for calculating any </w:t>
      </w:r>
      <w:r w:rsidR="00F156A4">
        <w:rPr>
          <w:rFonts w:eastAsia="Calibri"/>
        </w:rPr>
        <w:t xml:space="preserve">program </w:t>
      </w:r>
      <w:r w:rsidR="00DD3C0C" w:rsidRPr="00DD3C0C">
        <w:rPr>
          <w:rFonts w:eastAsia="Calibri"/>
        </w:rPr>
        <w:t xml:space="preserve">rebate amount that may be due to the Department in the event the MCO does not meet the minimum </w:t>
      </w:r>
      <w:r w:rsidR="00831A5C">
        <w:rPr>
          <w:rFonts w:eastAsia="Calibri"/>
        </w:rPr>
        <w:t>eighty percent</w:t>
      </w:r>
      <w:r w:rsidR="00DD3C0C" w:rsidRPr="00DD3C0C">
        <w:rPr>
          <w:rFonts w:eastAsia="Calibri"/>
        </w:rPr>
        <w:t xml:space="preserve"> </w:t>
      </w:r>
      <w:r w:rsidR="00137FD1">
        <w:rPr>
          <w:rFonts w:eastAsia="Calibri"/>
        </w:rPr>
        <w:t>(</w:t>
      </w:r>
      <w:r w:rsidR="00137FD1" w:rsidRPr="00DD3C0C">
        <w:rPr>
          <w:rFonts w:eastAsia="Calibri"/>
        </w:rPr>
        <w:t>85</w:t>
      </w:r>
      <w:r w:rsidR="00137FD1">
        <w:rPr>
          <w:rFonts w:eastAsia="Calibri"/>
        </w:rPr>
        <w:t xml:space="preserve">%) </w:t>
      </w:r>
      <w:r w:rsidR="00DD3C0C" w:rsidRPr="00DD3C0C">
        <w:rPr>
          <w:rFonts w:eastAsia="Calibri"/>
        </w:rPr>
        <w:t xml:space="preserve">MLR standard as provided by Article III, Section </w:t>
      </w:r>
      <w:r w:rsidR="000D1DCF">
        <w:rPr>
          <w:rFonts w:eastAsia="Calibri"/>
        </w:rPr>
        <w:t>8</w:t>
      </w:r>
      <w:r w:rsidR="00DD3C0C" w:rsidRPr="00DD3C0C">
        <w:rPr>
          <w:rFonts w:eastAsia="Calibri"/>
        </w:rPr>
        <w:t xml:space="preserve">.3 of this Contract. </w:t>
      </w:r>
      <w:r w:rsidR="00137FD1" w:rsidRPr="001C4ED5">
        <w:rPr>
          <w:rFonts w:eastAsia="Calibri"/>
        </w:rPr>
        <w:t xml:space="preserve">In addition to reviewing </w:t>
      </w:r>
      <w:r w:rsidR="00137FD1">
        <w:rPr>
          <w:rFonts w:eastAsia="Calibri"/>
        </w:rPr>
        <w:t>this Appendix</w:t>
      </w:r>
      <w:r w:rsidR="00137FD1" w:rsidRPr="001C4ED5">
        <w:rPr>
          <w:rFonts w:eastAsia="Calibri"/>
        </w:rPr>
        <w:t xml:space="preserve">, </w:t>
      </w:r>
      <w:r w:rsidR="00137FD1">
        <w:rPr>
          <w:rFonts w:eastAsia="Calibri"/>
        </w:rPr>
        <w:t>MCOs</w:t>
      </w:r>
      <w:r w:rsidR="00137FD1" w:rsidRPr="001C4ED5">
        <w:rPr>
          <w:rFonts w:eastAsia="Calibri"/>
        </w:rPr>
        <w:t xml:space="preserve"> are advised to review the following CFR provisions</w:t>
      </w:r>
      <w:r w:rsidR="00137FD1">
        <w:rPr>
          <w:rFonts w:eastAsia="Calibri"/>
        </w:rPr>
        <w:t xml:space="preserve"> </w:t>
      </w:r>
      <w:r w:rsidR="00137FD1" w:rsidRPr="001C4ED5">
        <w:rPr>
          <w:rFonts w:eastAsia="Calibri"/>
        </w:rPr>
        <w:t>prior to completing the</w:t>
      </w:r>
      <w:r w:rsidR="00137FD1">
        <w:rPr>
          <w:rFonts w:eastAsia="Calibri"/>
        </w:rPr>
        <w:t xml:space="preserve"> MLR</w:t>
      </w:r>
      <w:r w:rsidR="00137FD1" w:rsidRPr="001C4ED5">
        <w:rPr>
          <w:rFonts w:eastAsia="Calibri"/>
        </w:rPr>
        <w:t xml:space="preserve"> report: 42 CFR §438.8; 42 CFR 438.604; and 42 CFR §438.606.</w:t>
      </w:r>
    </w:p>
    <w:p w14:paraId="38C43A7B" w14:textId="77777777" w:rsidR="00DD3C0C" w:rsidRPr="00E9409D" w:rsidRDefault="00DD3C0C" w:rsidP="00257641">
      <w:pPr>
        <w:keepNext/>
        <w:keepLines/>
        <w:outlineLvl w:val="2"/>
        <w:rPr>
          <w:rFonts w:ascii="Arial" w:hAnsi="Arial" w:cs="Arial"/>
          <w:b/>
          <w:bCs/>
          <w:noProof w:val="0"/>
          <w:szCs w:val="24"/>
        </w:rPr>
      </w:pPr>
      <w:bookmarkStart w:id="258" w:name="_Toc416184234"/>
      <w:r w:rsidRPr="00E9409D">
        <w:rPr>
          <w:rFonts w:ascii="Arial" w:hAnsi="Arial" w:cs="Arial"/>
          <w:b/>
          <w:bCs/>
          <w:noProof w:val="0"/>
          <w:szCs w:val="24"/>
        </w:rPr>
        <w:t xml:space="preserve">General </w:t>
      </w:r>
      <w:bookmarkEnd w:id="258"/>
      <w:r w:rsidR="00C61BEB">
        <w:rPr>
          <w:rFonts w:ascii="Arial" w:hAnsi="Arial" w:cs="Arial"/>
          <w:b/>
          <w:bCs/>
          <w:noProof w:val="0"/>
          <w:szCs w:val="24"/>
        </w:rPr>
        <w:t xml:space="preserve">Standards for Reporting </w:t>
      </w:r>
    </w:p>
    <w:p w14:paraId="5B04494A" w14:textId="2143F8E4" w:rsidR="00D30CC0" w:rsidRDefault="00DD3C0C" w:rsidP="00257641">
      <w:pPr>
        <w:rPr>
          <w:noProof w:val="0"/>
          <w:szCs w:val="22"/>
        </w:rPr>
      </w:pPr>
      <w:r w:rsidRPr="00DD3C0C">
        <w:rPr>
          <w:noProof w:val="0"/>
          <w:szCs w:val="22"/>
        </w:rPr>
        <w:t xml:space="preserve">The MCO must demonstrate its ongoing </w:t>
      </w:r>
      <w:r w:rsidR="009B19C2">
        <w:rPr>
          <w:noProof w:val="0"/>
          <w:szCs w:val="22"/>
        </w:rPr>
        <w:t xml:space="preserve">Contract </w:t>
      </w:r>
      <w:r w:rsidRPr="00DD3C0C">
        <w:rPr>
          <w:noProof w:val="0"/>
          <w:szCs w:val="22"/>
        </w:rPr>
        <w:t>compliance with the MLR standard</w:t>
      </w:r>
      <w:r w:rsidR="002D44F7">
        <w:rPr>
          <w:noProof w:val="0"/>
          <w:szCs w:val="22"/>
        </w:rPr>
        <w:t>s</w:t>
      </w:r>
      <w:r w:rsidRPr="00DD3C0C">
        <w:rPr>
          <w:noProof w:val="0"/>
          <w:szCs w:val="22"/>
        </w:rPr>
        <w:t xml:space="preserve">, as set by Article III, Section </w:t>
      </w:r>
      <w:r w:rsidR="000D1DCF">
        <w:rPr>
          <w:noProof w:val="0"/>
          <w:szCs w:val="22"/>
        </w:rPr>
        <w:t>8</w:t>
      </w:r>
      <w:r w:rsidRPr="00DD3C0C">
        <w:rPr>
          <w:noProof w:val="0"/>
          <w:szCs w:val="22"/>
        </w:rPr>
        <w:t>.3 of this Contract. The MCO must complete and submit the MLR Financial Report</w:t>
      </w:r>
      <w:r w:rsidR="00D30CC0">
        <w:rPr>
          <w:noProof w:val="0"/>
          <w:szCs w:val="22"/>
        </w:rPr>
        <w:t>s</w:t>
      </w:r>
      <w:r w:rsidRPr="00DD3C0C">
        <w:rPr>
          <w:noProof w:val="0"/>
          <w:szCs w:val="22"/>
        </w:rPr>
        <w:t xml:space="preserve"> to the Department, using the following schedule:</w:t>
      </w:r>
    </w:p>
    <w:p w14:paraId="54AE5858" w14:textId="54636C7C" w:rsidR="00137FD1" w:rsidRPr="00CA4626" w:rsidRDefault="00137FD1" w:rsidP="00257641">
      <w:pPr>
        <w:numPr>
          <w:ilvl w:val="1"/>
          <w:numId w:val="60"/>
        </w:numPr>
        <w:spacing w:after="120"/>
        <w:ind w:left="720"/>
        <w:rPr>
          <w:noProof w:val="0"/>
          <w:szCs w:val="22"/>
        </w:rPr>
      </w:pPr>
      <w:r>
        <w:rPr>
          <w:noProof w:val="0"/>
          <w:szCs w:val="22"/>
        </w:rPr>
        <w:t>As required by the Department during the rate-setting and supplemental data request process;</w:t>
      </w:r>
      <w:r w:rsidR="003150A4">
        <w:rPr>
          <w:noProof w:val="0"/>
          <w:szCs w:val="22"/>
        </w:rPr>
        <w:t xml:space="preserve"> </w:t>
      </w:r>
    </w:p>
    <w:p w14:paraId="7DFE500F" w14:textId="456B0757" w:rsidR="00831A5C" w:rsidRDefault="006D39F3" w:rsidP="00257641">
      <w:pPr>
        <w:numPr>
          <w:ilvl w:val="1"/>
          <w:numId w:val="60"/>
        </w:numPr>
        <w:spacing w:after="120"/>
        <w:ind w:left="720"/>
        <w:rPr>
          <w:noProof w:val="0"/>
          <w:szCs w:val="22"/>
        </w:rPr>
      </w:pPr>
      <w:r>
        <w:rPr>
          <w:noProof w:val="0"/>
          <w:szCs w:val="22"/>
        </w:rPr>
        <w:t xml:space="preserve">Annually, </w:t>
      </w:r>
      <w:r w:rsidR="00137FD1">
        <w:rPr>
          <w:noProof w:val="0"/>
          <w:szCs w:val="22"/>
        </w:rPr>
        <w:t xml:space="preserve">eight </w:t>
      </w:r>
      <w:r w:rsidR="005A38AD">
        <w:rPr>
          <w:noProof w:val="0"/>
          <w:szCs w:val="22"/>
        </w:rPr>
        <w:t>(</w:t>
      </w:r>
      <w:r w:rsidR="00137FD1">
        <w:rPr>
          <w:noProof w:val="0"/>
          <w:szCs w:val="22"/>
        </w:rPr>
        <w:t>8</w:t>
      </w:r>
      <w:r w:rsidR="005A38AD">
        <w:rPr>
          <w:noProof w:val="0"/>
          <w:szCs w:val="22"/>
        </w:rPr>
        <w:t>)</w:t>
      </w:r>
      <w:r w:rsidR="0084375D">
        <w:rPr>
          <w:noProof w:val="0"/>
          <w:szCs w:val="22"/>
        </w:rPr>
        <w:t xml:space="preserve"> month</w:t>
      </w:r>
      <w:r w:rsidR="005A38AD">
        <w:rPr>
          <w:noProof w:val="0"/>
          <w:szCs w:val="22"/>
        </w:rPr>
        <w:t>s</w:t>
      </w:r>
      <w:r w:rsidR="0084375D">
        <w:rPr>
          <w:noProof w:val="0"/>
          <w:szCs w:val="22"/>
        </w:rPr>
        <w:t xml:space="preserve"> following the end of the State Fiscal Year</w:t>
      </w:r>
      <w:r w:rsidR="0032431A">
        <w:rPr>
          <w:noProof w:val="0"/>
          <w:szCs w:val="22"/>
        </w:rPr>
        <w:t xml:space="preserve"> (SFY)</w:t>
      </w:r>
      <w:r w:rsidR="00137FD1" w:rsidRPr="00137FD1">
        <w:rPr>
          <w:noProof w:val="0"/>
          <w:szCs w:val="22"/>
        </w:rPr>
        <w:t xml:space="preserve"> </w:t>
      </w:r>
      <w:r w:rsidR="00137FD1">
        <w:rPr>
          <w:noProof w:val="0"/>
          <w:szCs w:val="22"/>
        </w:rPr>
        <w:t>for CMS submission</w:t>
      </w:r>
      <w:r w:rsidR="00831A5C">
        <w:rPr>
          <w:noProof w:val="0"/>
          <w:szCs w:val="22"/>
        </w:rPr>
        <w:t>; and</w:t>
      </w:r>
    </w:p>
    <w:p w14:paraId="71DDA194" w14:textId="6CFAE790" w:rsidR="00DD3C0C" w:rsidRPr="00831A5C" w:rsidRDefault="00831A5C" w:rsidP="00257641">
      <w:pPr>
        <w:numPr>
          <w:ilvl w:val="1"/>
          <w:numId w:val="60"/>
        </w:numPr>
        <w:ind w:left="720"/>
        <w:rPr>
          <w:noProof w:val="0"/>
          <w:szCs w:val="22"/>
        </w:rPr>
      </w:pPr>
      <w:r w:rsidRPr="00831A5C">
        <w:rPr>
          <w:noProof w:val="0"/>
          <w:szCs w:val="22"/>
        </w:rPr>
        <w:t xml:space="preserve">Following any instance where BMS makes a retroactive change to the capitation payments for a MLR reporting year in which the MLR report has already been submitted to BMS, the MCO must re-calculate the MLR for each MLR reporting year affected by the change and resubmit the reports to BMS per 42 CFR </w:t>
      </w:r>
      <w:r w:rsidR="00137FD1" w:rsidRPr="005A44A1">
        <w:rPr>
          <w:noProof w:val="0"/>
          <w:szCs w:val="22"/>
        </w:rPr>
        <w:t>§</w:t>
      </w:r>
      <w:r w:rsidRPr="00831A5C">
        <w:rPr>
          <w:noProof w:val="0"/>
          <w:szCs w:val="22"/>
        </w:rPr>
        <w:t>438</w:t>
      </w:r>
      <w:r w:rsidR="0084375D" w:rsidRPr="00831A5C">
        <w:rPr>
          <w:noProof w:val="0"/>
          <w:szCs w:val="22"/>
        </w:rPr>
        <w:t xml:space="preserve">. </w:t>
      </w:r>
    </w:p>
    <w:p w14:paraId="6D2DE94A" w14:textId="5B7EDF49" w:rsidR="00DD3C0C" w:rsidRDefault="00137FD1" w:rsidP="00257641">
      <w:pPr>
        <w:rPr>
          <w:noProof w:val="0"/>
        </w:rPr>
      </w:pPr>
      <w:r w:rsidRPr="001C33C8">
        <w:rPr>
          <w:noProof w:val="0"/>
          <w:szCs w:val="22"/>
        </w:rPr>
        <w:t xml:space="preserve">The MCO must require any third party vendor providing claims adjudication activities to provide all underlying data associated with MLR reporting to the MCO within one hundred and eighty (180) </w:t>
      </w:r>
      <w:r>
        <w:rPr>
          <w:noProof w:val="0"/>
          <w:szCs w:val="22"/>
        </w:rPr>
        <w:t xml:space="preserve">calendar </w:t>
      </w:r>
      <w:r w:rsidRPr="001C33C8">
        <w:rPr>
          <w:noProof w:val="0"/>
          <w:szCs w:val="22"/>
        </w:rPr>
        <w:t xml:space="preserve">days of the end of the MLR reporting year or within thirty (30) </w:t>
      </w:r>
      <w:r>
        <w:rPr>
          <w:noProof w:val="0"/>
          <w:szCs w:val="22"/>
        </w:rPr>
        <w:t xml:space="preserve">calendar </w:t>
      </w:r>
      <w:r w:rsidRPr="001C33C8">
        <w:rPr>
          <w:noProof w:val="0"/>
          <w:szCs w:val="22"/>
        </w:rPr>
        <w:t>days of being requested by the MCO, whichever comes sooner, regardless of current contractual limitations, to calculate and validate the accuracy of MLR reporting per 42 CFR 438.8(k)(3).</w:t>
      </w:r>
      <w:r w:rsidR="00DD3C0C" w:rsidRPr="00DD3C0C">
        <w:rPr>
          <w:noProof w:val="0"/>
        </w:rPr>
        <w:t>The MCO must maintain and make available to the Department upon request any data used to calculate MLR</w:t>
      </w:r>
      <w:r w:rsidR="00953A37">
        <w:rPr>
          <w:noProof w:val="0"/>
        </w:rPr>
        <w:t>s</w:t>
      </w:r>
      <w:r w:rsidR="00DD3C0C" w:rsidRPr="00DD3C0C">
        <w:rPr>
          <w:noProof w:val="0"/>
        </w:rPr>
        <w:t xml:space="preserve"> and MLR rebate</w:t>
      </w:r>
      <w:r w:rsidR="00953A37">
        <w:rPr>
          <w:noProof w:val="0"/>
        </w:rPr>
        <w:t>s</w:t>
      </w:r>
      <w:r w:rsidR="00DD3C0C" w:rsidRPr="00DD3C0C">
        <w:rPr>
          <w:noProof w:val="0"/>
        </w:rPr>
        <w:t xml:space="preserve"> under this </w:t>
      </w:r>
      <w:r w:rsidR="00F33B38">
        <w:rPr>
          <w:noProof w:val="0"/>
        </w:rPr>
        <w:t>Appendix</w:t>
      </w:r>
      <w:r w:rsidR="00DD3C0C" w:rsidRPr="00DD3C0C">
        <w:rPr>
          <w:noProof w:val="0"/>
        </w:rPr>
        <w:t xml:space="preserve"> together with all supporting information required to determine the methods for calculations outlined in this </w:t>
      </w:r>
      <w:r w:rsidR="00F33B38">
        <w:rPr>
          <w:noProof w:val="0"/>
        </w:rPr>
        <w:t>Appendix</w:t>
      </w:r>
      <w:r w:rsidR="00DD3C0C" w:rsidRPr="00DD3C0C">
        <w:rPr>
          <w:noProof w:val="0"/>
        </w:rPr>
        <w:t xml:space="preserve">. </w:t>
      </w:r>
    </w:p>
    <w:p w14:paraId="2DC4DB04" w14:textId="77777777" w:rsidR="00137FD1" w:rsidRPr="00137FD1" w:rsidRDefault="00137FD1" w:rsidP="00257641">
      <w:pPr>
        <w:keepNext/>
        <w:keepLines/>
        <w:outlineLvl w:val="2"/>
        <w:rPr>
          <w:rFonts w:ascii="Arial" w:hAnsi="Arial" w:cs="Arial"/>
          <w:b/>
          <w:bCs/>
          <w:noProof w:val="0"/>
          <w:szCs w:val="24"/>
        </w:rPr>
      </w:pPr>
      <w:r w:rsidRPr="00137FD1">
        <w:rPr>
          <w:rFonts w:ascii="Arial" w:hAnsi="Arial" w:cs="Arial"/>
          <w:b/>
          <w:bCs/>
          <w:noProof w:val="0"/>
          <w:szCs w:val="24"/>
        </w:rPr>
        <w:t>Certification of Accuracy</w:t>
      </w:r>
    </w:p>
    <w:p w14:paraId="751DB6E8" w14:textId="179F50AE" w:rsidR="00137FD1" w:rsidRDefault="00137FD1" w:rsidP="00257641">
      <w:pPr>
        <w:rPr>
          <w:noProof w:val="0"/>
          <w:szCs w:val="22"/>
        </w:rPr>
      </w:pPr>
      <w:r w:rsidRPr="00137FD1">
        <w:rPr>
          <w:noProof w:val="0"/>
          <w:szCs w:val="22"/>
        </w:rPr>
        <w:t>42 CFR §438.606 and 42 CFR § 438.8(n) require that the MLR report submission be certified that based on best information, knowledge, and belief, the data, documentation, and information provided in the report is accurate, complete, and truthful. The certification must be signed by the MCO’s Chief Executive Officer (CEO), Chief Financial Officer (CFO), or an individual who reports directly to the CEO or CFO with delegated authority to sign for the CEO or CFO so that the CEO or CFO is ultimately responsible for the certification. MLR report submissions without the required certification will not be accepted.</w:t>
      </w:r>
    </w:p>
    <w:p w14:paraId="155BABE7" w14:textId="2D527D35" w:rsidR="00DD3C0C" w:rsidRPr="008B2E5D" w:rsidRDefault="00DD3C0C" w:rsidP="00257641">
      <w:pPr>
        <w:keepNext/>
        <w:keepLines/>
        <w:outlineLvl w:val="2"/>
        <w:rPr>
          <w:rFonts w:ascii="Arial" w:hAnsi="Arial" w:cs="Arial"/>
          <w:b/>
          <w:bCs/>
          <w:noProof w:val="0"/>
          <w:szCs w:val="24"/>
        </w:rPr>
      </w:pPr>
      <w:bookmarkStart w:id="259" w:name="_Toc416184235"/>
      <w:r w:rsidRPr="008B2E5D">
        <w:rPr>
          <w:rFonts w:ascii="Arial" w:hAnsi="Arial" w:cs="Arial"/>
          <w:b/>
          <w:bCs/>
          <w:noProof w:val="0"/>
          <w:szCs w:val="24"/>
        </w:rPr>
        <w:t>Calculating MLR</w:t>
      </w:r>
      <w:bookmarkEnd w:id="259"/>
      <w:r w:rsidR="005357C6" w:rsidRPr="008B2E5D">
        <w:rPr>
          <w:rFonts w:ascii="Arial" w:hAnsi="Arial" w:cs="Arial"/>
          <w:b/>
          <w:bCs/>
          <w:noProof w:val="0"/>
          <w:szCs w:val="24"/>
        </w:rPr>
        <w:t>s</w:t>
      </w:r>
      <w:r w:rsidRPr="008B2E5D">
        <w:rPr>
          <w:rFonts w:ascii="Arial" w:hAnsi="Arial" w:cs="Arial"/>
          <w:b/>
          <w:bCs/>
          <w:noProof w:val="0"/>
          <w:szCs w:val="24"/>
        </w:rPr>
        <w:t xml:space="preserve"> </w:t>
      </w:r>
    </w:p>
    <w:p w14:paraId="78DE85AC" w14:textId="2D48D620" w:rsidR="00DD3C0C" w:rsidRPr="00DD3C0C" w:rsidRDefault="00DD3C0C" w:rsidP="00257641">
      <w:pPr>
        <w:rPr>
          <w:noProof w:val="0"/>
          <w:szCs w:val="22"/>
        </w:rPr>
      </w:pPr>
      <w:r w:rsidRPr="00DD3C0C">
        <w:rPr>
          <w:noProof w:val="0"/>
          <w:szCs w:val="22"/>
        </w:rPr>
        <w:t xml:space="preserve">The MCO must calculate its </w:t>
      </w:r>
      <w:r w:rsidR="00953A37">
        <w:rPr>
          <w:noProof w:val="0"/>
          <w:szCs w:val="22"/>
        </w:rPr>
        <w:t xml:space="preserve">program </w:t>
      </w:r>
      <w:r w:rsidRPr="00DD3C0C">
        <w:rPr>
          <w:noProof w:val="0"/>
          <w:szCs w:val="22"/>
        </w:rPr>
        <w:t>MLR utilizing the following formula:</w:t>
      </w:r>
    </w:p>
    <w:p w14:paraId="0BBAFFA3" w14:textId="60AA8ABE" w:rsidR="00DD3C0C" w:rsidRDefault="003E1CE6" w:rsidP="00257641">
      <w:pPr>
        <w:rPr>
          <w:noProof w:val="0"/>
          <w:szCs w:val="22"/>
        </w:rPr>
      </w:pPr>
      <w:r>
        <w:rPr>
          <w:noProof w:val="0"/>
          <w:szCs w:val="22"/>
        </w:rPr>
        <w:lastRenderedPageBreak/>
        <w:t>The MLR</w:t>
      </w:r>
      <w:r w:rsidRPr="00B603F9">
        <w:rPr>
          <w:noProof w:val="0"/>
          <w:szCs w:val="22"/>
        </w:rPr>
        <w:t xml:space="preserve"> is the ratio of the numerator (as defined in accordance with 42 CFR 438.8(e)) to the denominator (as defined in accordance with 42 CFR </w:t>
      </w:r>
      <w:r w:rsidRPr="001C4ED5">
        <w:rPr>
          <w:rFonts w:eastAsia="Calibri"/>
        </w:rPr>
        <w:t>§</w:t>
      </w:r>
      <w:r w:rsidRPr="00B603F9">
        <w:rPr>
          <w:noProof w:val="0"/>
          <w:szCs w:val="22"/>
        </w:rPr>
        <w:t>438.8(f)).</w:t>
      </w:r>
      <w:r w:rsidR="003150A4">
        <w:rPr>
          <w:noProof w:val="0"/>
          <w:szCs w:val="22"/>
        </w:rPr>
        <w:t xml:space="preserve"> </w:t>
      </w:r>
      <w:r w:rsidR="00DD3C0C" w:rsidRPr="00DD3C0C">
        <w:rPr>
          <w:noProof w:val="0"/>
          <w:szCs w:val="22"/>
        </w:rPr>
        <w:t>The MLR must be rounded to three decimal places. For example, if an MLR is 0.7988, it must be rounded to 0.799 or 79.9 percent. If an MLR is 0.8253 or 82.53 percent, it must be rounded to 0.825 or 82.5 percent.</w:t>
      </w:r>
    </w:p>
    <w:p w14:paraId="1763F912" w14:textId="77777777" w:rsidR="003E1CE6" w:rsidRDefault="003E1CE6" w:rsidP="00257641">
      <w:pPr>
        <w:rPr>
          <w:noProof w:val="0"/>
          <w:szCs w:val="22"/>
        </w:rPr>
      </w:pPr>
      <w:r>
        <w:rPr>
          <w:noProof w:val="0"/>
          <w:szCs w:val="22"/>
        </w:rPr>
        <w:t xml:space="preserve">The </w:t>
      </w:r>
      <w:r w:rsidRPr="00BF3F97">
        <w:rPr>
          <w:noProof w:val="0"/>
          <w:szCs w:val="22"/>
        </w:rPr>
        <w:t>MCO</w:t>
      </w:r>
      <w:r>
        <w:rPr>
          <w:noProof w:val="0"/>
          <w:szCs w:val="22"/>
        </w:rPr>
        <w:t xml:space="preserve"> </w:t>
      </w:r>
      <w:r w:rsidRPr="00BF3F97">
        <w:rPr>
          <w:noProof w:val="0"/>
          <w:szCs w:val="22"/>
        </w:rPr>
        <w:t>may add a credibility adjustment to a calculated MLR if the MLR reporting year experience is partially credible. The credibility adjustment is added to the reported MLR calculation before calculating any re</w:t>
      </w:r>
      <w:r>
        <w:rPr>
          <w:noProof w:val="0"/>
          <w:szCs w:val="22"/>
        </w:rPr>
        <w:t>bates and in accordance with</w:t>
      </w:r>
      <w:r w:rsidRPr="00BF3F97">
        <w:rPr>
          <w:noProof w:val="0"/>
          <w:szCs w:val="22"/>
        </w:rPr>
        <w:t xml:space="preserve"> </w:t>
      </w:r>
      <w:r>
        <w:rPr>
          <w:noProof w:val="0"/>
          <w:szCs w:val="22"/>
        </w:rPr>
        <w:t xml:space="preserve">42 CFR </w:t>
      </w:r>
      <w:r w:rsidRPr="001C4ED5">
        <w:rPr>
          <w:rFonts w:eastAsia="Calibri"/>
        </w:rPr>
        <w:t>§</w:t>
      </w:r>
      <w:r>
        <w:rPr>
          <w:rFonts w:eastAsia="Calibri"/>
        </w:rPr>
        <w:t>438.8(h).</w:t>
      </w:r>
    </w:p>
    <w:p w14:paraId="2201651D" w14:textId="77777777" w:rsidR="00EB473B" w:rsidRDefault="00EB473B" w:rsidP="00257641">
      <w:pPr>
        <w:keepNext/>
        <w:keepLines/>
        <w:outlineLvl w:val="2"/>
        <w:rPr>
          <w:rFonts w:ascii="Arial" w:hAnsi="Arial" w:cs="Arial"/>
          <w:b/>
          <w:bCs/>
          <w:noProof w:val="0"/>
          <w:szCs w:val="24"/>
        </w:rPr>
      </w:pPr>
      <w:r>
        <w:rPr>
          <w:rFonts w:ascii="Arial" w:hAnsi="Arial" w:cs="Arial"/>
          <w:b/>
          <w:bCs/>
          <w:noProof w:val="0"/>
          <w:szCs w:val="24"/>
        </w:rPr>
        <w:t>Allocation of Expenses</w:t>
      </w:r>
    </w:p>
    <w:p w14:paraId="2A90D703" w14:textId="77777777" w:rsidR="00EB473B" w:rsidRDefault="00EB473B" w:rsidP="00257641">
      <w:pPr>
        <w:pStyle w:val="normal6"/>
      </w:pPr>
      <w:r>
        <w:t>The MCO must follow a generally accepted accounting methodology anticipated to yield the most accurate results and must ensure the following:</w:t>
      </w:r>
    </w:p>
    <w:p w14:paraId="5BCF5753" w14:textId="2022C0E6" w:rsidR="00FE78B0" w:rsidRPr="006E61D4" w:rsidRDefault="00FE78B0" w:rsidP="00257641">
      <w:pPr>
        <w:pStyle w:val="ListParagraph"/>
        <w:numPr>
          <w:ilvl w:val="0"/>
          <w:numId w:val="185"/>
        </w:numPr>
        <w:spacing w:after="120" w:line="240" w:lineRule="auto"/>
        <w:contextualSpacing w:val="0"/>
        <w:rPr>
          <w:rFonts w:ascii="Times New Roman" w:hAnsi="Times New Roman"/>
        </w:rPr>
      </w:pPr>
      <w:r w:rsidRPr="006E61D4">
        <w:rPr>
          <w:rFonts w:ascii="Times New Roman" w:hAnsi="Times New Roman"/>
        </w:rPr>
        <w:t>Any expense may be reported under only one type of expense, unless a portion of the expense fits under the criteria for one type of expense and the remainder fits the criteria for another type of expense. In this case, the expense must be pro-rated between the types of expenses.</w:t>
      </w:r>
    </w:p>
    <w:p w14:paraId="6202CA96" w14:textId="33F3F386" w:rsidR="00FE78B0" w:rsidRPr="006E61D4" w:rsidRDefault="00FE78B0" w:rsidP="00257641">
      <w:pPr>
        <w:pStyle w:val="ListParagraph"/>
        <w:numPr>
          <w:ilvl w:val="0"/>
          <w:numId w:val="185"/>
        </w:numPr>
        <w:spacing w:after="120" w:line="240" w:lineRule="auto"/>
        <w:contextualSpacing w:val="0"/>
        <w:rPr>
          <w:rFonts w:ascii="Times New Roman" w:hAnsi="Times New Roman"/>
        </w:rPr>
      </w:pPr>
      <w:r w:rsidRPr="006E61D4">
        <w:rPr>
          <w:rFonts w:ascii="Times New Roman" w:hAnsi="Times New Roman"/>
        </w:rPr>
        <w:t>Expenses that benefit multiple contracts or multiple populations within this contract must be reported on a pro rata basis.</w:t>
      </w:r>
    </w:p>
    <w:p w14:paraId="183B3F31" w14:textId="087F01F8" w:rsidR="00FE78B0" w:rsidRPr="006E61D4" w:rsidRDefault="00FE78B0" w:rsidP="00257641">
      <w:pPr>
        <w:pStyle w:val="ListParagraph"/>
        <w:numPr>
          <w:ilvl w:val="0"/>
          <w:numId w:val="185"/>
        </w:numPr>
        <w:spacing w:after="120" w:line="240" w:lineRule="auto"/>
        <w:contextualSpacing w:val="0"/>
        <w:rPr>
          <w:rFonts w:ascii="Times New Roman" w:hAnsi="Times New Roman"/>
        </w:rPr>
      </w:pPr>
      <w:r w:rsidRPr="006E61D4">
        <w:rPr>
          <w:rFonts w:ascii="Times New Roman" w:hAnsi="Times New Roman"/>
        </w:rPr>
        <w:t>Shared expenses, including expenses under the terms of a management contract, must be apportioned pro rata to the contract incurring the expense.</w:t>
      </w:r>
    </w:p>
    <w:p w14:paraId="119560E4" w14:textId="59219F84" w:rsidR="00EB473B" w:rsidRDefault="00372C9D" w:rsidP="00257641">
      <w:pPr>
        <w:pStyle w:val="ListParagraph"/>
        <w:numPr>
          <w:ilvl w:val="0"/>
          <w:numId w:val="185"/>
        </w:numPr>
        <w:spacing w:line="240" w:lineRule="auto"/>
        <w:rPr>
          <w:rFonts w:ascii="Times New Roman" w:hAnsi="Times New Roman"/>
        </w:rPr>
      </w:pPr>
      <w:r w:rsidRPr="006E61D4">
        <w:rPr>
          <w:rFonts w:ascii="Times New Roman" w:hAnsi="Times New Roman"/>
        </w:rPr>
        <w:t>Any expenses that relate solely to the operation of a reporting entity (e.g. personnel costs for processing claims) must borne only by the reporting entity and may not be attributed to other entities.</w:t>
      </w:r>
      <w:r w:rsidR="00F24820" w:rsidRPr="006E61D4">
        <w:rPr>
          <w:rFonts w:ascii="Times New Roman" w:hAnsi="Times New Roman"/>
        </w:rPr>
        <w:t xml:space="preserve"> </w:t>
      </w:r>
    </w:p>
    <w:p w14:paraId="77CC8F99" w14:textId="4E74CA14" w:rsidR="003E1CE6" w:rsidRPr="00EB6E6F" w:rsidRDefault="003E1CE6" w:rsidP="00EB6E6F">
      <w:pPr>
        <w:pStyle w:val="ListParagraph"/>
        <w:numPr>
          <w:ilvl w:val="0"/>
          <w:numId w:val="185"/>
        </w:numPr>
        <w:spacing w:after="240" w:line="240" w:lineRule="auto"/>
        <w:contextualSpacing w:val="0"/>
        <w:rPr>
          <w:rFonts w:ascii="Times New Roman" w:hAnsi="Times New Roman"/>
        </w:rPr>
      </w:pPr>
      <w:r w:rsidRPr="00EB6E6F">
        <w:rPr>
          <w:rFonts w:ascii="Times New Roman" w:hAnsi="Times New Roman"/>
        </w:rPr>
        <w:t xml:space="preserve">Liquidated damages, provider overpayment remittance to the State and interest assessments, if any, are unallowable costs and are neither medical expenses nor premium payments. </w:t>
      </w:r>
    </w:p>
    <w:p w14:paraId="2AB2B34B" w14:textId="215E8FB8" w:rsidR="00DD3C0C" w:rsidRPr="00E9409D" w:rsidRDefault="003E1CE6" w:rsidP="00257641">
      <w:pPr>
        <w:keepNext/>
        <w:keepLines/>
        <w:outlineLvl w:val="2"/>
        <w:rPr>
          <w:rFonts w:ascii="Arial" w:hAnsi="Arial" w:cs="Arial"/>
          <w:b/>
          <w:bCs/>
          <w:noProof w:val="0"/>
          <w:szCs w:val="24"/>
        </w:rPr>
      </w:pPr>
      <w:r>
        <w:rPr>
          <w:rFonts w:ascii="Arial" w:hAnsi="Arial" w:cs="Arial"/>
          <w:b/>
          <w:bCs/>
          <w:noProof w:val="0"/>
          <w:szCs w:val="24"/>
        </w:rPr>
        <w:t>Incurred Medical Expenses (</w:t>
      </w:r>
      <w:r w:rsidR="00DD3C0C" w:rsidRPr="00E9409D">
        <w:rPr>
          <w:rFonts w:ascii="Arial" w:hAnsi="Arial" w:cs="Arial"/>
          <w:b/>
          <w:bCs/>
          <w:noProof w:val="0"/>
          <w:szCs w:val="24"/>
        </w:rPr>
        <w:t>Numerator</w:t>
      </w:r>
      <w:r>
        <w:rPr>
          <w:rFonts w:ascii="Arial" w:hAnsi="Arial" w:cs="Arial"/>
          <w:b/>
          <w:bCs/>
          <w:noProof w:val="0"/>
          <w:szCs w:val="24"/>
        </w:rPr>
        <w:t>)</w:t>
      </w:r>
    </w:p>
    <w:p w14:paraId="3A6C376D" w14:textId="617361B4" w:rsidR="003E1CE6" w:rsidRPr="00274898" w:rsidRDefault="00DD3C0C" w:rsidP="00257641">
      <w:pPr>
        <w:pStyle w:val="normal6"/>
        <w:rPr>
          <w:rFonts w:eastAsia="Calibri"/>
        </w:rPr>
      </w:pPr>
      <w:r w:rsidRPr="00DD3C0C">
        <w:t xml:space="preserve">The numerator of an MLR must include total </w:t>
      </w:r>
      <w:r w:rsidR="00FE294E">
        <w:t xml:space="preserve">incurred </w:t>
      </w:r>
      <w:r w:rsidRPr="00DD3C0C">
        <w:t>medical expenses defined</w:t>
      </w:r>
      <w:r w:rsidR="003E1CE6">
        <w:t xml:space="preserve">. </w:t>
      </w:r>
    </w:p>
    <w:p w14:paraId="1919CCD2" w14:textId="77777777" w:rsidR="003E1CE6" w:rsidRPr="00DD3C0C" w:rsidRDefault="003E1CE6" w:rsidP="00257641">
      <w:pPr>
        <w:pStyle w:val="normal6"/>
      </w:pPr>
      <w:r w:rsidRPr="00274898">
        <w:rPr>
          <w:rFonts w:eastAsia="Calibri"/>
        </w:rPr>
        <w:t>Per 42 CFR §438.8(e)(2) incurred claim means the following</w:t>
      </w:r>
      <w:r w:rsidRPr="00DD3C0C">
        <w:t>:</w:t>
      </w:r>
    </w:p>
    <w:p w14:paraId="0DD365AA" w14:textId="005E3C57" w:rsidR="003E1CE6" w:rsidRPr="00274898" w:rsidRDefault="003E1CE6" w:rsidP="00257641">
      <w:pPr>
        <w:pStyle w:val="ListParagraph"/>
        <w:numPr>
          <w:ilvl w:val="0"/>
          <w:numId w:val="965"/>
        </w:numPr>
        <w:spacing w:line="240" w:lineRule="auto"/>
        <w:rPr>
          <w:rFonts w:ascii="Times New Roman" w:eastAsia="Calibri" w:hAnsi="Times New Roman"/>
          <w:noProof/>
        </w:rPr>
      </w:pPr>
      <w:r w:rsidRPr="00274898">
        <w:rPr>
          <w:rFonts w:ascii="Times New Roman" w:eastAsia="Calibri" w:hAnsi="Times New Roman"/>
          <w:noProof/>
        </w:rPr>
        <w:t xml:space="preserve">Direct claims that the </w:t>
      </w:r>
      <w:r w:rsidRPr="00274898">
        <w:rPr>
          <w:rFonts w:ascii="Times New Roman" w:eastAsia="Calibri" w:hAnsi="Times New Roman"/>
        </w:rPr>
        <w:t xml:space="preserve">MCO </w:t>
      </w:r>
      <w:r w:rsidRPr="00274898">
        <w:rPr>
          <w:rFonts w:ascii="Times New Roman" w:eastAsia="Calibri" w:hAnsi="Times New Roman"/>
          <w:noProof/>
        </w:rPr>
        <w:t>paid to providers</w:t>
      </w:r>
      <w:r>
        <w:rPr>
          <w:rFonts w:ascii="Times New Roman" w:eastAsia="Calibri" w:hAnsi="Times New Roman"/>
          <w:noProof/>
        </w:rPr>
        <w:t xml:space="preserve"> </w:t>
      </w:r>
      <w:r w:rsidRPr="00532EB0">
        <w:rPr>
          <w:rFonts w:ascii="Times New Roman" w:eastAsia="Calibri" w:hAnsi="Times New Roman"/>
          <w:noProof/>
        </w:rPr>
        <w:t xml:space="preserve">(including under capitated contracts with network providers) for services or supplies covered under the contract and services meeting the requirements of </w:t>
      </w:r>
      <w:r>
        <w:rPr>
          <w:rFonts w:ascii="Times New Roman" w:eastAsia="Calibri" w:hAnsi="Times New Roman"/>
          <w:noProof/>
        </w:rPr>
        <w:t xml:space="preserve">additional and Value-Added services per 42 CFR </w:t>
      </w:r>
      <w:r w:rsidRPr="00532EB0">
        <w:rPr>
          <w:rFonts w:ascii="Times New Roman" w:eastAsia="Calibri" w:hAnsi="Times New Roman"/>
          <w:noProof/>
        </w:rPr>
        <w:t xml:space="preserve">§438.3(e) provided to </w:t>
      </w:r>
      <w:r>
        <w:rPr>
          <w:rFonts w:ascii="Times New Roman" w:eastAsia="Calibri" w:hAnsi="Times New Roman"/>
          <w:noProof/>
        </w:rPr>
        <w:t xml:space="preserve">MCO </w:t>
      </w:r>
      <w:r w:rsidR="009B7161">
        <w:rPr>
          <w:rFonts w:ascii="Times New Roman" w:eastAsia="Calibri" w:hAnsi="Times New Roman"/>
          <w:noProof/>
        </w:rPr>
        <w:t>enrollees</w:t>
      </w:r>
      <w:r w:rsidRPr="00274898">
        <w:rPr>
          <w:rFonts w:ascii="Times New Roman" w:eastAsia="Calibri" w:hAnsi="Times New Roman"/>
          <w:noProof/>
        </w:rPr>
        <w:t>;</w:t>
      </w:r>
    </w:p>
    <w:p w14:paraId="01EFE847" w14:textId="77777777" w:rsidR="003E1CE6" w:rsidRPr="00274898" w:rsidRDefault="003E1CE6" w:rsidP="00257641">
      <w:pPr>
        <w:pStyle w:val="ListParagraph"/>
        <w:numPr>
          <w:ilvl w:val="0"/>
          <w:numId w:val="965"/>
        </w:numPr>
        <w:spacing w:line="240" w:lineRule="auto"/>
        <w:rPr>
          <w:rFonts w:ascii="Times New Roman" w:eastAsia="Calibri" w:hAnsi="Times New Roman"/>
          <w:noProof/>
        </w:rPr>
      </w:pPr>
      <w:r w:rsidRPr="00274898">
        <w:rPr>
          <w:rFonts w:ascii="Times New Roman" w:eastAsia="Calibri" w:hAnsi="Times New Roman"/>
          <w:noProof/>
        </w:rPr>
        <w:t>Unpaid claims liabilities for the MLR reporting period, including claims reported that are in the process of being adjusted or claims incurred but not reported;</w:t>
      </w:r>
    </w:p>
    <w:p w14:paraId="6BAEA423" w14:textId="77777777" w:rsidR="003E1CE6" w:rsidRPr="00274898" w:rsidRDefault="003E1CE6" w:rsidP="00257641">
      <w:pPr>
        <w:pStyle w:val="ListParagraph"/>
        <w:numPr>
          <w:ilvl w:val="0"/>
          <w:numId w:val="965"/>
        </w:numPr>
        <w:spacing w:line="240" w:lineRule="auto"/>
        <w:rPr>
          <w:rFonts w:ascii="Times New Roman" w:eastAsia="Calibri" w:hAnsi="Times New Roman"/>
          <w:noProof/>
        </w:rPr>
      </w:pPr>
      <w:r w:rsidRPr="00274898">
        <w:rPr>
          <w:rFonts w:ascii="Times New Roman" w:eastAsia="Calibri" w:hAnsi="Times New Roman"/>
          <w:noProof/>
        </w:rPr>
        <w:t>Withholds from payments made to network providers;</w:t>
      </w:r>
    </w:p>
    <w:p w14:paraId="25DBC356" w14:textId="77777777" w:rsidR="003E1CE6" w:rsidRPr="00274898" w:rsidRDefault="003E1CE6" w:rsidP="00257641">
      <w:pPr>
        <w:pStyle w:val="ListParagraph"/>
        <w:numPr>
          <w:ilvl w:val="0"/>
          <w:numId w:val="965"/>
        </w:numPr>
        <w:spacing w:line="240" w:lineRule="auto"/>
        <w:rPr>
          <w:rFonts w:ascii="Times New Roman" w:eastAsia="Calibri" w:hAnsi="Times New Roman"/>
          <w:noProof/>
        </w:rPr>
      </w:pPr>
      <w:r w:rsidRPr="00274898">
        <w:rPr>
          <w:rFonts w:ascii="Times New Roman" w:eastAsia="Calibri" w:hAnsi="Times New Roman"/>
          <w:noProof/>
        </w:rPr>
        <w:t>Claims that are recoverable for anticipated coordination of benefits;</w:t>
      </w:r>
    </w:p>
    <w:p w14:paraId="7AE184F1" w14:textId="77777777" w:rsidR="003E1CE6" w:rsidRPr="00274898" w:rsidRDefault="003E1CE6" w:rsidP="00257641">
      <w:pPr>
        <w:pStyle w:val="ListParagraph"/>
        <w:numPr>
          <w:ilvl w:val="0"/>
          <w:numId w:val="965"/>
        </w:numPr>
        <w:spacing w:line="240" w:lineRule="auto"/>
        <w:rPr>
          <w:rFonts w:ascii="Times New Roman" w:eastAsia="Calibri" w:hAnsi="Times New Roman"/>
          <w:noProof/>
        </w:rPr>
      </w:pPr>
      <w:r w:rsidRPr="00274898">
        <w:rPr>
          <w:rFonts w:ascii="Times New Roman" w:eastAsia="Calibri" w:hAnsi="Times New Roman"/>
          <w:noProof/>
        </w:rPr>
        <w:t>Claims payments recoveries received as a result of subrogation;</w:t>
      </w:r>
    </w:p>
    <w:p w14:paraId="38B6156D" w14:textId="77777777" w:rsidR="003E1CE6" w:rsidRPr="00274898" w:rsidRDefault="003E1CE6" w:rsidP="00257641">
      <w:pPr>
        <w:pStyle w:val="ListParagraph"/>
        <w:numPr>
          <w:ilvl w:val="0"/>
          <w:numId w:val="965"/>
        </w:numPr>
        <w:spacing w:line="240" w:lineRule="auto"/>
        <w:rPr>
          <w:rFonts w:ascii="Times New Roman" w:eastAsia="Calibri" w:hAnsi="Times New Roman"/>
          <w:noProof/>
        </w:rPr>
      </w:pPr>
      <w:r w:rsidRPr="00274898">
        <w:rPr>
          <w:rFonts w:ascii="Times New Roman" w:eastAsia="Calibri" w:hAnsi="Times New Roman"/>
          <w:noProof/>
        </w:rPr>
        <w:t>Incurred but not reported claims based on past experience, and modified to reflect current conditions, such as changes in exposure or claim frequency or severity;</w:t>
      </w:r>
    </w:p>
    <w:p w14:paraId="3C60C473" w14:textId="77777777" w:rsidR="003E1CE6" w:rsidRPr="00274898" w:rsidRDefault="003E1CE6" w:rsidP="00257641">
      <w:pPr>
        <w:pStyle w:val="ListParagraph"/>
        <w:numPr>
          <w:ilvl w:val="0"/>
          <w:numId w:val="965"/>
        </w:numPr>
        <w:spacing w:line="240" w:lineRule="auto"/>
        <w:rPr>
          <w:rFonts w:ascii="Times New Roman" w:eastAsia="Calibri" w:hAnsi="Times New Roman"/>
          <w:noProof/>
        </w:rPr>
      </w:pPr>
      <w:r>
        <w:rPr>
          <w:rFonts w:ascii="Times New Roman" w:eastAsia="Calibri" w:hAnsi="Times New Roman"/>
          <w:noProof/>
        </w:rPr>
        <w:t>Changes in other claim-</w:t>
      </w:r>
      <w:r w:rsidRPr="00274898">
        <w:rPr>
          <w:rFonts w:ascii="Times New Roman" w:eastAsia="Calibri" w:hAnsi="Times New Roman"/>
          <w:noProof/>
        </w:rPr>
        <w:t>related reserves;</w:t>
      </w:r>
    </w:p>
    <w:p w14:paraId="675D3F0D" w14:textId="77777777" w:rsidR="003E1CE6" w:rsidRPr="00111E66" w:rsidRDefault="003E1CE6" w:rsidP="00257641">
      <w:pPr>
        <w:pStyle w:val="ListParagraph"/>
        <w:numPr>
          <w:ilvl w:val="0"/>
          <w:numId w:val="965"/>
        </w:numPr>
        <w:spacing w:line="240" w:lineRule="auto"/>
        <w:rPr>
          <w:rFonts w:ascii="Times New Roman" w:hAnsi="Times New Roman"/>
        </w:rPr>
      </w:pPr>
      <w:r w:rsidRPr="00274898">
        <w:rPr>
          <w:rFonts w:ascii="Times New Roman" w:eastAsia="Calibri" w:hAnsi="Times New Roman"/>
          <w:noProof/>
        </w:rPr>
        <w:t>Reserves for contingent benefits and the medical claim portion of lawsuits</w:t>
      </w:r>
      <w:r>
        <w:rPr>
          <w:rFonts w:ascii="Times New Roman" w:eastAsia="Calibri" w:hAnsi="Times New Roman"/>
          <w:noProof/>
        </w:rPr>
        <w:t>;</w:t>
      </w:r>
    </w:p>
    <w:p w14:paraId="7F48B64D" w14:textId="77777777" w:rsidR="003E1CE6" w:rsidRDefault="003E1CE6" w:rsidP="00257641">
      <w:pPr>
        <w:pStyle w:val="ListParagraph"/>
        <w:numPr>
          <w:ilvl w:val="0"/>
          <w:numId w:val="965"/>
        </w:numPr>
        <w:spacing w:line="240" w:lineRule="auto"/>
        <w:rPr>
          <w:rFonts w:ascii="Times New Roman" w:eastAsia="Calibri" w:hAnsi="Times New Roman"/>
          <w:noProof/>
        </w:rPr>
      </w:pPr>
      <w:r w:rsidRPr="00111E66">
        <w:rPr>
          <w:rFonts w:ascii="Times New Roman" w:eastAsia="Calibri" w:hAnsi="Times New Roman"/>
          <w:noProof/>
        </w:rPr>
        <w:lastRenderedPageBreak/>
        <w:t>The amount of incentive and bonus payments made, or expected to be made, to network providers</w:t>
      </w:r>
      <w:r>
        <w:rPr>
          <w:rFonts w:ascii="Times New Roman" w:eastAsia="Calibri" w:hAnsi="Times New Roman"/>
          <w:noProof/>
        </w:rPr>
        <w:t>;</w:t>
      </w:r>
    </w:p>
    <w:p w14:paraId="2386AD59" w14:textId="77777777" w:rsidR="003E1CE6" w:rsidRPr="001529C1" w:rsidRDefault="003E1CE6" w:rsidP="00257641">
      <w:pPr>
        <w:pStyle w:val="ListParagraph"/>
        <w:numPr>
          <w:ilvl w:val="0"/>
          <w:numId w:val="965"/>
        </w:numPr>
        <w:spacing w:line="240" w:lineRule="auto"/>
        <w:rPr>
          <w:rFonts w:ascii="Times New Roman" w:eastAsia="Calibri" w:hAnsi="Times New Roman"/>
          <w:noProof/>
        </w:rPr>
      </w:pPr>
      <w:r w:rsidRPr="001529C1">
        <w:rPr>
          <w:rFonts w:ascii="Times New Roman" w:eastAsia="Calibri" w:hAnsi="Times New Roman"/>
          <w:noProof/>
        </w:rPr>
        <w:t xml:space="preserve">The amount of claims payments recovered through fraud reduction efforts, not to exceed the amount of fraud reduction expenses. The amount of fraud reduction expenses must not include fraud prevention activities. </w:t>
      </w:r>
      <w:r w:rsidRPr="001529C1">
        <w:rPr>
          <w:rFonts w:ascii="Times New Roman" w:eastAsia="Calibri" w:hAnsi="Times New Roman"/>
        </w:rPr>
        <w:t xml:space="preserve">MCO calculation and reporting of the fraud prevention activities as adopted for the private market at 45 CFR §158 is currently suspended </w:t>
      </w:r>
      <w:r>
        <w:rPr>
          <w:rFonts w:ascii="Times New Roman" w:eastAsia="Calibri" w:hAnsi="Times New Roman"/>
        </w:rPr>
        <w:t xml:space="preserve">for implementation </w:t>
      </w:r>
      <w:r w:rsidRPr="001529C1">
        <w:rPr>
          <w:rFonts w:ascii="Times New Roman" w:eastAsia="Calibri" w:hAnsi="Times New Roman"/>
        </w:rPr>
        <w:t>by CMS</w:t>
      </w:r>
      <w:r w:rsidRPr="001529C1">
        <w:rPr>
          <w:rFonts w:ascii="Times New Roman" w:eastAsia="Calibri" w:hAnsi="Times New Roman"/>
          <w:noProof/>
        </w:rPr>
        <w:t>;</w:t>
      </w:r>
    </w:p>
    <w:p w14:paraId="00B4EF1A" w14:textId="77777777" w:rsidR="003E1CE6" w:rsidRPr="001529C1" w:rsidRDefault="003E1CE6" w:rsidP="00257641">
      <w:pPr>
        <w:pStyle w:val="ListParagraph"/>
        <w:numPr>
          <w:ilvl w:val="0"/>
          <w:numId w:val="965"/>
        </w:numPr>
        <w:spacing w:line="240" w:lineRule="auto"/>
        <w:rPr>
          <w:rFonts w:ascii="Times New Roman" w:eastAsia="Calibri" w:hAnsi="Times New Roman"/>
          <w:noProof/>
        </w:rPr>
      </w:pPr>
      <w:r w:rsidRPr="001529C1">
        <w:rPr>
          <w:rFonts w:ascii="Times New Roman" w:eastAsia="Calibri" w:hAnsi="Times New Roman"/>
          <w:noProof/>
        </w:rPr>
        <w:t>Amounts that must either be included in or deducted from incurred claims include, respectively, net payments or receipts related to State mandated solvency funds;</w:t>
      </w:r>
      <w:r>
        <w:rPr>
          <w:rFonts w:ascii="Times New Roman" w:eastAsia="Calibri" w:hAnsi="Times New Roman"/>
          <w:noProof/>
        </w:rPr>
        <w:t xml:space="preserve"> and</w:t>
      </w:r>
    </w:p>
    <w:p w14:paraId="38455BAA" w14:textId="77777777" w:rsidR="003E1CE6" w:rsidRPr="001529C1" w:rsidRDefault="003E1CE6" w:rsidP="00257641">
      <w:pPr>
        <w:pStyle w:val="ListParagraph"/>
        <w:numPr>
          <w:ilvl w:val="0"/>
          <w:numId w:val="965"/>
        </w:numPr>
        <w:spacing w:line="240" w:lineRule="auto"/>
        <w:rPr>
          <w:rFonts w:ascii="Times New Roman" w:eastAsia="Calibri" w:hAnsi="Times New Roman"/>
          <w:noProof/>
        </w:rPr>
      </w:pPr>
      <w:r w:rsidRPr="001529C1">
        <w:rPr>
          <w:rFonts w:ascii="Times New Roman" w:eastAsia="Calibri" w:hAnsi="Times New Roman"/>
          <w:noProof/>
        </w:rPr>
        <w:t xml:space="preserve">Additional elements are required by the Department. </w:t>
      </w:r>
    </w:p>
    <w:p w14:paraId="57DA4A78" w14:textId="77777777" w:rsidR="003E1CE6" w:rsidRDefault="003E1CE6" w:rsidP="00EB6E6F">
      <w:pPr>
        <w:spacing w:after="120"/>
      </w:pPr>
      <w:r>
        <w:t>Incurred medical claims and expenses may not inlcude:</w:t>
      </w:r>
    </w:p>
    <w:p w14:paraId="6C67CE5C" w14:textId="77777777" w:rsidR="003E1CE6" w:rsidRPr="00AC7C62" w:rsidRDefault="003E1CE6" w:rsidP="00257641">
      <w:pPr>
        <w:pStyle w:val="ListParagraph"/>
        <w:numPr>
          <w:ilvl w:val="0"/>
          <w:numId w:val="966"/>
        </w:numPr>
        <w:spacing w:line="240" w:lineRule="auto"/>
        <w:rPr>
          <w:rFonts w:ascii="Times New Roman" w:eastAsia="Calibri" w:hAnsi="Times New Roman"/>
          <w:noProof/>
        </w:rPr>
      </w:pPr>
      <w:r w:rsidRPr="00AC7C62">
        <w:rPr>
          <w:rFonts w:ascii="Times New Roman" w:eastAsia="Calibri" w:hAnsi="Times New Roman"/>
          <w:noProof/>
        </w:rPr>
        <w:t>Overpayment recoveries received from network providers;</w:t>
      </w:r>
    </w:p>
    <w:p w14:paraId="6564876C" w14:textId="77777777" w:rsidR="003E1CE6" w:rsidRDefault="003E1CE6" w:rsidP="00257641">
      <w:pPr>
        <w:pStyle w:val="ListParagraph"/>
        <w:numPr>
          <w:ilvl w:val="0"/>
          <w:numId w:val="966"/>
        </w:numPr>
        <w:spacing w:line="240" w:lineRule="auto"/>
        <w:rPr>
          <w:rFonts w:ascii="Times New Roman" w:eastAsia="Calibri" w:hAnsi="Times New Roman"/>
          <w:noProof/>
        </w:rPr>
      </w:pPr>
      <w:r>
        <w:rPr>
          <w:rFonts w:ascii="Times New Roman" w:eastAsia="Calibri" w:hAnsi="Times New Roman"/>
          <w:noProof/>
        </w:rPr>
        <w:t>MCO p</w:t>
      </w:r>
      <w:r w:rsidRPr="00AC7C62">
        <w:rPr>
          <w:rFonts w:ascii="Times New Roman" w:eastAsia="Calibri" w:hAnsi="Times New Roman"/>
          <w:noProof/>
        </w:rPr>
        <w:t>rescription drug rebates received and accrued</w:t>
      </w:r>
      <w:r>
        <w:rPr>
          <w:rFonts w:ascii="Times New Roman" w:eastAsia="Calibri" w:hAnsi="Times New Roman"/>
          <w:noProof/>
        </w:rPr>
        <w:t>, if any;</w:t>
      </w:r>
    </w:p>
    <w:p w14:paraId="5CAC1891" w14:textId="77777777" w:rsidR="003E1CE6" w:rsidRDefault="003E1CE6" w:rsidP="00257641">
      <w:pPr>
        <w:pStyle w:val="ListParagraph"/>
        <w:numPr>
          <w:ilvl w:val="0"/>
          <w:numId w:val="966"/>
        </w:numPr>
        <w:spacing w:line="240" w:lineRule="auto"/>
        <w:rPr>
          <w:rFonts w:ascii="Times New Roman" w:eastAsia="Calibri" w:hAnsi="Times New Roman"/>
          <w:noProof/>
        </w:rPr>
      </w:pPr>
      <w:r w:rsidRPr="00A97832">
        <w:rPr>
          <w:rFonts w:ascii="Times New Roman" w:eastAsia="Calibri" w:hAnsi="Times New Roman"/>
          <w:noProof/>
        </w:rPr>
        <w:t>Amounts paid to third party vendors for secondary network savings</w:t>
      </w:r>
      <w:r>
        <w:rPr>
          <w:rFonts w:ascii="Times New Roman" w:eastAsia="Calibri" w:hAnsi="Times New Roman"/>
          <w:noProof/>
        </w:rPr>
        <w:t>;</w:t>
      </w:r>
    </w:p>
    <w:p w14:paraId="513766D0" w14:textId="77777777" w:rsidR="003E1CE6" w:rsidRPr="00A97832" w:rsidRDefault="003E1CE6" w:rsidP="00257641">
      <w:pPr>
        <w:pStyle w:val="ListParagraph"/>
        <w:numPr>
          <w:ilvl w:val="0"/>
          <w:numId w:val="966"/>
        </w:numPr>
        <w:spacing w:line="240" w:lineRule="auto"/>
        <w:rPr>
          <w:rFonts w:ascii="Times New Roman" w:eastAsia="Calibri" w:hAnsi="Times New Roman"/>
          <w:noProof/>
        </w:rPr>
      </w:pPr>
      <w:r w:rsidRPr="00A97832">
        <w:rPr>
          <w:rFonts w:ascii="Times New Roman" w:eastAsia="Calibri" w:hAnsi="Times New Roman"/>
          <w:noProof/>
        </w:rPr>
        <w:t>Amounts paid to third party vendors for network development, administrative fees, claims processing, and utilization management;</w:t>
      </w:r>
    </w:p>
    <w:p w14:paraId="5570283B" w14:textId="3A3D7A79" w:rsidR="003E1CE6" w:rsidRPr="00A97832" w:rsidRDefault="003E1CE6" w:rsidP="00257641">
      <w:pPr>
        <w:pStyle w:val="ListParagraph"/>
        <w:numPr>
          <w:ilvl w:val="0"/>
          <w:numId w:val="966"/>
        </w:numPr>
        <w:spacing w:line="240" w:lineRule="auto"/>
        <w:rPr>
          <w:rFonts w:ascii="Times New Roman" w:eastAsia="Calibri" w:hAnsi="Times New Roman"/>
          <w:noProof/>
        </w:rPr>
      </w:pPr>
      <w:r w:rsidRPr="00A97832">
        <w:rPr>
          <w:rFonts w:ascii="Times New Roman" w:eastAsia="Calibri" w:hAnsi="Times New Roman"/>
          <w:noProof/>
        </w:rPr>
        <w:t>Amounts paid, including amounts paid to a provider, for professional or administrative</w:t>
      </w:r>
      <w:r>
        <w:rPr>
          <w:rFonts w:ascii="Times New Roman" w:eastAsia="Calibri" w:hAnsi="Times New Roman"/>
          <w:noProof/>
        </w:rPr>
        <w:t xml:space="preserve"> </w:t>
      </w:r>
      <w:r w:rsidRPr="00A97832">
        <w:rPr>
          <w:rFonts w:ascii="Times New Roman" w:eastAsia="Calibri" w:hAnsi="Times New Roman"/>
          <w:noProof/>
        </w:rPr>
        <w:t xml:space="preserve">services that do not represent compensation or reimbursement for State plan services or services meeting the definition in </w:t>
      </w:r>
      <w:r>
        <w:rPr>
          <w:rFonts w:ascii="Times New Roman" w:eastAsia="Calibri" w:hAnsi="Times New Roman"/>
          <w:noProof/>
        </w:rPr>
        <w:t xml:space="preserve">42 CFR </w:t>
      </w:r>
      <w:r w:rsidRPr="00A97832">
        <w:rPr>
          <w:rFonts w:ascii="Times New Roman" w:eastAsia="Calibri" w:hAnsi="Times New Roman"/>
          <w:noProof/>
        </w:rPr>
        <w:t>§438.3(e) and provided to</w:t>
      </w:r>
      <w:r>
        <w:rPr>
          <w:rFonts w:ascii="Times New Roman" w:eastAsia="Calibri" w:hAnsi="Times New Roman"/>
          <w:noProof/>
        </w:rPr>
        <w:t xml:space="preserve"> MCO </w:t>
      </w:r>
      <w:r w:rsidR="009B7161">
        <w:rPr>
          <w:rFonts w:ascii="Times New Roman" w:eastAsia="Calibri" w:hAnsi="Times New Roman"/>
          <w:noProof/>
        </w:rPr>
        <w:t>enrollees</w:t>
      </w:r>
      <w:r w:rsidRPr="00A97832">
        <w:rPr>
          <w:rFonts w:ascii="Times New Roman" w:eastAsia="Calibri" w:hAnsi="Times New Roman"/>
          <w:noProof/>
        </w:rPr>
        <w:t>;</w:t>
      </w:r>
    </w:p>
    <w:p w14:paraId="4AC44423" w14:textId="77777777" w:rsidR="003E1CE6" w:rsidRPr="00A97832" w:rsidRDefault="003E1CE6" w:rsidP="00257641">
      <w:pPr>
        <w:pStyle w:val="ListParagraph"/>
        <w:numPr>
          <w:ilvl w:val="0"/>
          <w:numId w:val="966"/>
        </w:numPr>
        <w:spacing w:line="240" w:lineRule="auto"/>
        <w:rPr>
          <w:rFonts w:ascii="Times New Roman" w:eastAsia="Calibri" w:hAnsi="Times New Roman"/>
          <w:noProof/>
        </w:rPr>
      </w:pPr>
      <w:r w:rsidRPr="00A97832">
        <w:rPr>
          <w:rFonts w:ascii="Times New Roman" w:eastAsia="Calibri" w:hAnsi="Times New Roman"/>
          <w:noProof/>
        </w:rPr>
        <w:t>Fines and penalties assessed by regulatory authorities;</w:t>
      </w:r>
    </w:p>
    <w:p w14:paraId="6676D159" w14:textId="77777777" w:rsidR="003E1CE6" w:rsidRPr="00A97832" w:rsidRDefault="003E1CE6" w:rsidP="00257641">
      <w:pPr>
        <w:pStyle w:val="ListParagraph"/>
        <w:numPr>
          <w:ilvl w:val="0"/>
          <w:numId w:val="966"/>
        </w:numPr>
        <w:spacing w:line="240" w:lineRule="auto"/>
        <w:rPr>
          <w:rFonts w:ascii="Times New Roman" w:eastAsia="Calibri" w:hAnsi="Times New Roman"/>
          <w:noProof/>
        </w:rPr>
      </w:pPr>
      <w:r w:rsidRPr="00A97832">
        <w:rPr>
          <w:rFonts w:ascii="Times New Roman" w:eastAsia="Calibri" w:hAnsi="Times New Roman"/>
          <w:noProof/>
        </w:rPr>
        <w:t xml:space="preserve">Amounts paid to the </w:t>
      </w:r>
      <w:r>
        <w:rPr>
          <w:rFonts w:ascii="Times New Roman" w:eastAsia="Calibri" w:hAnsi="Times New Roman"/>
          <w:noProof/>
        </w:rPr>
        <w:t xml:space="preserve">Department </w:t>
      </w:r>
      <w:r w:rsidRPr="00A97832">
        <w:rPr>
          <w:rFonts w:ascii="Times New Roman" w:eastAsia="Calibri" w:hAnsi="Times New Roman"/>
          <w:noProof/>
        </w:rPr>
        <w:t xml:space="preserve">as </w:t>
      </w:r>
      <w:r>
        <w:rPr>
          <w:rFonts w:ascii="Times New Roman" w:eastAsia="Calibri" w:hAnsi="Times New Roman"/>
          <w:noProof/>
        </w:rPr>
        <w:t xml:space="preserve">MLR </w:t>
      </w:r>
      <w:r w:rsidRPr="00A97832">
        <w:rPr>
          <w:rFonts w:ascii="Times New Roman" w:eastAsia="Calibri" w:hAnsi="Times New Roman"/>
          <w:noProof/>
        </w:rPr>
        <w:t>remittance;</w:t>
      </w:r>
    </w:p>
    <w:p w14:paraId="774A2CFA" w14:textId="77777777" w:rsidR="003E1CE6" w:rsidRDefault="003E1CE6" w:rsidP="00257641">
      <w:pPr>
        <w:pStyle w:val="ListParagraph"/>
        <w:numPr>
          <w:ilvl w:val="0"/>
          <w:numId w:val="966"/>
        </w:numPr>
        <w:spacing w:line="240" w:lineRule="auto"/>
        <w:rPr>
          <w:rFonts w:ascii="Times New Roman" w:eastAsia="Calibri" w:hAnsi="Times New Roman"/>
          <w:noProof/>
        </w:rPr>
      </w:pPr>
      <w:r w:rsidRPr="00A97832">
        <w:rPr>
          <w:rFonts w:ascii="Times New Roman" w:eastAsia="Calibri" w:hAnsi="Times New Roman"/>
          <w:noProof/>
        </w:rPr>
        <w:t xml:space="preserve">Amounts paid to network providers </w:t>
      </w:r>
      <w:r>
        <w:rPr>
          <w:rFonts w:ascii="Times New Roman" w:eastAsia="Calibri" w:hAnsi="Times New Roman"/>
          <w:noProof/>
        </w:rPr>
        <w:t>as pass-through payments; and</w:t>
      </w:r>
    </w:p>
    <w:p w14:paraId="73AC775E" w14:textId="77777777" w:rsidR="003E1CE6" w:rsidRPr="00A867C0" w:rsidRDefault="003E1CE6" w:rsidP="00257641">
      <w:pPr>
        <w:pStyle w:val="ListParagraph"/>
        <w:numPr>
          <w:ilvl w:val="0"/>
          <w:numId w:val="966"/>
        </w:numPr>
        <w:spacing w:line="240" w:lineRule="auto"/>
        <w:rPr>
          <w:rFonts w:ascii="Times New Roman" w:eastAsia="Calibri" w:hAnsi="Times New Roman"/>
          <w:noProof/>
        </w:rPr>
      </w:pPr>
      <w:r>
        <w:rPr>
          <w:rFonts w:ascii="Times New Roman" w:eastAsia="Calibri" w:hAnsi="Times New Roman"/>
          <w:noProof/>
        </w:rPr>
        <w:t xml:space="preserve">Additional elements are required by the Department. </w:t>
      </w:r>
    </w:p>
    <w:p w14:paraId="2CA4CB3C" w14:textId="77777777" w:rsidR="00DD3C0C" w:rsidRPr="00E9409D" w:rsidRDefault="00DD3C0C" w:rsidP="00257641">
      <w:pPr>
        <w:keepNext/>
        <w:keepLines/>
        <w:outlineLvl w:val="2"/>
        <w:rPr>
          <w:rFonts w:ascii="Arial" w:hAnsi="Arial" w:cs="Arial"/>
          <w:b/>
          <w:bCs/>
          <w:noProof w:val="0"/>
          <w:szCs w:val="24"/>
        </w:rPr>
      </w:pPr>
      <w:r w:rsidRPr="00E9409D">
        <w:rPr>
          <w:rFonts w:ascii="Arial" w:hAnsi="Arial" w:cs="Arial"/>
          <w:b/>
          <w:bCs/>
          <w:noProof w:val="0"/>
          <w:szCs w:val="24"/>
        </w:rPr>
        <w:t>Activities that Improve Health Care Quality (Numerator)</w:t>
      </w:r>
    </w:p>
    <w:p w14:paraId="491574FE" w14:textId="77777777" w:rsidR="00A6515F" w:rsidRPr="00DD3C0C" w:rsidRDefault="00A6515F" w:rsidP="00257641">
      <w:pPr>
        <w:spacing w:after="200"/>
        <w:rPr>
          <w:rFonts w:eastAsia="Calibri"/>
          <w:noProof w:val="0"/>
          <w:szCs w:val="22"/>
        </w:rPr>
      </w:pPr>
      <w:r w:rsidRPr="00DD3C0C">
        <w:rPr>
          <w:rFonts w:eastAsia="Calibri"/>
          <w:noProof w:val="0"/>
          <w:szCs w:val="22"/>
        </w:rPr>
        <w:t xml:space="preserve">The MCO must account for expenditures for activities that improve health care quality, as described in this </w:t>
      </w:r>
      <w:r w:rsidR="00F33B38">
        <w:rPr>
          <w:rFonts w:eastAsia="Calibri"/>
          <w:noProof w:val="0"/>
          <w:szCs w:val="22"/>
        </w:rPr>
        <w:t>Appendix</w:t>
      </w:r>
      <w:r w:rsidRPr="00DD3C0C">
        <w:rPr>
          <w:rFonts w:eastAsia="Calibri"/>
          <w:noProof w:val="0"/>
          <w:szCs w:val="22"/>
        </w:rPr>
        <w:t xml:space="preserve">. </w:t>
      </w:r>
    </w:p>
    <w:p w14:paraId="573616F4" w14:textId="77777777" w:rsidR="00A6515F" w:rsidRPr="00DD3C0C" w:rsidRDefault="00A6515F" w:rsidP="00257641">
      <w:pPr>
        <w:spacing w:after="200"/>
        <w:rPr>
          <w:rFonts w:eastAsia="Calibri"/>
          <w:noProof w:val="0"/>
          <w:szCs w:val="22"/>
        </w:rPr>
      </w:pPr>
      <w:r w:rsidRPr="00DD3C0C">
        <w:rPr>
          <w:rFonts w:eastAsia="Calibri"/>
          <w:noProof w:val="0"/>
          <w:szCs w:val="22"/>
        </w:rPr>
        <w:t>Activities conducted by the MCO to improve quality must meet the following requirements:</w:t>
      </w:r>
    </w:p>
    <w:p w14:paraId="65BDCD28" w14:textId="60027701" w:rsidR="003E1CE6" w:rsidRPr="003E1CE6" w:rsidRDefault="00A6515F" w:rsidP="00257641">
      <w:pPr>
        <w:spacing w:after="120"/>
        <w:ind w:left="360" w:hanging="360"/>
        <w:rPr>
          <w:rFonts w:eastAsia="Calibri"/>
        </w:rPr>
      </w:pPr>
      <w:r w:rsidRPr="003E1CE6">
        <w:rPr>
          <w:rFonts w:eastAsia="Calibri"/>
          <w:noProof w:val="0"/>
          <w:szCs w:val="22"/>
        </w:rPr>
        <w:t xml:space="preserve">(1) </w:t>
      </w:r>
      <w:r w:rsidR="003E1CE6" w:rsidRPr="003E1CE6">
        <w:rPr>
          <w:rFonts w:eastAsia="Calibri"/>
        </w:rPr>
        <w:t xml:space="preserve">MCO activity related to any EQR-related activity as described in 42 CFR §438.358(b) and (c); or </w:t>
      </w:r>
    </w:p>
    <w:p w14:paraId="511B70F2" w14:textId="5432BEB1" w:rsidR="00A6515F" w:rsidRPr="003E1CE6" w:rsidRDefault="003E1CE6" w:rsidP="00257641">
      <w:pPr>
        <w:spacing w:after="120"/>
        <w:ind w:left="360" w:hanging="360"/>
        <w:rPr>
          <w:rFonts w:eastAsia="Calibri"/>
          <w:noProof w:val="0"/>
          <w:szCs w:val="22"/>
        </w:rPr>
      </w:pPr>
      <w:r>
        <w:rPr>
          <w:rFonts w:eastAsia="Calibri"/>
          <w:noProof w:val="0"/>
          <w:szCs w:val="22"/>
        </w:rPr>
        <w:t xml:space="preserve">(2) </w:t>
      </w:r>
      <w:r w:rsidR="00A6515F" w:rsidRPr="003E1CE6">
        <w:rPr>
          <w:rFonts w:eastAsia="Calibri"/>
          <w:noProof w:val="0"/>
          <w:szCs w:val="22"/>
        </w:rPr>
        <w:t>The activity must be designed to:</w:t>
      </w:r>
    </w:p>
    <w:p w14:paraId="24C8D9BE" w14:textId="0B4E9A56" w:rsidR="00A6515F" w:rsidRPr="00D978C8" w:rsidRDefault="00A6515F" w:rsidP="00257641">
      <w:pPr>
        <w:pStyle w:val="ListParagraph"/>
        <w:numPr>
          <w:ilvl w:val="1"/>
          <w:numId w:val="225"/>
        </w:numPr>
        <w:spacing w:after="120" w:line="240" w:lineRule="auto"/>
        <w:ind w:left="900"/>
        <w:rPr>
          <w:rFonts w:eastAsia="Calibri"/>
        </w:rPr>
      </w:pPr>
      <w:r w:rsidRPr="006E61D4">
        <w:rPr>
          <w:rFonts w:ascii="Times New Roman" w:eastAsia="Calibri" w:hAnsi="Times New Roman"/>
        </w:rPr>
        <w:t>Improve health quality.</w:t>
      </w:r>
    </w:p>
    <w:p w14:paraId="48562218" w14:textId="0CDBFB22" w:rsidR="00A6515F" w:rsidRPr="00D978C8" w:rsidRDefault="00A6515F" w:rsidP="00257641">
      <w:pPr>
        <w:pStyle w:val="ListParagraph"/>
        <w:numPr>
          <w:ilvl w:val="1"/>
          <w:numId w:val="225"/>
        </w:numPr>
        <w:spacing w:after="120" w:line="240" w:lineRule="auto"/>
        <w:ind w:left="900"/>
        <w:rPr>
          <w:rFonts w:eastAsia="Calibri"/>
        </w:rPr>
      </w:pPr>
      <w:r w:rsidRPr="006E61D4">
        <w:rPr>
          <w:rFonts w:ascii="Times New Roman" w:eastAsia="Calibri" w:hAnsi="Times New Roman"/>
        </w:rPr>
        <w:t>Increase the likelihood of desired health outcomes in ways that are capable of being objectively measured and of producing verifiable results and achievements.</w:t>
      </w:r>
    </w:p>
    <w:p w14:paraId="2B66C4EB" w14:textId="03CF20A5" w:rsidR="00A6515F" w:rsidRPr="00D978C8" w:rsidRDefault="00A6515F" w:rsidP="00257641">
      <w:pPr>
        <w:pStyle w:val="ListParagraph"/>
        <w:numPr>
          <w:ilvl w:val="1"/>
          <w:numId w:val="225"/>
        </w:numPr>
        <w:spacing w:after="120" w:line="240" w:lineRule="auto"/>
        <w:ind w:left="900"/>
        <w:rPr>
          <w:rFonts w:eastAsia="Calibri"/>
        </w:rPr>
      </w:pPr>
      <w:r w:rsidRPr="006E61D4">
        <w:rPr>
          <w:rFonts w:ascii="Times New Roman" w:eastAsia="Calibri" w:hAnsi="Times New Roman"/>
        </w:rPr>
        <w:t xml:space="preserve">Be directed toward individual </w:t>
      </w:r>
      <w:r w:rsidR="009B7161">
        <w:rPr>
          <w:rFonts w:ascii="Times New Roman" w:eastAsia="Calibri" w:hAnsi="Times New Roman"/>
        </w:rPr>
        <w:t>enrollee</w:t>
      </w:r>
      <w:r w:rsidR="009B7161" w:rsidRPr="006E61D4">
        <w:rPr>
          <w:rFonts w:ascii="Times New Roman" w:eastAsia="Calibri" w:hAnsi="Times New Roman"/>
        </w:rPr>
        <w:t xml:space="preserve">s </w:t>
      </w:r>
      <w:r w:rsidRPr="006E61D4">
        <w:rPr>
          <w:rFonts w:ascii="Times New Roman" w:eastAsia="Calibri" w:hAnsi="Times New Roman"/>
        </w:rPr>
        <w:t xml:space="preserve">or incurred for the benefit of specified segments of </w:t>
      </w:r>
      <w:r w:rsidR="009B7161">
        <w:rPr>
          <w:rFonts w:ascii="Times New Roman" w:eastAsia="Calibri" w:hAnsi="Times New Roman"/>
        </w:rPr>
        <w:t>enrollee</w:t>
      </w:r>
      <w:r w:rsidR="009B7161" w:rsidRPr="006E61D4">
        <w:rPr>
          <w:rFonts w:ascii="Times New Roman" w:eastAsia="Calibri" w:hAnsi="Times New Roman"/>
        </w:rPr>
        <w:t xml:space="preserve">s </w:t>
      </w:r>
      <w:r w:rsidRPr="006E61D4">
        <w:rPr>
          <w:rFonts w:ascii="Times New Roman" w:eastAsia="Calibri" w:hAnsi="Times New Roman"/>
        </w:rPr>
        <w:t>or provide health improvements to the population beyond those enrolled in coverage as long as no additional costs are incurred due to the non-</w:t>
      </w:r>
      <w:r w:rsidR="009B7161">
        <w:rPr>
          <w:rFonts w:ascii="Times New Roman" w:eastAsia="Calibri" w:hAnsi="Times New Roman"/>
        </w:rPr>
        <w:t>enrollee</w:t>
      </w:r>
      <w:r w:rsidR="009B7161" w:rsidRPr="006E61D4">
        <w:rPr>
          <w:rFonts w:ascii="Times New Roman" w:eastAsia="Calibri" w:hAnsi="Times New Roman"/>
        </w:rPr>
        <w:t>s</w:t>
      </w:r>
      <w:r w:rsidRPr="006E61D4">
        <w:rPr>
          <w:rFonts w:ascii="Times New Roman" w:eastAsia="Calibri" w:hAnsi="Times New Roman"/>
        </w:rPr>
        <w:t>.</w:t>
      </w:r>
    </w:p>
    <w:p w14:paraId="209D28D1" w14:textId="52767ACD" w:rsidR="00A6515F" w:rsidRPr="00D978C8" w:rsidRDefault="00A6515F" w:rsidP="00257641">
      <w:pPr>
        <w:pStyle w:val="ListParagraph"/>
        <w:numPr>
          <w:ilvl w:val="1"/>
          <w:numId w:val="225"/>
        </w:numPr>
        <w:spacing w:after="120" w:line="240" w:lineRule="auto"/>
        <w:ind w:left="900"/>
        <w:rPr>
          <w:rFonts w:eastAsia="Calibri"/>
        </w:rPr>
      </w:pPr>
      <w:r w:rsidRPr="006E61D4">
        <w:rPr>
          <w:rFonts w:ascii="Times New Roman" w:eastAsia="Calibri" w:hAnsi="Times New Roman"/>
        </w:rPr>
        <w:t>Be grounded in evidence-based medicine, widely accepted best clinical practice, or criteria issued by recognized professional medical associations, accreditation bodies, government agencies or other nationally recognized health care quality organizations.</w:t>
      </w:r>
    </w:p>
    <w:p w14:paraId="48338B4E" w14:textId="599C3DF9" w:rsidR="00A6515F" w:rsidRPr="00DD3C0C" w:rsidRDefault="00A6515F" w:rsidP="00257641">
      <w:pPr>
        <w:spacing w:after="120"/>
        <w:ind w:left="360" w:hanging="360"/>
        <w:rPr>
          <w:rFonts w:eastAsia="Calibri"/>
          <w:noProof w:val="0"/>
          <w:szCs w:val="22"/>
        </w:rPr>
      </w:pPr>
      <w:r w:rsidRPr="00DD3C0C">
        <w:rPr>
          <w:rFonts w:eastAsia="Calibri"/>
          <w:noProof w:val="0"/>
          <w:szCs w:val="22"/>
        </w:rPr>
        <w:t>(</w:t>
      </w:r>
      <w:r w:rsidR="003E1CE6">
        <w:rPr>
          <w:rFonts w:eastAsia="Calibri"/>
          <w:noProof w:val="0"/>
          <w:szCs w:val="22"/>
        </w:rPr>
        <w:t>3</w:t>
      </w:r>
      <w:r w:rsidRPr="00DD3C0C">
        <w:rPr>
          <w:rFonts w:eastAsia="Calibri"/>
          <w:noProof w:val="0"/>
          <w:szCs w:val="22"/>
        </w:rPr>
        <w:t>)</w:t>
      </w:r>
      <w:r w:rsidR="007E7A0D">
        <w:rPr>
          <w:rFonts w:eastAsia="Calibri"/>
          <w:noProof w:val="0"/>
          <w:szCs w:val="22"/>
        </w:rPr>
        <w:tab/>
      </w:r>
      <w:r w:rsidRPr="00DD3C0C">
        <w:rPr>
          <w:rFonts w:eastAsia="Calibri"/>
          <w:noProof w:val="0"/>
          <w:szCs w:val="22"/>
        </w:rPr>
        <w:t>The activity must be primarily designed to:</w:t>
      </w:r>
    </w:p>
    <w:p w14:paraId="08D908CF" w14:textId="4D9C799F" w:rsidR="00A6515F" w:rsidRPr="00D978C8" w:rsidRDefault="00A6515F" w:rsidP="00257641">
      <w:pPr>
        <w:pStyle w:val="ListParagraph"/>
        <w:numPr>
          <w:ilvl w:val="0"/>
          <w:numId w:val="226"/>
        </w:numPr>
        <w:spacing w:after="120" w:line="240" w:lineRule="auto"/>
        <w:ind w:left="900"/>
        <w:rPr>
          <w:rFonts w:eastAsia="Calibri"/>
        </w:rPr>
      </w:pPr>
      <w:r w:rsidRPr="006E61D4">
        <w:rPr>
          <w:rFonts w:ascii="Times New Roman" w:eastAsia="Calibri" w:hAnsi="Times New Roman"/>
        </w:rPr>
        <w:lastRenderedPageBreak/>
        <w:t>Improve health outcomes including increasing the likelihood of desired outcomes compared to a baseline and reduce health disparities among MCO specified populations.</w:t>
      </w:r>
      <w:r w:rsidR="00395535" w:rsidRPr="006E61D4">
        <w:rPr>
          <w:rFonts w:ascii="Times New Roman" w:eastAsia="Calibri" w:hAnsi="Times New Roman"/>
        </w:rPr>
        <w:t xml:space="preserve"> </w:t>
      </w:r>
      <w:r w:rsidRPr="006E61D4">
        <w:rPr>
          <w:rFonts w:ascii="Times New Roman" w:eastAsia="Calibri" w:hAnsi="Times New Roman"/>
        </w:rPr>
        <w:t xml:space="preserve">Examples include the direct interaction of the MCO (including those services delegated by </w:t>
      </w:r>
      <w:r w:rsidR="009B19C2" w:rsidRPr="006E61D4">
        <w:rPr>
          <w:rFonts w:ascii="Times New Roman" w:eastAsia="Calibri" w:hAnsi="Times New Roman"/>
        </w:rPr>
        <w:t xml:space="preserve">Contract </w:t>
      </w:r>
      <w:r w:rsidRPr="006E61D4">
        <w:rPr>
          <w:rFonts w:ascii="Times New Roman" w:eastAsia="Calibri" w:hAnsi="Times New Roman"/>
        </w:rPr>
        <w:t xml:space="preserve">for which the MCO retains ultimate responsibility under this Contract), providers and the </w:t>
      </w:r>
      <w:r w:rsidR="009B7161">
        <w:rPr>
          <w:rFonts w:ascii="Times New Roman" w:eastAsia="Calibri" w:hAnsi="Times New Roman"/>
        </w:rPr>
        <w:t>enrollee</w:t>
      </w:r>
      <w:r w:rsidR="009B7161" w:rsidRPr="006E61D4">
        <w:rPr>
          <w:rFonts w:ascii="Times New Roman" w:eastAsia="Calibri" w:hAnsi="Times New Roman"/>
        </w:rPr>
        <w:t xml:space="preserve"> </w:t>
      </w:r>
      <w:r w:rsidRPr="006E61D4">
        <w:rPr>
          <w:rFonts w:ascii="Times New Roman" w:eastAsia="Calibri" w:hAnsi="Times New Roman"/>
        </w:rPr>
        <w:t xml:space="preserve">or the </w:t>
      </w:r>
      <w:r w:rsidR="009B7161">
        <w:rPr>
          <w:rFonts w:ascii="Times New Roman" w:eastAsia="Calibri" w:hAnsi="Times New Roman"/>
        </w:rPr>
        <w:t>enrollee</w:t>
      </w:r>
      <w:r w:rsidR="009B7161" w:rsidRPr="006E61D4">
        <w:rPr>
          <w:rFonts w:ascii="Times New Roman" w:eastAsia="Calibri" w:hAnsi="Times New Roman"/>
        </w:rPr>
        <w:t xml:space="preserve">'s </w:t>
      </w:r>
      <w:r w:rsidRPr="006E61D4">
        <w:rPr>
          <w:rFonts w:ascii="Times New Roman" w:eastAsia="Calibri" w:hAnsi="Times New Roman"/>
        </w:rPr>
        <w:t>representative (for example, face-to-face, telephonic, web-based interactions or other means of communication) to improve health outcomes, including activities such as:</w:t>
      </w:r>
    </w:p>
    <w:p w14:paraId="0933B103" w14:textId="5A5E9B1E" w:rsidR="00A6515F" w:rsidRPr="00D978C8" w:rsidRDefault="00A6515F" w:rsidP="00257641">
      <w:pPr>
        <w:pStyle w:val="ListParagraph"/>
        <w:numPr>
          <w:ilvl w:val="0"/>
          <w:numId w:val="227"/>
        </w:numPr>
        <w:spacing w:after="120" w:line="240" w:lineRule="auto"/>
        <w:rPr>
          <w:rFonts w:eastAsia="Calibri"/>
        </w:rPr>
      </w:pPr>
      <w:r w:rsidRPr="006E61D4">
        <w:rPr>
          <w:rFonts w:ascii="Times New Roman" w:eastAsia="Calibri" w:hAnsi="Times New Roman"/>
        </w:rPr>
        <w:t xml:space="preserve">Effective case management, care coordination, chronic disease management, and medication and care compliance initiatives including through the use of the medical homes model as defined in section 3502 of the </w:t>
      </w:r>
      <w:r w:rsidR="00395535" w:rsidRPr="006E61D4">
        <w:rPr>
          <w:rFonts w:ascii="Times New Roman" w:eastAsia="Calibri" w:hAnsi="Times New Roman"/>
        </w:rPr>
        <w:t>ACA</w:t>
      </w:r>
      <w:r w:rsidRPr="006E61D4">
        <w:rPr>
          <w:rFonts w:ascii="Times New Roman" w:eastAsia="Calibri" w:hAnsi="Times New Roman"/>
        </w:rPr>
        <w:t>.</w:t>
      </w:r>
    </w:p>
    <w:p w14:paraId="1F1A8254" w14:textId="22DD883A" w:rsidR="00A6515F" w:rsidRPr="00D978C8" w:rsidRDefault="00A6515F" w:rsidP="00257641">
      <w:pPr>
        <w:pStyle w:val="ListParagraph"/>
        <w:numPr>
          <w:ilvl w:val="0"/>
          <w:numId w:val="227"/>
        </w:numPr>
        <w:spacing w:after="120" w:line="240" w:lineRule="auto"/>
        <w:rPr>
          <w:rFonts w:eastAsia="Calibri"/>
        </w:rPr>
      </w:pPr>
      <w:r w:rsidRPr="006E61D4">
        <w:rPr>
          <w:rFonts w:ascii="Times New Roman" w:eastAsia="Calibri" w:hAnsi="Times New Roman"/>
        </w:rPr>
        <w:t>Identifying and addressing ethnic, cultural or racial disparities in effectiveness of identified best clinical practices and evidence based medicine.</w:t>
      </w:r>
    </w:p>
    <w:p w14:paraId="570699DF" w14:textId="05E2D3D8" w:rsidR="00A6515F" w:rsidRPr="00D978C8" w:rsidRDefault="00A6515F" w:rsidP="00257641">
      <w:pPr>
        <w:pStyle w:val="ListParagraph"/>
        <w:numPr>
          <w:ilvl w:val="0"/>
          <w:numId w:val="227"/>
        </w:numPr>
        <w:spacing w:after="120" w:line="240" w:lineRule="auto"/>
        <w:rPr>
          <w:rFonts w:eastAsia="Calibri"/>
        </w:rPr>
      </w:pPr>
      <w:r w:rsidRPr="006E61D4">
        <w:rPr>
          <w:rFonts w:ascii="Times New Roman" w:eastAsia="Calibri" w:hAnsi="Times New Roman"/>
        </w:rPr>
        <w:t>Quality reporting and documentation of care in non-electronic format.</w:t>
      </w:r>
    </w:p>
    <w:p w14:paraId="3349D32F" w14:textId="2BCFBAC7" w:rsidR="00A6515F" w:rsidRPr="00D978C8" w:rsidRDefault="00A6515F" w:rsidP="00257641">
      <w:pPr>
        <w:pStyle w:val="ListParagraph"/>
        <w:numPr>
          <w:ilvl w:val="0"/>
          <w:numId w:val="227"/>
        </w:numPr>
        <w:spacing w:after="120" w:line="240" w:lineRule="auto"/>
        <w:rPr>
          <w:rFonts w:eastAsia="Calibri"/>
        </w:rPr>
      </w:pPr>
      <w:r w:rsidRPr="006E61D4">
        <w:rPr>
          <w:rFonts w:ascii="Times New Roman" w:eastAsia="Calibri" w:hAnsi="Times New Roman"/>
        </w:rPr>
        <w:t>Health information technology to support these activities.</w:t>
      </w:r>
    </w:p>
    <w:p w14:paraId="32377D61" w14:textId="5734F3A5" w:rsidR="00A6515F" w:rsidRPr="00D978C8" w:rsidRDefault="00A6515F" w:rsidP="00257641">
      <w:pPr>
        <w:pStyle w:val="ListParagraph"/>
        <w:numPr>
          <w:ilvl w:val="0"/>
          <w:numId w:val="227"/>
        </w:numPr>
        <w:spacing w:after="120" w:line="240" w:lineRule="auto"/>
        <w:rPr>
          <w:rFonts w:eastAsia="Calibri"/>
        </w:rPr>
      </w:pPr>
      <w:r w:rsidRPr="006E61D4">
        <w:rPr>
          <w:rFonts w:ascii="Times New Roman" w:eastAsia="Calibri" w:hAnsi="Times New Roman"/>
        </w:rPr>
        <w:t>Accreditation fees directly related to quality of care activities.</w:t>
      </w:r>
    </w:p>
    <w:p w14:paraId="750B52F9" w14:textId="77777777" w:rsidR="00395535" w:rsidRPr="00537EBA" w:rsidRDefault="00395535" w:rsidP="00257641">
      <w:pPr>
        <w:spacing w:after="120"/>
        <w:ind w:left="1080"/>
        <w:rPr>
          <w:rFonts w:eastAsia="Calibri"/>
        </w:rPr>
      </w:pPr>
    </w:p>
    <w:p w14:paraId="29F6EAD0" w14:textId="409C211A" w:rsidR="00A6515F" w:rsidRPr="00D978C8" w:rsidRDefault="00A6515F" w:rsidP="00257641">
      <w:pPr>
        <w:pStyle w:val="ListParagraph"/>
        <w:numPr>
          <w:ilvl w:val="0"/>
          <w:numId w:val="226"/>
        </w:numPr>
        <w:spacing w:after="120" w:line="240" w:lineRule="auto"/>
        <w:ind w:left="900"/>
        <w:rPr>
          <w:rFonts w:eastAsia="Calibri"/>
        </w:rPr>
      </w:pPr>
      <w:r w:rsidRPr="006E61D4">
        <w:rPr>
          <w:rFonts w:ascii="Times New Roman" w:eastAsia="Calibri" w:hAnsi="Times New Roman"/>
        </w:rPr>
        <w:t>Prevent hospital readmissions through a comprehensive program for hospital discharge.</w:t>
      </w:r>
      <w:r w:rsidR="00395535" w:rsidRPr="006E61D4">
        <w:rPr>
          <w:rFonts w:ascii="Times New Roman" w:eastAsia="Calibri" w:hAnsi="Times New Roman"/>
        </w:rPr>
        <w:t xml:space="preserve"> </w:t>
      </w:r>
      <w:r w:rsidRPr="006E61D4">
        <w:rPr>
          <w:rFonts w:ascii="Times New Roman" w:eastAsia="Calibri" w:hAnsi="Times New Roman"/>
        </w:rPr>
        <w:t>Examples include:</w:t>
      </w:r>
    </w:p>
    <w:p w14:paraId="009AFFD7" w14:textId="096BDA5A" w:rsidR="00A6515F" w:rsidRPr="00D978C8" w:rsidRDefault="00A6515F" w:rsidP="00257641">
      <w:pPr>
        <w:pStyle w:val="ListParagraph"/>
        <w:numPr>
          <w:ilvl w:val="0"/>
          <w:numId w:val="229"/>
        </w:numPr>
        <w:spacing w:after="120" w:line="240" w:lineRule="auto"/>
        <w:rPr>
          <w:rFonts w:eastAsia="Calibri"/>
        </w:rPr>
      </w:pPr>
      <w:r w:rsidRPr="006E61D4">
        <w:rPr>
          <w:rFonts w:ascii="Times New Roman" w:eastAsia="Calibri" w:hAnsi="Times New Roman"/>
        </w:rPr>
        <w:t>Comprehensive discharge planning (for example, arranging and managing transitions from one setting to another, such as hospital discharge to home or to a rehabilitation center) in order to help assure appropriate care that will, in all likelihood, avoid readmission to the hospital;</w:t>
      </w:r>
    </w:p>
    <w:p w14:paraId="55557927" w14:textId="02D57DF8" w:rsidR="00A6515F" w:rsidRPr="00D978C8" w:rsidRDefault="00A6515F" w:rsidP="00257641">
      <w:pPr>
        <w:pStyle w:val="ListParagraph"/>
        <w:numPr>
          <w:ilvl w:val="0"/>
          <w:numId w:val="229"/>
        </w:numPr>
        <w:spacing w:after="120" w:line="240" w:lineRule="auto"/>
        <w:rPr>
          <w:rFonts w:eastAsia="Calibri"/>
        </w:rPr>
      </w:pPr>
      <w:r w:rsidRPr="006E61D4">
        <w:rPr>
          <w:rFonts w:ascii="Times New Roman" w:eastAsia="Calibri" w:hAnsi="Times New Roman"/>
        </w:rPr>
        <w:t>Patient-centered education and counseling.</w:t>
      </w:r>
    </w:p>
    <w:p w14:paraId="4B15A0CA" w14:textId="7E774F61" w:rsidR="00A6515F" w:rsidRPr="00D978C8" w:rsidRDefault="00A6515F" w:rsidP="00257641">
      <w:pPr>
        <w:pStyle w:val="ListParagraph"/>
        <w:numPr>
          <w:ilvl w:val="0"/>
          <w:numId w:val="229"/>
        </w:numPr>
        <w:spacing w:after="120" w:line="240" w:lineRule="auto"/>
        <w:rPr>
          <w:rFonts w:eastAsia="Calibri"/>
        </w:rPr>
      </w:pPr>
      <w:r w:rsidRPr="006E61D4">
        <w:rPr>
          <w:rFonts w:ascii="Times New Roman" w:eastAsia="Calibri" w:hAnsi="Times New Roman"/>
        </w:rPr>
        <w:t>Personalized post-discharge reinforcement and counseling by an appropriate health care professional.</w:t>
      </w:r>
    </w:p>
    <w:p w14:paraId="17C63F99" w14:textId="5D912011" w:rsidR="00A6515F" w:rsidRPr="00D978C8" w:rsidRDefault="00A6515F" w:rsidP="00257641">
      <w:pPr>
        <w:pStyle w:val="ListParagraph"/>
        <w:numPr>
          <w:ilvl w:val="0"/>
          <w:numId w:val="229"/>
        </w:numPr>
        <w:spacing w:after="120" w:line="240" w:lineRule="auto"/>
        <w:rPr>
          <w:rFonts w:eastAsia="Calibri"/>
        </w:rPr>
      </w:pPr>
      <w:r w:rsidRPr="006E61D4">
        <w:rPr>
          <w:rFonts w:ascii="Times New Roman" w:eastAsia="Calibri" w:hAnsi="Times New Roman"/>
        </w:rPr>
        <w:t>Any quality reporting and related documentation in non-electronic form for activities to prevent hospital readmission.</w:t>
      </w:r>
    </w:p>
    <w:p w14:paraId="2B829EBC" w14:textId="387A89AA" w:rsidR="00A6515F" w:rsidRDefault="00A6515F" w:rsidP="00EB6E6F">
      <w:pPr>
        <w:pStyle w:val="ListParagraph"/>
        <w:numPr>
          <w:ilvl w:val="0"/>
          <w:numId w:val="229"/>
        </w:numPr>
        <w:spacing w:after="240" w:line="240" w:lineRule="auto"/>
        <w:contextualSpacing w:val="0"/>
        <w:rPr>
          <w:rFonts w:eastAsia="Calibri"/>
        </w:rPr>
      </w:pPr>
      <w:r w:rsidRPr="006E61D4">
        <w:rPr>
          <w:rFonts w:ascii="Times New Roman" w:eastAsia="Calibri" w:hAnsi="Times New Roman"/>
        </w:rPr>
        <w:t>Health information technology to support these activities.</w:t>
      </w:r>
    </w:p>
    <w:p w14:paraId="06E990BB" w14:textId="6BD25765" w:rsidR="00A6515F" w:rsidRPr="00D978C8" w:rsidRDefault="00A6515F" w:rsidP="00257641">
      <w:pPr>
        <w:pStyle w:val="ListParagraph"/>
        <w:numPr>
          <w:ilvl w:val="0"/>
          <w:numId w:val="226"/>
        </w:numPr>
        <w:spacing w:after="120" w:line="240" w:lineRule="auto"/>
        <w:ind w:left="900"/>
        <w:rPr>
          <w:rFonts w:eastAsia="Calibri"/>
        </w:rPr>
      </w:pPr>
      <w:r w:rsidRPr="006E61D4">
        <w:rPr>
          <w:rFonts w:ascii="Times New Roman" w:eastAsia="Calibri" w:hAnsi="Times New Roman"/>
        </w:rPr>
        <w:t>Improve patient safety, reduce medical errors, and lower infection and mortality rates.</w:t>
      </w:r>
      <w:r w:rsidR="00395535" w:rsidRPr="006E61D4">
        <w:rPr>
          <w:rFonts w:ascii="Times New Roman" w:eastAsia="Calibri" w:hAnsi="Times New Roman"/>
        </w:rPr>
        <w:t xml:space="preserve"> </w:t>
      </w:r>
      <w:r w:rsidRPr="006E61D4">
        <w:rPr>
          <w:rFonts w:ascii="Times New Roman" w:eastAsia="Calibri" w:hAnsi="Times New Roman"/>
        </w:rPr>
        <w:t>Examples of activities primarily designed to improve patient safety, reduce medical errors, and lower infection and mortality rates include:</w:t>
      </w:r>
    </w:p>
    <w:p w14:paraId="49621014" w14:textId="7A81C6A1" w:rsidR="00A6515F" w:rsidRPr="00D978C8" w:rsidRDefault="00A6515F" w:rsidP="00257641">
      <w:pPr>
        <w:pStyle w:val="ListParagraph"/>
        <w:numPr>
          <w:ilvl w:val="0"/>
          <w:numId w:val="230"/>
        </w:numPr>
        <w:spacing w:after="120" w:line="240" w:lineRule="auto"/>
        <w:rPr>
          <w:rFonts w:eastAsia="Calibri"/>
        </w:rPr>
      </w:pPr>
      <w:r w:rsidRPr="006E61D4">
        <w:rPr>
          <w:rFonts w:ascii="Times New Roman" w:eastAsia="Calibri" w:hAnsi="Times New Roman"/>
        </w:rPr>
        <w:t>The appropriate identification and use of best clinical practices to avoid harm.</w:t>
      </w:r>
    </w:p>
    <w:p w14:paraId="520FA74E" w14:textId="34C3DF0C" w:rsidR="00A6515F" w:rsidRPr="00D978C8" w:rsidRDefault="00A6515F" w:rsidP="00257641">
      <w:pPr>
        <w:pStyle w:val="ListParagraph"/>
        <w:numPr>
          <w:ilvl w:val="0"/>
          <w:numId w:val="230"/>
        </w:numPr>
        <w:spacing w:after="120" w:line="240" w:lineRule="auto"/>
        <w:rPr>
          <w:rFonts w:eastAsia="Calibri"/>
        </w:rPr>
      </w:pPr>
      <w:r w:rsidRPr="006E61D4">
        <w:rPr>
          <w:rFonts w:ascii="Times New Roman" w:eastAsia="Calibri" w:hAnsi="Times New Roman"/>
        </w:rPr>
        <w:t>Activities to identify and encourage evidence-based medicine in addressing independently identified and documented clinical errors or safety concerns.</w:t>
      </w:r>
    </w:p>
    <w:p w14:paraId="3D924596" w14:textId="04CB8E79" w:rsidR="00A6515F" w:rsidRPr="00D978C8" w:rsidRDefault="00A6515F" w:rsidP="00257641">
      <w:pPr>
        <w:pStyle w:val="ListParagraph"/>
        <w:numPr>
          <w:ilvl w:val="0"/>
          <w:numId w:val="230"/>
        </w:numPr>
        <w:spacing w:after="120" w:line="240" w:lineRule="auto"/>
        <w:rPr>
          <w:rFonts w:eastAsia="Calibri"/>
        </w:rPr>
      </w:pPr>
      <w:r w:rsidRPr="006E61D4">
        <w:rPr>
          <w:rFonts w:ascii="Times New Roman" w:eastAsia="Calibri" w:hAnsi="Times New Roman"/>
        </w:rPr>
        <w:t>Activities to lower the risk of facility-acquired infections.</w:t>
      </w:r>
    </w:p>
    <w:p w14:paraId="2F8454B3" w14:textId="196F1C2A" w:rsidR="00A6515F" w:rsidRPr="00D978C8" w:rsidRDefault="00F4502F" w:rsidP="00257641">
      <w:pPr>
        <w:pStyle w:val="ListParagraph"/>
        <w:numPr>
          <w:ilvl w:val="0"/>
          <w:numId w:val="230"/>
        </w:numPr>
        <w:spacing w:after="120" w:line="240" w:lineRule="auto"/>
        <w:rPr>
          <w:rFonts w:eastAsia="Calibri"/>
        </w:rPr>
      </w:pPr>
      <w:r w:rsidRPr="006E61D4" w:rsidDel="00F4502F">
        <w:rPr>
          <w:rFonts w:ascii="Times New Roman" w:eastAsia="Calibri" w:hAnsi="Times New Roman"/>
        </w:rPr>
        <w:t xml:space="preserve"> </w:t>
      </w:r>
      <w:r w:rsidR="00A6515F" w:rsidRPr="006E61D4">
        <w:rPr>
          <w:rFonts w:ascii="Times New Roman" w:eastAsia="Calibri" w:hAnsi="Times New Roman"/>
        </w:rPr>
        <w:t>Any quality reporting and related documentation in non-electronic form for activities that improve patient safety and reduce medical errors.</w:t>
      </w:r>
    </w:p>
    <w:p w14:paraId="02B21C44" w14:textId="567A37BE" w:rsidR="00A6515F" w:rsidRPr="00D978C8" w:rsidRDefault="00A6515F" w:rsidP="00257641">
      <w:pPr>
        <w:pStyle w:val="ListParagraph"/>
        <w:numPr>
          <w:ilvl w:val="0"/>
          <w:numId w:val="230"/>
        </w:numPr>
        <w:spacing w:after="120" w:line="240" w:lineRule="auto"/>
        <w:rPr>
          <w:rFonts w:eastAsia="Calibri"/>
        </w:rPr>
      </w:pPr>
      <w:r w:rsidRPr="006E61D4">
        <w:rPr>
          <w:rFonts w:ascii="Times New Roman" w:eastAsia="Calibri" w:hAnsi="Times New Roman"/>
        </w:rPr>
        <w:t>Health information technology to support these activities.</w:t>
      </w:r>
    </w:p>
    <w:p w14:paraId="57CF113F" w14:textId="41EA8B09" w:rsidR="00A6515F" w:rsidRPr="00D978C8" w:rsidRDefault="00A6515F" w:rsidP="00257641">
      <w:pPr>
        <w:pStyle w:val="ListParagraph"/>
        <w:numPr>
          <w:ilvl w:val="0"/>
          <w:numId w:val="226"/>
        </w:numPr>
        <w:spacing w:after="120" w:line="240" w:lineRule="auto"/>
        <w:ind w:left="900"/>
        <w:rPr>
          <w:rFonts w:eastAsia="Calibri"/>
        </w:rPr>
      </w:pPr>
      <w:r w:rsidRPr="006E61D4">
        <w:rPr>
          <w:rFonts w:ascii="Times New Roman" w:eastAsia="Calibri" w:hAnsi="Times New Roman"/>
        </w:rPr>
        <w:t>Implement, promote, and increase wellness and health activities</w:t>
      </w:r>
      <w:r w:rsidR="005135D5" w:rsidRPr="006E61D4">
        <w:rPr>
          <w:rFonts w:ascii="Times New Roman" w:eastAsia="Calibri" w:hAnsi="Times New Roman"/>
        </w:rPr>
        <w:t xml:space="preserve">. </w:t>
      </w:r>
      <w:r w:rsidRPr="006E61D4">
        <w:rPr>
          <w:rFonts w:ascii="Times New Roman" w:eastAsia="Calibri" w:hAnsi="Times New Roman"/>
        </w:rPr>
        <w:t>Examples of activities primarily designed to implement, promote, and increase wellness and health activities, include</w:t>
      </w:r>
      <w:r w:rsidR="005135D5" w:rsidRPr="006E61D4">
        <w:rPr>
          <w:rFonts w:ascii="Times New Roman" w:eastAsia="Calibri" w:hAnsi="Times New Roman"/>
        </w:rPr>
        <w:t>:</w:t>
      </w:r>
    </w:p>
    <w:p w14:paraId="3DD58F2B" w14:textId="29133389" w:rsidR="00A6515F" w:rsidRPr="00D978C8" w:rsidRDefault="00A6515F" w:rsidP="00257641">
      <w:pPr>
        <w:pStyle w:val="ListParagraph"/>
        <w:numPr>
          <w:ilvl w:val="0"/>
          <w:numId w:val="231"/>
        </w:numPr>
        <w:spacing w:after="120" w:line="240" w:lineRule="auto"/>
        <w:rPr>
          <w:rFonts w:eastAsia="Calibri"/>
        </w:rPr>
      </w:pPr>
      <w:r w:rsidRPr="006E61D4">
        <w:rPr>
          <w:rFonts w:ascii="Times New Roman" w:eastAsia="Calibri" w:hAnsi="Times New Roman"/>
        </w:rPr>
        <w:t>Wellness assessments;</w:t>
      </w:r>
    </w:p>
    <w:p w14:paraId="44E247C0" w14:textId="62C0CD39" w:rsidR="00A6515F" w:rsidRPr="00D978C8" w:rsidRDefault="00A6515F" w:rsidP="00257641">
      <w:pPr>
        <w:pStyle w:val="ListParagraph"/>
        <w:numPr>
          <w:ilvl w:val="0"/>
          <w:numId w:val="231"/>
        </w:numPr>
        <w:spacing w:after="120" w:line="240" w:lineRule="auto"/>
        <w:rPr>
          <w:rFonts w:eastAsia="Calibri"/>
        </w:rPr>
      </w:pPr>
      <w:r w:rsidRPr="006E61D4">
        <w:rPr>
          <w:rFonts w:ascii="Times New Roman" w:eastAsia="Calibri" w:hAnsi="Times New Roman"/>
        </w:rPr>
        <w:t>Wellness/lifestyle coaching programs designed to achieve specific and measurable improvements;</w:t>
      </w:r>
    </w:p>
    <w:p w14:paraId="37E77681" w14:textId="7655E90A" w:rsidR="00A6515F" w:rsidRPr="00D978C8" w:rsidRDefault="00A6515F" w:rsidP="00257641">
      <w:pPr>
        <w:pStyle w:val="ListParagraph"/>
        <w:numPr>
          <w:ilvl w:val="0"/>
          <w:numId w:val="231"/>
        </w:numPr>
        <w:spacing w:after="120" w:line="240" w:lineRule="auto"/>
        <w:rPr>
          <w:rFonts w:eastAsia="Calibri"/>
        </w:rPr>
      </w:pPr>
      <w:r w:rsidRPr="006E61D4">
        <w:rPr>
          <w:rFonts w:ascii="Times New Roman" w:eastAsia="Calibri" w:hAnsi="Times New Roman"/>
        </w:rPr>
        <w:lastRenderedPageBreak/>
        <w:t>Coaching programs designed to educate individuals on clinically effective methods for dealing with a specific chronic disease or condition;</w:t>
      </w:r>
    </w:p>
    <w:p w14:paraId="45B9FFF7" w14:textId="43F7B529" w:rsidR="00A6515F" w:rsidRPr="00D978C8" w:rsidRDefault="00A6515F" w:rsidP="00257641">
      <w:pPr>
        <w:pStyle w:val="ListParagraph"/>
        <w:numPr>
          <w:ilvl w:val="0"/>
          <w:numId w:val="231"/>
        </w:numPr>
        <w:spacing w:after="120" w:line="240" w:lineRule="auto"/>
        <w:rPr>
          <w:rFonts w:eastAsia="Calibri"/>
        </w:rPr>
      </w:pPr>
      <w:r w:rsidRPr="006E61D4">
        <w:rPr>
          <w:rFonts w:ascii="Times New Roman" w:eastAsia="Calibri" w:hAnsi="Times New Roman"/>
        </w:rPr>
        <w:t>Public health education campaigns that are performed in conjunction with State or local health departments;</w:t>
      </w:r>
    </w:p>
    <w:p w14:paraId="0B9D7D0D" w14:textId="0D3D3153" w:rsidR="00A6515F" w:rsidRPr="00D978C8" w:rsidRDefault="00A6515F" w:rsidP="00257641">
      <w:pPr>
        <w:pStyle w:val="ListParagraph"/>
        <w:numPr>
          <w:ilvl w:val="0"/>
          <w:numId w:val="231"/>
        </w:numPr>
        <w:spacing w:after="120" w:line="240" w:lineRule="auto"/>
        <w:rPr>
          <w:rFonts w:eastAsia="Calibri"/>
        </w:rPr>
      </w:pPr>
      <w:r w:rsidRPr="006E61D4">
        <w:rPr>
          <w:rFonts w:ascii="Times New Roman" w:eastAsia="Calibri" w:hAnsi="Times New Roman"/>
        </w:rPr>
        <w:t>Actual gifts or incentives that are not already reflected in claims;</w:t>
      </w:r>
    </w:p>
    <w:p w14:paraId="33D318CA" w14:textId="4FA2C2CE" w:rsidR="00A6515F" w:rsidRPr="00D978C8" w:rsidRDefault="00A6515F" w:rsidP="00257641">
      <w:pPr>
        <w:pStyle w:val="ListParagraph"/>
        <w:numPr>
          <w:ilvl w:val="0"/>
          <w:numId w:val="231"/>
        </w:numPr>
        <w:spacing w:after="120" w:line="240" w:lineRule="auto"/>
        <w:rPr>
          <w:rFonts w:eastAsia="Calibri"/>
        </w:rPr>
      </w:pPr>
      <w:r w:rsidRPr="006E61D4">
        <w:rPr>
          <w:rFonts w:ascii="Times New Roman" w:eastAsia="Calibri" w:hAnsi="Times New Roman"/>
        </w:rPr>
        <w:t>Any quality reporting and related documentation in non-electronic form for wellness and health promotion activities;</w:t>
      </w:r>
    </w:p>
    <w:p w14:paraId="446AD8A5" w14:textId="06F2A407" w:rsidR="00A6515F" w:rsidRPr="00D978C8" w:rsidRDefault="00A6515F" w:rsidP="00257641">
      <w:pPr>
        <w:pStyle w:val="ListParagraph"/>
        <w:numPr>
          <w:ilvl w:val="0"/>
          <w:numId w:val="231"/>
        </w:numPr>
        <w:spacing w:after="120" w:line="240" w:lineRule="auto"/>
        <w:rPr>
          <w:rFonts w:eastAsia="Calibri"/>
        </w:rPr>
      </w:pPr>
      <w:r w:rsidRPr="006E61D4">
        <w:rPr>
          <w:rFonts w:ascii="Times New Roman" w:eastAsia="Calibri" w:hAnsi="Times New Roman"/>
        </w:rPr>
        <w:t xml:space="preserve">Coaching or education programs and health promotion activities designed to change </w:t>
      </w:r>
      <w:r w:rsidR="009B7161">
        <w:rPr>
          <w:rFonts w:ascii="Times New Roman" w:eastAsia="Calibri" w:hAnsi="Times New Roman"/>
        </w:rPr>
        <w:t>enrollee</w:t>
      </w:r>
      <w:r w:rsidR="009B7161" w:rsidRPr="006E61D4">
        <w:rPr>
          <w:rFonts w:ascii="Times New Roman" w:eastAsia="Calibri" w:hAnsi="Times New Roman"/>
        </w:rPr>
        <w:t xml:space="preserve"> </w:t>
      </w:r>
      <w:r w:rsidRPr="006E61D4">
        <w:rPr>
          <w:rFonts w:ascii="Times New Roman" w:eastAsia="Calibri" w:hAnsi="Times New Roman"/>
        </w:rPr>
        <w:t>behavior and conditions (for example, smoking or obesity); and</w:t>
      </w:r>
    </w:p>
    <w:p w14:paraId="520614EC" w14:textId="1350F7BB" w:rsidR="00A6515F" w:rsidRDefault="00A6515F" w:rsidP="00EB6E6F">
      <w:pPr>
        <w:pStyle w:val="ListParagraph"/>
        <w:numPr>
          <w:ilvl w:val="0"/>
          <w:numId w:val="231"/>
        </w:numPr>
        <w:spacing w:after="240" w:line="240" w:lineRule="auto"/>
        <w:contextualSpacing w:val="0"/>
        <w:rPr>
          <w:rFonts w:eastAsia="Calibri"/>
        </w:rPr>
      </w:pPr>
      <w:r w:rsidRPr="006E61D4">
        <w:rPr>
          <w:rFonts w:ascii="Times New Roman" w:eastAsia="Calibri" w:hAnsi="Times New Roman"/>
        </w:rPr>
        <w:t>Health information technology to support these activities.</w:t>
      </w:r>
      <w:r w:rsidR="00AF2F7C">
        <w:rPr>
          <w:rFonts w:ascii="Times New Roman" w:eastAsia="Calibri" w:hAnsi="Times New Roman"/>
        </w:rPr>
        <w:t xml:space="preserve"> </w:t>
      </w:r>
    </w:p>
    <w:p w14:paraId="730CEB90" w14:textId="392034D8" w:rsidR="00A6515F" w:rsidRPr="00D978C8" w:rsidRDefault="00A6515F" w:rsidP="00257641">
      <w:pPr>
        <w:pStyle w:val="ListParagraph"/>
        <w:numPr>
          <w:ilvl w:val="0"/>
          <w:numId w:val="226"/>
        </w:numPr>
        <w:spacing w:after="120" w:line="240" w:lineRule="auto"/>
        <w:ind w:left="900"/>
        <w:rPr>
          <w:rFonts w:eastAsia="Calibri"/>
        </w:rPr>
      </w:pPr>
      <w:r w:rsidRPr="006E61D4">
        <w:rPr>
          <w:rFonts w:ascii="Times New Roman" w:eastAsia="Calibri" w:hAnsi="Times New Roman"/>
        </w:rPr>
        <w:t>Enhance the use of health care data to improve quality, transparency, and outcomes and support meaningful use of health information technology.</w:t>
      </w:r>
      <w:r w:rsidR="00CA61D8" w:rsidRPr="006E61D4">
        <w:rPr>
          <w:rFonts w:ascii="Times New Roman" w:eastAsia="Calibri" w:hAnsi="Times New Roman"/>
        </w:rPr>
        <w:t xml:space="preserve"> </w:t>
      </w:r>
      <w:r w:rsidRPr="006E61D4">
        <w:rPr>
          <w:rFonts w:ascii="Times New Roman" w:eastAsia="Calibri" w:hAnsi="Times New Roman"/>
        </w:rPr>
        <w:t>Expenditures and activities that must not be included in quality improving activities are:</w:t>
      </w:r>
    </w:p>
    <w:p w14:paraId="51B5EF3E" w14:textId="1D23F8A4" w:rsidR="00A6515F" w:rsidRPr="00D978C8" w:rsidRDefault="00A6515F" w:rsidP="00257641">
      <w:pPr>
        <w:pStyle w:val="ListParagraph"/>
        <w:numPr>
          <w:ilvl w:val="0"/>
          <w:numId w:val="232"/>
        </w:numPr>
        <w:spacing w:after="120" w:line="240" w:lineRule="auto"/>
        <w:rPr>
          <w:rFonts w:eastAsia="Calibri"/>
        </w:rPr>
      </w:pPr>
      <w:r w:rsidRPr="006E61D4">
        <w:rPr>
          <w:rFonts w:ascii="Times New Roman" w:eastAsia="Calibri" w:hAnsi="Times New Roman"/>
        </w:rPr>
        <w:t>Those that are designed primarily to control or contain costs;</w:t>
      </w:r>
    </w:p>
    <w:p w14:paraId="4BA80825" w14:textId="7A8A2A73" w:rsidR="00A6515F" w:rsidRPr="00D978C8" w:rsidRDefault="00A6515F" w:rsidP="00257641">
      <w:pPr>
        <w:pStyle w:val="ListParagraph"/>
        <w:numPr>
          <w:ilvl w:val="0"/>
          <w:numId w:val="232"/>
        </w:numPr>
        <w:spacing w:after="120" w:line="240" w:lineRule="auto"/>
        <w:rPr>
          <w:rFonts w:eastAsia="Calibri"/>
        </w:rPr>
      </w:pPr>
      <w:r w:rsidRPr="006E61D4">
        <w:rPr>
          <w:rFonts w:ascii="Times New Roman" w:eastAsia="Calibri" w:hAnsi="Times New Roman"/>
        </w:rPr>
        <w:t>Those which otherwise meet the definitions for quality improvement activities but which were paid for with other funding separate from capitation revenue;</w:t>
      </w:r>
    </w:p>
    <w:p w14:paraId="084D5F7E" w14:textId="7D7B8E60" w:rsidR="00A6515F" w:rsidRPr="00D978C8" w:rsidRDefault="00A6515F" w:rsidP="00257641">
      <w:pPr>
        <w:pStyle w:val="ListParagraph"/>
        <w:numPr>
          <w:ilvl w:val="0"/>
          <w:numId w:val="232"/>
        </w:numPr>
        <w:spacing w:after="120" w:line="240" w:lineRule="auto"/>
        <w:rPr>
          <w:rFonts w:eastAsia="Calibri"/>
        </w:rPr>
      </w:pPr>
      <w:r w:rsidRPr="006E61D4">
        <w:rPr>
          <w:rFonts w:ascii="Times New Roman" w:eastAsia="Calibri" w:hAnsi="Times New Roman"/>
        </w:rPr>
        <w:t>Those activities that can be billed or allocated by a provider for care delivery and which are, therefore, reimbursed as clinical services;</w:t>
      </w:r>
    </w:p>
    <w:p w14:paraId="1B551568" w14:textId="342E6A5B" w:rsidR="00A6515F" w:rsidRPr="00D978C8" w:rsidRDefault="00A6515F" w:rsidP="00257641">
      <w:pPr>
        <w:pStyle w:val="ListParagraph"/>
        <w:numPr>
          <w:ilvl w:val="0"/>
          <w:numId w:val="232"/>
        </w:numPr>
        <w:spacing w:after="120" w:line="240" w:lineRule="auto"/>
        <w:rPr>
          <w:rFonts w:eastAsia="Calibri"/>
        </w:rPr>
      </w:pPr>
      <w:r w:rsidRPr="006E61D4">
        <w:rPr>
          <w:rFonts w:ascii="Times New Roman" w:eastAsia="Calibri" w:hAnsi="Times New Roman"/>
        </w:rPr>
        <w:t xml:space="preserve">Establishing or maintaining a claims adjudication system, including costs directly related to upgrades in health information technology that are designed primarily or solely to improve claims payment capabilities or to meet regulatory requirements for processing claims, including maintenance of ICD-10 code sets adopted pursuant to the Health Insurance Portability and Accountability Act (HIPAA), 42 U.S.C. 1320d-2, as amended. </w:t>
      </w:r>
    </w:p>
    <w:p w14:paraId="2A22E5D6" w14:textId="34513615" w:rsidR="00A6515F" w:rsidRPr="00D978C8" w:rsidRDefault="00A6515F" w:rsidP="00257641">
      <w:pPr>
        <w:pStyle w:val="ListParagraph"/>
        <w:numPr>
          <w:ilvl w:val="0"/>
          <w:numId w:val="232"/>
        </w:numPr>
        <w:spacing w:after="120" w:line="240" w:lineRule="auto"/>
        <w:rPr>
          <w:rFonts w:eastAsia="Calibri"/>
        </w:rPr>
      </w:pPr>
      <w:r w:rsidRPr="006E61D4">
        <w:rPr>
          <w:rFonts w:ascii="Times New Roman" w:eastAsia="Calibri" w:hAnsi="Times New Roman"/>
        </w:rPr>
        <w:t>That portion of the activities of health care professional hotlines that does not meet the definition of activities that improve health quality;</w:t>
      </w:r>
    </w:p>
    <w:p w14:paraId="17D81F48" w14:textId="20982B38" w:rsidR="00A6515F" w:rsidRPr="00D978C8" w:rsidRDefault="00A6515F" w:rsidP="00257641">
      <w:pPr>
        <w:pStyle w:val="ListParagraph"/>
        <w:numPr>
          <w:ilvl w:val="0"/>
          <w:numId w:val="232"/>
        </w:numPr>
        <w:spacing w:after="120" w:line="240" w:lineRule="auto"/>
        <w:rPr>
          <w:rFonts w:eastAsia="Calibri"/>
        </w:rPr>
      </w:pPr>
      <w:r w:rsidRPr="006E61D4">
        <w:rPr>
          <w:rFonts w:ascii="Times New Roman" w:eastAsia="Calibri" w:hAnsi="Times New Roman"/>
        </w:rPr>
        <w:t>All retrospective and concurrent utilization review;</w:t>
      </w:r>
    </w:p>
    <w:p w14:paraId="5934CD25" w14:textId="19B74E19" w:rsidR="00A6515F" w:rsidRPr="00D978C8" w:rsidRDefault="00A6515F" w:rsidP="00257641">
      <w:pPr>
        <w:pStyle w:val="ListParagraph"/>
        <w:numPr>
          <w:ilvl w:val="0"/>
          <w:numId w:val="232"/>
        </w:numPr>
        <w:spacing w:after="120" w:line="240" w:lineRule="auto"/>
        <w:rPr>
          <w:rFonts w:eastAsia="Calibri"/>
        </w:rPr>
      </w:pPr>
      <w:r w:rsidRPr="006E61D4">
        <w:rPr>
          <w:rFonts w:ascii="Times New Roman" w:eastAsia="Calibri" w:hAnsi="Times New Roman"/>
        </w:rPr>
        <w:t>The cost of developing and executing provider contracts and fees associated with establishing or managing a provider network, including fees paid to a vendor for the same reason;</w:t>
      </w:r>
    </w:p>
    <w:p w14:paraId="59AEE2ED" w14:textId="1B6F8642" w:rsidR="00A6515F" w:rsidRPr="00D978C8" w:rsidRDefault="00A6515F" w:rsidP="00257641">
      <w:pPr>
        <w:pStyle w:val="ListParagraph"/>
        <w:numPr>
          <w:ilvl w:val="0"/>
          <w:numId w:val="232"/>
        </w:numPr>
        <w:spacing w:after="120" w:line="240" w:lineRule="auto"/>
        <w:rPr>
          <w:rFonts w:eastAsia="Calibri"/>
        </w:rPr>
      </w:pPr>
      <w:r w:rsidRPr="006E61D4">
        <w:rPr>
          <w:rFonts w:ascii="Times New Roman" w:eastAsia="Calibri" w:hAnsi="Times New Roman"/>
        </w:rPr>
        <w:t>Provider credentialing;</w:t>
      </w:r>
    </w:p>
    <w:p w14:paraId="254479D0" w14:textId="28CDB2B5" w:rsidR="00A6515F" w:rsidRPr="00D978C8" w:rsidRDefault="00A6515F" w:rsidP="00257641">
      <w:pPr>
        <w:pStyle w:val="ListParagraph"/>
        <w:numPr>
          <w:ilvl w:val="0"/>
          <w:numId w:val="232"/>
        </w:numPr>
        <w:spacing w:after="120" w:line="240" w:lineRule="auto"/>
        <w:rPr>
          <w:rFonts w:eastAsia="Calibri"/>
        </w:rPr>
      </w:pPr>
      <w:r w:rsidRPr="006E61D4">
        <w:rPr>
          <w:rFonts w:ascii="Times New Roman" w:eastAsia="Calibri" w:hAnsi="Times New Roman"/>
        </w:rPr>
        <w:t>Marketing expenses;</w:t>
      </w:r>
    </w:p>
    <w:p w14:paraId="4F01E0A0" w14:textId="1B3F1341" w:rsidR="00A6515F" w:rsidRPr="00D978C8" w:rsidRDefault="00A6515F" w:rsidP="00257641">
      <w:pPr>
        <w:pStyle w:val="ListParagraph"/>
        <w:numPr>
          <w:ilvl w:val="0"/>
          <w:numId w:val="232"/>
        </w:numPr>
        <w:spacing w:after="120" w:line="240" w:lineRule="auto"/>
        <w:rPr>
          <w:rFonts w:eastAsia="Calibri"/>
        </w:rPr>
      </w:pPr>
      <w:r w:rsidRPr="006E61D4">
        <w:rPr>
          <w:rFonts w:ascii="Times New Roman" w:eastAsia="Calibri" w:hAnsi="Times New Roman"/>
        </w:rPr>
        <w:t>That portion of prospective utilization that does not meet the definition of activities that improve health quality; and</w:t>
      </w:r>
    </w:p>
    <w:p w14:paraId="16133F95" w14:textId="5DD2760F" w:rsidR="004B66BF" w:rsidRPr="00D978C8" w:rsidRDefault="00A6515F" w:rsidP="00257641">
      <w:pPr>
        <w:pStyle w:val="ListParagraph"/>
        <w:numPr>
          <w:ilvl w:val="0"/>
          <w:numId w:val="232"/>
        </w:numPr>
        <w:spacing w:after="240" w:line="240" w:lineRule="auto"/>
        <w:contextualSpacing w:val="0"/>
        <w:rPr>
          <w:rFonts w:eastAsia="Calibri"/>
        </w:rPr>
      </w:pPr>
      <w:r w:rsidRPr="006E61D4">
        <w:rPr>
          <w:rFonts w:ascii="Times New Roman" w:eastAsia="Calibri" w:hAnsi="Times New Roman"/>
        </w:rPr>
        <w:t xml:space="preserve">Any function or activity not expressly included in this </w:t>
      </w:r>
      <w:r w:rsidR="00F33B38" w:rsidRPr="006E61D4">
        <w:rPr>
          <w:rFonts w:ascii="Times New Roman" w:eastAsia="Calibri" w:hAnsi="Times New Roman"/>
        </w:rPr>
        <w:t>Appendix</w:t>
      </w:r>
      <w:r w:rsidRPr="006E61D4">
        <w:rPr>
          <w:rFonts w:ascii="Times New Roman" w:eastAsia="Calibri" w:hAnsi="Times New Roman"/>
        </w:rPr>
        <w:t>, unless otherwise approved by and within the discretion of the Department, upon adequate showing by the MCO that the activity's costs support the definitions and purposes in this part or otherwise support monitoring, measuring or reporting health care quality improvement.</w:t>
      </w:r>
    </w:p>
    <w:p w14:paraId="7B7AE85A" w14:textId="77777777" w:rsidR="00DD3C0C" w:rsidRPr="004B66BF" w:rsidRDefault="00DD3C0C" w:rsidP="00257641">
      <w:pPr>
        <w:spacing w:after="120"/>
        <w:rPr>
          <w:rFonts w:eastAsia="Calibri"/>
          <w:noProof w:val="0"/>
          <w:szCs w:val="22"/>
        </w:rPr>
      </w:pPr>
      <w:r w:rsidRPr="0030598E">
        <w:rPr>
          <w:rFonts w:ascii="Arial" w:hAnsi="Arial" w:cs="Arial"/>
          <w:b/>
          <w:bCs/>
          <w:noProof w:val="0"/>
          <w:szCs w:val="24"/>
        </w:rPr>
        <w:t>Expenditures Related to Health Information Technology (HIT) and Meaningful Use Requirements (Numerator)</w:t>
      </w:r>
    </w:p>
    <w:p w14:paraId="3530D1DC" w14:textId="258B5D29" w:rsidR="00DD3C0C" w:rsidRPr="00DD3C0C" w:rsidRDefault="00DD3C0C" w:rsidP="00257641">
      <w:pPr>
        <w:rPr>
          <w:rFonts w:eastAsia="Calibri"/>
        </w:rPr>
      </w:pPr>
      <w:r w:rsidRPr="00DD3C0C">
        <w:rPr>
          <w:rFonts w:eastAsia="Calibri"/>
        </w:rPr>
        <w:t xml:space="preserve">The MCO may include activities that improve health care quality such Health Information Technology (HIT) as expenses that are required to accomplish the activities allowed in this </w:t>
      </w:r>
      <w:r w:rsidR="009B19C2">
        <w:rPr>
          <w:rFonts w:eastAsia="Calibri"/>
        </w:rPr>
        <w:lastRenderedPageBreak/>
        <w:t xml:space="preserve">Contract </w:t>
      </w:r>
      <w:r w:rsidRPr="00DD3C0C">
        <w:rPr>
          <w:rFonts w:eastAsia="Calibri"/>
        </w:rPr>
        <w:t xml:space="preserve">and that are designed for use by MCO, its providers, or </w:t>
      </w:r>
      <w:r w:rsidR="009B7161">
        <w:rPr>
          <w:rFonts w:eastAsia="Calibri"/>
        </w:rPr>
        <w:t>enrollee</w:t>
      </w:r>
      <w:r w:rsidR="009B7161" w:rsidRPr="00DD3C0C">
        <w:rPr>
          <w:rFonts w:eastAsia="Calibri"/>
        </w:rPr>
        <w:t xml:space="preserve">s </w:t>
      </w:r>
      <w:r w:rsidRPr="00DD3C0C">
        <w:rPr>
          <w:rFonts w:eastAsia="Calibri"/>
        </w:rPr>
        <w:t>for the electronic creation, maintenance, access, or exchange of health information, as well as those consistent with Medicaid meaningful use requirements, and which may in whole or in part improve quality of care, or provide the technological infrast</w:t>
      </w:r>
      <w:r w:rsidRPr="0016719F">
        <w:rPr>
          <w:rStyle w:val="normal6Char"/>
          <w:rFonts w:eastAsia="Calibri"/>
        </w:rPr>
        <w:t>r</w:t>
      </w:r>
      <w:r w:rsidRPr="00DD3C0C">
        <w:rPr>
          <w:rFonts w:eastAsia="Calibri"/>
        </w:rPr>
        <w:t>ucture to enhance current quality improvement or make new quality improvement initiatives possible by doing one or more of the following:</w:t>
      </w:r>
    </w:p>
    <w:p w14:paraId="2CEFC6DB" w14:textId="77777777" w:rsidR="00DD3C0C" w:rsidRPr="00DD3C0C" w:rsidRDefault="00DD3C0C" w:rsidP="00257641">
      <w:pPr>
        <w:numPr>
          <w:ilvl w:val="2"/>
          <w:numId w:val="62"/>
        </w:numPr>
        <w:spacing w:after="120"/>
        <w:ind w:left="720" w:hanging="360"/>
        <w:rPr>
          <w:rFonts w:eastAsia="Calibri"/>
          <w:noProof w:val="0"/>
          <w:szCs w:val="22"/>
        </w:rPr>
      </w:pPr>
      <w:r w:rsidRPr="00DD3C0C">
        <w:rPr>
          <w:rFonts w:eastAsia="Calibri"/>
          <w:noProof w:val="0"/>
          <w:szCs w:val="22"/>
        </w:rPr>
        <w:t xml:space="preserve">Making incentive payments to providers for the adoption of certified electronic health record technologies and their “meaningful use” as defined by the United States Department of Health and Human Services (HHS), to the extent such payments are not included in reimbursement for clinical services as defined by this </w:t>
      </w:r>
      <w:r w:rsidR="00F33B38">
        <w:rPr>
          <w:rFonts w:eastAsia="Calibri"/>
          <w:noProof w:val="0"/>
          <w:szCs w:val="22"/>
        </w:rPr>
        <w:t>Appendix</w:t>
      </w:r>
      <w:r w:rsidRPr="00DD3C0C">
        <w:rPr>
          <w:rFonts w:eastAsia="Calibri"/>
          <w:noProof w:val="0"/>
          <w:szCs w:val="22"/>
        </w:rPr>
        <w:t>;</w:t>
      </w:r>
    </w:p>
    <w:p w14:paraId="05AC828C" w14:textId="77777777" w:rsidR="00DD3C0C" w:rsidRPr="00DD3C0C" w:rsidRDefault="00DD3C0C" w:rsidP="00257641">
      <w:pPr>
        <w:numPr>
          <w:ilvl w:val="2"/>
          <w:numId w:val="62"/>
        </w:numPr>
        <w:spacing w:after="120"/>
        <w:ind w:left="720" w:hanging="360"/>
        <w:rPr>
          <w:rFonts w:eastAsia="Calibri"/>
          <w:noProof w:val="0"/>
          <w:szCs w:val="22"/>
        </w:rPr>
      </w:pPr>
      <w:r w:rsidRPr="00DD3C0C">
        <w:rPr>
          <w:rFonts w:eastAsia="Calibri"/>
          <w:noProof w:val="0"/>
          <w:szCs w:val="22"/>
        </w:rPr>
        <w:t>Implementing systems to track and verify the adoption and meaningful use of certified electronic health records technologies by health care providers, including those not eligible for Medicaid incentive payments;</w:t>
      </w:r>
    </w:p>
    <w:p w14:paraId="4618F72C" w14:textId="77777777" w:rsidR="00DD3C0C" w:rsidRPr="00DD3C0C" w:rsidRDefault="00DD3C0C" w:rsidP="00257641">
      <w:pPr>
        <w:numPr>
          <w:ilvl w:val="2"/>
          <w:numId w:val="62"/>
        </w:numPr>
        <w:spacing w:after="120"/>
        <w:ind w:left="720" w:hanging="360"/>
        <w:rPr>
          <w:rFonts w:eastAsia="Calibri"/>
          <w:noProof w:val="0"/>
          <w:szCs w:val="22"/>
        </w:rPr>
      </w:pPr>
      <w:r w:rsidRPr="00DD3C0C">
        <w:rPr>
          <w:rFonts w:eastAsia="Calibri"/>
          <w:noProof w:val="0"/>
          <w:szCs w:val="22"/>
        </w:rPr>
        <w:t>Providing technical assistance to support adoption and meaningful use of certified electronic health records technologies;</w:t>
      </w:r>
    </w:p>
    <w:p w14:paraId="46CF234F" w14:textId="77777777" w:rsidR="00DD3C0C" w:rsidRPr="00DD3C0C" w:rsidRDefault="00DD3C0C" w:rsidP="00257641">
      <w:pPr>
        <w:numPr>
          <w:ilvl w:val="2"/>
          <w:numId w:val="62"/>
        </w:numPr>
        <w:spacing w:after="120"/>
        <w:ind w:left="720" w:hanging="360"/>
        <w:rPr>
          <w:rFonts w:eastAsia="Calibri"/>
          <w:noProof w:val="0"/>
          <w:szCs w:val="22"/>
        </w:rPr>
      </w:pPr>
      <w:r w:rsidRPr="00DD3C0C">
        <w:rPr>
          <w:rFonts w:eastAsia="Calibri"/>
          <w:noProof w:val="0"/>
          <w:szCs w:val="22"/>
        </w:rPr>
        <w:t>Monitoring, measuring, or reporting clinical effectiveness including reporting and analysis of costs related to maintaining accreditation by nationally recognized accrediting organizations such as NCQA or URAC, or costs for public reporting of quality of care, including costs specifically required to make accurate determinations of defined measures (for example, CAHPS surveys or chart review of HEDIS measures) and costs for public reporting mandated or encouraged by law.</w:t>
      </w:r>
    </w:p>
    <w:p w14:paraId="138A5CC0" w14:textId="77777777" w:rsidR="00DD3C0C" w:rsidRPr="00DD3C0C" w:rsidRDefault="00DD3C0C" w:rsidP="00257641">
      <w:pPr>
        <w:numPr>
          <w:ilvl w:val="2"/>
          <w:numId w:val="62"/>
        </w:numPr>
        <w:spacing w:after="120"/>
        <w:ind w:left="720" w:hanging="360"/>
        <w:rPr>
          <w:rFonts w:eastAsia="Calibri"/>
          <w:noProof w:val="0"/>
          <w:szCs w:val="22"/>
        </w:rPr>
      </w:pPr>
      <w:r w:rsidRPr="00DD3C0C">
        <w:rPr>
          <w:rFonts w:eastAsia="Calibri"/>
          <w:noProof w:val="0"/>
          <w:szCs w:val="22"/>
        </w:rPr>
        <w:t>Tracking whether a specific class of medical interventions or a bundle of related services leads to better patient outcomes.</w:t>
      </w:r>
    </w:p>
    <w:p w14:paraId="3E14FD6E" w14:textId="77777777" w:rsidR="00DD3C0C" w:rsidRPr="00DD3C0C" w:rsidRDefault="00DD3C0C" w:rsidP="00257641">
      <w:pPr>
        <w:numPr>
          <w:ilvl w:val="2"/>
          <w:numId w:val="62"/>
        </w:numPr>
        <w:spacing w:after="120"/>
        <w:ind w:left="720" w:hanging="360"/>
        <w:rPr>
          <w:rFonts w:eastAsia="Calibri"/>
          <w:noProof w:val="0"/>
          <w:szCs w:val="22"/>
        </w:rPr>
      </w:pPr>
      <w:r w:rsidRPr="00DD3C0C">
        <w:rPr>
          <w:rFonts w:eastAsia="Calibri"/>
          <w:noProof w:val="0"/>
          <w:szCs w:val="22"/>
        </w:rPr>
        <w:t>Advancing the ability of enrollees, providers, issuers or other systems to communicate patient centered clinical or medical information rapidly, accurately and efficiently to determine patient status, avoid harmful drug interactions or direct appropriate care, which may include electronic health records accessible by enrollees and appropriate providers to monitor and document an individual patient's medical history and to support care management.</w:t>
      </w:r>
    </w:p>
    <w:p w14:paraId="464B29F8" w14:textId="77777777" w:rsidR="004B66BF" w:rsidRDefault="00DD3C0C" w:rsidP="00257641">
      <w:pPr>
        <w:numPr>
          <w:ilvl w:val="2"/>
          <w:numId w:val="62"/>
        </w:numPr>
        <w:spacing w:after="120"/>
        <w:ind w:left="720" w:hanging="360"/>
        <w:rPr>
          <w:rFonts w:eastAsia="Calibri"/>
          <w:noProof w:val="0"/>
          <w:szCs w:val="22"/>
        </w:rPr>
      </w:pPr>
      <w:r w:rsidRPr="00DD3C0C">
        <w:rPr>
          <w:rFonts w:eastAsia="Calibri"/>
          <w:noProof w:val="0"/>
          <w:szCs w:val="22"/>
        </w:rPr>
        <w:t>Reformatting, transmitting or reporting data to national or international government-based health organizations for the purposes of identifying or treating specific conditions or controlling the spread of disease.</w:t>
      </w:r>
    </w:p>
    <w:p w14:paraId="4C95F419" w14:textId="77777777" w:rsidR="00DD3C0C" w:rsidRDefault="00DD3C0C" w:rsidP="00257641">
      <w:pPr>
        <w:numPr>
          <w:ilvl w:val="2"/>
          <w:numId w:val="62"/>
        </w:numPr>
        <w:ind w:left="720" w:hanging="360"/>
        <w:rPr>
          <w:rFonts w:eastAsia="Calibri"/>
          <w:noProof w:val="0"/>
          <w:szCs w:val="22"/>
        </w:rPr>
      </w:pPr>
      <w:r w:rsidRPr="004B66BF">
        <w:rPr>
          <w:rFonts w:eastAsia="Calibri"/>
          <w:noProof w:val="0"/>
          <w:szCs w:val="22"/>
        </w:rPr>
        <w:t>Provision of electronic health records, patient portals, and tools to facilitate patient self-management.</w:t>
      </w:r>
    </w:p>
    <w:p w14:paraId="53BDAF8E" w14:textId="77777777" w:rsidR="00DD3C0C" w:rsidRPr="004B66BF" w:rsidRDefault="00DD3C0C" w:rsidP="00257641">
      <w:pPr>
        <w:keepNext/>
        <w:keepLines/>
        <w:outlineLvl w:val="2"/>
        <w:rPr>
          <w:rFonts w:ascii="Arial" w:hAnsi="Arial" w:cs="Arial"/>
          <w:b/>
          <w:bCs/>
          <w:noProof w:val="0"/>
          <w:szCs w:val="24"/>
        </w:rPr>
      </w:pPr>
      <w:r w:rsidRPr="00E9409D">
        <w:rPr>
          <w:rFonts w:ascii="Arial" w:hAnsi="Arial" w:cs="Arial"/>
          <w:b/>
          <w:bCs/>
          <w:noProof w:val="0"/>
          <w:szCs w:val="24"/>
        </w:rPr>
        <w:t>Denominator</w:t>
      </w:r>
    </w:p>
    <w:p w14:paraId="2C3E5585" w14:textId="77777777" w:rsidR="003E1CE6" w:rsidRDefault="003E1CE6" w:rsidP="00257641">
      <w:pPr>
        <w:spacing w:after="200"/>
        <w:rPr>
          <w:rFonts w:eastAsia="Calibri"/>
          <w:noProof w:val="0"/>
          <w:szCs w:val="22"/>
        </w:rPr>
      </w:pPr>
      <w:r w:rsidRPr="002228D6">
        <w:rPr>
          <w:rFonts w:eastAsia="Calibri"/>
          <w:noProof w:val="0"/>
          <w:szCs w:val="22"/>
        </w:rPr>
        <w:t xml:space="preserve">The </w:t>
      </w:r>
      <w:r>
        <w:rPr>
          <w:rFonts w:eastAsia="Calibri"/>
          <w:noProof w:val="0"/>
          <w:szCs w:val="22"/>
        </w:rPr>
        <w:t xml:space="preserve">MCO </w:t>
      </w:r>
      <w:r w:rsidRPr="002228D6">
        <w:rPr>
          <w:rFonts w:eastAsia="Calibri"/>
          <w:noProof w:val="0"/>
          <w:szCs w:val="22"/>
        </w:rPr>
        <w:t xml:space="preserve">denominator for a MLR reporting year must equal the adjusted premium revenue. The adjusted premium revenue is the </w:t>
      </w:r>
      <w:r>
        <w:rPr>
          <w:rFonts w:eastAsia="Calibri"/>
          <w:noProof w:val="0"/>
          <w:szCs w:val="22"/>
        </w:rPr>
        <w:t>MCO’s</w:t>
      </w:r>
      <w:r w:rsidRPr="002228D6">
        <w:rPr>
          <w:rFonts w:eastAsia="Calibri"/>
          <w:noProof w:val="0"/>
          <w:szCs w:val="22"/>
        </w:rPr>
        <w:t xml:space="preserve"> premium revenue minus the </w:t>
      </w:r>
      <w:r>
        <w:rPr>
          <w:rFonts w:eastAsia="Calibri"/>
          <w:noProof w:val="0"/>
          <w:szCs w:val="22"/>
        </w:rPr>
        <w:t>MCO’s</w:t>
      </w:r>
      <w:r w:rsidRPr="002228D6">
        <w:rPr>
          <w:rFonts w:eastAsia="Calibri"/>
          <w:noProof w:val="0"/>
          <w:szCs w:val="22"/>
        </w:rPr>
        <w:t xml:space="preserve"> Federal, State, and local taxes and licensing and regulatory fees</w:t>
      </w:r>
      <w:r>
        <w:rPr>
          <w:rFonts w:eastAsia="Calibri"/>
          <w:noProof w:val="0"/>
          <w:szCs w:val="22"/>
        </w:rPr>
        <w:t xml:space="preserve">; </w:t>
      </w:r>
      <w:r w:rsidRPr="002228D6">
        <w:rPr>
          <w:rFonts w:eastAsia="Calibri"/>
          <w:noProof w:val="0"/>
          <w:szCs w:val="22"/>
        </w:rPr>
        <w:t xml:space="preserve">aggregated in accordance with </w:t>
      </w:r>
      <w:r>
        <w:rPr>
          <w:rFonts w:eastAsia="Calibri"/>
          <w:noProof w:val="0"/>
          <w:szCs w:val="22"/>
        </w:rPr>
        <w:t xml:space="preserve">each program reported. </w:t>
      </w:r>
    </w:p>
    <w:p w14:paraId="6E63A40F" w14:textId="77777777" w:rsidR="003E1CE6" w:rsidRPr="00075E7C" w:rsidRDefault="003E1CE6" w:rsidP="00EB6E6F">
      <w:pPr>
        <w:spacing w:after="120"/>
        <w:rPr>
          <w:rFonts w:eastAsia="Calibri"/>
          <w:noProof w:val="0"/>
          <w:szCs w:val="22"/>
        </w:rPr>
      </w:pPr>
      <w:r w:rsidRPr="000341A0">
        <w:rPr>
          <w:rFonts w:eastAsia="Calibri"/>
          <w:b/>
          <w:noProof w:val="0"/>
          <w:szCs w:val="22"/>
        </w:rPr>
        <w:t>Premium revenue</w:t>
      </w:r>
      <w:r w:rsidRPr="00075E7C">
        <w:rPr>
          <w:rFonts w:eastAsia="Calibri"/>
          <w:noProof w:val="0"/>
          <w:szCs w:val="22"/>
        </w:rPr>
        <w:t xml:space="preserve"> must include </w:t>
      </w:r>
      <w:r>
        <w:rPr>
          <w:rFonts w:eastAsia="Calibri"/>
          <w:noProof w:val="0"/>
          <w:szCs w:val="22"/>
        </w:rPr>
        <w:t xml:space="preserve">at least </w:t>
      </w:r>
      <w:r w:rsidRPr="00075E7C">
        <w:rPr>
          <w:rFonts w:eastAsia="Calibri"/>
          <w:noProof w:val="0"/>
          <w:szCs w:val="22"/>
        </w:rPr>
        <w:t>the following:</w:t>
      </w:r>
    </w:p>
    <w:p w14:paraId="7F99BDFE" w14:textId="77777777" w:rsidR="003E1CE6" w:rsidRPr="00075E7C" w:rsidRDefault="003E1CE6" w:rsidP="00257641">
      <w:pPr>
        <w:pStyle w:val="ListParagraph"/>
        <w:numPr>
          <w:ilvl w:val="0"/>
          <w:numId w:val="967"/>
        </w:numPr>
        <w:spacing w:line="240" w:lineRule="auto"/>
        <w:rPr>
          <w:rFonts w:ascii="Times New Roman" w:eastAsia="Calibri" w:hAnsi="Times New Roman"/>
        </w:rPr>
      </w:pPr>
      <w:r w:rsidRPr="00075E7C">
        <w:rPr>
          <w:rFonts w:ascii="Times New Roman" w:eastAsia="Calibri" w:hAnsi="Times New Roman"/>
        </w:rPr>
        <w:lastRenderedPageBreak/>
        <w:t>State capitation payments, excluding pass-through payments made under 42 CFR §438.6(d);</w:t>
      </w:r>
    </w:p>
    <w:p w14:paraId="481AC4DD" w14:textId="6E81C5B5" w:rsidR="003E1CE6" w:rsidRPr="00075E7C" w:rsidRDefault="003E1CE6" w:rsidP="00257641">
      <w:pPr>
        <w:pStyle w:val="ListParagraph"/>
        <w:numPr>
          <w:ilvl w:val="0"/>
          <w:numId w:val="967"/>
        </w:numPr>
        <w:spacing w:line="240" w:lineRule="auto"/>
        <w:rPr>
          <w:rFonts w:ascii="Times New Roman" w:eastAsia="Calibri" w:hAnsi="Times New Roman"/>
        </w:rPr>
      </w:pPr>
      <w:r w:rsidRPr="00075E7C">
        <w:rPr>
          <w:rFonts w:ascii="Times New Roman" w:eastAsia="Calibri" w:hAnsi="Times New Roman"/>
        </w:rPr>
        <w:t xml:space="preserve">State-developed one-time payments, for specific life events of </w:t>
      </w:r>
      <w:r w:rsidR="009B7161">
        <w:rPr>
          <w:rFonts w:ascii="Times New Roman" w:eastAsia="Calibri" w:hAnsi="Times New Roman"/>
        </w:rPr>
        <w:t>enrollee</w:t>
      </w:r>
      <w:r w:rsidR="009B7161" w:rsidRPr="00075E7C">
        <w:rPr>
          <w:rFonts w:ascii="Times New Roman" w:eastAsia="Calibri" w:hAnsi="Times New Roman"/>
        </w:rPr>
        <w:t xml:space="preserve">s </w:t>
      </w:r>
      <w:r w:rsidRPr="00075E7C">
        <w:rPr>
          <w:rFonts w:ascii="Times New Roman" w:eastAsia="Calibri" w:hAnsi="Times New Roman"/>
        </w:rPr>
        <w:t xml:space="preserve">(e.g., kick payments); </w:t>
      </w:r>
    </w:p>
    <w:p w14:paraId="45FF3B69" w14:textId="77777777" w:rsidR="003E1CE6" w:rsidRPr="00075E7C" w:rsidRDefault="003E1CE6" w:rsidP="00257641">
      <w:pPr>
        <w:pStyle w:val="ListParagraph"/>
        <w:numPr>
          <w:ilvl w:val="0"/>
          <w:numId w:val="967"/>
        </w:numPr>
        <w:spacing w:line="240" w:lineRule="auto"/>
        <w:rPr>
          <w:rFonts w:ascii="Times New Roman" w:eastAsia="Calibri" w:hAnsi="Times New Roman"/>
        </w:rPr>
      </w:pPr>
      <w:r>
        <w:rPr>
          <w:rFonts w:ascii="Times New Roman" w:eastAsia="Calibri" w:hAnsi="Times New Roman"/>
        </w:rPr>
        <w:t>Withhold arrangement</w:t>
      </w:r>
      <w:r w:rsidRPr="00075E7C">
        <w:rPr>
          <w:rFonts w:ascii="Times New Roman" w:eastAsia="Calibri" w:hAnsi="Times New Roman"/>
        </w:rPr>
        <w:t xml:space="preserve"> payments to the MCO approved under 42 CFR §438.6(b)(3); </w:t>
      </w:r>
    </w:p>
    <w:p w14:paraId="6B96FEE9" w14:textId="77777777" w:rsidR="003E1CE6" w:rsidRPr="00075E7C" w:rsidRDefault="003E1CE6" w:rsidP="00257641">
      <w:pPr>
        <w:pStyle w:val="ListParagraph"/>
        <w:numPr>
          <w:ilvl w:val="0"/>
          <w:numId w:val="967"/>
        </w:numPr>
        <w:spacing w:line="240" w:lineRule="auto"/>
        <w:rPr>
          <w:rFonts w:ascii="Times New Roman" w:eastAsia="Calibri" w:hAnsi="Times New Roman"/>
        </w:rPr>
      </w:pPr>
      <w:r w:rsidRPr="00075E7C">
        <w:rPr>
          <w:rFonts w:ascii="Times New Roman" w:eastAsia="Calibri" w:hAnsi="Times New Roman"/>
        </w:rPr>
        <w:t>Unpaid cost-sharing amounts that the MCO could have collected from the members under the contract, except those amounts the MCO can show it made a reasonable, but unsuccessful, effort to collect;</w:t>
      </w:r>
    </w:p>
    <w:p w14:paraId="1ABE33B2" w14:textId="77777777" w:rsidR="003E1CE6" w:rsidRPr="00075E7C" w:rsidRDefault="003E1CE6" w:rsidP="00257641">
      <w:pPr>
        <w:pStyle w:val="ListParagraph"/>
        <w:numPr>
          <w:ilvl w:val="0"/>
          <w:numId w:val="967"/>
        </w:numPr>
        <w:spacing w:line="240" w:lineRule="auto"/>
        <w:rPr>
          <w:rFonts w:ascii="Times New Roman" w:eastAsia="Calibri" w:hAnsi="Times New Roman"/>
        </w:rPr>
      </w:pPr>
      <w:r w:rsidRPr="00075E7C">
        <w:rPr>
          <w:rFonts w:ascii="Times New Roman" w:eastAsia="Calibri" w:hAnsi="Times New Roman"/>
        </w:rPr>
        <w:t>All changes to unearned premium reserves</w:t>
      </w:r>
      <w:r>
        <w:rPr>
          <w:rFonts w:ascii="Times New Roman" w:eastAsia="Calibri" w:hAnsi="Times New Roman"/>
        </w:rPr>
        <w:t xml:space="preserve">; </w:t>
      </w:r>
    </w:p>
    <w:p w14:paraId="0DD201AB" w14:textId="77777777" w:rsidR="003E1CE6" w:rsidRPr="000341A0" w:rsidRDefault="003E1CE6" w:rsidP="00257641">
      <w:pPr>
        <w:pStyle w:val="ListParagraph"/>
        <w:numPr>
          <w:ilvl w:val="0"/>
          <w:numId w:val="967"/>
        </w:numPr>
        <w:spacing w:line="240" w:lineRule="auto"/>
        <w:rPr>
          <w:rFonts w:ascii="Times New Roman" w:eastAsia="Calibri" w:hAnsi="Times New Roman"/>
        </w:rPr>
      </w:pPr>
      <w:r w:rsidRPr="00075E7C">
        <w:rPr>
          <w:rFonts w:ascii="Times New Roman" w:eastAsia="Calibri" w:hAnsi="Times New Roman"/>
        </w:rPr>
        <w:t xml:space="preserve">Net payments or receipts related to risk sharing mechanisms developed in accordance with </w:t>
      </w:r>
      <w:r>
        <w:rPr>
          <w:rFonts w:ascii="Times New Roman" w:eastAsia="Calibri" w:hAnsi="Times New Roman"/>
        </w:rPr>
        <w:t xml:space="preserve">42 CFR </w:t>
      </w:r>
      <w:r w:rsidRPr="00075E7C">
        <w:rPr>
          <w:rFonts w:ascii="Times New Roman" w:eastAsia="Calibri" w:hAnsi="Times New Roman"/>
        </w:rPr>
        <w:t xml:space="preserve">§438.5 or </w:t>
      </w:r>
      <w:r>
        <w:rPr>
          <w:rFonts w:ascii="Times New Roman" w:eastAsia="Calibri" w:hAnsi="Times New Roman"/>
        </w:rPr>
        <w:t xml:space="preserve">42 CFR </w:t>
      </w:r>
      <w:r w:rsidRPr="00075E7C">
        <w:rPr>
          <w:rFonts w:ascii="Times New Roman" w:eastAsia="Calibri" w:hAnsi="Times New Roman"/>
        </w:rPr>
        <w:t>§438.6.</w:t>
      </w:r>
    </w:p>
    <w:p w14:paraId="4C96B3F8" w14:textId="77777777" w:rsidR="003E1CE6" w:rsidRPr="00F9258A" w:rsidRDefault="003E1CE6" w:rsidP="00EB6E6F">
      <w:pPr>
        <w:spacing w:after="120"/>
        <w:rPr>
          <w:rFonts w:eastAsia="Calibri"/>
          <w:noProof w:val="0"/>
          <w:szCs w:val="22"/>
        </w:rPr>
      </w:pPr>
      <w:r w:rsidRPr="000341A0">
        <w:rPr>
          <w:rFonts w:eastAsia="Calibri"/>
          <w:b/>
          <w:noProof w:val="0"/>
          <w:szCs w:val="22"/>
        </w:rPr>
        <w:t>Federal, State, and local taxes and licensing and regulatory fees</w:t>
      </w:r>
      <w:r w:rsidRPr="00F9258A">
        <w:rPr>
          <w:rFonts w:eastAsia="Calibri"/>
          <w:noProof w:val="0"/>
          <w:szCs w:val="22"/>
        </w:rPr>
        <w:t xml:space="preserve"> </w:t>
      </w:r>
      <w:r>
        <w:rPr>
          <w:rFonts w:eastAsia="Calibri"/>
          <w:noProof w:val="0"/>
          <w:szCs w:val="22"/>
        </w:rPr>
        <w:t>must</w:t>
      </w:r>
      <w:r w:rsidRPr="00F9258A">
        <w:rPr>
          <w:rFonts w:eastAsia="Calibri"/>
          <w:noProof w:val="0"/>
          <w:szCs w:val="22"/>
        </w:rPr>
        <w:t xml:space="preserve"> include</w:t>
      </w:r>
      <w:r>
        <w:rPr>
          <w:rFonts w:eastAsia="Calibri"/>
          <w:noProof w:val="0"/>
          <w:szCs w:val="22"/>
        </w:rPr>
        <w:t xml:space="preserve"> at least the following</w:t>
      </w:r>
      <w:r w:rsidRPr="00F9258A">
        <w:rPr>
          <w:rFonts w:eastAsia="Calibri"/>
          <w:noProof w:val="0"/>
          <w:szCs w:val="22"/>
        </w:rPr>
        <w:t>:</w:t>
      </w:r>
    </w:p>
    <w:p w14:paraId="4C83096F" w14:textId="77777777" w:rsidR="003E1CE6" w:rsidRPr="000341A0" w:rsidRDefault="003E1CE6" w:rsidP="00257641">
      <w:pPr>
        <w:pStyle w:val="ListParagraph"/>
        <w:numPr>
          <w:ilvl w:val="0"/>
          <w:numId w:val="968"/>
        </w:numPr>
        <w:spacing w:line="240" w:lineRule="auto"/>
        <w:rPr>
          <w:rFonts w:ascii="Times New Roman" w:eastAsia="Calibri" w:hAnsi="Times New Roman"/>
        </w:rPr>
      </w:pPr>
      <w:r w:rsidRPr="000341A0">
        <w:rPr>
          <w:rFonts w:ascii="Times New Roman" w:eastAsia="Calibri" w:hAnsi="Times New Roman"/>
        </w:rPr>
        <w:t>Statutory assessments to defray the operating expenses of any State or Federal department</w:t>
      </w:r>
      <w:r>
        <w:rPr>
          <w:rFonts w:ascii="Times New Roman" w:eastAsia="Calibri" w:hAnsi="Times New Roman"/>
        </w:rPr>
        <w:t>;</w:t>
      </w:r>
    </w:p>
    <w:p w14:paraId="5A0DC715" w14:textId="77777777" w:rsidR="003E1CE6" w:rsidRPr="000341A0" w:rsidRDefault="003E1CE6" w:rsidP="00257641">
      <w:pPr>
        <w:pStyle w:val="ListParagraph"/>
        <w:numPr>
          <w:ilvl w:val="0"/>
          <w:numId w:val="968"/>
        </w:numPr>
        <w:spacing w:line="240" w:lineRule="auto"/>
        <w:rPr>
          <w:rFonts w:ascii="Times New Roman" w:eastAsia="Calibri" w:hAnsi="Times New Roman"/>
        </w:rPr>
      </w:pPr>
      <w:r w:rsidRPr="000341A0">
        <w:rPr>
          <w:rFonts w:ascii="Times New Roman" w:eastAsia="Calibri" w:hAnsi="Times New Roman"/>
        </w:rPr>
        <w:t>Examination fees in lieu of premium taxes as specified by State law</w:t>
      </w:r>
      <w:r>
        <w:rPr>
          <w:rFonts w:ascii="Times New Roman" w:eastAsia="Calibri" w:hAnsi="Times New Roman"/>
        </w:rPr>
        <w:t>;</w:t>
      </w:r>
    </w:p>
    <w:p w14:paraId="5D9B4FB6" w14:textId="77777777" w:rsidR="003E1CE6" w:rsidRPr="000341A0" w:rsidRDefault="003E1CE6" w:rsidP="00257641">
      <w:pPr>
        <w:pStyle w:val="ListParagraph"/>
        <w:numPr>
          <w:ilvl w:val="0"/>
          <w:numId w:val="968"/>
        </w:numPr>
        <w:spacing w:line="240" w:lineRule="auto"/>
        <w:rPr>
          <w:rFonts w:ascii="Times New Roman" w:eastAsia="Calibri" w:hAnsi="Times New Roman"/>
        </w:rPr>
      </w:pPr>
      <w:r w:rsidRPr="000341A0">
        <w:rPr>
          <w:rFonts w:ascii="Times New Roman" w:eastAsia="Calibri" w:hAnsi="Times New Roman"/>
        </w:rPr>
        <w:t>Federal taxes and assessments allocated to MCOs, excluding Federal income taxes on investment income and capital gains and Federal employment taxes</w:t>
      </w:r>
      <w:r>
        <w:rPr>
          <w:rFonts w:ascii="Times New Roman" w:eastAsia="Calibri" w:hAnsi="Times New Roman"/>
        </w:rPr>
        <w:t>;</w:t>
      </w:r>
    </w:p>
    <w:p w14:paraId="2A4DE637" w14:textId="77777777" w:rsidR="003E1CE6" w:rsidRPr="000341A0" w:rsidRDefault="003E1CE6" w:rsidP="00257641">
      <w:pPr>
        <w:pStyle w:val="ListParagraph"/>
        <w:numPr>
          <w:ilvl w:val="0"/>
          <w:numId w:val="968"/>
        </w:numPr>
        <w:spacing w:line="240" w:lineRule="auto"/>
        <w:rPr>
          <w:rFonts w:ascii="Times New Roman" w:eastAsia="Calibri" w:hAnsi="Times New Roman"/>
        </w:rPr>
      </w:pPr>
      <w:r w:rsidRPr="000341A0">
        <w:rPr>
          <w:rFonts w:ascii="Times New Roman" w:eastAsia="Calibri" w:hAnsi="Times New Roman"/>
        </w:rPr>
        <w:t>State and local taxes and assessments including:</w:t>
      </w:r>
    </w:p>
    <w:p w14:paraId="09859171" w14:textId="77777777" w:rsidR="003E1CE6" w:rsidRPr="000341A0" w:rsidRDefault="003E1CE6" w:rsidP="00257641">
      <w:pPr>
        <w:pStyle w:val="ListParagraph"/>
        <w:numPr>
          <w:ilvl w:val="1"/>
          <w:numId w:val="968"/>
        </w:numPr>
        <w:spacing w:line="240" w:lineRule="auto"/>
        <w:rPr>
          <w:rFonts w:ascii="Times New Roman" w:eastAsia="Calibri" w:hAnsi="Times New Roman"/>
        </w:rPr>
      </w:pPr>
      <w:r w:rsidRPr="000341A0">
        <w:rPr>
          <w:rFonts w:ascii="Times New Roman" w:eastAsia="Calibri" w:hAnsi="Times New Roman"/>
        </w:rPr>
        <w:t>Any industry-wide (or subset) assessments (other than surcharges on specific claims) paid to the State or locality directly.</w:t>
      </w:r>
    </w:p>
    <w:p w14:paraId="64295E23" w14:textId="77777777" w:rsidR="003E1CE6" w:rsidRPr="000341A0" w:rsidRDefault="003E1CE6" w:rsidP="00257641">
      <w:pPr>
        <w:pStyle w:val="ListParagraph"/>
        <w:numPr>
          <w:ilvl w:val="1"/>
          <w:numId w:val="968"/>
        </w:numPr>
        <w:spacing w:line="240" w:lineRule="auto"/>
        <w:rPr>
          <w:rFonts w:ascii="Times New Roman" w:eastAsia="Calibri" w:hAnsi="Times New Roman"/>
        </w:rPr>
      </w:pPr>
      <w:r w:rsidRPr="000341A0">
        <w:rPr>
          <w:rFonts w:ascii="Times New Roman" w:eastAsia="Calibri" w:hAnsi="Times New Roman"/>
        </w:rPr>
        <w:t>Guaranty fund assessments.</w:t>
      </w:r>
    </w:p>
    <w:p w14:paraId="220D4680" w14:textId="77777777" w:rsidR="003E1CE6" w:rsidRPr="000341A0" w:rsidRDefault="003E1CE6" w:rsidP="00257641">
      <w:pPr>
        <w:pStyle w:val="ListParagraph"/>
        <w:numPr>
          <w:ilvl w:val="1"/>
          <w:numId w:val="968"/>
        </w:numPr>
        <w:spacing w:line="240" w:lineRule="auto"/>
        <w:rPr>
          <w:rFonts w:ascii="Times New Roman" w:eastAsia="Calibri" w:hAnsi="Times New Roman"/>
        </w:rPr>
      </w:pPr>
      <w:r w:rsidRPr="000341A0">
        <w:rPr>
          <w:rFonts w:ascii="Times New Roman" w:eastAsia="Calibri" w:hAnsi="Times New Roman"/>
        </w:rPr>
        <w:t>Assessments of State or locality industrial boards or other boards for operating expenses or for benefits to sick employed persons in connection with disability benefit laws or similar taxes levied by States.</w:t>
      </w:r>
    </w:p>
    <w:p w14:paraId="7256518C" w14:textId="77777777" w:rsidR="003E1CE6" w:rsidRPr="000341A0" w:rsidRDefault="003E1CE6" w:rsidP="00257641">
      <w:pPr>
        <w:pStyle w:val="ListParagraph"/>
        <w:numPr>
          <w:ilvl w:val="1"/>
          <w:numId w:val="968"/>
        </w:numPr>
        <w:spacing w:line="240" w:lineRule="auto"/>
        <w:rPr>
          <w:rFonts w:ascii="Times New Roman" w:eastAsia="Calibri" w:hAnsi="Times New Roman"/>
        </w:rPr>
      </w:pPr>
      <w:r w:rsidRPr="000341A0">
        <w:rPr>
          <w:rFonts w:ascii="Times New Roman" w:eastAsia="Calibri" w:hAnsi="Times New Roman"/>
        </w:rPr>
        <w:t>State or locality income, excise, and business taxes other than premium taxes and State employment and similar taxes and assessments.</w:t>
      </w:r>
    </w:p>
    <w:p w14:paraId="748358C6" w14:textId="77777777" w:rsidR="003E1CE6" w:rsidRPr="000341A0" w:rsidRDefault="003E1CE6" w:rsidP="00257641">
      <w:pPr>
        <w:pStyle w:val="ListParagraph"/>
        <w:numPr>
          <w:ilvl w:val="1"/>
          <w:numId w:val="968"/>
        </w:numPr>
        <w:spacing w:line="240" w:lineRule="auto"/>
        <w:rPr>
          <w:rFonts w:ascii="Times New Roman" w:eastAsia="Calibri" w:hAnsi="Times New Roman"/>
        </w:rPr>
      </w:pPr>
      <w:r w:rsidRPr="000341A0">
        <w:rPr>
          <w:rFonts w:ascii="Times New Roman" w:eastAsia="Calibri" w:hAnsi="Times New Roman"/>
        </w:rPr>
        <w:t>State or locality premium taxes plus State or locality taxes based on reserves, if in lieu of premium taxes</w:t>
      </w:r>
      <w:r>
        <w:rPr>
          <w:rFonts w:ascii="Times New Roman" w:eastAsia="Calibri" w:hAnsi="Times New Roman"/>
        </w:rPr>
        <w:t>;</w:t>
      </w:r>
    </w:p>
    <w:p w14:paraId="6DF199F0" w14:textId="77777777" w:rsidR="003E1CE6" w:rsidRPr="000341A0" w:rsidRDefault="003E1CE6" w:rsidP="00257641">
      <w:pPr>
        <w:pStyle w:val="ListParagraph"/>
        <w:numPr>
          <w:ilvl w:val="0"/>
          <w:numId w:val="968"/>
        </w:numPr>
        <w:spacing w:line="240" w:lineRule="auto"/>
        <w:rPr>
          <w:rFonts w:ascii="Times New Roman" w:eastAsia="Calibri" w:hAnsi="Times New Roman"/>
        </w:rPr>
      </w:pPr>
      <w:r w:rsidRPr="000341A0">
        <w:rPr>
          <w:rFonts w:ascii="Times New Roman" w:eastAsia="Calibri" w:hAnsi="Times New Roman"/>
        </w:rPr>
        <w:t>Payments made by an MCO that are otherwise exempt from Federal income taxes, for community benefit expenditures as defined in 45 CFR 158.162(c), limited to the highest of either:</w:t>
      </w:r>
    </w:p>
    <w:p w14:paraId="68AB8FAF" w14:textId="77777777" w:rsidR="003E1CE6" w:rsidRPr="000341A0" w:rsidRDefault="003E1CE6" w:rsidP="00257641">
      <w:pPr>
        <w:pStyle w:val="ListParagraph"/>
        <w:numPr>
          <w:ilvl w:val="1"/>
          <w:numId w:val="969"/>
        </w:numPr>
        <w:spacing w:line="240" w:lineRule="auto"/>
        <w:rPr>
          <w:rFonts w:ascii="Times New Roman" w:eastAsia="Calibri" w:hAnsi="Times New Roman"/>
        </w:rPr>
      </w:pPr>
      <w:r w:rsidRPr="000341A0">
        <w:rPr>
          <w:rFonts w:ascii="Times New Roman" w:eastAsia="Calibri" w:hAnsi="Times New Roman"/>
        </w:rPr>
        <w:t>Three percent</w:t>
      </w:r>
      <w:r>
        <w:rPr>
          <w:rFonts w:ascii="Times New Roman" w:eastAsia="Calibri" w:hAnsi="Times New Roman"/>
        </w:rPr>
        <w:t xml:space="preserve"> (3%) </w:t>
      </w:r>
      <w:r w:rsidRPr="000341A0">
        <w:rPr>
          <w:rFonts w:ascii="Times New Roman" w:eastAsia="Calibri" w:hAnsi="Times New Roman"/>
        </w:rPr>
        <w:t>of earned premium; or</w:t>
      </w:r>
    </w:p>
    <w:p w14:paraId="18B42463" w14:textId="77777777" w:rsidR="003E1CE6" w:rsidRPr="000A0AA0" w:rsidRDefault="003E1CE6" w:rsidP="00257641">
      <w:pPr>
        <w:pStyle w:val="ListParagraph"/>
        <w:numPr>
          <w:ilvl w:val="1"/>
          <w:numId w:val="969"/>
        </w:numPr>
        <w:spacing w:line="240" w:lineRule="auto"/>
        <w:rPr>
          <w:rFonts w:ascii="Times New Roman" w:eastAsia="Calibri" w:hAnsi="Times New Roman"/>
        </w:rPr>
      </w:pPr>
      <w:r w:rsidRPr="000341A0">
        <w:rPr>
          <w:rFonts w:ascii="Times New Roman" w:eastAsia="Calibri" w:hAnsi="Times New Roman"/>
        </w:rPr>
        <w:t>The highest premium tax rate in the State for which the report is being submitted, multiplied by the MCO's earned premium in the State.</w:t>
      </w:r>
    </w:p>
    <w:p w14:paraId="19BD328C" w14:textId="310052B3" w:rsidR="004B66BF" w:rsidRPr="004B66BF" w:rsidRDefault="00DD3C0C" w:rsidP="00257641">
      <w:pPr>
        <w:keepNext/>
        <w:keepLines/>
        <w:outlineLvl w:val="2"/>
        <w:rPr>
          <w:rFonts w:ascii="Arial" w:hAnsi="Arial" w:cs="Arial"/>
          <w:b/>
          <w:bCs/>
          <w:noProof w:val="0"/>
          <w:szCs w:val="24"/>
        </w:rPr>
      </w:pPr>
      <w:bookmarkStart w:id="260" w:name="_Toc416184236"/>
      <w:r w:rsidRPr="00E9409D">
        <w:rPr>
          <w:rFonts w:ascii="Arial" w:hAnsi="Arial" w:cs="Arial"/>
          <w:b/>
          <w:bCs/>
          <w:noProof w:val="0"/>
          <w:szCs w:val="24"/>
        </w:rPr>
        <w:t xml:space="preserve">Rebating Capitation Payments: 85% </w:t>
      </w:r>
      <w:r w:rsidR="00233688">
        <w:rPr>
          <w:rFonts w:ascii="Arial" w:hAnsi="Arial" w:cs="Arial"/>
          <w:b/>
          <w:bCs/>
          <w:noProof w:val="0"/>
          <w:szCs w:val="24"/>
        </w:rPr>
        <w:t>MLR</w:t>
      </w:r>
      <w:r w:rsidRPr="00E9409D">
        <w:rPr>
          <w:rFonts w:ascii="Arial" w:hAnsi="Arial" w:cs="Arial"/>
          <w:b/>
          <w:bCs/>
          <w:noProof w:val="0"/>
          <w:szCs w:val="24"/>
        </w:rPr>
        <w:t xml:space="preserve"> Standard is Not Met</w:t>
      </w:r>
      <w:bookmarkEnd w:id="260"/>
    </w:p>
    <w:p w14:paraId="0A48E54D" w14:textId="6BDCF65C" w:rsidR="00DD3C0C" w:rsidRPr="00DD3C0C" w:rsidRDefault="00DD3C0C" w:rsidP="00257641">
      <w:pPr>
        <w:spacing w:after="200"/>
        <w:rPr>
          <w:rFonts w:eastAsia="Calibri"/>
          <w:noProof w:val="0"/>
          <w:szCs w:val="22"/>
        </w:rPr>
      </w:pPr>
      <w:r w:rsidRPr="00DD3C0C">
        <w:rPr>
          <w:rFonts w:eastAsia="Calibri"/>
          <w:noProof w:val="0"/>
          <w:szCs w:val="22"/>
        </w:rPr>
        <w:t xml:space="preserve">For each MLR </w:t>
      </w:r>
      <w:r w:rsidR="00E5524F">
        <w:rPr>
          <w:rFonts w:eastAsia="Calibri"/>
          <w:noProof w:val="0"/>
          <w:szCs w:val="22"/>
        </w:rPr>
        <w:t>reporting year</w:t>
      </w:r>
      <w:r w:rsidRPr="00DD3C0C">
        <w:rPr>
          <w:rFonts w:eastAsia="Calibri"/>
          <w:noProof w:val="0"/>
          <w:szCs w:val="22"/>
        </w:rPr>
        <w:t xml:space="preserve">, the MCO must provide a rebate to the Department if </w:t>
      </w:r>
      <w:r w:rsidR="001F34EE">
        <w:rPr>
          <w:rFonts w:eastAsia="Calibri"/>
          <w:noProof w:val="0"/>
          <w:szCs w:val="22"/>
        </w:rPr>
        <w:t xml:space="preserve">the </w:t>
      </w:r>
      <w:r w:rsidRPr="00DD3C0C">
        <w:rPr>
          <w:rFonts w:eastAsia="Calibri"/>
          <w:noProof w:val="0"/>
          <w:szCs w:val="22"/>
        </w:rPr>
        <w:t xml:space="preserve">MCO does not meet </w:t>
      </w:r>
      <w:r w:rsidR="001F34EE">
        <w:rPr>
          <w:rFonts w:eastAsia="Calibri"/>
          <w:noProof w:val="0"/>
          <w:szCs w:val="22"/>
        </w:rPr>
        <w:t xml:space="preserve">the </w:t>
      </w:r>
      <w:r w:rsidR="00912CC7">
        <w:rPr>
          <w:rFonts w:eastAsia="Calibri"/>
          <w:noProof w:val="0"/>
          <w:szCs w:val="22"/>
        </w:rPr>
        <w:t>eighty-five percent</w:t>
      </w:r>
      <w:r w:rsidRPr="00DD3C0C">
        <w:rPr>
          <w:rFonts w:eastAsia="Calibri"/>
          <w:noProof w:val="0"/>
          <w:szCs w:val="22"/>
        </w:rPr>
        <w:t xml:space="preserve"> </w:t>
      </w:r>
      <w:r w:rsidR="00E5524F">
        <w:rPr>
          <w:rFonts w:eastAsia="Calibri"/>
          <w:noProof w:val="0"/>
          <w:szCs w:val="22"/>
        </w:rPr>
        <w:t>(</w:t>
      </w:r>
      <w:r w:rsidR="00E5524F" w:rsidRPr="00DD3C0C">
        <w:rPr>
          <w:rFonts w:eastAsia="Calibri"/>
          <w:noProof w:val="0"/>
          <w:szCs w:val="22"/>
        </w:rPr>
        <w:t>85</w:t>
      </w:r>
      <w:r w:rsidR="00E5524F">
        <w:rPr>
          <w:rFonts w:eastAsia="Calibri"/>
          <w:noProof w:val="0"/>
          <w:szCs w:val="22"/>
        </w:rPr>
        <w:t xml:space="preserve">%) </w:t>
      </w:r>
      <w:r w:rsidRPr="00DD3C0C">
        <w:rPr>
          <w:rFonts w:eastAsia="Calibri"/>
          <w:noProof w:val="0"/>
          <w:szCs w:val="22"/>
        </w:rPr>
        <w:t>MLR standard requirement.</w:t>
      </w:r>
    </w:p>
    <w:p w14:paraId="78455231" w14:textId="47B00A76" w:rsidR="00E5524F" w:rsidRPr="00DD3C0C" w:rsidRDefault="00E5524F" w:rsidP="00257641">
      <w:pPr>
        <w:spacing w:after="200"/>
        <w:rPr>
          <w:rFonts w:eastAsia="Calibri"/>
          <w:noProof w:val="0"/>
          <w:szCs w:val="22"/>
        </w:rPr>
      </w:pPr>
      <w:r>
        <w:rPr>
          <w:rFonts w:eastAsia="Calibri"/>
          <w:noProof w:val="0"/>
          <w:szCs w:val="22"/>
        </w:rPr>
        <w:t xml:space="preserve">In accordance with Article III, Section </w:t>
      </w:r>
      <w:r w:rsidR="000D1DCF">
        <w:rPr>
          <w:rFonts w:eastAsia="Calibri"/>
          <w:noProof w:val="0"/>
          <w:szCs w:val="22"/>
        </w:rPr>
        <w:t>8</w:t>
      </w:r>
      <w:r>
        <w:rPr>
          <w:rFonts w:eastAsia="Calibri"/>
          <w:noProof w:val="0"/>
          <w:szCs w:val="22"/>
        </w:rPr>
        <w:t xml:space="preserve">.3, a </w:t>
      </w:r>
      <w:r w:rsidRPr="00744930">
        <w:rPr>
          <w:rFonts w:eastAsia="Calibri"/>
          <w:noProof w:val="0"/>
          <w:szCs w:val="22"/>
        </w:rPr>
        <w:t>combined MLR percentage of less than eighty-five percent (85</w:t>
      </w:r>
      <w:r>
        <w:rPr>
          <w:rFonts w:eastAsia="Calibri"/>
          <w:noProof w:val="0"/>
          <w:szCs w:val="22"/>
        </w:rPr>
        <w:t>%</w:t>
      </w:r>
      <w:r w:rsidRPr="00744930">
        <w:rPr>
          <w:rFonts w:eastAsia="Calibri"/>
          <w:noProof w:val="0"/>
          <w:szCs w:val="22"/>
        </w:rPr>
        <w:t>) must be one hundred percent (100</w:t>
      </w:r>
      <w:r>
        <w:rPr>
          <w:rFonts w:eastAsia="Calibri"/>
          <w:noProof w:val="0"/>
          <w:szCs w:val="22"/>
        </w:rPr>
        <w:t>%</w:t>
      </w:r>
      <w:r w:rsidRPr="00744930">
        <w:rPr>
          <w:rFonts w:eastAsia="Calibri"/>
          <w:noProof w:val="0"/>
          <w:szCs w:val="22"/>
        </w:rPr>
        <w:t>) reimbursable to the State. The MCO is responsible for a fifty percent (50</w:t>
      </w:r>
      <w:r>
        <w:rPr>
          <w:rFonts w:eastAsia="Calibri"/>
          <w:noProof w:val="0"/>
          <w:szCs w:val="22"/>
        </w:rPr>
        <w:t>%</w:t>
      </w:r>
      <w:r w:rsidRPr="00744930">
        <w:rPr>
          <w:rFonts w:eastAsia="Calibri"/>
          <w:noProof w:val="0"/>
          <w:szCs w:val="22"/>
        </w:rPr>
        <w:t>) share of any MLR less than eighty-eight percent (88</w:t>
      </w:r>
      <w:r>
        <w:rPr>
          <w:rFonts w:eastAsia="Calibri"/>
          <w:noProof w:val="0"/>
          <w:szCs w:val="22"/>
        </w:rPr>
        <w:t>%</w:t>
      </w:r>
      <w:r w:rsidRPr="00744930">
        <w:rPr>
          <w:rFonts w:eastAsia="Calibri"/>
          <w:noProof w:val="0"/>
          <w:szCs w:val="22"/>
        </w:rPr>
        <w:t>) but greater than eighty-five percent (85</w:t>
      </w:r>
      <w:r>
        <w:rPr>
          <w:rFonts w:eastAsia="Calibri"/>
          <w:noProof w:val="0"/>
          <w:szCs w:val="22"/>
        </w:rPr>
        <w:t>%</w:t>
      </w:r>
      <w:r w:rsidRPr="00744930">
        <w:rPr>
          <w:rFonts w:eastAsia="Calibri"/>
          <w:noProof w:val="0"/>
          <w:szCs w:val="22"/>
        </w:rPr>
        <w:t>).</w:t>
      </w:r>
    </w:p>
    <w:p w14:paraId="3877B1E1" w14:textId="77777777" w:rsidR="00E5524F" w:rsidRDefault="00E5524F" w:rsidP="00257641">
      <w:pPr>
        <w:rPr>
          <w:noProof w:val="0"/>
          <w:szCs w:val="22"/>
        </w:rPr>
      </w:pPr>
      <w:r>
        <w:rPr>
          <w:noProof w:val="0"/>
          <w:szCs w:val="22"/>
        </w:rPr>
        <w:lastRenderedPageBreak/>
        <w:t xml:space="preserve">The MCO </w:t>
      </w:r>
      <w:r w:rsidRPr="00DD3C0C">
        <w:rPr>
          <w:noProof w:val="0"/>
          <w:szCs w:val="22"/>
        </w:rPr>
        <w:t>rebate</w:t>
      </w:r>
      <w:r>
        <w:rPr>
          <w:noProof w:val="0"/>
          <w:szCs w:val="22"/>
        </w:rPr>
        <w:t xml:space="preserve"> amounts will be assessed by the Department </w:t>
      </w:r>
      <w:r w:rsidRPr="00DD3C0C">
        <w:rPr>
          <w:noProof w:val="0"/>
          <w:szCs w:val="22"/>
        </w:rPr>
        <w:t>using the MLR calculation</w:t>
      </w:r>
      <w:r>
        <w:rPr>
          <w:noProof w:val="0"/>
          <w:szCs w:val="22"/>
        </w:rPr>
        <w:t>s provided within</w:t>
      </w:r>
      <w:r w:rsidRPr="00DD3C0C">
        <w:rPr>
          <w:noProof w:val="0"/>
          <w:szCs w:val="22"/>
        </w:rPr>
        <w:t xml:space="preserve"> the </w:t>
      </w:r>
      <w:r>
        <w:rPr>
          <w:noProof w:val="0"/>
          <w:szCs w:val="22"/>
        </w:rPr>
        <w:t>SFY</w:t>
      </w:r>
      <w:r w:rsidRPr="00DD3C0C">
        <w:rPr>
          <w:noProof w:val="0"/>
          <w:szCs w:val="22"/>
        </w:rPr>
        <w:t xml:space="preserve"> </w:t>
      </w:r>
      <w:r>
        <w:rPr>
          <w:noProof w:val="0"/>
          <w:szCs w:val="22"/>
        </w:rPr>
        <w:t>MLR Report</w:t>
      </w:r>
      <w:r w:rsidRPr="00DD3C0C">
        <w:rPr>
          <w:noProof w:val="0"/>
          <w:szCs w:val="22"/>
        </w:rPr>
        <w:t xml:space="preserve"> submitted to the Department</w:t>
      </w:r>
      <w:r>
        <w:rPr>
          <w:noProof w:val="0"/>
          <w:szCs w:val="22"/>
        </w:rPr>
        <w:t xml:space="preserve"> by the MCO</w:t>
      </w:r>
      <w:r w:rsidRPr="00DD3C0C">
        <w:rPr>
          <w:noProof w:val="0"/>
          <w:szCs w:val="22"/>
        </w:rPr>
        <w:t xml:space="preserve">. The MLR rebate, if any, is due to the Department in full </w:t>
      </w:r>
      <w:r>
        <w:rPr>
          <w:noProof w:val="0"/>
          <w:szCs w:val="22"/>
        </w:rPr>
        <w:t>sixty (</w:t>
      </w:r>
      <w:r w:rsidRPr="00DD3C0C">
        <w:rPr>
          <w:noProof w:val="0"/>
          <w:szCs w:val="22"/>
        </w:rPr>
        <w:t>60</w:t>
      </w:r>
      <w:r>
        <w:rPr>
          <w:noProof w:val="0"/>
          <w:szCs w:val="22"/>
        </w:rPr>
        <w:t>) calendar</w:t>
      </w:r>
      <w:r w:rsidRPr="00DD3C0C">
        <w:rPr>
          <w:noProof w:val="0"/>
          <w:szCs w:val="22"/>
        </w:rPr>
        <w:t xml:space="preserve"> days after the Department notifies the MCO in writing of any MLR rebate amount due. </w:t>
      </w:r>
    </w:p>
    <w:p w14:paraId="62EFCED7" w14:textId="77777777" w:rsidR="00E5524F" w:rsidRPr="00DF1D1C" w:rsidRDefault="00E5524F" w:rsidP="00096A5D">
      <w:pPr>
        <w:pStyle w:val="BodyText"/>
      </w:pPr>
      <w:r w:rsidRPr="00861BD3">
        <w:t xml:space="preserve">If </w:t>
      </w:r>
      <w:r>
        <w:t xml:space="preserve">MCO </w:t>
      </w:r>
      <w:r w:rsidRPr="00861BD3">
        <w:t xml:space="preserve">determines that payment of </w:t>
      </w:r>
      <w:r>
        <w:t>the MLR rebate</w:t>
      </w:r>
      <w:r w:rsidRPr="00861BD3">
        <w:t xml:space="preserve"> by </w:t>
      </w:r>
      <w:r>
        <w:t xml:space="preserve">MCO </w:t>
      </w:r>
      <w:r w:rsidRPr="00861BD3">
        <w:t xml:space="preserve">will cause </w:t>
      </w:r>
      <w:r>
        <w:t xml:space="preserve">the MCO’s risk-based capital to fall below levels required by the </w:t>
      </w:r>
      <w:r w:rsidRPr="00F37520">
        <w:t>West Virginia Offices of the Insurance Commissioner</w:t>
      </w:r>
      <w:r>
        <w:t xml:space="preserve">, </w:t>
      </w:r>
      <w:r w:rsidRPr="00861BD3">
        <w:t xml:space="preserve">the </w:t>
      </w:r>
      <w:r>
        <w:t>MCO’s</w:t>
      </w:r>
      <w:r w:rsidRPr="00861BD3">
        <w:t xml:space="preserve"> responsible of</w:t>
      </w:r>
      <w:r>
        <w:t>ficial must notify the Department in writing as soon as administratively possible and prior to making any MLR rebate payments to the Department</w:t>
      </w:r>
      <w:r w:rsidRPr="00861BD3">
        <w:t>.</w:t>
      </w:r>
      <w:r>
        <w:t xml:space="preserve"> </w:t>
      </w:r>
    </w:p>
    <w:p w14:paraId="24DF0099" w14:textId="77777777" w:rsidR="00E5524F" w:rsidRDefault="00E5524F" w:rsidP="00257641">
      <w:pPr>
        <w:spacing w:after="200"/>
        <w:rPr>
          <w:rFonts w:eastAsia="Calibri"/>
          <w:noProof w:val="0"/>
          <w:szCs w:val="22"/>
        </w:rPr>
        <w:sectPr w:rsidR="00E5524F" w:rsidSect="00CA0C0E">
          <w:footerReference w:type="default" r:id="rId35"/>
          <w:footerReference w:type="first" r:id="rId36"/>
          <w:pgSz w:w="12240" w:h="15840" w:code="1"/>
          <w:pgMar w:top="1440" w:right="1440" w:bottom="1440" w:left="1440" w:header="720" w:footer="720" w:gutter="0"/>
          <w:pgNumType w:start="1" w:chapStyle="1"/>
          <w:cols w:space="720"/>
          <w:titlePg/>
          <w:docGrid w:linePitch="299"/>
        </w:sectPr>
      </w:pPr>
    </w:p>
    <w:p w14:paraId="0410D85D" w14:textId="197EF980" w:rsidR="0093410D" w:rsidRPr="0023250B" w:rsidRDefault="0093410D" w:rsidP="00257641">
      <w:pPr>
        <w:pStyle w:val="Heading1"/>
      </w:pPr>
      <w:bookmarkStart w:id="261" w:name="_Toc8129107"/>
      <w:r w:rsidRPr="0023250B">
        <w:lastRenderedPageBreak/>
        <w:t xml:space="preserve">APPENDIX </w:t>
      </w:r>
      <w:r w:rsidR="004D7640">
        <w:t>H</w:t>
      </w:r>
      <w:r w:rsidRPr="0023250B">
        <w:t xml:space="preserve">: </w:t>
      </w:r>
      <w:r w:rsidR="000E6653" w:rsidRPr="0023250B">
        <w:t>Alternat</w:t>
      </w:r>
      <w:r w:rsidR="00C70CD1">
        <w:t>iv</w:t>
      </w:r>
      <w:r w:rsidR="00A8449B">
        <w:t>e</w:t>
      </w:r>
      <w:r w:rsidR="00D94EB8" w:rsidRPr="0023250B">
        <w:t xml:space="preserve"> Payment M</w:t>
      </w:r>
      <w:r w:rsidR="00F84ED5" w:rsidRPr="0023250B">
        <w:t>odel</w:t>
      </w:r>
      <w:r w:rsidR="000E6653" w:rsidRPr="0023250B">
        <w:t xml:space="preserve"> (APM)</w:t>
      </w:r>
      <w:r w:rsidR="00F84ED5" w:rsidRPr="0023250B">
        <w:t xml:space="preserve"> </w:t>
      </w:r>
      <w:r w:rsidR="00D94EB8" w:rsidRPr="0023250B">
        <w:t>Reporting T</w:t>
      </w:r>
      <w:r w:rsidR="00F84ED5" w:rsidRPr="0023250B">
        <w:t>emplate</w:t>
      </w:r>
      <w:bookmarkEnd w:id="261"/>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897F58" w14:paraId="2F3A9B70" w14:textId="77777777" w:rsidTr="002D49D1">
        <w:trPr>
          <w:trHeight w:val="320"/>
          <w:jc w:val="center"/>
        </w:trPr>
        <w:tc>
          <w:tcPr>
            <w:tcW w:w="9286" w:type="dxa"/>
            <w:shd w:val="clear" w:color="auto" w:fill="BFBFBF"/>
          </w:tcPr>
          <w:p w14:paraId="154911BF" w14:textId="77777777" w:rsidR="00897F58" w:rsidRPr="002D49D1" w:rsidRDefault="004D2D19" w:rsidP="00257641">
            <w:pPr>
              <w:rPr>
                <w:b/>
                <w:szCs w:val="22"/>
              </w:rPr>
            </w:pPr>
            <w:r w:rsidRPr="002D49D1">
              <w:rPr>
                <w:b/>
                <w:szCs w:val="22"/>
              </w:rPr>
              <w:t>NAME OF MCO</w:t>
            </w:r>
          </w:p>
        </w:tc>
      </w:tr>
      <w:tr w:rsidR="00897F58" w14:paraId="57445228" w14:textId="77777777" w:rsidTr="002D49D1">
        <w:trPr>
          <w:trHeight w:val="320"/>
          <w:jc w:val="center"/>
        </w:trPr>
        <w:tc>
          <w:tcPr>
            <w:tcW w:w="9286" w:type="dxa"/>
            <w:shd w:val="clear" w:color="auto" w:fill="auto"/>
          </w:tcPr>
          <w:p w14:paraId="7669E35D" w14:textId="77777777" w:rsidR="00897F58" w:rsidRPr="002D49D1" w:rsidRDefault="00897F58" w:rsidP="00257641">
            <w:pPr>
              <w:rPr>
                <w:szCs w:val="22"/>
              </w:rPr>
            </w:pPr>
          </w:p>
        </w:tc>
      </w:tr>
      <w:tr w:rsidR="00897F58" w14:paraId="61E114C8" w14:textId="77777777" w:rsidTr="002D49D1">
        <w:trPr>
          <w:trHeight w:val="320"/>
          <w:jc w:val="center"/>
        </w:trPr>
        <w:tc>
          <w:tcPr>
            <w:tcW w:w="9286" w:type="dxa"/>
            <w:shd w:val="clear" w:color="auto" w:fill="BFBFBF"/>
          </w:tcPr>
          <w:p w14:paraId="7310AD9B" w14:textId="77777777" w:rsidR="00897F58" w:rsidRPr="002D49D1" w:rsidRDefault="004D2D19" w:rsidP="00257641">
            <w:pPr>
              <w:rPr>
                <w:b/>
                <w:szCs w:val="22"/>
              </w:rPr>
            </w:pPr>
            <w:r w:rsidRPr="002D49D1">
              <w:rPr>
                <w:b/>
                <w:szCs w:val="22"/>
              </w:rPr>
              <w:t>CONTACT INFORMATION</w:t>
            </w:r>
          </w:p>
        </w:tc>
      </w:tr>
      <w:tr w:rsidR="00897F58" w14:paraId="4B5E9DDF" w14:textId="77777777" w:rsidTr="002D49D1">
        <w:trPr>
          <w:trHeight w:val="320"/>
          <w:jc w:val="center"/>
        </w:trPr>
        <w:tc>
          <w:tcPr>
            <w:tcW w:w="9286" w:type="dxa"/>
            <w:shd w:val="clear" w:color="auto" w:fill="auto"/>
          </w:tcPr>
          <w:p w14:paraId="12E73811" w14:textId="77777777" w:rsidR="00897F58" w:rsidRPr="002D49D1" w:rsidRDefault="00897F58" w:rsidP="00257641">
            <w:pPr>
              <w:rPr>
                <w:szCs w:val="22"/>
              </w:rPr>
            </w:pPr>
          </w:p>
        </w:tc>
      </w:tr>
      <w:tr w:rsidR="00897F58" w14:paraId="19E3AAB2" w14:textId="77777777" w:rsidTr="002D49D1">
        <w:trPr>
          <w:trHeight w:val="320"/>
          <w:jc w:val="center"/>
        </w:trPr>
        <w:tc>
          <w:tcPr>
            <w:tcW w:w="9286" w:type="dxa"/>
            <w:shd w:val="clear" w:color="auto" w:fill="BFBFBF"/>
          </w:tcPr>
          <w:p w14:paraId="07DB489C" w14:textId="77777777" w:rsidR="00897F58" w:rsidRPr="002D49D1" w:rsidRDefault="004D2D19" w:rsidP="00257641">
            <w:pPr>
              <w:rPr>
                <w:b/>
                <w:szCs w:val="22"/>
              </w:rPr>
            </w:pPr>
            <w:r w:rsidRPr="002D49D1">
              <w:rPr>
                <w:b/>
                <w:szCs w:val="22"/>
              </w:rPr>
              <w:t xml:space="preserve">INITIATIVE(S) SELECTED </w:t>
            </w:r>
          </w:p>
          <w:p w14:paraId="027D3EED" w14:textId="77777777" w:rsidR="00A90B27" w:rsidRPr="002D49D1" w:rsidRDefault="00A90B27" w:rsidP="00257641">
            <w:pPr>
              <w:rPr>
                <w:sz w:val="18"/>
                <w:szCs w:val="18"/>
              </w:rPr>
            </w:pPr>
            <w:r w:rsidRPr="002D49D1">
              <w:rPr>
                <w:sz w:val="18"/>
                <w:szCs w:val="18"/>
              </w:rPr>
              <w:t>(Options include, but are not limited to: primary care incentives; payment for performance; shared savings arrangements; risk sharing arrangements; episodes of care/ bundled payments; and capitation payments with perfomance and quality requirements)</w:t>
            </w:r>
          </w:p>
        </w:tc>
      </w:tr>
      <w:tr w:rsidR="00897F58" w14:paraId="0EF6C6DA" w14:textId="77777777" w:rsidTr="002D49D1">
        <w:trPr>
          <w:trHeight w:val="320"/>
          <w:jc w:val="center"/>
        </w:trPr>
        <w:tc>
          <w:tcPr>
            <w:tcW w:w="9286" w:type="dxa"/>
            <w:shd w:val="clear" w:color="auto" w:fill="auto"/>
          </w:tcPr>
          <w:p w14:paraId="4E1822AB" w14:textId="77777777" w:rsidR="00897F58" w:rsidRPr="002D49D1" w:rsidRDefault="00897F58" w:rsidP="00257641">
            <w:pPr>
              <w:rPr>
                <w:szCs w:val="22"/>
              </w:rPr>
            </w:pPr>
          </w:p>
        </w:tc>
      </w:tr>
      <w:tr w:rsidR="00F84D08" w14:paraId="28EC1AF6" w14:textId="77777777" w:rsidTr="002D49D1">
        <w:trPr>
          <w:trHeight w:val="320"/>
          <w:jc w:val="center"/>
        </w:trPr>
        <w:tc>
          <w:tcPr>
            <w:tcW w:w="9286" w:type="dxa"/>
            <w:shd w:val="clear" w:color="auto" w:fill="BFBFBF"/>
          </w:tcPr>
          <w:p w14:paraId="2C374CAC" w14:textId="77777777" w:rsidR="00F84D08" w:rsidRPr="002D49D1" w:rsidRDefault="004D2D19" w:rsidP="00257641">
            <w:pPr>
              <w:rPr>
                <w:b/>
                <w:szCs w:val="22"/>
              </w:rPr>
            </w:pPr>
            <w:r w:rsidRPr="002D49D1">
              <w:rPr>
                <w:b/>
                <w:szCs w:val="22"/>
              </w:rPr>
              <w:t>DESCRIPTION OF INITIATIVE(S)</w:t>
            </w:r>
            <w:r w:rsidR="00A90B27" w:rsidRPr="002D49D1">
              <w:rPr>
                <w:b/>
                <w:szCs w:val="22"/>
              </w:rPr>
              <w:t xml:space="preserve"> </w:t>
            </w:r>
          </w:p>
          <w:p w14:paraId="60853428" w14:textId="3399168A" w:rsidR="00A90B27" w:rsidRPr="002D49D1" w:rsidRDefault="00A90B27" w:rsidP="00257641">
            <w:pPr>
              <w:rPr>
                <w:sz w:val="20"/>
              </w:rPr>
            </w:pPr>
            <w:r w:rsidRPr="002D49D1">
              <w:rPr>
                <w:sz w:val="20"/>
              </w:rPr>
              <w:t>(</w:t>
            </w:r>
            <w:r w:rsidR="00A545F2" w:rsidRPr="002D49D1">
              <w:rPr>
                <w:sz w:val="20"/>
              </w:rPr>
              <w:t xml:space="preserve">Please include </w:t>
            </w:r>
            <w:r w:rsidRPr="002D49D1">
              <w:rPr>
                <w:sz w:val="20"/>
              </w:rPr>
              <w:t xml:space="preserve">provider partners, </w:t>
            </w:r>
            <w:r w:rsidR="00573F7C">
              <w:rPr>
                <w:sz w:val="20"/>
              </w:rPr>
              <w:t>percentage of provider contracts,</w:t>
            </w:r>
            <w:r w:rsidRPr="002D49D1">
              <w:rPr>
                <w:sz w:val="20"/>
              </w:rPr>
              <w:t>size and scope of initiative, effect on quality and cost to date)</w:t>
            </w:r>
          </w:p>
          <w:p w14:paraId="712EBBEB" w14:textId="5231C50D" w:rsidR="00A90B27" w:rsidRPr="002D49D1" w:rsidRDefault="00A90B27" w:rsidP="00257641">
            <w:pPr>
              <w:rPr>
                <w:sz w:val="18"/>
                <w:szCs w:val="18"/>
              </w:rPr>
            </w:pPr>
            <w:r w:rsidRPr="002D49D1">
              <w:rPr>
                <w:sz w:val="20"/>
              </w:rPr>
              <w:t xml:space="preserve">*APMs excluding maternity kick </w:t>
            </w:r>
            <w:r w:rsidR="00537EBA">
              <w:rPr>
                <w:sz w:val="20"/>
              </w:rPr>
              <w:t xml:space="preserve">provider </w:t>
            </w:r>
            <w:r w:rsidRPr="002D49D1">
              <w:rPr>
                <w:sz w:val="20"/>
              </w:rPr>
              <w:t xml:space="preserve">payments. </w:t>
            </w:r>
          </w:p>
        </w:tc>
      </w:tr>
      <w:tr w:rsidR="00A3084E" w14:paraId="6D228B83" w14:textId="77777777" w:rsidTr="002D49D1">
        <w:trPr>
          <w:trHeight w:val="320"/>
          <w:jc w:val="center"/>
        </w:trPr>
        <w:tc>
          <w:tcPr>
            <w:tcW w:w="9286" w:type="dxa"/>
            <w:shd w:val="clear" w:color="auto" w:fill="auto"/>
          </w:tcPr>
          <w:p w14:paraId="04D31B20" w14:textId="77777777" w:rsidR="00A3084E" w:rsidRPr="002D49D1" w:rsidRDefault="00A3084E" w:rsidP="00257641">
            <w:pPr>
              <w:rPr>
                <w:szCs w:val="22"/>
              </w:rPr>
            </w:pPr>
          </w:p>
          <w:p w14:paraId="31C4403D" w14:textId="77777777" w:rsidR="0020514C" w:rsidRPr="002D49D1" w:rsidRDefault="0020514C" w:rsidP="00257641">
            <w:pPr>
              <w:rPr>
                <w:szCs w:val="22"/>
              </w:rPr>
            </w:pPr>
          </w:p>
          <w:p w14:paraId="50E1450B" w14:textId="77777777" w:rsidR="0020514C" w:rsidRPr="002D49D1" w:rsidRDefault="0020514C" w:rsidP="00257641">
            <w:pPr>
              <w:rPr>
                <w:szCs w:val="22"/>
              </w:rPr>
            </w:pPr>
          </w:p>
        </w:tc>
      </w:tr>
      <w:tr w:rsidR="00A3084E" w14:paraId="3308E4BC" w14:textId="77777777" w:rsidTr="002D49D1">
        <w:trPr>
          <w:trHeight w:val="320"/>
          <w:jc w:val="center"/>
        </w:trPr>
        <w:tc>
          <w:tcPr>
            <w:tcW w:w="9286" w:type="dxa"/>
            <w:shd w:val="clear" w:color="auto" w:fill="BFBFBF"/>
          </w:tcPr>
          <w:p w14:paraId="614F1C98" w14:textId="77777777" w:rsidR="00754BF5" w:rsidRPr="002D49D1" w:rsidRDefault="004D2D19" w:rsidP="00257641">
            <w:pPr>
              <w:rPr>
                <w:b/>
                <w:szCs w:val="22"/>
              </w:rPr>
            </w:pPr>
            <w:r w:rsidRPr="002D49D1">
              <w:rPr>
                <w:b/>
                <w:szCs w:val="22"/>
              </w:rPr>
              <w:t>RATIONALE FOR INITIATIVE(S)</w:t>
            </w:r>
          </w:p>
        </w:tc>
      </w:tr>
      <w:tr w:rsidR="00A3084E" w14:paraId="03758363" w14:textId="77777777" w:rsidTr="002D49D1">
        <w:trPr>
          <w:trHeight w:val="320"/>
          <w:jc w:val="center"/>
        </w:trPr>
        <w:tc>
          <w:tcPr>
            <w:tcW w:w="9286" w:type="dxa"/>
            <w:shd w:val="clear" w:color="auto" w:fill="auto"/>
          </w:tcPr>
          <w:p w14:paraId="773BE140" w14:textId="77777777" w:rsidR="00157B13" w:rsidRPr="002D49D1" w:rsidRDefault="00157B13" w:rsidP="00257641">
            <w:pPr>
              <w:rPr>
                <w:szCs w:val="22"/>
              </w:rPr>
            </w:pPr>
          </w:p>
          <w:p w14:paraId="4F3D561A" w14:textId="77777777" w:rsidR="00A3084E" w:rsidRPr="002D49D1" w:rsidRDefault="00532861" w:rsidP="00257641">
            <w:pPr>
              <w:rPr>
                <w:szCs w:val="22"/>
              </w:rPr>
            </w:pPr>
            <w:r w:rsidRPr="002D49D1">
              <w:rPr>
                <w:szCs w:val="22"/>
              </w:rPr>
              <w:t>Which value based health care g</w:t>
            </w:r>
            <w:r w:rsidR="00A3084E" w:rsidRPr="002D49D1">
              <w:rPr>
                <w:szCs w:val="22"/>
              </w:rPr>
              <w:t xml:space="preserve">oals are supported by </w:t>
            </w:r>
            <w:r w:rsidRPr="002D49D1">
              <w:rPr>
                <w:szCs w:val="22"/>
              </w:rPr>
              <w:t>this initiative? Check Box(es)</w:t>
            </w:r>
          </w:p>
          <w:p w14:paraId="7F1CF50A" w14:textId="77777777" w:rsidR="00A3084E" w:rsidRPr="002D49D1" w:rsidRDefault="00532861" w:rsidP="00257641">
            <w:pPr>
              <w:rPr>
                <w:szCs w:val="22"/>
              </w:rPr>
            </w:pPr>
            <w:r w:rsidRPr="002D49D1">
              <w:rPr>
                <w:szCs w:val="22"/>
              </w:rPr>
              <w:fldChar w:fldCharType="begin">
                <w:ffData>
                  <w:name w:val="Check1"/>
                  <w:enabled/>
                  <w:calcOnExit w:val="0"/>
                  <w:checkBox>
                    <w:sizeAuto/>
                    <w:default w:val="0"/>
                  </w:checkBox>
                </w:ffData>
              </w:fldChar>
            </w:r>
            <w:bookmarkStart w:id="262" w:name="Check1"/>
            <w:r w:rsidRPr="002D49D1">
              <w:rPr>
                <w:szCs w:val="22"/>
              </w:rPr>
              <w:instrText xml:space="preserve"> FORMCHECKBOX </w:instrText>
            </w:r>
            <w:r w:rsidR="00821FDF">
              <w:rPr>
                <w:szCs w:val="22"/>
              </w:rPr>
            </w:r>
            <w:r w:rsidR="00821FDF">
              <w:rPr>
                <w:szCs w:val="22"/>
              </w:rPr>
              <w:fldChar w:fldCharType="separate"/>
            </w:r>
            <w:r w:rsidRPr="002D49D1">
              <w:rPr>
                <w:szCs w:val="22"/>
              </w:rPr>
              <w:fldChar w:fldCharType="end"/>
            </w:r>
            <w:bookmarkEnd w:id="262"/>
            <w:r w:rsidRPr="002D49D1">
              <w:rPr>
                <w:szCs w:val="22"/>
              </w:rPr>
              <w:t xml:space="preserve"> </w:t>
            </w:r>
            <w:r w:rsidR="00A538AB" w:rsidRPr="002D49D1">
              <w:rPr>
                <w:szCs w:val="22"/>
              </w:rPr>
              <w:t>Improve Quality of C</w:t>
            </w:r>
            <w:r w:rsidRPr="002D49D1">
              <w:rPr>
                <w:szCs w:val="22"/>
              </w:rPr>
              <w:t>are</w:t>
            </w:r>
          </w:p>
          <w:p w14:paraId="14F1796C" w14:textId="77777777" w:rsidR="00532861" w:rsidRPr="002D49D1" w:rsidRDefault="00532861" w:rsidP="00257641">
            <w:pPr>
              <w:rPr>
                <w:szCs w:val="22"/>
              </w:rPr>
            </w:pPr>
            <w:r w:rsidRPr="002D49D1">
              <w:rPr>
                <w:szCs w:val="22"/>
              </w:rPr>
              <w:fldChar w:fldCharType="begin">
                <w:ffData>
                  <w:name w:val="Check2"/>
                  <w:enabled/>
                  <w:calcOnExit w:val="0"/>
                  <w:checkBox>
                    <w:sizeAuto/>
                    <w:default w:val="0"/>
                  </w:checkBox>
                </w:ffData>
              </w:fldChar>
            </w:r>
            <w:bookmarkStart w:id="263" w:name="Check2"/>
            <w:r w:rsidRPr="002D49D1">
              <w:rPr>
                <w:szCs w:val="22"/>
              </w:rPr>
              <w:instrText xml:space="preserve"> FORMCHECKBOX </w:instrText>
            </w:r>
            <w:r w:rsidR="00821FDF">
              <w:rPr>
                <w:szCs w:val="22"/>
              </w:rPr>
            </w:r>
            <w:r w:rsidR="00821FDF">
              <w:rPr>
                <w:szCs w:val="22"/>
              </w:rPr>
              <w:fldChar w:fldCharType="separate"/>
            </w:r>
            <w:r w:rsidRPr="002D49D1">
              <w:rPr>
                <w:szCs w:val="22"/>
              </w:rPr>
              <w:fldChar w:fldCharType="end"/>
            </w:r>
            <w:bookmarkEnd w:id="263"/>
            <w:r w:rsidR="00A538AB" w:rsidRPr="002D49D1">
              <w:rPr>
                <w:szCs w:val="22"/>
              </w:rPr>
              <w:t xml:space="preserve"> Lower C</w:t>
            </w:r>
            <w:r w:rsidRPr="002D49D1">
              <w:rPr>
                <w:szCs w:val="22"/>
              </w:rPr>
              <w:t>osts</w:t>
            </w:r>
          </w:p>
          <w:p w14:paraId="0ECBD038" w14:textId="77777777" w:rsidR="00532861" w:rsidRPr="002D49D1" w:rsidRDefault="00532861" w:rsidP="00257641">
            <w:pPr>
              <w:rPr>
                <w:szCs w:val="22"/>
              </w:rPr>
            </w:pPr>
            <w:r w:rsidRPr="002D49D1">
              <w:rPr>
                <w:szCs w:val="22"/>
              </w:rPr>
              <w:fldChar w:fldCharType="begin">
                <w:ffData>
                  <w:name w:val="Check3"/>
                  <w:enabled/>
                  <w:calcOnExit w:val="0"/>
                  <w:checkBox>
                    <w:sizeAuto/>
                    <w:default w:val="0"/>
                  </w:checkBox>
                </w:ffData>
              </w:fldChar>
            </w:r>
            <w:bookmarkStart w:id="264" w:name="Check3"/>
            <w:r w:rsidRPr="002D49D1">
              <w:rPr>
                <w:szCs w:val="22"/>
              </w:rPr>
              <w:instrText xml:space="preserve"> FORMCHECKBOX </w:instrText>
            </w:r>
            <w:r w:rsidR="00821FDF">
              <w:rPr>
                <w:szCs w:val="22"/>
              </w:rPr>
            </w:r>
            <w:r w:rsidR="00821FDF">
              <w:rPr>
                <w:szCs w:val="22"/>
              </w:rPr>
              <w:fldChar w:fldCharType="separate"/>
            </w:r>
            <w:r w:rsidRPr="002D49D1">
              <w:rPr>
                <w:szCs w:val="22"/>
              </w:rPr>
              <w:fldChar w:fldCharType="end"/>
            </w:r>
            <w:bookmarkEnd w:id="264"/>
            <w:r w:rsidR="00A538AB" w:rsidRPr="002D49D1">
              <w:rPr>
                <w:szCs w:val="22"/>
              </w:rPr>
              <w:t xml:space="preserve"> Improve Population H</w:t>
            </w:r>
            <w:r w:rsidRPr="002D49D1">
              <w:rPr>
                <w:szCs w:val="22"/>
              </w:rPr>
              <w:t>ea</w:t>
            </w:r>
            <w:r w:rsidR="00A538AB" w:rsidRPr="002D49D1">
              <w:rPr>
                <w:szCs w:val="22"/>
              </w:rPr>
              <w:t xml:space="preserve">lth </w:t>
            </w:r>
          </w:p>
          <w:p w14:paraId="5D6AEBB4" w14:textId="77777777" w:rsidR="0020514C" w:rsidRPr="002D49D1" w:rsidRDefault="00157B13" w:rsidP="00257641">
            <w:pPr>
              <w:rPr>
                <w:szCs w:val="22"/>
              </w:rPr>
            </w:pPr>
            <w:r w:rsidRPr="002D49D1">
              <w:rPr>
                <w:szCs w:val="22"/>
              </w:rPr>
              <w:t xml:space="preserve">Further Explanation: </w:t>
            </w:r>
          </w:p>
          <w:p w14:paraId="69E14DE0" w14:textId="77777777" w:rsidR="0020514C" w:rsidRPr="002D49D1" w:rsidRDefault="0020514C" w:rsidP="00257641">
            <w:pPr>
              <w:rPr>
                <w:szCs w:val="22"/>
              </w:rPr>
            </w:pPr>
          </w:p>
        </w:tc>
      </w:tr>
      <w:tr w:rsidR="00362838" w14:paraId="271A7D07" w14:textId="77777777" w:rsidTr="002D49D1">
        <w:trPr>
          <w:trHeight w:val="320"/>
          <w:jc w:val="center"/>
        </w:trPr>
        <w:tc>
          <w:tcPr>
            <w:tcW w:w="9286" w:type="dxa"/>
            <w:shd w:val="clear" w:color="auto" w:fill="BFBFBF"/>
          </w:tcPr>
          <w:p w14:paraId="4E3E2DDA" w14:textId="77777777" w:rsidR="00362838" w:rsidRPr="002D49D1" w:rsidRDefault="004D2D19" w:rsidP="00EB6E6F">
            <w:pPr>
              <w:keepNext/>
              <w:keepLines/>
              <w:rPr>
                <w:b/>
                <w:szCs w:val="22"/>
              </w:rPr>
            </w:pPr>
            <w:r w:rsidRPr="002D49D1">
              <w:rPr>
                <w:b/>
                <w:szCs w:val="22"/>
              </w:rPr>
              <w:lastRenderedPageBreak/>
              <w:t>PERFORMANCE MEASURES</w:t>
            </w:r>
          </w:p>
          <w:p w14:paraId="4271E993" w14:textId="77777777" w:rsidR="00934682" w:rsidRPr="002D49D1" w:rsidRDefault="00934682" w:rsidP="00EB6E6F">
            <w:pPr>
              <w:keepNext/>
              <w:keepLines/>
              <w:rPr>
                <w:sz w:val="20"/>
              </w:rPr>
            </w:pPr>
            <w:r w:rsidRPr="002D49D1">
              <w:rPr>
                <w:sz w:val="20"/>
              </w:rPr>
              <w:t>(Each goal should be linked to one or more performance measures)</w:t>
            </w:r>
          </w:p>
        </w:tc>
      </w:tr>
      <w:tr w:rsidR="00B27344" w14:paraId="77B1F1AF" w14:textId="77777777" w:rsidTr="002D49D1">
        <w:trPr>
          <w:trHeight w:val="320"/>
          <w:jc w:val="center"/>
        </w:trPr>
        <w:tc>
          <w:tcPr>
            <w:tcW w:w="9286" w:type="dxa"/>
            <w:shd w:val="clear" w:color="auto" w:fill="auto"/>
          </w:tcPr>
          <w:p w14:paraId="3E3B3A1A" w14:textId="77777777" w:rsidR="009D64F0" w:rsidRPr="002D49D1" w:rsidRDefault="009D64F0" w:rsidP="00257641">
            <w:pPr>
              <w:rPr>
                <w:szCs w:val="22"/>
              </w:rPr>
            </w:pPr>
          </w:p>
          <w:tbl>
            <w:tblPr>
              <w:tblW w:w="8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3575"/>
              <w:gridCol w:w="2122"/>
            </w:tblGrid>
            <w:tr w:rsidR="002668CC" w:rsidRPr="002D49D1" w14:paraId="3E81AA60" w14:textId="77777777" w:rsidTr="002D49D1">
              <w:trPr>
                <w:trHeight w:val="306"/>
                <w:jc w:val="center"/>
              </w:trPr>
              <w:tc>
                <w:tcPr>
                  <w:tcW w:w="3079" w:type="dxa"/>
                  <w:shd w:val="clear" w:color="auto" w:fill="000000"/>
                </w:tcPr>
                <w:p w14:paraId="0130D902" w14:textId="77777777" w:rsidR="002F4FCC" w:rsidRPr="002D49D1" w:rsidRDefault="002F4FCC" w:rsidP="00257641">
                  <w:pPr>
                    <w:jc w:val="center"/>
                    <w:rPr>
                      <w:b/>
                      <w:szCs w:val="22"/>
                    </w:rPr>
                  </w:pPr>
                  <w:r w:rsidRPr="002D49D1">
                    <w:rPr>
                      <w:b/>
                      <w:szCs w:val="22"/>
                    </w:rPr>
                    <w:t>Measure</w:t>
                  </w:r>
                </w:p>
              </w:tc>
              <w:tc>
                <w:tcPr>
                  <w:tcW w:w="3575" w:type="dxa"/>
                  <w:shd w:val="clear" w:color="auto" w:fill="000000"/>
                </w:tcPr>
                <w:p w14:paraId="4A01C1DF" w14:textId="77777777" w:rsidR="002F4FCC" w:rsidRPr="002D49D1" w:rsidRDefault="002F4FCC" w:rsidP="00257641">
                  <w:pPr>
                    <w:jc w:val="center"/>
                    <w:rPr>
                      <w:b/>
                      <w:szCs w:val="22"/>
                    </w:rPr>
                  </w:pPr>
                  <w:r w:rsidRPr="002D49D1">
                    <w:rPr>
                      <w:b/>
                      <w:szCs w:val="22"/>
                    </w:rPr>
                    <w:t>Goal Linked</w:t>
                  </w:r>
                </w:p>
              </w:tc>
              <w:tc>
                <w:tcPr>
                  <w:tcW w:w="2122" w:type="dxa"/>
                  <w:shd w:val="clear" w:color="auto" w:fill="000000"/>
                </w:tcPr>
                <w:p w14:paraId="40775EEE" w14:textId="77777777" w:rsidR="002F4FCC" w:rsidRPr="002D49D1" w:rsidRDefault="002F4FCC" w:rsidP="00257641">
                  <w:pPr>
                    <w:jc w:val="center"/>
                    <w:rPr>
                      <w:b/>
                      <w:szCs w:val="22"/>
                    </w:rPr>
                  </w:pPr>
                  <w:r w:rsidRPr="002D49D1">
                    <w:rPr>
                      <w:b/>
                      <w:szCs w:val="22"/>
                    </w:rPr>
                    <w:t>Source</w:t>
                  </w:r>
                </w:p>
              </w:tc>
            </w:tr>
            <w:tr w:rsidR="002668CC" w:rsidRPr="002D49D1" w14:paraId="027629EF" w14:textId="77777777" w:rsidTr="002D49D1">
              <w:trPr>
                <w:trHeight w:val="306"/>
                <w:jc w:val="center"/>
              </w:trPr>
              <w:tc>
                <w:tcPr>
                  <w:tcW w:w="3079" w:type="dxa"/>
                  <w:shd w:val="clear" w:color="auto" w:fill="auto"/>
                </w:tcPr>
                <w:p w14:paraId="0F71FD85" w14:textId="77777777" w:rsidR="002F4FCC" w:rsidRPr="002D49D1" w:rsidRDefault="002F4FCC" w:rsidP="00257641">
                  <w:pPr>
                    <w:rPr>
                      <w:szCs w:val="22"/>
                    </w:rPr>
                  </w:pPr>
                </w:p>
              </w:tc>
              <w:tc>
                <w:tcPr>
                  <w:tcW w:w="3575" w:type="dxa"/>
                  <w:shd w:val="clear" w:color="auto" w:fill="auto"/>
                </w:tcPr>
                <w:p w14:paraId="23178639" w14:textId="77777777" w:rsidR="002F4FCC" w:rsidRPr="002D49D1" w:rsidRDefault="002F4FCC" w:rsidP="00257641">
                  <w:pPr>
                    <w:rPr>
                      <w:szCs w:val="22"/>
                    </w:rPr>
                  </w:pPr>
                </w:p>
              </w:tc>
              <w:tc>
                <w:tcPr>
                  <w:tcW w:w="2122" w:type="dxa"/>
                  <w:shd w:val="clear" w:color="auto" w:fill="auto"/>
                </w:tcPr>
                <w:p w14:paraId="5885074E" w14:textId="77777777" w:rsidR="002F4FCC" w:rsidRPr="002D49D1" w:rsidRDefault="002F4FCC" w:rsidP="00257641">
                  <w:pPr>
                    <w:rPr>
                      <w:szCs w:val="22"/>
                    </w:rPr>
                  </w:pPr>
                </w:p>
              </w:tc>
            </w:tr>
            <w:tr w:rsidR="002668CC" w:rsidRPr="002D49D1" w14:paraId="48DBD915" w14:textId="77777777" w:rsidTr="002D49D1">
              <w:trPr>
                <w:trHeight w:val="306"/>
                <w:jc w:val="center"/>
              </w:trPr>
              <w:tc>
                <w:tcPr>
                  <w:tcW w:w="3079" w:type="dxa"/>
                  <w:shd w:val="clear" w:color="auto" w:fill="auto"/>
                </w:tcPr>
                <w:p w14:paraId="0A336D33" w14:textId="77777777" w:rsidR="002F4FCC" w:rsidRPr="002D49D1" w:rsidRDefault="002F4FCC" w:rsidP="00257641">
                  <w:pPr>
                    <w:rPr>
                      <w:szCs w:val="22"/>
                    </w:rPr>
                  </w:pPr>
                </w:p>
              </w:tc>
              <w:tc>
                <w:tcPr>
                  <w:tcW w:w="3575" w:type="dxa"/>
                  <w:shd w:val="clear" w:color="auto" w:fill="auto"/>
                </w:tcPr>
                <w:p w14:paraId="71F0F9EB" w14:textId="77777777" w:rsidR="002F4FCC" w:rsidRPr="002D49D1" w:rsidRDefault="002F4FCC" w:rsidP="00257641">
                  <w:pPr>
                    <w:rPr>
                      <w:szCs w:val="22"/>
                    </w:rPr>
                  </w:pPr>
                </w:p>
              </w:tc>
              <w:tc>
                <w:tcPr>
                  <w:tcW w:w="2122" w:type="dxa"/>
                  <w:shd w:val="clear" w:color="auto" w:fill="auto"/>
                </w:tcPr>
                <w:p w14:paraId="44B0ACA4" w14:textId="77777777" w:rsidR="002F4FCC" w:rsidRPr="002D49D1" w:rsidRDefault="002F4FCC" w:rsidP="00257641">
                  <w:pPr>
                    <w:rPr>
                      <w:szCs w:val="22"/>
                    </w:rPr>
                  </w:pPr>
                </w:p>
              </w:tc>
            </w:tr>
            <w:tr w:rsidR="002668CC" w:rsidRPr="002D49D1" w14:paraId="5CB0859C" w14:textId="77777777" w:rsidTr="002D49D1">
              <w:trPr>
                <w:trHeight w:val="306"/>
                <w:jc w:val="center"/>
              </w:trPr>
              <w:tc>
                <w:tcPr>
                  <w:tcW w:w="3079" w:type="dxa"/>
                  <w:shd w:val="clear" w:color="auto" w:fill="auto"/>
                </w:tcPr>
                <w:p w14:paraId="3523DBBD" w14:textId="77777777" w:rsidR="002F4FCC" w:rsidRPr="002D49D1" w:rsidRDefault="002F4FCC" w:rsidP="00257641">
                  <w:pPr>
                    <w:rPr>
                      <w:szCs w:val="22"/>
                    </w:rPr>
                  </w:pPr>
                </w:p>
              </w:tc>
              <w:tc>
                <w:tcPr>
                  <w:tcW w:w="3575" w:type="dxa"/>
                  <w:shd w:val="clear" w:color="auto" w:fill="auto"/>
                </w:tcPr>
                <w:p w14:paraId="3BB1A4B9" w14:textId="77777777" w:rsidR="002F4FCC" w:rsidRPr="002D49D1" w:rsidRDefault="002F4FCC" w:rsidP="00257641">
                  <w:pPr>
                    <w:rPr>
                      <w:szCs w:val="22"/>
                    </w:rPr>
                  </w:pPr>
                </w:p>
              </w:tc>
              <w:tc>
                <w:tcPr>
                  <w:tcW w:w="2122" w:type="dxa"/>
                  <w:shd w:val="clear" w:color="auto" w:fill="auto"/>
                </w:tcPr>
                <w:p w14:paraId="2909167D" w14:textId="77777777" w:rsidR="002F4FCC" w:rsidRPr="002D49D1" w:rsidRDefault="002F4FCC" w:rsidP="00257641">
                  <w:pPr>
                    <w:rPr>
                      <w:szCs w:val="22"/>
                    </w:rPr>
                  </w:pPr>
                </w:p>
              </w:tc>
            </w:tr>
            <w:tr w:rsidR="002668CC" w:rsidRPr="002D49D1" w14:paraId="296508AA" w14:textId="77777777" w:rsidTr="002D49D1">
              <w:trPr>
                <w:trHeight w:val="70"/>
                <w:jc w:val="center"/>
              </w:trPr>
              <w:tc>
                <w:tcPr>
                  <w:tcW w:w="3079" w:type="dxa"/>
                  <w:shd w:val="clear" w:color="auto" w:fill="auto"/>
                </w:tcPr>
                <w:p w14:paraId="7B02A775" w14:textId="77777777" w:rsidR="002F4FCC" w:rsidRPr="002D49D1" w:rsidRDefault="002F4FCC" w:rsidP="00257641">
                  <w:pPr>
                    <w:rPr>
                      <w:szCs w:val="22"/>
                    </w:rPr>
                  </w:pPr>
                </w:p>
              </w:tc>
              <w:tc>
                <w:tcPr>
                  <w:tcW w:w="3575" w:type="dxa"/>
                  <w:shd w:val="clear" w:color="auto" w:fill="auto"/>
                </w:tcPr>
                <w:p w14:paraId="2FDF2206" w14:textId="77777777" w:rsidR="002F4FCC" w:rsidRPr="002D49D1" w:rsidRDefault="002F4FCC" w:rsidP="00257641">
                  <w:pPr>
                    <w:rPr>
                      <w:szCs w:val="22"/>
                    </w:rPr>
                  </w:pPr>
                </w:p>
              </w:tc>
              <w:tc>
                <w:tcPr>
                  <w:tcW w:w="2122" w:type="dxa"/>
                  <w:shd w:val="clear" w:color="auto" w:fill="auto"/>
                </w:tcPr>
                <w:p w14:paraId="1E291706" w14:textId="77777777" w:rsidR="002F4FCC" w:rsidRPr="002D49D1" w:rsidRDefault="002F4FCC" w:rsidP="00257641">
                  <w:pPr>
                    <w:rPr>
                      <w:szCs w:val="22"/>
                    </w:rPr>
                  </w:pPr>
                </w:p>
              </w:tc>
            </w:tr>
            <w:tr w:rsidR="002F4FCC" w:rsidRPr="002D49D1" w14:paraId="1CF04361" w14:textId="77777777" w:rsidTr="002D49D1">
              <w:trPr>
                <w:trHeight w:val="70"/>
                <w:jc w:val="center"/>
              </w:trPr>
              <w:tc>
                <w:tcPr>
                  <w:tcW w:w="3079" w:type="dxa"/>
                  <w:shd w:val="clear" w:color="auto" w:fill="auto"/>
                </w:tcPr>
                <w:p w14:paraId="240A202D" w14:textId="77777777" w:rsidR="002F4FCC" w:rsidRPr="002D49D1" w:rsidRDefault="002F4FCC" w:rsidP="00257641">
                  <w:pPr>
                    <w:rPr>
                      <w:szCs w:val="22"/>
                    </w:rPr>
                  </w:pPr>
                </w:p>
              </w:tc>
              <w:tc>
                <w:tcPr>
                  <w:tcW w:w="3575" w:type="dxa"/>
                  <w:shd w:val="clear" w:color="auto" w:fill="auto"/>
                </w:tcPr>
                <w:p w14:paraId="33811D97" w14:textId="77777777" w:rsidR="002F4FCC" w:rsidRPr="002D49D1" w:rsidRDefault="002F4FCC" w:rsidP="00257641">
                  <w:pPr>
                    <w:rPr>
                      <w:szCs w:val="22"/>
                    </w:rPr>
                  </w:pPr>
                </w:p>
              </w:tc>
              <w:tc>
                <w:tcPr>
                  <w:tcW w:w="2122" w:type="dxa"/>
                  <w:shd w:val="clear" w:color="auto" w:fill="auto"/>
                </w:tcPr>
                <w:p w14:paraId="7B58E904" w14:textId="77777777" w:rsidR="002F4FCC" w:rsidRPr="002D49D1" w:rsidRDefault="002F4FCC" w:rsidP="00257641">
                  <w:pPr>
                    <w:rPr>
                      <w:szCs w:val="22"/>
                    </w:rPr>
                  </w:pPr>
                </w:p>
              </w:tc>
            </w:tr>
            <w:tr w:rsidR="002F4FCC" w:rsidRPr="002D49D1" w14:paraId="7ADAAE81" w14:textId="77777777" w:rsidTr="002D49D1">
              <w:trPr>
                <w:trHeight w:val="70"/>
                <w:jc w:val="center"/>
              </w:trPr>
              <w:tc>
                <w:tcPr>
                  <w:tcW w:w="3079" w:type="dxa"/>
                  <w:shd w:val="clear" w:color="auto" w:fill="auto"/>
                </w:tcPr>
                <w:p w14:paraId="48559CB5" w14:textId="77777777" w:rsidR="002F4FCC" w:rsidRPr="002D49D1" w:rsidRDefault="002F4FCC" w:rsidP="00257641">
                  <w:pPr>
                    <w:rPr>
                      <w:szCs w:val="22"/>
                    </w:rPr>
                  </w:pPr>
                </w:p>
              </w:tc>
              <w:tc>
                <w:tcPr>
                  <w:tcW w:w="3575" w:type="dxa"/>
                  <w:shd w:val="clear" w:color="auto" w:fill="auto"/>
                </w:tcPr>
                <w:p w14:paraId="176995A3" w14:textId="77777777" w:rsidR="002F4FCC" w:rsidRPr="002D49D1" w:rsidRDefault="002F4FCC" w:rsidP="00257641">
                  <w:pPr>
                    <w:rPr>
                      <w:szCs w:val="22"/>
                    </w:rPr>
                  </w:pPr>
                </w:p>
              </w:tc>
              <w:tc>
                <w:tcPr>
                  <w:tcW w:w="2122" w:type="dxa"/>
                  <w:shd w:val="clear" w:color="auto" w:fill="auto"/>
                </w:tcPr>
                <w:p w14:paraId="489E4570" w14:textId="77777777" w:rsidR="002F4FCC" w:rsidRPr="002D49D1" w:rsidRDefault="002F4FCC" w:rsidP="00257641">
                  <w:pPr>
                    <w:rPr>
                      <w:szCs w:val="22"/>
                    </w:rPr>
                  </w:pPr>
                </w:p>
              </w:tc>
            </w:tr>
            <w:tr w:rsidR="002F4FCC" w:rsidRPr="002D49D1" w14:paraId="79AA3D3A" w14:textId="77777777" w:rsidTr="002D49D1">
              <w:trPr>
                <w:trHeight w:val="70"/>
                <w:jc w:val="center"/>
              </w:trPr>
              <w:tc>
                <w:tcPr>
                  <w:tcW w:w="3079" w:type="dxa"/>
                  <w:shd w:val="clear" w:color="auto" w:fill="auto"/>
                </w:tcPr>
                <w:p w14:paraId="32657C61" w14:textId="77777777" w:rsidR="002F4FCC" w:rsidRPr="002D49D1" w:rsidRDefault="002F4FCC" w:rsidP="00257641">
                  <w:pPr>
                    <w:rPr>
                      <w:szCs w:val="22"/>
                    </w:rPr>
                  </w:pPr>
                </w:p>
              </w:tc>
              <w:tc>
                <w:tcPr>
                  <w:tcW w:w="3575" w:type="dxa"/>
                  <w:shd w:val="clear" w:color="auto" w:fill="auto"/>
                </w:tcPr>
                <w:p w14:paraId="7A617644" w14:textId="77777777" w:rsidR="002F4FCC" w:rsidRPr="002D49D1" w:rsidRDefault="002F4FCC" w:rsidP="00257641">
                  <w:pPr>
                    <w:rPr>
                      <w:szCs w:val="22"/>
                    </w:rPr>
                  </w:pPr>
                </w:p>
              </w:tc>
              <w:tc>
                <w:tcPr>
                  <w:tcW w:w="2122" w:type="dxa"/>
                  <w:shd w:val="clear" w:color="auto" w:fill="auto"/>
                </w:tcPr>
                <w:p w14:paraId="08031787" w14:textId="77777777" w:rsidR="002F4FCC" w:rsidRPr="002D49D1" w:rsidRDefault="002F4FCC" w:rsidP="00257641">
                  <w:pPr>
                    <w:rPr>
                      <w:szCs w:val="22"/>
                    </w:rPr>
                  </w:pPr>
                </w:p>
              </w:tc>
            </w:tr>
          </w:tbl>
          <w:p w14:paraId="12FBDA33" w14:textId="77777777" w:rsidR="002F4FCC" w:rsidRPr="002D49D1" w:rsidRDefault="002F4FCC" w:rsidP="00257641">
            <w:pPr>
              <w:rPr>
                <w:szCs w:val="22"/>
              </w:rPr>
            </w:pPr>
          </w:p>
          <w:p w14:paraId="62EEA161" w14:textId="77777777" w:rsidR="00A545F2" w:rsidRPr="002D49D1" w:rsidRDefault="00A545F2" w:rsidP="00257641">
            <w:pPr>
              <w:rPr>
                <w:szCs w:val="22"/>
              </w:rPr>
            </w:pPr>
          </w:p>
        </w:tc>
      </w:tr>
      <w:tr w:rsidR="00F12FC8" w14:paraId="707B74F5" w14:textId="77777777" w:rsidTr="002D49D1">
        <w:trPr>
          <w:trHeight w:val="320"/>
          <w:jc w:val="center"/>
        </w:trPr>
        <w:tc>
          <w:tcPr>
            <w:tcW w:w="9286" w:type="dxa"/>
            <w:shd w:val="clear" w:color="auto" w:fill="BFBFBF"/>
          </w:tcPr>
          <w:p w14:paraId="0091B28D" w14:textId="77777777" w:rsidR="00F12FC8" w:rsidRPr="002D49D1" w:rsidRDefault="004D2D19" w:rsidP="00257641">
            <w:pPr>
              <w:rPr>
                <w:b/>
                <w:szCs w:val="22"/>
              </w:rPr>
            </w:pPr>
            <w:r w:rsidRPr="002D49D1">
              <w:rPr>
                <w:b/>
                <w:szCs w:val="22"/>
              </w:rPr>
              <w:t xml:space="preserve">DESCRIPTION OF MONITORING ACTIVITIES </w:t>
            </w:r>
          </w:p>
        </w:tc>
      </w:tr>
      <w:tr w:rsidR="00F12FC8" w14:paraId="15AF1908" w14:textId="77777777" w:rsidTr="002D49D1">
        <w:trPr>
          <w:trHeight w:val="320"/>
          <w:jc w:val="center"/>
        </w:trPr>
        <w:tc>
          <w:tcPr>
            <w:tcW w:w="9286" w:type="dxa"/>
            <w:shd w:val="clear" w:color="auto" w:fill="auto"/>
          </w:tcPr>
          <w:p w14:paraId="4B42BB83" w14:textId="77777777" w:rsidR="00F12FC8" w:rsidRPr="002D49D1" w:rsidRDefault="00F12FC8" w:rsidP="00257641">
            <w:pPr>
              <w:rPr>
                <w:szCs w:val="22"/>
              </w:rPr>
            </w:pPr>
          </w:p>
          <w:p w14:paraId="5A20742B" w14:textId="77777777" w:rsidR="0020514C" w:rsidRPr="002D49D1" w:rsidRDefault="0020514C" w:rsidP="00257641">
            <w:pPr>
              <w:rPr>
                <w:szCs w:val="22"/>
              </w:rPr>
            </w:pPr>
          </w:p>
          <w:p w14:paraId="2A157ED2" w14:textId="77777777" w:rsidR="0020514C" w:rsidRPr="002D49D1" w:rsidRDefault="0020514C" w:rsidP="00257641">
            <w:pPr>
              <w:rPr>
                <w:szCs w:val="22"/>
              </w:rPr>
            </w:pPr>
          </w:p>
        </w:tc>
      </w:tr>
      <w:tr w:rsidR="00F12FC8" w14:paraId="24393EC1" w14:textId="77777777" w:rsidTr="002D49D1">
        <w:trPr>
          <w:trHeight w:val="320"/>
          <w:jc w:val="center"/>
        </w:trPr>
        <w:tc>
          <w:tcPr>
            <w:tcW w:w="9286" w:type="dxa"/>
            <w:shd w:val="clear" w:color="auto" w:fill="BFBFBF"/>
          </w:tcPr>
          <w:p w14:paraId="795FFA1B" w14:textId="77777777" w:rsidR="00F12FC8" w:rsidRPr="002D49D1" w:rsidRDefault="004D2D19" w:rsidP="00257641">
            <w:pPr>
              <w:rPr>
                <w:b/>
                <w:szCs w:val="22"/>
              </w:rPr>
            </w:pPr>
            <w:r w:rsidRPr="002D49D1">
              <w:rPr>
                <w:b/>
                <w:szCs w:val="22"/>
              </w:rPr>
              <w:t xml:space="preserve">EVALUATION OF EFFECTIVENESS OF PREVIOUS </w:t>
            </w:r>
            <w:r w:rsidR="009B19C2">
              <w:rPr>
                <w:b/>
                <w:szCs w:val="22"/>
              </w:rPr>
              <w:t xml:space="preserve">CONTRACT </w:t>
            </w:r>
            <w:r w:rsidRPr="002D49D1">
              <w:rPr>
                <w:b/>
                <w:szCs w:val="22"/>
              </w:rPr>
              <w:t>YEAR</w:t>
            </w:r>
          </w:p>
          <w:p w14:paraId="720AD278" w14:textId="77777777" w:rsidR="00934682" w:rsidRPr="002D49D1" w:rsidRDefault="00934682" w:rsidP="00257641">
            <w:pPr>
              <w:rPr>
                <w:b/>
                <w:sz w:val="20"/>
              </w:rPr>
            </w:pPr>
            <w:r w:rsidRPr="002D49D1">
              <w:rPr>
                <w:sz w:val="20"/>
              </w:rPr>
              <w:t>(Please provide performance reports)</w:t>
            </w:r>
          </w:p>
        </w:tc>
      </w:tr>
      <w:tr w:rsidR="00F12FC8" w14:paraId="11E899C4" w14:textId="77777777" w:rsidTr="002D49D1">
        <w:trPr>
          <w:trHeight w:val="320"/>
          <w:jc w:val="center"/>
        </w:trPr>
        <w:tc>
          <w:tcPr>
            <w:tcW w:w="9286" w:type="dxa"/>
            <w:shd w:val="clear" w:color="auto" w:fill="auto"/>
          </w:tcPr>
          <w:p w14:paraId="43294103" w14:textId="77777777" w:rsidR="0020514C" w:rsidRPr="002D49D1" w:rsidRDefault="0020514C" w:rsidP="00257641">
            <w:pPr>
              <w:rPr>
                <w:szCs w:val="22"/>
              </w:rPr>
            </w:pPr>
          </w:p>
          <w:p w14:paraId="20AFF432" w14:textId="77777777" w:rsidR="0020514C" w:rsidRPr="002D49D1" w:rsidRDefault="0020514C" w:rsidP="00257641">
            <w:pPr>
              <w:rPr>
                <w:szCs w:val="22"/>
              </w:rPr>
            </w:pPr>
          </w:p>
          <w:p w14:paraId="1937EF6B" w14:textId="77777777" w:rsidR="0020514C" w:rsidRPr="002D49D1" w:rsidRDefault="0020514C" w:rsidP="00257641">
            <w:pPr>
              <w:rPr>
                <w:szCs w:val="22"/>
              </w:rPr>
            </w:pPr>
          </w:p>
        </w:tc>
      </w:tr>
      <w:tr w:rsidR="00F12FC8" w14:paraId="7C801C85" w14:textId="77777777" w:rsidTr="002D49D1">
        <w:trPr>
          <w:trHeight w:val="320"/>
          <w:jc w:val="center"/>
        </w:trPr>
        <w:tc>
          <w:tcPr>
            <w:tcW w:w="9286" w:type="dxa"/>
            <w:shd w:val="clear" w:color="auto" w:fill="BFBFBF"/>
          </w:tcPr>
          <w:p w14:paraId="235FA908" w14:textId="77777777" w:rsidR="00F12FC8" w:rsidRPr="002D49D1" w:rsidRDefault="004D2D19" w:rsidP="00257641">
            <w:pPr>
              <w:rPr>
                <w:szCs w:val="22"/>
              </w:rPr>
            </w:pPr>
            <w:r w:rsidRPr="002D49D1">
              <w:rPr>
                <w:b/>
                <w:szCs w:val="22"/>
              </w:rPr>
              <w:t>SUMMARY</w:t>
            </w:r>
            <w:r w:rsidR="00F12FC8" w:rsidRPr="002D49D1">
              <w:rPr>
                <w:szCs w:val="22"/>
              </w:rPr>
              <w:t xml:space="preserve"> </w:t>
            </w:r>
          </w:p>
          <w:p w14:paraId="27E44D8F" w14:textId="77777777" w:rsidR="00A1528D" w:rsidRPr="002D49D1" w:rsidRDefault="00A545F2" w:rsidP="00257641">
            <w:pPr>
              <w:rPr>
                <w:sz w:val="20"/>
              </w:rPr>
            </w:pPr>
            <w:r w:rsidRPr="002D49D1">
              <w:rPr>
                <w:sz w:val="20"/>
              </w:rPr>
              <w:t>(Please describe lessons</w:t>
            </w:r>
            <w:r w:rsidR="00A1528D" w:rsidRPr="002D49D1">
              <w:rPr>
                <w:sz w:val="20"/>
              </w:rPr>
              <w:t xml:space="preserve"> learned and any implemented changes)</w:t>
            </w:r>
          </w:p>
        </w:tc>
      </w:tr>
      <w:tr w:rsidR="00F12FC8" w14:paraId="21D01ECD" w14:textId="77777777" w:rsidTr="002D49D1">
        <w:trPr>
          <w:trHeight w:val="320"/>
          <w:jc w:val="center"/>
        </w:trPr>
        <w:tc>
          <w:tcPr>
            <w:tcW w:w="9286" w:type="dxa"/>
            <w:shd w:val="clear" w:color="auto" w:fill="auto"/>
          </w:tcPr>
          <w:p w14:paraId="59D315A6" w14:textId="77777777" w:rsidR="00F12FC8" w:rsidRPr="002D49D1" w:rsidRDefault="00F12FC8" w:rsidP="00257641">
            <w:pPr>
              <w:rPr>
                <w:szCs w:val="22"/>
              </w:rPr>
            </w:pPr>
          </w:p>
          <w:p w14:paraId="11F25A8C" w14:textId="77777777" w:rsidR="00A1528D" w:rsidRPr="002D49D1" w:rsidRDefault="00A1528D" w:rsidP="00257641">
            <w:pPr>
              <w:rPr>
                <w:szCs w:val="22"/>
              </w:rPr>
            </w:pPr>
          </w:p>
          <w:p w14:paraId="19886D27" w14:textId="77777777" w:rsidR="00A1528D" w:rsidRPr="002D49D1" w:rsidRDefault="00A1528D" w:rsidP="00257641">
            <w:pPr>
              <w:rPr>
                <w:szCs w:val="22"/>
              </w:rPr>
            </w:pPr>
          </w:p>
        </w:tc>
      </w:tr>
      <w:tr w:rsidR="00696048" w14:paraId="0A9D6B03" w14:textId="77777777" w:rsidTr="002D49D1">
        <w:trPr>
          <w:trHeight w:val="320"/>
          <w:jc w:val="center"/>
        </w:trPr>
        <w:tc>
          <w:tcPr>
            <w:tcW w:w="9286" w:type="dxa"/>
            <w:shd w:val="clear" w:color="auto" w:fill="BFBFBF"/>
          </w:tcPr>
          <w:p w14:paraId="483A69B3" w14:textId="77777777" w:rsidR="00696048" w:rsidRPr="002D49D1" w:rsidRDefault="00696048" w:rsidP="00257641">
            <w:pPr>
              <w:rPr>
                <w:b/>
                <w:szCs w:val="22"/>
              </w:rPr>
            </w:pPr>
            <w:r w:rsidRPr="002D49D1">
              <w:rPr>
                <w:b/>
                <w:szCs w:val="22"/>
              </w:rPr>
              <w:lastRenderedPageBreak/>
              <w:t xml:space="preserve">BARRIERS </w:t>
            </w:r>
          </w:p>
          <w:p w14:paraId="03F5DFF5" w14:textId="77777777" w:rsidR="00696048" w:rsidRPr="002D49D1" w:rsidRDefault="00A545F2" w:rsidP="00257641">
            <w:pPr>
              <w:rPr>
                <w:sz w:val="20"/>
              </w:rPr>
            </w:pPr>
            <w:r w:rsidRPr="002D49D1">
              <w:rPr>
                <w:sz w:val="20"/>
              </w:rPr>
              <w:t>(Please describe any s</w:t>
            </w:r>
            <w:r w:rsidR="00696048" w:rsidRPr="002D49D1">
              <w:rPr>
                <w:sz w:val="20"/>
              </w:rPr>
              <w:t>ignificant barriers faced and strategies developed to overcome these barriers)</w:t>
            </w:r>
          </w:p>
        </w:tc>
      </w:tr>
      <w:tr w:rsidR="00696048" w14:paraId="3C0B69F1" w14:textId="77777777" w:rsidTr="002D49D1">
        <w:trPr>
          <w:trHeight w:val="320"/>
          <w:jc w:val="center"/>
        </w:trPr>
        <w:tc>
          <w:tcPr>
            <w:tcW w:w="9286" w:type="dxa"/>
            <w:shd w:val="clear" w:color="auto" w:fill="auto"/>
          </w:tcPr>
          <w:p w14:paraId="541EFD9F" w14:textId="77777777" w:rsidR="00696048" w:rsidRPr="002D49D1" w:rsidRDefault="00696048" w:rsidP="00257641">
            <w:pPr>
              <w:rPr>
                <w:b/>
                <w:szCs w:val="22"/>
              </w:rPr>
            </w:pPr>
          </w:p>
          <w:p w14:paraId="43F4AB0E" w14:textId="77777777" w:rsidR="00696048" w:rsidRPr="002D49D1" w:rsidRDefault="00696048" w:rsidP="00257641">
            <w:pPr>
              <w:rPr>
                <w:b/>
                <w:szCs w:val="22"/>
              </w:rPr>
            </w:pPr>
          </w:p>
          <w:p w14:paraId="1C532050" w14:textId="77777777" w:rsidR="00696048" w:rsidRPr="002D49D1" w:rsidRDefault="00696048" w:rsidP="00257641">
            <w:pPr>
              <w:rPr>
                <w:b/>
                <w:szCs w:val="22"/>
              </w:rPr>
            </w:pPr>
          </w:p>
        </w:tc>
      </w:tr>
      <w:tr w:rsidR="00F12FC8" w14:paraId="2560E42A" w14:textId="77777777" w:rsidTr="002D49D1">
        <w:trPr>
          <w:trHeight w:val="320"/>
          <w:jc w:val="center"/>
        </w:trPr>
        <w:tc>
          <w:tcPr>
            <w:tcW w:w="9286" w:type="dxa"/>
            <w:shd w:val="clear" w:color="auto" w:fill="BFBFBF"/>
          </w:tcPr>
          <w:p w14:paraId="1CEC03F7" w14:textId="77777777" w:rsidR="00F12FC8" w:rsidRPr="002D49D1" w:rsidRDefault="004D2D19" w:rsidP="00257641">
            <w:pPr>
              <w:rPr>
                <w:b/>
                <w:szCs w:val="22"/>
              </w:rPr>
            </w:pPr>
            <w:r w:rsidRPr="002D49D1">
              <w:rPr>
                <w:b/>
                <w:szCs w:val="22"/>
              </w:rPr>
              <w:t xml:space="preserve">PLANS FOR NEXT </w:t>
            </w:r>
            <w:r w:rsidR="009B19C2">
              <w:rPr>
                <w:b/>
                <w:szCs w:val="22"/>
              </w:rPr>
              <w:t xml:space="preserve">CONTRACT </w:t>
            </w:r>
            <w:r w:rsidRPr="002D49D1">
              <w:rPr>
                <w:b/>
                <w:szCs w:val="22"/>
              </w:rPr>
              <w:t>YEAR</w:t>
            </w:r>
          </w:p>
        </w:tc>
      </w:tr>
      <w:tr w:rsidR="00F12FC8" w14:paraId="068A7A16" w14:textId="77777777" w:rsidTr="002D49D1">
        <w:trPr>
          <w:trHeight w:val="320"/>
          <w:jc w:val="center"/>
        </w:trPr>
        <w:tc>
          <w:tcPr>
            <w:tcW w:w="9286" w:type="dxa"/>
            <w:shd w:val="clear" w:color="auto" w:fill="auto"/>
          </w:tcPr>
          <w:p w14:paraId="111DD309" w14:textId="77777777" w:rsidR="0020514C" w:rsidRPr="002D49D1" w:rsidRDefault="0020514C" w:rsidP="00257641">
            <w:pPr>
              <w:rPr>
                <w:szCs w:val="22"/>
              </w:rPr>
            </w:pPr>
          </w:p>
          <w:p w14:paraId="4035C774" w14:textId="77777777" w:rsidR="00696048" w:rsidRPr="002D49D1" w:rsidRDefault="00696048" w:rsidP="00257641">
            <w:pPr>
              <w:rPr>
                <w:szCs w:val="22"/>
              </w:rPr>
            </w:pPr>
          </w:p>
          <w:p w14:paraId="6A31760B" w14:textId="77777777" w:rsidR="0020514C" w:rsidRPr="002D49D1" w:rsidRDefault="0020514C" w:rsidP="00257641">
            <w:pPr>
              <w:rPr>
                <w:szCs w:val="22"/>
              </w:rPr>
            </w:pPr>
          </w:p>
        </w:tc>
      </w:tr>
    </w:tbl>
    <w:p w14:paraId="097A5BA9" w14:textId="77777777" w:rsidR="00726E0D" w:rsidRDefault="00726E0D" w:rsidP="00257641"/>
    <w:p w14:paraId="3E584CFD" w14:textId="77777777" w:rsidR="00912CC7" w:rsidRDefault="00912CC7" w:rsidP="00257641"/>
    <w:p w14:paraId="087CCBF6" w14:textId="77777777" w:rsidR="00CC42FE" w:rsidRDefault="00CC42FE" w:rsidP="00257641">
      <w:pPr>
        <w:sectPr w:rsidR="00CC42FE" w:rsidSect="00CA0C0E">
          <w:footerReference w:type="default" r:id="rId37"/>
          <w:footerReference w:type="first" r:id="rId38"/>
          <w:pgSz w:w="12240" w:h="15840" w:code="1"/>
          <w:pgMar w:top="1440" w:right="1440" w:bottom="1440" w:left="1440" w:header="720" w:footer="720" w:gutter="0"/>
          <w:pgNumType w:start="1" w:chapStyle="1"/>
          <w:cols w:space="720"/>
          <w:titlePg/>
          <w:docGrid w:linePitch="299"/>
        </w:sectPr>
      </w:pPr>
    </w:p>
    <w:p w14:paraId="392290A6" w14:textId="3940C89D" w:rsidR="002E372C" w:rsidRPr="006E61D4" w:rsidRDefault="00DD322A" w:rsidP="00257641">
      <w:pPr>
        <w:pStyle w:val="Heading1"/>
      </w:pPr>
      <w:bookmarkStart w:id="265" w:name="_Toc318186092"/>
      <w:bookmarkStart w:id="266" w:name="_Toc8129108"/>
      <w:r w:rsidRPr="000A200D">
        <w:lastRenderedPageBreak/>
        <w:t xml:space="preserve">APPENDIX I: </w:t>
      </w:r>
      <w:r w:rsidR="002E372C" w:rsidRPr="006E61D4">
        <w:t>Socially Necessary Crimes and Waivers Protocol</w:t>
      </w:r>
      <w:bookmarkEnd w:id="265"/>
      <w:bookmarkEnd w:id="266"/>
    </w:p>
    <w:p w14:paraId="7E1409EA" w14:textId="0386F261" w:rsidR="002E372C" w:rsidRPr="006E61D4" w:rsidRDefault="002E372C" w:rsidP="00257641">
      <w:pPr>
        <w:pStyle w:val="ListParagraph"/>
        <w:spacing w:line="240" w:lineRule="auto"/>
        <w:ind w:left="0"/>
        <w:jc w:val="center"/>
        <w:rPr>
          <w:rFonts w:ascii="Times New Roman" w:hAnsi="Times New Roman"/>
          <w:b/>
          <w:sz w:val="22"/>
          <w:u w:val="single"/>
        </w:rPr>
      </w:pPr>
      <w:r w:rsidRPr="006E61D4">
        <w:rPr>
          <w:rFonts w:ascii="Times New Roman" w:hAnsi="Times New Roman"/>
          <w:b/>
          <w:sz w:val="22"/>
          <w:u w:val="single"/>
        </w:rPr>
        <w:t>Effective March 1, 2010</w:t>
      </w:r>
    </w:p>
    <w:p w14:paraId="61CD5F80" w14:textId="6B0D322D" w:rsidR="002E372C" w:rsidRPr="006E61D4" w:rsidRDefault="002E372C" w:rsidP="00257641">
      <w:pPr>
        <w:pStyle w:val="ListParagraph"/>
        <w:spacing w:line="240" w:lineRule="auto"/>
        <w:ind w:left="1260"/>
        <w:rPr>
          <w:rFonts w:ascii="Times New Roman" w:hAnsi="Times New Roman"/>
          <w:sz w:val="22"/>
        </w:rPr>
      </w:pPr>
    </w:p>
    <w:p w14:paraId="1ED59754" w14:textId="7A070082" w:rsidR="002E372C" w:rsidRPr="00D65C25" w:rsidRDefault="002E372C" w:rsidP="00257641">
      <w:pPr>
        <w:pStyle w:val="ListParagraph"/>
        <w:numPr>
          <w:ilvl w:val="0"/>
          <w:numId w:val="854"/>
        </w:numPr>
        <w:spacing w:after="0" w:line="240" w:lineRule="auto"/>
        <w:ind w:left="540" w:hanging="540"/>
        <w:rPr>
          <w:rFonts w:ascii="Times New Roman" w:hAnsi="Times New Roman"/>
          <w:sz w:val="22"/>
        </w:rPr>
      </w:pPr>
      <w:r w:rsidRPr="00D65C25">
        <w:rPr>
          <w:rFonts w:ascii="Times New Roman" w:hAnsi="Times New Roman"/>
          <w:sz w:val="22"/>
        </w:rPr>
        <w:t xml:space="preserve">Employees who work for Providers of Socially Necessary Services </w:t>
      </w:r>
      <w:r w:rsidR="00B640BD">
        <w:rPr>
          <w:rFonts w:ascii="Times New Roman" w:hAnsi="Times New Roman"/>
          <w:sz w:val="22"/>
        </w:rPr>
        <w:t>must</w:t>
      </w:r>
      <w:r w:rsidR="00B640BD" w:rsidRPr="00D65C25">
        <w:rPr>
          <w:rFonts w:ascii="Times New Roman" w:hAnsi="Times New Roman"/>
          <w:sz w:val="22"/>
        </w:rPr>
        <w:t xml:space="preserve"> </w:t>
      </w:r>
      <w:r w:rsidRPr="00D65C25">
        <w:rPr>
          <w:rFonts w:ascii="Times New Roman" w:hAnsi="Times New Roman"/>
          <w:sz w:val="22"/>
        </w:rPr>
        <w:t xml:space="preserve">possess no child or adult maltreatment substantiations, and </w:t>
      </w:r>
      <w:r w:rsidR="00B640BD">
        <w:rPr>
          <w:rFonts w:ascii="Times New Roman" w:hAnsi="Times New Roman"/>
          <w:sz w:val="22"/>
        </w:rPr>
        <w:t>must</w:t>
      </w:r>
      <w:r w:rsidR="00B640BD" w:rsidRPr="00D65C25">
        <w:rPr>
          <w:rFonts w:ascii="Times New Roman" w:hAnsi="Times New Roman"/>
          <w:sz w:val="22"/>
        </w:rPr>
        <w:t xml:space="preserve"> </w:t>
      </w:r>
      <w:r w:rsidRPr="00D65C25">
        <w:rPr>
          <w:rFonts w:ascii="Times New Roman" w:hAnsi="Times New Roman"/>
          <w:sz w:val="22"/>
        </w:rPr>
        <w:t xml:space="preserve">have no criminal convictions in order to be eligible for employment unless a waiver is granted. Waivers may be requested when any of the following conditions apply: </w:t>
      </w:r>
    </w:p>
    <w:p w14:paraId="031B4597" w14:textId="727F817E" w:rsidR="002E372C" w:rsidRPr="00D65C25" w:rsidRDefault="002E372C" w:rsidP="00257641">
      <w:pPr>
        <w:pStyle w:val="ListParagraph"/>
        <w:numPr>
          <w:ilvl w:val="0"/>
          <w:numId w:val="855"/>
        </w:numPr>
        <w:spacing w:after="0" w:line="240" w:lineRule="auto"/>
        <w:ind w:left="900"/>
        <w:rPr>
          <w:rFonts w:ascii="Times New Roman" w:hAnsi="Times New Roman"/>
          <w:sz w:val="22"/>
        </w:rPr>
      </w:pPr>
      <w:r w:rsidRPr="00D65C25">
        <w:rPr>
          <w:rFonts w:ascii="Times New Roman" w:hAnsi="Times New Roman"/>
          <w:sz w:val="22"/>
        </w:rPr>
        <w:t xml:space="preserve">Any convictions of crimes of deceit or dishonestly are at least </w:t>
      </w:r>
      <w:r w:rsidR="00D65C25" w:rsidRPr="00D65C25">
        <w:rPr>
          <w:rFonts w:ascii="Times New Roman" w:hAnsi="Times New Roman"/>
          <w:sz w:val="22"/>
        </w:rPr>
        <w:t>ten (</w:t>
      </w:r>
      <w:r w:rsidRPr="00D65C25">
        <w:rPr>
          <w:rFonts w:ascii="Times New Roman" w:hAnsi="Times New Roman"/>
          <w:sz w:val="22"/>
        </w:rPr>
        <w:t>10</w:t>
      </w:r>
      <w:r w:rsidR="00D65C25" w:rsidRPr="00D65C25">
        <w:rPr>
          <w:rFonts w:ascii="Times New Roman" w:hAnsi="Times New Roman"/>
          <w:sz w:val="22"/>
        </w:rPr>
        <w:t>)</w:t>
      </w:r>
      <w:r w:rsidRPr="00D65C25">
        <w:rPr>
          <w:rFonts w:ascii="Times New Roman" w:hAnsi="Times New Roman"/>
          <w:sz w:val="22"/>
        </w:rPr>
        <w:t xml:space="preserve"> years old (i.e., forgery, bad checks);</w:t>
      </w:r>
    </w:p>
    <w:p w14:paraId="48495DB0" w14:textId="7BF94665" w:rsidR="002E372C" w:rsidRPr="00D65C25" w:rsidRDefault="002E372C" w:rsidP="00257641">
      <w:pPr>
        <w:pStyle w:val="ListParagraph"/>
        <w:numPr>
          <w:ilvl w:val="0"/>
          <w:numId w:val="855"/>
        </w:numPr>
        <w:spacing w:after="0" w:line="240" w:lineRule="auto"/>
        <w:ind w:left="900"/>
        <w:rPr>
          <w:rFonts w:ascii="Times New Roman" w:hAnsi="Times New Roman"/>
          <w:sz w:val="22"/>
        </w:rPr>
      </w:pPr>
      <w:r w:rsidRPr="00D65C25">
        <w:rPr>
          <w:rFonts w:ascii="Times New Roman" w:hAnsi="Times New Roman"/>
          <w:sz w:val="22"/>
        </w:rPr>
        <w:t xml:space="preserve">DUI convictions must be at least five </w:t>
      </w:r>
      <w:r w:rsidR="000A200D">
        <w:rPr>
          <w:rFonts w:ascii="Times New Roman" w:hAnsi="Times New Roman"/>
          <w:sz w:val="22"/>
        </w:rPr>
        <w:t xml:space="preserve">(5) </w:t>
      </w:r>
      <w:r w:rsidRPr="00D65C25">
        <w:rPr>
          <w:rFonts w:ascii="Times New Roman" w:hAnsi="Times New Roman"/>
          <w:sz w:val="22"/>
        </w:rPr>
        <w:t>years old;</w:t>
      </w:r>
    </w:p>
    <w:p w14:paraId="419C0CBF" w14:textId="178B857B" w:rsidR="002E372C" w:rsidRPr="00D65C25" w:rsidRDefault="002E372C" w:rsidP="00257641">
      <w:pPr>
        <w:pStyle w:val="ListParagraph"/>
        <w:numPr>
          <w:ilvl w:val="0"/>
          <w:numId w:val="855"/>
        </w:numPr>
        <w:spacing w:after="0" w:line="240" w:lineRule="auto"/>
        <w:ind w:left="900"/>
        <w:rPr>
          <w:rFonts w:ascii="Times New Roman" w:hAnsi="Times New Roman"/>
          <w:sz w:val="22"/>
        </w:rPr>
      </w:pPr>
      <w:r w:rsidRPr="00D65C25">
        <w:rPr>
          <w:rFonts w:ascii="Times New Roman" w:hAnsi="Times New Roman"/>
          <w:sz w:val="22"/>
        </w:rPr>
        <w:t>Any convictions involving reckless, erratic and/or dangerous driving behaviors must be at least two years old;</w:t>
      </w:r>
    </w:p>
    <w:p w14:paraId="1AA1C3C5" w14:textId="0BE8C5A6" w:rsidR="002E372C" w:rsidRPr="00D65C25" w:rsidRDefault="002E372C" w:rsidP="00257641">
      <w:pPr>
        <w:pStyle w:val="ListParagraph"/>
        <w:numPr>
          <w:ilvl w:val="0"/>
          <w:numId w:val="855"/>
        </w:numPr>
        <w:spacing w:after="0" w:line="240" w:lineRule="auto"/>
        <w:ind w:left="900"/>
        <w:rPr>
          <w:rFonts w:ascii="Times New Roman" w:hAnsi="Times New Roman"/>
          <w:sz w:val="22"/>
        </w:rPr>
      </w:pPr>
      <w:r w:rsidRPr="00D65C25">
        <w:rPr>
          <w:rFonts w:ascii="Times New Roman" w:hAnsi="Times New Roman"/>
          <w:sz w:val="22"/>
        </w:rPr>
        <w:t xml:space="preserve">Any misdemeanor drug convictions must be at least </w:t>
      </w:r>
      <w:r w:rsidR="000050AA">
        <w:rPr>
          <w:rFonts w:ascii="Times New Roman" w:hAnsi="Times New Roman"/>
          <w:sz w:val="22"/>
        </w:rPr>
        <w:t>ten</w:t>
      </w:r>
      <w:r w:rsidR="001C171B">
        <w:rPr>
          <w:rFonts w:ascii="Times New Roman" w:hAnsi="Times New Roman"/>
          <w:sz w:val="22"/>
        </w:rPr>
        <w:t xml:space="preserve"> </w:t>
      </w:r>
      <w:r w:rsidR="000050AA">
        <w:rPr>
          <w:rFonts w:ascii="Times New Roman" w:hAnsi="Times New Roman"/>
          <w:sz w:val="22"/>
        </w:rPr>
        <w:t>(</w:t>
      </w:r>
      <w:r w:rsidRPr="00D65C25">
        <w:rPr>
          <w:rFonts w:ascii="Times New Roman" w:hAnsi="Times New Roman"/>
          <w:sz w:val="22"/>
        </w:rPr>
        <w:t xml:space="preserve">10 years old; </w:t>
      </w:r>
    </w:p>
    <w:p w14:paraId="4AE021E0" w14:textId="79AB6CAA" w:rsidR="002E372C" w:rsidRPr="00D65C25" w:rsidRDefault="002E372C" w:rsidP="00257641">
      <w:pPr>
        <w:pStyle w:val="ListParagraph"/>
        <w:numPr>
          <w:ilvl w:val="0"/>
          <w:numId w:val="855"/>
        </w:numPr>
        <w:spacing w:after="0" w:line="240" w:lineRule="auto"/>
        <w:ind w:left="900"/>
        <w:rPr>
          <w:rFonts w:ascii="Times New Roman" w:hAnsi="Times New Roman"/>
          <w:sz w:val="22"/>
        </w:rPr>
      </w:pPr>
      <w:r w:rsidRPr="00D65C25">
        <w:rPr>
          <w:rFonts w:ascii="Times New Roman" w:hAnsi="Times New Roman"/>
          <w:sz w:val="22"/>
        </w:rPr>
        <w:t xml:space="preserve">An applicant </w:t>
      </w:r>
      <w:r w:rsidR="00B640BD">
        <w:rPr>
          <w:rFonts w:ascii="Times New Roman" w:hAnsi="Times New Roman"/>
          <w:sz w:val="22"/>
        </w:rPr>
        <w:t>must</w:t>
      </w:r>
      <w:r w:rsidR="00B640BD" w:rsidRPr="00D65C25">
        <w:rPr>
          <w:rFonts w:ascii="Times New Roman" w:hAnsi="Times New Roman"/>
          <w:sz w:val="22"/>
        </w:rPr>
        <w:t xml:space="preserve"> </w:t>
      </w:r>
      <w:r w:rsidRPr="00D65C25">
        <w:rPr>
          <w:rFonts w:ascii="Times New Roman" w:hAnsi="Times New Roman"/>
          <w:sz w:val="22"/>
        </w:rPr>
        <w:t>not be approved, employed, nor utilized if convicted of two</w:t>
      </w:r>
      <w:r w:rsidR="000A200D">
        <w:rPr>
          <w:rFonts w:ascii="Times New Roman" w:hAnsi="Times New Roman"/>
          <w:sz w:val="22"/>
        </w:rPr>
        <w:t xml:space="preserve"> (2)</w:t>
      </w:r>
      <w:r w:rsidRPr="00D65C25">
        <w:rPr>
          <w:rFonts w:ascii="Times New Roman" w:hAnsi="Times New Roman"/>
          <w:sz w:val="22"/>
        </w:rPr>
        <w:t xml:space="preserve"> or more misdemeanors unless the convictions are far enough in the past to indicate that behavior change has occurred and a waiver is requested and approved (1-5 years, depending on the nature of the crimes);</w:t>
      </w:r>
    </w:p>
    <w:p w14:paraId="138068E4" w14:textId="3676DC4C" w:rsidR="002E372C" w:rsidRPr="00D65C25" w:rsidRDefault="002E372C" w:rsidP="00257641">
      <w:pPr>
        <w:pStyle w:val="ListParagraph"/>
        <w:spacing w:line="240" w:lineRule="auto"/>
        <w:ind w:left="1170"/>
        <w:rPr>
          <w:rFonts w:ascii="Times New Roman" w:hAnsi="Times New Roman"/>
          <w:sz w:val="22"/>
        </w:rPr>
      </w:pPr>
    </w:p>
    <w:p w14:paraId="2719B413" w14:textId="6A5C0A10" w:rsidR="002E372C" w:rsidRPr="00D65C25" w:rsidRDefault="002E372C" w:rsidP="00257641">
      <w:pPr>
        <w:pStyle w:val="ListParagraph"/>
        <w:numPr>
          <w:ilvl w:val="0"/>
          <w:numId w:val="854"/>
        </w:numPr>
        <w:spacing w:after="0" w:line="240" w:lineRule="auto"/>
        <w:ind w:left="540" w:hanging="540"/>
        <w:rPr>
          <w:rFonts w:ascii="Times New Roman" w:hAnsi="Times New Roman"/>
          <w:sz w:val="22"/>
        </w:rPr>
      </w:pPr>
      <w:r w:rsidRPr="00D65C25">
        <w:rPr>
          <w:rFonts w:ascii="Times New Roman" w:hAnsi="Times New Roman"/>
          <w:sz w:val="22"/>
        </w:rPr>
        <w:t xml:space="preserve">Any convictions that are not eligible for waiver under the Department’s current CIB policy will not be considered for waiver under the </w:t>
      </w:r>
      <w:r w:rsidR="00D65C25" w:rsidRPr="00D65C25">
        <w:rPr>
          <w:rFonts w:ascii="Times New Roman" w:hAnsi="Times New Roman"/>
          <w:sz w:val="22"/>
        </w:rPr>
        <w:t>SNS</w:t>
      </w:r>
      <w:r w:rsidRPr="00D65C25">
        <w:rPr>
          <w:rFonts w:ascii="Times New Roman" w:hAnsi="Times New Roman"/>
          <w:sz w:val="22"/>
        </w:rPr>
        <w:t xml:space="preserve"> policy. Those crimes are as follows:</w:t>
      </w:r>
    </w:p>
    <w:p w14:paraId="201E0E80" w14:textId="0EA0AA1D"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Abduction;</w:t>
      </w:r>
    </w:p>
    <w:p w14:paraId="3C1F16EC" w14:textId="66B6E5E2"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Any violent felony crime including but not limited to rape, sexual assault, homicide, malicious wounding, unlawful wounding, felonious domestic assault or battery;</w:t>
      </w:r>
    </w:p>
    <w:p w14:paraId="0FBF2E15" w14:textId="119DF1A3"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Child/adult abuse or neglect;</w:t>
      </w:r>
    </w:p>
    <w:p w14:paraId="3457A702" w14:textId="734BA838"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Crimes which involve the exploitation of a child or an incapacitated adult;</w:t>
      </w:r>
    </w:p>
    <w:p w14:paraId="21AEC73A" w14:textId="557667E7"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Misdemeanor domestic battery or domestic assault;</w:t>
      </w:r>
    </w:p>
    <w:p w14:paraId="491DCB32" w14:textId="3A7CE920"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Felony arson;</w:t>
      </w:r>
    </w:p>
    <w:p w14:paraId="17090FD0" w14:textId="65085327"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Felony or misdemeanor crime against a child or incapacitated adult which causes harm;</w:t>
      </w:r>
    </w:p>
    <w:p w14:paraId="51B05F73" w14:textId="0B6AF9E7"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Felony drug related offenses within the last ten (10) years;</w:t>
      </w:r>
    </w:p>
    <w:p w14:paraId="764AA427" w14:textId="2201DAA0"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Felony DUI within the last ten (10) years;</w:t>
      </w:r>
    </w:p>
    <w:p w14:paraId="28886328" w14:textId="255091A8"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Hate crimes;</w:t>
      </w:r>
    </w:p>
    <w:p w14:paraId="1350BA18" w14:textId="1EF09A52"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Kidnapping;</w:t>
      </w:r>
    </w:p>
    <w:p w14:paraId="1AFFE5EA" w14:textId="0F5D0FC9"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Murder/homicide;</w:t>
      </w:r>
    </w:p>
    <w:p w14:paraId="66240883" w14:textId="00335D40"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Neglect or abuse by a caregiver;</w:t>
      </w:r>
    </w:p>
    <w:p w14:paraId="0F6786E0" w14:textId="3A56FFEE"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Pornography crimes involving children or incapacitated adults including but not limited to, use of minors in filming sexually explicit conduct, distribution and exhibition of material depicting minors in sexually explicit conduct or sending, distributing, exhibiting, possessing, displaying or transporting material by a parent, guardian or custodian, depicting a child engaged in sexually explicit conduct;</w:t>
      </w:r>
    </w:p>
    <w:p w14:paraId="11ADE777" w14:textId="36A52DBF"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Purchase or sale of a child;</w:t>
      </w:r>
    </w:p>
    <w:p w14:paraId="57957A86" w14:textId="0A9ED3EE" w:rsidR="002E372C" w:rsidRPr="00D65C25" w:rsidRDefault="002E372C" w:rsidP="00257641">
      <w:pPr>
        <w:pStyle w:val="ListParagraph"/>
        <w:numPr>
          <w:ilvl w:val="0"/>
          <w:numId w:val="1017"/>
        </w:numPr>
        <w:spacing w:after="0" w:line="240" w:lineRule="auto"/>
        <w:rPr>
          <w:rFonts w:ascii="Times New Roman" w:hAnsi="Times New Roman"/>
          <w:sz w:val="22"/>
        </w:rPr>
      </w:pPr>
      <w:r w:rsidRPr="00D65C25">
        <w:rPr>
          <w:rFonts w:ascii="Times New Roman" w:hAnsi="Times New Roman"/>
          <w:sz w:val="22"/>
        </w:rPr>
        <w:t>Sexual offenses including but not limited to incest, sexual abuse, or indecent exposure;</w:t>
      </w:r>
    </w:p>
    <w:p w14:paraId="1C8A4CA9" w14:textId="0A35199F" w:rsidR="002E372C" w:rsidRPr="00D65C25" w:rsidRDefault="002E372C" w:rsidP="00257641">
      <w:pPr>
        <w:pStyle w:val="ListParagraph"/>
        <w:spacing w:line="240" w:lineRule="auto"/>
        <w:ind w:left="1890"/>
        <w:rPr>
          <w:rFonts w:ascii="Times New Roman" w:hAnsi="Times New Roman"/>
          <w:sz w:val="22"/>
        </w:rPr>
      </w:pPr>
    </w:p>
    <w:p w14:paraId="00ABAB0B" w14:textId="3224992B" w:rsidR="002E372C" w:rsidRPr="00D65C25" w:rsidRDefault="002E372C" w:rsidP="00096A5D">
      <w:pPr>
        <w:pStyle w:val="ListParagraph"/>
        <w:numPr>
          <w:ilvl w:val="0"/>
          <w:numId w:val="854"/>
        </w:numPr>
        <w:spacing w:after="240" w:line="240" w:lineRule="auto"/>
        <w:ind w:left="547" w:hanging="547"/>
        <w:contextualSpacing w:val="0"/>
        <w:rPr>
          <w:rFonts w:ascii="Times New Roman" w:hAnsi="Times New Roman"/>
          <w:sz w:val="22"/>
        </w:rPr>
      </w:pPr>
      <w:r w:rsidRPr="00D65C25">
        <w:rPr>
          <w:rFonts w:ascii="Times New Roman" w:hAnsi="Times New Roman"/>
          <w:sz w:val="22"/>
        </w:rPr>
        <w:t>There is no forgiveness for CPS/APS maltreatment substantiations.</w:t>
      </w:r>
    </w:p>
    <w:p w14:paraId="6732270C" w14:textId="23D6F9FB" w:rsidR="002E372C" w:rsidRPr="004246B5" w:rsidRDefault="002E372C" w:rsidP="00096A5D">
      <w:pPr>
        <w:pStyle w:val="BodyText"/>
      </w:pPr>
      <w:r w:rsidRPr="00D65C25">
        <w:t xml:space="preserve">Waiver Requests-Providers wishing to employ any individual with a conviction listed in section </w:t>
      </w:r>
      <w:r w:rsidR="00D94E72">
        <w:t>1</w:t>
      </w:r>
      <w:r w:rsidRPr="00D65C25">
        <w:t xml:space="preserve"> should direct the following documents to </w:t>
      </w:r>
      <w:r w:rsidR="00D65C25" w:rsidRPr="004246B5">
        <w:t>the Bureau for Children and Families</w:t>
      </w:r>
      <w:r w:rsidRPr="004246B5">
        <w:t>, 350 Capitol Street, Room 692, Charleston, WV 25301:</w:t>
      </w:r>
    </w:p>
    <w:p w14:paraId="0A10D386" w14:textId="61B613DE" w:rsidR="002E372C" w:rsidRPr="004246B5" w:rsidRDefault="002E372C" w:rsidP="00096A5D">
      <w:pPr>
        <w:pStyle w:val="bullet1"/>
      </w:pPr>
      <w:r w:rsidRPr="004246B5">
        <w:rPr>
          <w:u w:val="single"/>
        </w:rPr>
        <w:lastRenderedPageBreak/>
        <w:t>Criminal Record Statement Form</w:t>
      </w:r>
      <w:r w:rsidRPr="004246B5">
        <w:t xml:space="preserve"> completed by the prospective employee prior to finger prints being sent to the State Police. This allows the prospective employee to explain the surrounding circumstances for any criminal activity that may appear on the CIB check;</w:t>
      </w:r>
    </w:p>
    <w:p w14:paraId="428F7F31" w14:textId="0940DFD0" w:rsidR="002E372C" w:rsidRPr="00DD322A" w:rsidRDefault="002E372C" w:rsidP="00096A5D">
      <w:pPr>
        <w:pStyle w:val="bullet1"/>
      </w:pPr>
      <w:r w:rsidRPr="00DD322A">
        <w:t>CIB results from the West Virginia State Police;</w:t>
      </w:r>
      <w:r w:rsidR="000A200D">
        <w:t xml:space="preserve"> and</w:t>
      </w:r>
    </w:p>
    <w:p w14:paraId="160F4788" w14:textId="60C5E134" w:rsidR="002E372C" w:rsidRPr="000A200D" w:rsidRDefault="002E372C" w:rsidP="00096A5D">
      <w:pPr>
        <w:pStyle w:val="bullet1"/>
        <w:spacing w:after="240"/>
      </w:pPr>
      <w:r w:rsidRPr="000A200D">
        <w:t>A statement of why the waiver should be granted that is completed by the prospective employee. If the request is being submitted by an agency, the director of the agency must submit a statement along with the waiver request indicating support.</w:t>
      </w:r>
      <w:r w:rsidR="003150A4">
        <w:t xml:space="preserve"> </w:t>
      </w:r>
      <w:r w:rsidRPr="000A200D">
        <w:t xml:space="preserve">The request will not be considered if the agency does not submit a statement of support. </w:t>
      </w:r>
    </w:p>
    <w:p w14:paraId="6337DFE1" w14:textId="77777777" w:rsidR="002E372C" w:rsidRPr="00E0738C" w:rsidRDefault="002E372C" w:rsidP="00257641">
      <w:pPr>
        <w:tabs>
          <w:tab w:val="left" w:pos="0"/>
          <w:tab w:val="left" w:pos="134"/>
          <w:tab w:val="left" w:pos="854"/>
          <w:tab w:val="left" w:pos="1574"/>
          <w:tab w:val="left" w:pos="2294"/>
          <w:tab w:val="left" w:pos="3014"/>
          <w:tab w:val="left" w:pos="3734"/>
          <w:tab w:val="left" w:pos="4454"/>
          <w:tab w:val="left" w:pos="5174"/>
          <w:tab w:val="left" w:pos="5894"/>
          <w:tab w:val="left" w:pos="6614"/>
          <w:tab w:val="left" w:pos="7334"/>
          <w:tab w:val="left" w:pos="7920"/>
        </w:tabs>
        <w:ind w:left="-720"/>
        <w:rPr>
          <w:rFonts w:ascii="Arial" w:hAnsi="Arial" w:cs="Arial"/>
          <w:bCs/>
        </w:rPr>
      </w:pPr>
    </w:p>
    <w:p w14:paraId="106317BE" w14:textId="77777777" w:rsidR="00CC42FE" w:rsidRDefault="00CC42FE" w:rsidP="00257641">
      <w:pPr>
        <w:sectPr w:rsidR="00CC42FE" w:rsidSect="00CA0C0E">
          <w:footerReference w:type="default" r:id="rId39"/>
          <w:footerReference w:type="first" r:id="rId40"/>
          <w:pgSz w:w="12240" w:h="15840" w:code="1"/>
          <w:pgMar w:top="1440" w:right="1440" w:bottom="1440" w:left="1440" w:header="720" w:footer="720" w:gutter="0"/>
          <w:pgNumType w:start="1" w:chapStyle="1"/>
          <w:cols w:space="720"/>
          <w:titlePg/>
          <w:docGrid w:linePitch="299"/>
        </w:sectPr>
      </w:pPr>
    </w:p>
    <w:p w14:paraId="2E225707" w14:textId="18D6E8EF" w:rsidR="00912CC7" w:rsidRPr="00912CC7" w:rsidRDefault="00912CC7" w:rsidP="00257641">
      <w:pPr>
        <w:pStyle w:val="Heading1"/>
      </w:pPr>
      <w:bookmarkStart w:id="267" w:name="_Toc8129109"/>
      <w:r w:rsidRPr="00912CC7">
        <w:lastRenderedPageBreak/>
        <w:t xml:space="preserve">APPENDIX </w:t>
      </w:r>
      <w:r w:rsidR="00052CA2">
        <w:t>J</w:t>
      </w:r>
      <w:r w:rsidRPr="00912CC7">
        <w:t xml:space="preserve">: stakeholder </w:t>
      </w:r>
      <w:r>
        <w:t>Focus Group</w:t>
      </w:r>
      <w:r w:rsidRPr="00912CC7">
        <w:t xml:space="preserve"> questions template</w:t>
      </w:r>
      <w:bookmarkEnd w:id="267"/>
    </w:p>
    <w:p w14:paraId="79D6D148" w14:textId="77777777" w:rsidR="00912CC7" w:rsidRPr="00912CC7" w:rsidRDefault="00912CC7" w:rsidP="00257641">
      <w:pPr>
        <w:numPr>
          <w:ilvl w:val="0"/>
          <w:numId w:val="211"/>
        </w:numPr>
      </w:pPr>
      <w:r w:rsidRPr="00912CC7">
        <w:t>Is your current agency/family committed to providing health and educational materials that appeal to various social, cultural and special needs groups?</w:t>
      </w:r>
    </w:p>
    <w:p w14:paraId="2A7024A8" w14:textId="77777777" w:rsidR="00912CC7" w:rsidRPr="00912CC7" w:rsidRDefault="00912CC7" w:rsidP="00257641">
      <w:pPr>
        <w:numPr>
          <w:ilvl w:val="0"/>
          <w:numId w:val="211"/>
        </w:numPr>
      </w:pPr>
      <w:r w:rsidRPr="00912CC7">
        <w:t xml:space="preserve">Are intake forms or materials available in different languages? </w:t>
      </w:r>
    </w:p>
    <w:p w14:paraId="10EB0395" w14:textId="75D99951" w:rsidR="00912CC7" w:rsidRPr="00912CC7" w:rsidRDefault="00912CC7" w:rsidP="00257641">
      <w:pPr>
        <w:numPr>
          <w:ilvl w:val="0"/>
          <w:numId w:val="211"/>
        </w:numPr>
      </w:pPr>
      <w:r w:rsidRPr="00912CC7">
        <w:t>Does your provider offer assistance for those with disabilities?</w:t>
      </w:r>
      <w:r w:rsidR="003150A4">
        <w:t xml:space="preserve"> </w:t>
      </w:r>
      <w:r w:rsidRPr="00912CC7">
        <w:t>For example: large print, sign language, assistive technology.</w:t>
      </w:r>
    </w:p>
    <w:p w14:paraId="3033D707" w14:textId="77777777" w:rsidR="00912CC7" w:rsidRPr="00912CC7" w:rsidRDefault="00912CC7" w:rsidP="00257641">
      <w:pPr>
        <w:numPr>
          <w:ilvl w:val="0"/>
          <w:numId w:val="211"/>
        </w:numPr>
      </w:pPr>
      <w:r w:rsidRPr="00912CC7">
        <w:t>Does the agency have trained interpreters readily available for various languages, including sign language?</w:t>
      </w:r>
    </w:p>
    <w:p w14:paraId="0200B4B9" w14:textId="77777777" w:rsidR="00912CC7" w:rsidRPr="00912CC7" w:rsidRDefault="00912CC7" w:rsidP="00257641">
      <w:pPr>
        <w:numPr>
          <w:ilvl w:val="0"/>
          <w:numId w:val="211"/>
        </w:numPr>
      </w:pPr>
      <w:r w:rsidRPr="00912CC7">
        <w:t>Do the agency/families have established connections with various communities, cultural, ethnic and religious groups to help better serve diverse groups?</w:t>
      </w:r>
    </w:p>
    <w:p w14:paraId="5D88ED27" w14:textId="61A9F7DF" w:rsidR="00912CC7" w:rsidRPr="00912CC7" w:rsidRDefault="00912CC7" w:rsidP="00257641">
      <w:pPr>
        <w:numPr>
          <w:ilvl w:val="0"/>
          <w:numId w:val="211"/>
        </w:numPr>
      </w:pPr>
      <w:r w:rsidRPr="00912CC7">
        <w:t>In the past six</w:t>
      </w:r>
      <w:r w:rsidR="00E72E71">
        <w:t xml:space="preserve"> (6)</w:t>
      </w:r>
      <w:r w:rsidRPr="00912CC7">
        <w:t xml:space="preserve"> months has this agency sponsored at least one activity that has helped improve communication and teamwork between residents of different cultural, language and ethnic groups? </w:t>
      </w:r>
    </w:p>
    <w:p w14:paraId="110CA56B" w14:textId="77777777" w:rsidR="00912CC7" w:rsidRPr="00912CC7" w:rsidRDefault="00912CC7" w:rsidP="00257641">
      <w:pPr>
        <w:numPr>
          <w:ilvl w:val="0"/>
          <w:numId w:val="211"/>
        </w:numPr>
      </w:pPr>
      <w:r w:rsidRPr="00912CC7">
        <w:t>Do you have the opportunity to attend racial group holidays or functions within diverse communities? What was it?</w:t>
      </w:r>
    </w:p>
    <w:p w14:paraId="0FEB5612" w14:textId="77777777" w:rsidR="00912CC7" w:rsidRPr="00912CC7" w:rsidRDefault="00912CC7" w:rsidP="00257641">
      <w:pPr>
        <w:numPr>
          <w:ilvl w:val="0"/>
          <w:numId w:val="211"/>
        </w:numPr>
      </w:pPr>
      <w:r w:rsidRPr="00912CC7">
        <w:t>Are you provided linkages with advocates for diverse communities who can give you reliable information regarding community opinions about diverse and important issues?</w:t>
      </w:r>
    </w:p>
    <w:p w14:paraId="22EB29A9" w14:textId="77777777" w:rsidR="00912CC7" w:rsidRPr="00912CC7" w:rsidRDefault="00912CC7" w:rsidP="00257641">
      <w:pPr>
        <w:numPr>
          <w:ilvl w:val="0"/>
          <w:numId w:val="211"/>
        </w:numPr>
      </w:pPr>
      <w:r w:rsidRPr="00912CC7">
        <w:t>Do you have access to religious services in which you affiliate?</w:t>
      </w:r>
    </w:p>
    <w:p w14:paraId="3CB09157" w14:textId="77777777" w:rsidR="00912CC7" w:rsidRPr="00912CC7" w:rsidRDefault="00912CC7" w:rsidP="00257641">
      <w:pPr>
        <w:numPr>
          <w:ilvl w:val="0"/>
          <w:numId w:val="211"/>
        </w:numPr>
      </w:pPr>
      <w:r w:rsidRPr="00912CC7">
        <w:t>Does your care provider (Family) alter your programming or care based on your values or culture?</w:t>
      </w:r>
    </w:p>
    <w:p w14:paraId="786B1F2C" w14:textId="77777777" w:rsidR="00912CC7" w:rsidRPr="00912CC7" w:rsidRDefault="00912CC7" w:rsidP="00257641">
      <w:pPr>
        <w:numPr>
          <w:ilvl w:val="0"/>
          <w:numId w:val="211"/>
        </w:numPr>
      </w:pPr>
      <w:r w:rsidRPr="00912CC7">
        <w:t>Do you feel your services are tailored to your needs?</w:t>
      </w:r>
    </w:p>
    <w:p w14:paraId="636A2D40" w14:textId="77777777" w:rsidR="00912CC7" w:rsidRPr="00912CC7" w:rsidRDefault="00912CC7" w:rsidP="00257641">
      <w:pPr>
        <w:numPr>
          <w:ilvl w:val="0"/>
          <w:numId w:val="211"/>
        </w:numPr>
      </w:pPr>
      <w:r w:rsidRPr="00912CC7">
        <w:t>Are visitations arranged in situations you and your family are comfortable- physically and emotionally?</w:t>
      </w:r>
    </w:p>
    <w:p w14:paraId="4BC763B3" w14:textId="77777777" w:rsidR="00912CC7" w:rsidRPr="00912CC7" w:rsidRDefault="00912CC7" w:rsidP="00257641">
      <w:pPr>
        <w:numPr>
          <w:ilvl w:val="0"/>
          <w:numId w:val="211"/>
        </w:numPr>
      </w:pPr>
      <w:r w:rsidRPr="00912CC7">
        <w:t>Are you allowed visits with siblings, extended family, kin or your friends you want to keep in touch with from home?</w:t>
      </w:r>
    </w:p>
    <w:p w14:paraId="6D13C9B2" w14:textId="7E5070BA" w:rsidR="00912CC7" w:rsidRPr="00912CC7" w:rsidRDefault="00912CC7" w:rsidP="00257641">
      <w:pPr>
        <w:numPr>
          <w:ilvl w:val="0"/>
          <w:numId w:val="211"/>
        </w:numPr>
      </w:pPr>
      <w:r w:rsidRPr="00912CC7">
        <w:t>Are you able to contact family and friends besides visitation, phone calls and letters? Do you have access to e-mail, skype, face time, texting, twitter, Facebook, Instagram, snapchat?</w:t>
      </w:r>
    </w:p>
    <w:p w14:paraId="12F0A4B1" w14:textId="7F615708" w:rsidR="00912CC7" w:rsidRPr="00912CC7" w:rsidRDefault="00912CC7" w:rsidP="00257641">
      <w:pPr>
        <w:numPr>
          <w:ilvl w:val="0"/>
          <w:numId w:val="211"/>
        </w:numPr>
      </w:pPr>
      <w:r w:rsidRPr="00912CC7">
        <w:t>If you are celebrating a special occasion or holiday do you have input in the planning?</w:t>
      </w:r>
      <w:r w:rsidR="003150A4">
        <w:t xml:space="preserve"> </w:t>
      </w:r>
      <w:r w:rsidRPr="00912CC7">
        <w:t>Are your family traditions considered, foods your family likes, ways to decorate?</w:t>
      </w:r>
    </w:p>
    <w:p w14:paraId="304C6CCD" w14:textId="6F017B17" w:rsidR="00912CC7" w:rsidRPr="00912CC7" w:rsidRDefault="00912CC7" w:rsidP="00257641">
      <w:pPr>
        <w:numPr>
          <w:ilvl w:val="0"/>
          <w:numId w:val="211"/>
        </w:numPr>
      </w:pPr>
      <w:r w:rsidRPr="00912CC7">
        <w:t>Do you have access to personal care items or services that match your needs? (</w:t>
      </w:r>
      <w:r w:rsidR="00E72E71">
        <w:t xml:space="preserve">such as </w:t>
      </w:r>
      <w:r w:rsidRPr="00912CC7">
        <w:t>Haircuts)</w:t>
      </w:r>
    </w:p>
    <w:p w14:paraId="5ACEE1D5" w14:textId="77777777" w:rsidR="00912CC7" w:rsidRPr="00912CC7" w:rsidRDefault="00912CC7" w:rsidP="00257641">
      <w:pPr>
        <w:numPr>
          <w:ilvl w:val="0"/>
          <w:numId w:val="211"/>
        </w:numPr>
      </w:pPr>
      <w:r w:rsidRPr="00912CC7">
        <w:t>Do you feel you get to express your personal style in clothing and appearance?</w:t>
      </w:r>
    </w:p>
    <w:p w14:paraId="080E256A" w14:textId="77777777" w:rsidR="00912CC7" w:rsidRPr="00912CC7" w:rsidRDefault="00912CC7" w:rsidP="00257641">
      <w:pPr>
        <w:numPr>
          <w:ilvl w:val="0"/>
          <w:numId w:val="211"/>
        </w:numPr>
      </w:pPr>
      <w:r w:rsidRPr="00912CC7">
        <w:lastRenderedPageBreak/>
        <w:t>Do caregivers understand or demonstrate an understanding of sex/gender issues? Are staff comfortable talking about LGBTQ issues? Does staff initiate discussions related to LGBTQ issues?</w:t>
      </w:r>
    </w:p>
    <w:p w14:paraId="13273753" w14:textId="77777777" w:rsidR="00912CC7" w:rsidRPr="00912CC7" w:rsidRDefault="00912CC7" w:rsidP="00257641">
      <w:pPr>
        <w:numPr>
          <w:ilvl w:val="0"/>
          <w:numId w:val="211"/>
        </w:numPr>
      </w:pPr>
      <w:r w:rsidRPr="00912CC7">
        <w:t xml:space="preserve">Do you feel that caregivers’ uses inclusive language rather than identifying activities based on stereotyped gender roles? </w:t>
      </w:r>
    </w:p>
    <w:p w14:paraId="3579112D" w14:textId="77777777" w:rsidR="00912CC7" w:rsidRPr="00912CC7" w:rsidRDefault="00912CC7" w:rsidP="00257641">
      <w:pPr>
        <w:numPr>
          <w:ilvl w:val="0"/>
          <w:numId w:val="211"/>
        </w:numPr>
      </w:pPr>
      <w:r w:rsidRPr="00912CC7">
        <w:t>Do you feel isolated or separated/segregated due to your sexual orientation? Have you been punished or given consequences for age appropriate sexual conduct that is different than what heterosexual youth would receive?</w:t>
      </w:r>
    </w:p>
    <w:p w14:paraId="677187B1" w14:textId="55F7E889" w:rsidR="00912CC7" w:rsidRPr="00912CC7" w:rsidRDefault="00912CC7" w:rsidP="00257641">
      <w:pPr>
        <w:numPr>
          <w:ilvl w:val="0"/>
          <w:numId w:val="211"/>
        </w:numPr>
      </w:pPr>
      <w:r w:rsidRPr="00912CC7">
        <w:t>Did caregivers ask what pronoun you preferred to use?</w:t>
      </w:r>
      <w:r w:rsidR="003150A4">
        <w:t xml:space="preserve"> </w:t>
      </w:r>
      <w:r w:rsidRPr="00912CC7">
        <w:t>Did they just assume, or do they continue to refer to you by your birth sex?</w:t>
      </w:r>
    </w:p>
    <w:p w14:paraId="1650B478" w14:textId="77777777" w:rsidR="00912CC7" w:rsidRPr="00912CC7" w:rsidRDefault="00912CC7" w:rsidP="00257641">
      <w:pPr>
        <w:numPr>
          <w:ilvl w:val="0"/>
          <w:numId w:val="211"/>
        </w:numPr>
      </w:pPr>
      <w:r w:rsidRPr="00912CC7">
        <w:t xml:space="preserve">Has caregivers identified support groups, places, and people for you outside of the family setting? </w:t>
      </w:r>
    </w:p>
    <w:p w14:paraId="17A530B5" w14:textId="77777777" w:rsidR="00912CC7" w:rsidRPr="00912CC7" w:rsidRDefault="00912CC7" w:rsidP="00257641"/>
    <w:p w14:paraId="0524067D" w14:textId="77777777" w:rsidR="00CC42FE" w:rsidRDefault="00CC42FE" w:rsidP="00257641">
      <w:pPr>
        <w:sectPr w:rsidR="00CC42FE" w:rsidSect="00CA0C0E">
          <w:footerReference w:type="default" r:id="rId41"/>
          <w:footerReference w:type="first" r:id="rId42"/>
          <w:pgSz w:w="12240" w:h="15840" w:code="1"/>
          <w:pgMar w:top="1440" w:right="1440" w:bottom="1440" w:left="1440" w:header="720" w:footer="720" w:gutter="0"/>
          <w:pgNumType w:start="1" w:chapStyle="1"/>
          <w:cols w:space="720"/>
          <w:titlePg/>
          <w:docGrid w:linePitch="299"/>
        </w:sectPr>
      </w:pPr>
    </w:p>
    <w:p w14:paraId="0618FBB3" w14:textId="07BA414E" w:rsidR="003E35A9" w:rsidRPr="008E3A78" w:rsidRDefault="003E35A9" w:rsidP="00257641">
      <w:pPr>
        <w:pStyle w:val="Heading1"/>
      </w:pPr>
      <w:bookmarkStart w:id="268" w:name="_Toc8129110"/>
      <w:r w:rsidRPr="008E3A78">
        <w:lastRenderedPageBreak/>
        <w:t>Appendix K: Provider network standards</w:t>
      </w:r>
      <w:bookmarkEnd w:id="268"/>
      <w:r w:rsidR="003150A4">
        <w:t xml:space="preserve"> </w:t>
      </w:r>
    </w:p>
    <w:p w14:paraId="077CAB04" w14:textId="5880EF98" w:rsidR="003E35A9" w:rsidRDefault="003E35A9" w:rsidP="00EB6E6F">
      <w:r>
        <w:t xml:space="preserve">This appendix summarizes the network standards and methodology for the MCO serving </w:t>
      </w:r>
      <w:r w:rsidR="009B7161">
        <w:t xml:space="preserve">enrollees </w:t>
      </w:r>
      <w:r w:rsidR="00977813">
        <w:t>under this C</w:t>
      </w:r>
      <w:r>
        <w:t xml:space="preserve">ontract. These standards represent experience in West Virginia and current practices, recent utilization, patterns of care, and </w:t>
      </w:r>
      <w:r w:rsidR="004E2553">
        <w:t xml:space="preserve">provider network standards </w:t>
      </w:r>
      <w:r>
        <w:t>use</w:t>
      </w:r>
      <w:r w:rsidR="004E2553">
        <w:t>d</w:t>
      </w:r>
      <w:r>
        <w:t xml:space="preserve"> by other state Medicaid programs. </w:t>
      </w:r>
      <w:r w:rsidRPr="00DF1D1C">
        <w:t xml:space="preserve">The intent </w:t>
      </w:r>
      <w:r>
        <w:t xml:space="preserve">of setting these standards is to ensure members have adequate </w:t>
      </w:r>
      <w:r w:rsidRPr="00DF1D1C">
        <w:t xml:space="preserve">access to </w:t>
      </w:r>
      <w:r w:rsidR="004E2553">
        <w:t xml:space="preserve">all covered </w:t>
      </w:r>
      <w:r w:rsidRPr="00DF1D1C">
        <w:t xml:space="preserve">services. </w:t>
      </w:r>
    </w:p>
    <w:p w14:paraId="4100B2BC" w14:textId="77777777" w:rsidR="003E35A9" w:rsidRDefault="003E35A9" w:rsidP="007610FD">
      <w:pPr>
        <w:pStyle w:val="Heading2"/>
      </w:pPr>
      <w:bookmarkStart w:id="269" w:name="_Toc7162618"/>
      <w:bookmarkStart w:id="270" w:name="_Toc7528977"/>
      <w:bookmarkStart w:id="271" w:name="_Toc8129111"/>
      <w:r>
        <w:t>General Network Requirements</w:t>
      </w:r>
      <w:bookmarkEnd w:id="269"/>
      <w:bookmarkEnd w:id="270"/>
      <w:bookmarkEnd w:id="271"/>
    </w:p>
    <w:p w14:paraId="52D59C5B" w14:textId="77777777" w:rsidR="003E35A9" w:rsidRDefault="003E35A9" w:rsidP="00EB6E6F">
      <w:r w:rsidRPr="00C42274">
        <w:t>The MCO must establish and maintain</w:t>
      </w:r>
      <w:r>
        <w:t xml:space="preserve"> </w:t>
      </w:r>
      <w:r w:rsidRPr="00C42274">
        <w:t xml:space="preserve">provider networks in geographically accessible locations </w:t>
      </w:r>
      <w:r>
        <w:t>and</w:t>
      </w:r>
      <w:r w:rsidRPr="00C42274">
        <w:t xml:space="preserve"> in sufficient numbers to make all covered services </w:t>
      </w:r>
      <w:r>
        <w:t xml:space="preserve">available to the populations served </w:t>
      </w:r>
      <w:r w:rsidRPr="00C42274">
        <w:t>in a timely manner.</w:t>
      </w:r>
      <w:r w:rsidRPr="009174F0">
        <w:t xml:space="preserve"> </w:t>
      </w:r>
      <w:r>
        <w:t>The information provided represents the minimum standards for the MCO’s provider network. However, th</w:t>
      </w:r>
      <w:r w:rsidRPr="00815762">
        <w:t xml:space="preserve">e MCO </w:t>
      </w:r>
      <w:r>
        <w:t>must ensure</w:t>
      </w:r>
      <w:r w:rsidRPr="00815762">
        <w:t xml:space="preserve"> access to all </w:t>
      </w:r>
      <w:r>
        <w:t>services included in the MCO benefits package</w:t>
      </w:r>
      <w:r w:rsidRPr="00815762">
        <w:t>, even where a standard for the specialty typ</w:t>
      </w:r>
      <w:r w:rsidRPr="0035069C">
        <w:t xml:space="preserve">e </w:t>
      </w:r>
      <w:r w:rsidRPr="000B4E66">
        <w:t>has not been defined.</w:t>
      </w:r>
    </w:p>
    <w:p w14:paraId="03257C39" w14:textId="43D6A41B" w:rsidR="003E35A9" w:rsidRDefault="003E35A9" w:rsidP="00EB6E6F">
      <w:r>
        <w:t>As described below, the provider network standards for West Virginia’s MCO program include provider-to-</w:t>
      </w:r>
      <w:r w:rsidR="009B7161">
        <w:t xml:space="preserve">enrolle </w:t>
      </w:r>
      <w:r>
        <w:t>ratios and travel time and distance. The provider-to-</w:t>
      </w:r>
      <w:r w:rsidR="008E62AD">
        <w:t xml:space="preserve">enrollee </w:t>
      </w:r>
      <w:r>
        <w:t>ratios ensure that MCO provider networks have adequate capacity, while the travel time and distance standards establish choice and geographic accessibility of providers. Together, these standards ensure medical services are accessible throughout the State.</w:t>
      </w:r>
    </w:p>
    <w:p w14:paraId="42A916DC" w14:textId="1097F0CC" w:rsidR="003E35A9" w:rsidRDefault="003E35A9" w:rsidP="00EB6E6F">
      <w:r>
        <w:t>In order to meet access requirements, the MCO must meet the defined provider-to-</w:t>
      </w:r>
      <w:r w:rsidR="008E62AD">
        <w:t xml:space="preserve">enrollee </w:t>
      </w:r>
      <w:r w:rsidRPr="00340A6C">
        <w:t xml:space="preserve">ratios and time </w:t>
      </w:r>
      <w:r>
        <w:t xml:space="preserve">and distance </w:t>
      </w:r>
      <w:r w:rsidRPr="00340A6C">
        <w:t xml:space="preserve">standards </w:t>
      </w:r>
      <w:r>
        <w:t>in every</w:t>
      </w:r>
      <w:r w:rsidRPr="00340A6C">
        <w:t xml:space="preserve"> county. </w:t>
      </w:r>
      <w:r>
        <w:t>In the calculating provider-to-</w:t>
      </w:r>
      <w:r w:rsidR="008E62AD">
        <w:t xml:space="preserve">enrollee </w:t>
      </w:r>
      <w:r>
        <w:t xml:space="preserve">ratios, the MCO may only count </w:t>
      </w:r>
      <w:r w:rsidRPr="00A376F3">
        <w:rPr>
          <w:i/>
        </w:rPr>
        <w:t>unique providers</w:t>
      </w:r>
      <w:r>
        <w:t xml:space="preserve"> located within the county. For the time and travel standard, the MCO may count </w:t>
      </w:r>
      <w:r w:rsidRPr="00A376F3">
        <w:rPr>
          <w:i/>
        </w:rPr>
        <w:t>all provider locations</w:t>
      </w:r>
      <w:r>
        <w:t xml:space="preserve"> within the county or within the appropriate travel time from the county border. </w:t>
      </w:r>
      <w:r w:rsidR="004E2553">
        <w:t xml:space="preserve">Travel time and distance standards are measured from the </w:t>
      </w:r>
      <w:r w:rsidR="008E62AD">
        <w:t xml:space="preserve">enrollee’s </w:t>
      </w:r>
      <w:r w:rsidR="004E2553">
        <w:t xml:space="preserve">residence to the provider’s location. </w:t>
      </w:r>
      <w:r>
        <w:t>Network standards are consistent across the counties.</w:t>
      </w:r>
    </w:p>
    <w:p w14:paraId="19991604" w14:textId="77777777" w:rsidR="003E35A9" w:rsidRPr="003E6CFD" w:rsidRDefault="003E35A9" w:rsidP="00257641">
      <w:pPr>
        <w:pStyle w:val="Heading3"/>
        <w:ind w:left="547"/>
      </w:pPr>
      <w:bookmarkStart w:id="272" w:name="_Toc7162619"/>
      <w:bookmarkStart w:id="273" w:name="_Toc7528978"/>
      <w:bookmarkStart w:id="274" w:name="_Toc8129112"/>
      <w:r w:rsidRPr="003E6CFD">
        <w:t>Medical Provider Access Standards</w:t>
      </w:r>
      <w:bookmarkEnd w:id="272"/>
      <w:bookmarkEnd w:id="273"/>
      <w:bookmarkEnd w:id="274"/>
    </w:p>
    <w:p w14:paraId="70028689" w14:textId="2A020840" w:rsidR="003E35A9" w:rsidRDefault="008E62AD" w:rsidP="00257641">
      <w:pPr>
        <w:pStyle w:val="Heading4"/>
        <w:ind w:left="1080"/>
      </w:pPr>
      <w:r>
        <w:t>Provider</w:t>
      </w:r>
      <w:r w:rsidR="003E35A9" w:rsidRPr="003E6CFD">
        <w:t>-to-</w:t>
      </w:r>
      <w:r>
        <w:t>Enrollee</w:t>
      </w:r>
      <w:r w:rsidR="003E35A9" w:rsidRPr="003E6CFD">
        <w:t xml:space="preserve"> Ratios</w:t>
      </w:r>
    </w:p>
    <w:p w14:paraId="2BF034D9" w14:textId="77777777" w:rsidR="003E35A9" w:rsidRDefault="003E35A9" w:rsidP="00EB6E6F">
      <w:r>
        <w:t>For all adult and pediatric populations served, the MCO must contract with a sufficient number of active providers in each county to meet the following standards.</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3468"/>
        <w:gridCol w:w="3822"/>
      </w:tblGrid>
      <w:tr w:rsidR="00977813" w:rsidRPr="00235E1B" w14:paraId="1CA0DCEE" w14:textId="77777777" w:rsidTr="00235E1B">
        <w:trPr>
          <w:trHeight w:val="323"/>
          <w:jc w:val="center"/>
        </w:trPr>
        <w:tc>
          <w:tcPr>
            <w:tcW w:w="2245" w:type="dxa"/>
            <w:tcBorders>
              <w:right w:val="single" w:sz="4" w:space="0" w:color="FFFFFF" w:themeColor="background1"/>
            </w:tcBorders>
            <w:shd w:val="clear" w:color="auto" w:fill="002060"/>
          </w:tcPr>
          <w:p w14:paraId="58EE8E04" w14:textId="77777777" w:rsidR="00977813" w:rsidRPr="00235E1B" w:rsidRDefault="00977813" w:rsidP="00235E1B">
            <w:pPr>
              <w:spacing w:after="0"/>
              <w:jc w:val="center"/>
              <w:rPr>
                <w:rFonts w:ascii="Calibri" w:hAnsi="Calibri"/>
                <w:b/>
                <w:color w:val="FFFFFF"/>
                <w:sz w:val="22"/>
                <w:szCs w:val="22"/>
              </w:rPr>
            </w:pPr>
            <w:r w:rsidRPr="00235E1B">
              <w:rPr>
                <w:rFonts w:ascii="Calibri" w:hAnsi="Calibri"/>
                <w:b/>
                <w:color w:val="FFFFFF"/>
                <w:sz w:val="22"/>
                <w:szCs w:val="22"/>
              </w:rPr>
              <w:t>Provider Type</w:t>
            </w:r>
          </w:p>
        </w:tc>
        <w:tc>
          <w:tcPr>
            <w:tcW w:w="3468" w:type="dxa"/>
            <w:tcBorders>
              <w:left w:val="single" w:sz="4" w:space="0" w:color="FFFFFF" w:themeColor="background1"/>
              <w:right w:val="single" w:sz="4" w:space="0" w:color="FFFFFF" w:themeColor="background1"/>
            </w:tcBorders>
            <w:shd w:val="clear" w:color="auto" w:fill="002060"/>
          </w:tcPr>
          <w:p w14:paraId="20D5ADEB" w14:textId="3509DB51" w:rsidR="00977813" w:rsidRPr="00235E1B" w:rsidRDefault="00977813" w:rsidP="00235E1B">
            <w:pPr>
              <w:spacing w:after="0"/>
              <w:jc w:val="center"/>
              <w:rPr>
                <w:rFonts w:ascii="Calibri" w:hAnsi="Calibri"/>
                <w:b/>
                <w:color w:val="FFFFFF"/>
                <w:sz w:val="22"/>
                <w:szCs w:val="22"/>
              </w:rPr>
            </w:pPr>
            <w:r w:rsidRPr="00235E1B">
              <w:rPr>
                <w:rFonts w:ascii="Calibri" w:hAnsi="Calibri"/>
                <w:b/>
                <w:color w:val="FFFFFF"/>
                <w:sz w:val="22"/>
                <w:szCs w:val="22"/>
              </w:rPr>
              <w:t>Adult Standard</w:t>
            </w:r>
          </w:p>
        </w:tc>
        <w:tc>
          <w:tcPr>
            <w:tcW w:w="3822" w:type="dxa"/>
            <w:tcBorders>
              <w:left w:val="single" w:sz="4" w:space="0" w:color="FFFFFF" w:themeColor="background1"/>
            </w:tcBorders>
            <w:shd w:val="clear" w:color="auto" w:fill="002060"/>
          </w:tcPr>
          <w:p w14:paraId="555AEF72" w14:textId="4FEBB6EE" w:rsidR="00977813" w:rsidRPr="00235E1B" w:rsidRDefault="00977813" w:rsidP="00235E1B">
            <w:pPr>
              <w:spacing w:after="0"/>
              <w:jc w:val="center"/>
              <w:rPr>
                <w:rFonts w:ascii="Calibri" w:hAnsi="Calibri"/>
                <w:b/>
                <w:color w:val="FFFFFF"/>
                <w:sz w:val="22"/>
                <w:szCs w:val="22"/>
              </w:rPr>
            </w:pPr>
            <w:r w:rsidRPr="00235E1B">
              <w:rPr>
                <w:rFonts w:ascii="Calibri" w:hAnsi="Calibri"/>
                <w:b/>
                <w:color w:val="FFFFFF"/>
                <w:sz w:val="22"/>
                <w:szCs w:val="22"/>
              </w:rPr>
              <w:t>Pediatric Standard</w:t>
            </w:r>
          </w:p>
        </w:tc>
      </w:tr>
      <w:tr w:rsidR="00977813" w14:paraId="66068C20" w14:textId="77777777" w:rsidTr="00235E1B">
        <w:trPr>
          <w:trHeight w:val="557"/>
          <w:jc w:val="center"/>
        </w:trPr>
        <w:tc>
          <w:tcPr>
            <w:tcW w:w="2245" w:type="dxa"/>
            <w:shd w:val="clear" w:color="auto" w:fill="auto"/>
            <w:vAlign w:val="center"/>
          </w:tcPr>
          <w:p w14:paraId="62485B3E" w14:textId="77777777" w:rsidR="00977813" w:rsidRPr="00DE3CBE" w:rsidRDefault="00977813" w:rsidP="00235E1B">
            <w:pPr>
              <w:spacing w:after="0"/>
              <w:rPr>
                <w:rFonts w:ascii="Calibri" w:hAnsi="Calibri"/>
                <w:sz w:val="22"/>
                <w:szCs w:val="22"/>
              </w:rPr>
            </w:pPr>
            <w:r w:rsidRPr="00DE3CBE">
              <w:rPr>
                <w:rFonts w:ascii="Calibri" w:hAnsi="Calibri"/>
                <w:sz w:val="22"/>
                <w:szCs w:val="22"/>
              </w:rPr>
              <w:t>PCP</w:t>
            </w:r>
          </w:p>
        </w:tc>
        <w:tc>
          <w:tcPr>
            <w:tcW w:w="3468" w:type="dxa"/>
            <w:vAlign w:val="center"/>
          </w:tcPr>
          <w:p w14:paraId="3378F162" w14:textId="39F39F3C" w:rsidR="00977813" w:rsidRPr="00DE3CBE" w:rsidRDefault="00977813" w:rsidP="00206CEC">
            <w:pPr>
              <w:spacing w:after="0"/>
              <w:rPr>
                <w:rFonts w:ascii="Calibri" w:hAnsi="Calibri"/>
                <w:sz w:val="22"/>
                <w:szCs w:val="22"/>
              </w:rPr>
            </w:pPr>
            <w:r w:rsidRPr="00DE3CBE">
              <w:rPr>
                <w:rFonts w:ascii="Calibri" w:hAnsi="Calibri"/>
                <w:sz w:val="22"/>
                <w:szCs w:val="22"/>
              </w:rPr>
              <w:t>One</w:t>
            </w:r>
            <w:r w:rsidRPr="00DE3CBE">
              <w:rPr>
                <w:rFonts w:ascii="Calibri" w:hAnsi="Calibri"/>
                <w:b/>
                <w:sz w:val="22"/>
                <w:szCs w:val="22"/>
              </w:rPr>
              <w:t xml:space="preserve"> (1) provider</w:t>
            </w:r>
            <w:r w:rsidRPr="00DE3CBE">
              <w:rPr>
                <w:rFonts w:ascii="Calibri" w:hAnsi="Calibri"/>
                <w:sz w:val="22"/>
                <w:szCs w:val="22"/>
              </w:rPr>
              <w:t xml:space="preserve"> for every five hundred (</w:t>
            </w:r>
            <w:r w:rsidRPr="00DE3CBE">
              <w:rPr>
                <w:rFonts w:ascii="Calibri" w:hAnsi="Calibri"/>
                <w:b/>
                <w:sz w:val="22"/>
                <w:szCs w:val="22"/>
              </w:rPr>
              <w:t xml:space="preserve">500) </w:t>
            </w:r>
            <w:r w:rsidR="00206CEC">
              <w:rPr>
                <w:rFonts w:ascii="Calibri" w:hAnsi="Calibri"/>
                <w:b/>
                <w:sz w:val="22"/>
                <w:szCs w:val="22"/>
              </w:rPr>
              <w:t>enrollee</w:t>
            </w:r>
            <w:r w:rsidR="00206CEC" w:rsidRPr="00DE3CBE">
              <w:rPr>
                <w:rFonts w:ascii="Calibri" w:hAnsi="Calibri"/>
                <w:b/>
                <w:sz w:val="22"/>
                <w:szCs w:val="22"/>
              </w:rPr>
              <w:t>s</w:t>
            </w:r>
            <w:r w:rsidR="00206CEC" w:rsidRPr="00DE3CBE">
              <w:rPr>
                <w:rFonts w:ascii="Calibri" w:hAnsi="Calibri"/>
                <w:sz w:val="22"/>
                <w:szCs w:val="22"/>
              </w:rPr>
              <w:t xml:space="preserve"> </w:t>
            </w:r>
            <w:r w:rsidRPr="00DE3CBE">
              <w:rPr>
                <w:rFonts w:ascii="Calibri" w:hAnsi="Calibri"/>
                <w:sz w:val="22"/>
                <w:szCs w:val="22"/>
              </w:rPr>
              <w:t>per county</w:t>
            </w:r>
          </w:p>
        </w:tc>
        <w:tc>
          <w:tcPr>
            <w:tcW w:w="3822" w:type="dxa"/>
            <w:shd w:val="clear" w:color="auto" w:fill="auto"/>
            <w:vAlign w:val="center"/>
          </w:tcPr>
          <w:p w14:paraId="3AC6570E" w14:textId="2E7DE751" w:rsidR="00977813" w:rsidRPr="00DE3CBE" w:rsidRDefault="00977813" w:rsidP="00206CEC">
            <w:pPr>
              <w:spacing w:after="0"/>
              <w:rPr>
                <w:rFonts w:ascii="Calibri" w:hAnsi="Calibri"/>
                <w:sz w:val="22"/>
                <w:szCs w:val="22"/>
              </w:rPr>
            </w:pPr>
            <w:r w:rsidRPr="00DE3CBE">
              <w:rPr>
                <w:rFonts w:ascii="Calibri" w:hAnsi="Calibri"/>
                <w:sz w:val="22"/>
                <w:szCs w:val="22"/>
              </w:rPr>
              <w:t xml:space="preserve">One </w:t>
            </w:r>
            <w:r w:rsidRPr="00DE3CBE">
              <w:rPr>
                <w:rFonts w:ascii="Calibri" w:hAnsi="Calibri"/>
                <w:b/>
                <w:sz w:val="22"/>
                <w:szCs w:val="22"/>
              </w:rPr>
              <w:t>(1) provider</w:t>
            </w:r>
            <w:r w:rsidRPr="00DE3CBE">
              <w:rPr>
                <w:rFonts w:ascii="Calibri" w:hAnsi="Calibri"/>
                <w:sz w:val="22"/>
                <w:szCs w:val="22"/>
              </w:rPr>
              <w:t xml:space="preserve"> for every two hundred fifty (</w:t>
            </w:r>
            <w:r w:rsidRPr="00DE3CBE">
              <w:rPr>
                <w:rFonts w:ascii="Calibri" w:hAnsi="Calibri"/>
                <w:b/>
                <w:sz w:val="22"/>
                <w:szCs w:val="22"/>
              </w:rPr>
              <w:t xml:space="preserve">250) </w:t>
            </w:r>
            <w:r w:rsidR="00206CEC">
              <w:rPr>
                <w:rFonts w:ascii="Calibri" w:hAnsi="Calibri"/>
                <w:b/>
                <w:sz w:val="22"/>
                <w:szCs w:val="22"/>
              </w:rPr>
              <w:t>enrollee</w:t>
            </w:r>
            <w:r w:rsidR="00206CEC" w:rsidRPr="00DE3CBE">
              <w:rPr>
                <w:rFonts w:ascii="Calibri" w:hAnsi="Calibri"/>
                <w:b/>
                <w:sz w:val="22"/>
                <w:szCs w:val="22"/>
              </w:rPr>
              <w:t>s</w:t>
            </w:r>
            <w:r w:rsidR="00206CEC" w:rsidRPr="00DE3CBE">
              <w:rPr>
                <w:rFonts w:ascii="Calibri" w:hAnsi="Calibri"/>
                <w:sz w:val="22"/>
                <w:szCs w:val="22"/>
              </w:rPr>
              <w:t xml:space="preserve"> </w:t>
            </w:r>
            <w:r w:rsidRPr="00DE3CBE">
              <w:rPr>
                <w:rFonts w:ascii="Calibri" w:hAnsi="Calibri"/>
                <w:sz w:val="22"/>
                <w:szCs w:val="22"/>
              </w:rPr>
              <w:t>per county</w:t>
            </w:r>
          </w:p>
        </w:tc>
      </w:tr>
      <w:tr w:rsidR="00977813" w14:paraId="3A5EA45D" w14:textId="77777777" w:rsidTr="00235E1B">
        <w:trPr>
          <w:jc w:val="center"/>
        </w:trPr>
        <w:tc>
          <w:tcPr>
            <w:tcW w:w="2245" w:type="dxa"/>
            <w:shd w:val="clear" w:color="auto" w:fill="DEEAF6" w:themeFill="accent1" w:themeFillTint="33"/>
            <w:vAlign w:val="center"/>
          </w:tcPr>
          <w:p w14:paraId="243A91E0" w14:textId="77777777" w:rsidR="00977813" w:rsidRPr="00DE3CBE" w:rsidRDefault="00977813" w:rsidP="00235E1B">
            <w:pPr>
              <w:spacing w:after="0"/>
              <w:rPr>
                <w:rFonts w:ascii="Calibri" w:hAnsi="Calibri"/>
                <w:sz w:val="22"/>
                <w:szCs w:val="22"/>
              </w:rPr>
            </w:pPr>
            <w:r w:rsidRPr="00DE3CBE">
              <w:rPr>
                <w:rFonts w:ascii="Calibri" w:hAnsi="Calibri"/>
                <w:sz w:val="22"/>
                <w:szCs w:val="22"/>
              </w:rPr>
              <w:t>OB/GYN or certified nurse midwife</w:t>
            </w:r>
          </w:p>
        </w:tc>
        <w:tc>
          <w:tcPr>
            <w:tcW w:w="7290" w:type="dxa"/>
            <w:gridSpan w:val="2"/>
            <w:shd w:val="clear" w:color="auto" w:fill="DEEAF6" w:themeFill="accent1" w:themeFillTint="33"/>
            <w:vAlign w:val="center"/>
          </w:tcPr>
          <w:p w14:paraId="75FB0794" w14:textId="7657C7C9" w:rsidR="00977813" w:rsidRPr="00DE3CBE" w:rsidRDefault="00977813" w:rsidP="00206CEC">
            <w:pPr>
              <w:spacing w:after="0"/>
              <w:rPr>
                <w:rFonts w:ascii="Calibri" w:hAnsi="Calibri"/>
                <w:sz w:val="22"/>
                <w:szCs w:val="22"/>
              </w:rPr>
            </w:pPr>
            <w:r w:rsidRPr="00DE3CBE">
              <w:rPr>
                <w:rFonts w:ascii="Calibri" w:hAnsi="Calibri"/>
                <w:sz w:val="22"/>
                <w:szCs w:val="22"/>
              </w:rPr>
              <w:t>One</w:t>
            </w:r>
            <w:r w:rsidRPr="00DE3CBE">
              <w:rPr>
                <w:rFonts w:ascii="Calibri" w:hAnsi="Calibri"/>
                <w:b/>
                <w:sz w:val="22"/>
                <w:szCs w:val="22"/>
              </w:rPr>
              <w:t xml:space="preserve"> (1) provider</w:t>
            </w:r>
            <w:r w:rsidRPr="00DE3CBE">
              <w:rPr>
                <w:rFonts w:ascii="Calibri" w:hAnsi="Calibri"/>
                <w:sz w:val="22"/>
                <w:szCs w:val="22"/>
              </w:rPr>
              <w:t xml:space="preserve"> for every one thousand </w:t>
            </w:r>
            <w:r w:rsidRPr="00DE3CBE">
              <w:rPr>
                <w:rFonts w:ascii="Calibri" w:hAnsi="Calibri"/>
                <w:b/>
                <w:sz w:val="22"/>
                <w:szCs w:val="22"/>
              </w:rPr>
              <w:t xml:space="preserve">(1,000) </w:t>
            </w:r>
            <w:r w:rsidR="00206CEC">
              <w:rPr>
                <w:rFonts w:ascii="Calibri" w:hAnsi="Calibri"/>
                <w:b/>
                <w:sz w:val="22"/>
                <w:szCs w:val="22"/>
              </w:rPr>
              <w:t>enrollee</w:t>
            </w:r>
            <w:r w:rsidR="00206CEC" w:rsidRPr="00DE3CBE">
              <w:rPr>
                <w:rFonts w:ascii="Calibri" w:hAnsi="Calibri"/>
                <w:b/>
                <w:sz w:val="22"/>
                <w:szCs w:val="22"/>
              </w:rPr>
              <w:t>s</w:t>
            </w:r>
            <w:r w:rsidR="00206CEC" w:rsidRPr="00DE3CBE">
              <w:rPr>
                <w:rFonts w:ascii="Calibri" w:hAnsi="Calibri"/>
                <w:sz w:val="22"/>
                <w:szCs w:val="22"/>
              </w:rPr>
              <w:t xml:space="preserve"> </w:t>
            </w:r>
            <w:r w:rsidRPr="00DE3CBE">
              <w:rPr>
                <w:rFonts w:ascii="Calibri" w:hAnsi="Calibri"/>
                <w:sz w:val="22"/>
                <w:szCs w:val="22"/>
              </w:rPr>
              <w:t>per county</w:t>
            </w:r>
          </w:p>
        </w:tc>
      </w:tr>
    </w:tbl>
    <w:p w14:paraId="5BD45754" w14:textId="77777777" w:rsidR="003E35A9" w:rsidRDefault="003E35A9" w:rsidP="00257641">
      <w:pPr>
        <w:spacing w:after="0"/>
      </w:pPr>
    </w:p>
    <w:p w14:paraId="03F670B0" w14:textId="77777777" w:rsidR="003E35A9" w:rsidRPr="00D368F4" w:rsidRDefault="003E35A9" w:rsidP="00257641">
      <w:pPr>
        <w:pStyle w:val="Heading4"/>
        <w:ind w:left="1080"/>
      </w:pPr>
      <w:r w:rsidRPr="00D368F4">
        <w:t>Medical Provider Network Time and Travel Distance</w:t>
      </w:r>
    </w:p>
    <w:p w14:paraId="204DBEC5" w14:textId="2046054B" w:rsidR="003E35A9" w:rsidRDefault="003E35A9" w:rsidP="007610FD">
      <w:r>
        <w:t>T</w:t>
      </w:r>
      <w:r w:rsidRPr="00154ED1">
        <w:t>he MCO must contract with a sufficient number of active providers accepting new patients to meet the following standards</w:t>
      </w:r>
      <w:r>
        <w:t xml:space="preserve"> f</w:t>
      </w:r>
      <w:r w:rsidRPr="00154ED1">
        <w:t xml:space="preserve">or all </w:t>
      </w:r>
      <w:r w:rsidR="007B5CD8">
        <w:t xml:space="preserve">adult and </w:t>
      </w:r>
      <w:r>
        <w:t xml:space="preserve">pediatric populations. </w:t>
      </w:r>
      <w:r w:rsidRPr="00C6264A">
        <w:t xml:space="preserve">For review purposes, </w:t>
      </w:r>
      <w:r>
        <w:t xml:space="preserve">medical </w:t>
      </w:r>
      <w:r w:rsidRPr="00C6264A">
        <w:t xml:space="preserve">providers are grouped into the following categories: </w:t>
      </w:r>
      <w:r>
        <w:t>PCP</w:t>
      </w:r>
      <w:r w:rsidRPr="00C6264A">
        <w:t xml:space="preserve">, OB/GYNs, </w:t>
      </w:r>
      <w:r>
        <w:t xml:space="preserve">frequently-used specialists, </w:t>
      </w:r>
      <w:r w:rsidRPr="00C6264A">
        <w:t>other specialists</w:t>
      </w:r>
      <w:r>
        <w:t>, and hospitals</w:t>
      </w:r>
      <w:r w:rsidRPr="00C6264A">
        <w:t xml:space="preserve">. </w:t>
      </w:r>
      <w:r>
        <w:t>The requirements for each specialty group are outlined below.</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2065"/>
        <w:gridCol w:w="2790"/>
        <w:gridCol w:w="2970"/>
      </w:tblGrid>
      <w:tr w:rsidR="007B5CD8" w14:paraId="14238204" w14:textId="77777777" w:rsidTr="00235E1B">
        <w:trPr>
          <w:trHeight w:val="467"/>
          <w:tblHeader/>
          <w:jc w:val="center"/>
        </w:trPr>
        <w:tc>
          <w:tcPr>
            <w:tcW w:w="1710" w:type="dxa"/>
            <w:tcBorders>
              <w:right w:val="single" w:sz="4" w:space="0" w:color="FFFFFF" w:themeColor="background1"/>
            </w:tcBorders>
            <w:shd w:val="clear" w:color="auto" w:fill="002060"/>
            <w:vAlign w:val="center"/>
          </w:tcPr>
          <w:p w14:paraId="619C5332" w14:textId="77777777" w:rsidR="007B5CD8" w:rsidRPr="00235E1B" w:rsidRDefault="007B5CD8" w:rsidP="007610FD">
            <w:pPr>
              <w:spacing w:after="0"/>
              <w:jc w:val="center"/>
              <w:rPr>
                <w:rFonts w:asciiTheme="minorHAnsi" w:hAnsiTheme="minorHAnsi"/>
                <w:b/>
                <w:color w:val="FFFFFF"/>
                <w:sz w:val="22"/>
                <w:szCs w:val="22"/>
              </w:rPr>
            </w:pPr>
            <w:r w:rsidRPr="00235E1B">
              <w:rPr>
                <w:rFonts w:asciiTheme="minorHAnsi" w:hAnsiTheme="minorHAnsi"/>
                <w:b/>
                <w:color w:val="FFFFFF"/>
                <w:sz w:val="22"/>
                <w:szCs w:val="22"/>
              </w:rPr>
              <w:lastRenderedPageBreak/>
              <w:t>Provider Category</w:t>
            </w:r>
          </w:p>
        </w:tc>
        <w:tc>
          <w:tcPr>
            <w:tcW w:w="2065" w:type="dxa"/>
            <w:tcBorders>
              <w:left w:val="single" w:sz="4" w:space="0" w:color="FFFFFF" w:themeColor="background1"/>
              <w:right w:val="single" w:sz="4" w:space="0" w:color="FFFFFF" w:themeColor="background1"/>
            </w:tcBorders>
            <w:shd w:val="clear" w:color="auto" w:fill="002060"/>
            <w:vAlign w:val="center"/>
          </w:tcPr>
          <w:p w14:paraId="453097E1" w14:textId="77777777" w:rsidR="007B5CD8" w:rsidRPr="00235E1B" w:rsidRDefault="007B5CD8" w:rsidP="00235E1B">
            <w:pPr>
              <w:spacing w:after="0"/>
              <w:rPr>
                <w:rFonts w:asciiTheme="minorHAnsi" w:hAnsiTheme="minorHAnsi"/>
                <w:b/>
                <w:color w:val="FFFFFF"/>
                <w:sz w:val="22"/>
                <w:szCs w:val="22"/>
              </w:rPr>
            </w:pPr>
            <w:r w:rsidRPr="00235E1B">
              <w:rPr>
                <w:rFonts w:asciiTheme="minorHAnsi" w:hAnsiTheme="minorHAnsi"/>
                <w:b/>
                <w:color w:val="FFFFFF"/>
                <w:sz w:val="22"/>
                <w:szCs w:val="22"/>
              </w:rPr>
              <w:t>Provider Type</w:t>
            </w:r>
          </w:p>
        </w:tc>
        <w:tc>
          <w:tcPr>
            <w:tcW w:w="2790" w:type="dxa"/>
            <w:tcBorders>
              <w:left w:val="single" w:sz="4" w:space="0" w:color="FFFFFF" w:themeColor="background1"/>
              <w:right w:val="single" w:sz="4" w:space="0" w:color="FFFFFF" w:themeColor="background1"/>
            </w:tcBorders>
            <w:shd w:val="clear" w:color="auto" w:fill="002060"/>
            <w:vAlign w:val="center"/>
          </w:tcPr>
          <w:p w14:paraId="437D72CF" w14:textId="551A4C3D" w:rsidR="007B5CD8" w:rsidRPr="00235E1B" w:rsidRDefault="007B5CD8" w:rsidP="00235E1B">
            <w:pPr>
              <w:spacing w:after="0"/>
              <w:rPr>
                <w:rFonts w:asciiTheme="minorHAnsi" w:hAnsiTheme="minorHAnsi"/>
                <w:b/>
                <w:color w:val="FFFFFF"/>
                <w:sz w:val="22"/>
                <w:szCs w:val="22"/>
              </w:rPr>
            </w:pPr>
            <w:r w:rsidRPr="00235E1B">
              <w:rPr>
                <w:rFonts w:asciiTheme="minorHAnsi" w:hAnsiTheme="minorHAnsi"/>
                <w:b/>
                <w:color w:val="FFFFFF"/>
                <w:sz w:val="22"/>
                <w:szCs w:val="22"/>
              </w:rPr>
              <w:t>Adult Standard</w:t>
            </w:r>
          </w:p>
        </w:tc>
        <w:tc>
          <w:tcPr>
            <w:tcW w:w="2970" w:type="dxa"/>
            <w:tcBorders>
              <w:left w:val="single" w:sz="4" w:space="0" w:color="FFFFFF" w:themeColor="background1"/>
            </w:tcBorders>
            <w:shd w:val="clear" w:color="auto" w:fill="002060"/>
            <w:vAlign w:val="center"/>
          </w:tcPr>
          <w:p w14:paraId="40BC555C" w14:textId="4CFDE66B" w:rsidR="007B5CD8" w:rsidRPr="00235E1B" w:rsidRDefault="007B5CD8" w:rsidP="00235E1B">
            <w:pPr>
              <w:spacing w:after="0"/>
              <w:rPr>
                <w:rFonts w:asciiTheme="minorHAnsi" w:hAnsiTheme="minorHAnsi"/>
                <w:b/>
                <w:color w:val="FFFFFF"/>
                <w:sz w:val="22"/>
                <w:szCs w:val="22"/>
              </w:rPr>
            </w:pPr>
            <w:r w:rsidRPr="00235E1B">
              <w:rPr>
                <w:rFonts w:asciiTheme="minorHAnsi" w:hAnsiTheme="minorHAnsi"/>
                <w:b/>
                <w:color w:val="FFFFFF"/>
                <w:sz w:val="22"/>
                <w:szCs w:val="22"/>
              </w:rPr>
              <w:t>Pediatric Standard</w:t>
            </w:r>
          </w:p>
        </w:tc>
      </w:tr>
      <w:tr w:rsidR="007B5CD8" w:rsidRPr="0063141E" w14:paraId="03F28396" w14:textId="77777777" w:rsidTr="00235E1B">
        <w:trPr>
          <w:trHeight w:val="143"/>
          <w:jc w:val="center"/>
        </w:trPr>
        <w:tc>
          <w:tcPr>
            <w:tcW w:w="1710" w:type="dxa"/>
            <w:shd w:val="clear" w:color="auto" w:fill="auto"/>
          </w:tcPr>
          <w:p w14:paraId="313F93E5" w14:textId="77777777" w:rsidR="007B5CD8" w:rsidRPr="00235E1B" w:rsidRDefault="007B5CD8" w:rsidP="00257641">
            <w:pPr>
              <w:keepNext/>
              <w:spacing w:after="0"/>
              <w:rPr>
                <w:rFonts w:asciiTheme="minorHAnsi" w:hAnsiTheme="minorHAnsi"/>
                <w:b/>
                <w:sz w:val="22"/>
                <w:szCs w:val="22"/>
              </w:rPr>
            </w:pPr>
            <w:r w:rsidRPr="00235E1B">
              <w:rPr>
                <w:rFonts w:asciiTheme="minorHAnsi" w:hAnsiTheme="minorHAnsi"/>
                <w:b/>
                <w:sz w:val="22"/>
                <w:szCs w:val="22"/>
              </w:rPr>
              <w:t>PCP</w:t>
            </w:r>
          </w:p>
        </w:tc>
        <w:tc>
          <w:tcPr>
            <w:tcW w:w="2065" w:type="dxa"/>
            <w:shd w:val="clear" w:color="auto" w:fill="auto"/>
            <w:vAlign w:val="center"/>
          </w:tcPr>
          <w:p w14:paraId="6F1973C2"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PCP</w:t>
            </w:r>
          </w:p>
        </w:tc>
        <w:tc>
          <w:tcPr>
            <w:tcW w:w="2790" w:type="dxa"/>
            <w:vAlign w:val="center"/>
          </w:tcPr>
          <w:p w14:paraId="2505FEB6" w14:textId="6CEBAADB"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providers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0691017B" w14:textId="3EAA442B"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Two</w:t>
            </w:r>
            <w:r w:rsidRPr="00235E1B">
              <w:rPr>
                <w:rFonts w:asciiTheme="minorHAnsi" w:hAnsiTheme="minorHAnsi"/>
                <w:b/>
                <w:sz w:val="22"/>
                <w:szCs w:val="22"/>
              </w:rPr>
              <w:t xml:space="preserve"> (2)</w:t>
            </w:r>
            <w:r w:rsidRPr="00235E1B">
              <w:rPr>
                <w:rFonts w:asciiTheme="minorHAnsi" w:hAnsiTheme="minorHAnsi"/>
                <w:sz w:val="22"/>
                <w:szCs w:val="22"/>
              </w:rPr>
              <w:t xml:space="preserve"> providers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432940F1" w14:textId="77777777" w:rsidTr="00235E1B">
        <w:trPr>
          <w:jc w:val="center"/>
        </w:trPr>
        <w:tc>
          <w:tcPr>
            <w:tcW w:w="1710" w:type="dxa"/>
            <w:shd w:val="clear" w:color="auto" w:fill="DEEAF6" w:themeFill="accent1" w:themeFillTint="33"/>
          </w:tcPr>
          <w:p w14:paraId="09AEB1F1" w14:textId="77777777" w:rsidR="007B5CD8" w:rsidRPr="00235E1B" w:rsidRDefault="007B5CD8" w:rsidP="00257641">
            <w:pPr>
              <w:keepNext/>
              <w:spacing w:after="0"/>
              <w:rPr>
                <w:rFonts w:asciiTheme="minorHAnsi" w:hAnsiTheme="minorHAnsi"/>
                <w:b/>
                <w:sz w:val="22"/>
                <w:szCs w:val="22"/>
              </w:rPr>
            </w:pPr>
            <w:r w:rsidRPr="00235E1B">
              <w:rPr>
                <w:rFonts w:asciiTheme="minorHAnsi" w:hAnsiTheme="minorHAnsi"/>
                <w:b/>
                <w:sz w:val="22"/>
                <w:szCs w:val="22"/>
              </w:rPr>
              <w:t>OB/GYN</w:t>
            </w:r>
          </w:p>
        </w:tc>
        <w:tc>
          <w:tcPr>
            <w:tcW w:w="2065" w:type="dxa"/>
            <w:shd w:val="clear" w:color="auto" w:fill="DEEAF6" w:themeFill="accent1" w:themeFillTint="33"/>
            <w:vAlign w:val="center"/>
          </w:tcPr>
          <w:p w14:paraId="0DED109E"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OB/GYN or certified nurse midwife</w:t>
            </w:r>
          </w:p>
        </w:tc>
        <w:tc>
          <w:tcPr>
            <w:tcW w:w="5760" w:type="dxa"/>
            <w:gridSpan w:val="2"/>
            <w:shd w:val="clear" w:color="auto" w:fill="DEEAF6" w:themeFill="accent1" w:themeFillTint="33"/>
            <w:vAlign w:val="center"/>
          </w:tcPr>
          <w:p w14:paraId="5AA33B5D" w14:textId="720964D4"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providers within twenty-five </w:t>
            </w:r>
            <w:r w:rsidRPr="00235E1B">
              <w:rPr>
                <w:rFonts w:asciiTheme="minorHAnsi" w:hAnsiTheme="minorHAnsi"/>
                <w:b/>
                <w:sz w:val="22"/>
                <w:szCs w:val="22"/>
              </w:rPr>
              <w:t>(25)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5131E3E5" w14:textId="77777777" w:rsidTr="00235E1B">
        <w:trPr>
          <w:jc w:val="center"/>
        </w:trPr>
        <w:tc>
          <w:tcPr>
            <w:tcW w:w="1710" w:type="dxa"/>
            <w:vMerge w:val="restart"/>
            <w:shd w:val="clear" w:color="auto" w:fill="auto"/>
          </w:tcPr>
          <w:p w14:paraId="20AD3572" w14:textId="77777777" w:rsidR="007B5CD8" w:rsidRPr="00235E1B" w:rsidRDefault="007B5CD8" w:rsidP="00257641">
            <w:pPr>
              <w:keepNext/>
              <w:spacing w:after="0"/>
              <w:rPr>
                <w:rFonts w:asciiTheme="minorHAnsi" w:hAnsiTheme="minorHAnsi"/>
                <w:b/>
                <w:sz w:val="22"/>
                <w:szCs w:val="22"/>
              </w:rPr>
            </w:pPr>
            <w:r w:rsidRPr="00235E1B">
              <w:rPr>
                <w:rFonts w:asciiTheme="minorHAnsi" w:hAnsiTheme="minorHAnsi"/>
                <w:b/>
                <w:sz w:val="22"/>
                <w:szCs w:val="22"/>
              </w:rPr>
              <w:t>Frequently-Used Specialist</w:t>
            </w:r>
          </w:p>
        </w:tc>
        <w:tc>
          <w:tcPr>
            <w:tcW w:w="2065" w:type="dxa"/>
            <w:shd w:val="clear" w:color="auto" w:fill="auto"/>
            <w:vAlign w:val="center"/>
          </w:tcPr>
          <w:p w14:paraId="2FE80C5D"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Allergy</w:t>
            </w:r>
          </w:p>
        </w:tc>
        <w:tc>
          <w:tcPr>
            <w:tcW w:w="2790" w:type="dxa"/>
            <w:shd w:val="clear" w:color="auto" w:fill="auto"/>
            <w:vAlign w:val="center"/>
          </w:tcPr>
          <w:p w14:paraId="3B7CCE4A" w14:textId="0720FDC0"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4E814B48" w14:textId="342646F4"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1BD0DA20" w14:textId="77777777" w:rsidTr="00235E1B">
        <w:trPr>
          <w:jc w:val="center"/>
        </w:trPr>
        <w:tc>
          <w:tcPr>
            <w:tcW w:w="1710" w:type="dxa"/>
            <w:vMerge/>
            <w:shd w:val="clear" w:color="auto" w:fill="auto"/>
          </w:tcPr>
          <w:p w14:paraId="0200A0C3"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6D2400C6"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Audiology</w:t>
            </w:r>
          </w:p>
        </w:tc>
        <w:tc>
          <w:tcPr>
            <w:tcW w:w="2790" w:type="dxa"/>
            <w:shd w:val="clear" w:color="auto" w:fill="DEEAF6" w:themeFill="accent1" w:themeFillTint="33"/>
            <w:vAlign w:val="center"/>
          </w:tcPr>
          <w:p w14:paraId="0C0A1352" w14:textId="5872D53D"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134D6964" w14:textId="3E02C9F2"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0058CE3A" w14:textId="77777777" w:rsidTr="00235E1B">
        <w:trPr>
          <w:jc w:val="center"/>
        </w:trPr>
        <w:tc>
          <w:tcPr>
            <w:tcW w:w="1710" w:type="dxa"/>
            <w:vMerge/>
            <w:shd w:val="clear" w:color="auto" w:fill="auto"/>
          </w:tcPr>
          <w:p w14:paraId="364CCB54"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auto"/>
            <w:vAlign w:val="center"/>
          </w:tcPr>
          <w:p w14:paraId="3B2116DB"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Cardiology</w:t>
            </w:r>
          </w:p>
        </w:tc>
        <w:tc>
          <w:tcPr>
            <w:tcW w:w="2790" w:type="dxa"/>
            <w:shd w:val="clear" w:color="auto" w:fill="auto"/>
            <w:vAlign w:val="center"/>
          </w:tcPr>
          <w:p w14:paraId="3BC81DEF" w14:textId="5E83A27E"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02CCA815" w14:textId="7993F26C"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79A4F688" w14:textId="77777777" w:rsidTr="00235E1B">
        <w:trPr>
          <w:jc w:val="center"/>
        </w:trPr>
        <w:tc>
          <w:tcPr>
            <w:tcW w:w="1710" w:type="dxa"/>
            <w:vMerge/>
            <w:shd w:val="clear" w:color="auto" w:fill="auto"/>
          </w:tcPr>
          <w:p w14:paraId="69EC3B12"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26A314A0"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Dermatology</w:t>
            </w:r>
          </w:p>
        </w:tc>
        <w:tc>
          <w:tcPr>
            <w:tcW w:w="2790" w:type="dxa"/>
            <w:shd w:val="clear" w:color="auto" w:fill="DEEAF6" w:themeFill="accent1" w:themeFillTint="33"/>
            <w:vAlign w:val="center"/>
          </w:tcPr>
          <w:p w14:paraId="03CBE720" w14:textId="5EFC48DE"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14436C78" w14:textId="073127AE"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C72000" w:rsidRPr="0063141E" w14:paraId="3851198F" w14:textId="77777777" w:rsidTr="00235E1B">
        <w:trPr>
          <w:jc w:val="center"/>
        </w:trPr>
        <w:tc>
          <w:tcPr>
            <w:tcW w:w="1710" w:type="dxa"/>
            <w:vMerge/>
            <w:shd w:val="clear" w:color="auto" w:fill="auto"/>
          </w:tcPr>
          <w:p w14:paraId="4892AF6D" w14:textId="77777777" w:rsidR="00C72000" w:rsidRPr="00235E1B" w:rsidRDefault="00C72000" w:rsidP="00257641">
            <w:pPr>
              <w:keepNext/>
              <w:spacing w:after="0"/>
              <w:rPr>
                <w:rFonts w:asciiTheme="minorHAnsi" w:hAnsiTheme="minorHAnsi"/>
                <w:b/>
                <w:sz w:val="22"/>
                <w:szCs w:val="22"/>
              </w:rPr>
            </w:pPr>
          </w:p>
        </w:tc>
        <w:tc>
          <w:tcPr>
            <w:tcW w:w="2065" w:type="dxa"/>
            <w:shd w:val="clear" w:color="auto" w:fill="auto"/>
            <w:vAlign w:val="center"/>
          </w:tcPr>
          <w:p w14:paraId="3E60B15A" w14:textId="77777777"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General Surgery</w:t>
            </w:r>
          </w:p>
        </w:tc>
        <w:tc>
          <w:tcPr>
            <w:tcW w:w="2790" w:type="dxa"/>
            <w:shd w:val="clear" w:color="auto" w:fill="auto"/>
            <w:vAlign w:val="center"/>
          </w:tcPr>
          <w:p w14:paraId="67EBED7A" w14:textId="19D49D15"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4A3397BD" w14:textId="406E70D8"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C72000" w:rsidRPr="0063141E" w14:paraId="4326E2F5" w14:textId="77777777" w:rsidTr="00235E1B">
        <w:trPr>
          <w:jc w:val="center"/>
        </w:trPr>
        <w:tc>
          <w:tcPr>
            <w:tcW w:w="1710" w:type="dxa"/>
            <w:vMerge/>
            <w:shd w:val="clear" w:color="auto" w:fill="auto"/>
          </w:tcPr>
          <w:p w14:paraId="1A4E4C02" w14:textId="77777777" w:rsidR="00C72000" w:rsidRPr="00235E1B" w:rsidRDefault="00C72000"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48C6A006" w14:textId="77777777"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Gastroenterology</w:t>
            </w:r>
          </w:p>
        </w:tc>
        <w:tc>
          <w:tcPr>
            <w:tcW w:w="2790" w:type="dxa"/>
            <w:shd w:val="clear" w:color="auto" w:fill="DEEAF6" w:themeFill="accent1" w:themeFillTint="33"/>
            <w:vAlign w:val="center"/>
          </w:tcPr>
          <w:p w14:paraId="2F7BD05C" w14:textId="0C9AE4F5"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21EAAE21" w14:textId="61024772"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C72000" w:rsidRPr="0063141E" w14:paraId="3B54A8D1" w14:textId="77777777" w:rsidTr="00235E1B">
        <w:trPr>
          <w:jc w:val="center"/>
        </w:trPr>
        <w:tc>
          <w:tcPr>
            <w:tcW w:w="1710" w:type="dxa"/>
            <w:vMerge/>
            <w:shd w:val="clear" w:color="auto" w:fill="auto"/>
          </w:tcPr>
          <w:p w14:paraId="45DDA8F8" w14:textId="77777777" w:rsidR="00C72000" w:rsidRPr="00235E1B" w:rsidRDefault="00C72000" w:rsidP="00257641">
            <w:pPr>
              <w:keepNext/>
              <w:spacing w:after="0"/>
              <w:rPr>
                <w:rFonts w:asciiTheme="minorHAnsi" w:hAnsiTheme="minorHAnsi"/>
                <w:b/>
                <w:sz w:val="22"/>
                <w:szCs w:val="22"/>
              </w:rPr>
            </w:pPr>
          </w:p>
        </w:tc>
        <w:tc>
          <w:tcPr>
            <w:tcW w:w="2065" w:type="dxa"/>
            <w:shd w:val="clear" w:color="auto" w:fill="auto"/>
            <w:vAlign w:val="center"/>
          </w:tcPr>
          <w:p w14:paraId="63A8155F" w14:textId="77777777"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Neurology</w:t>
            </w:r>
          </w:p>
        </w:tc>
        <w:tc>
          <w:tcPr>
            <w:tcW w:w="2790" w:type="dxa"/>
            <w:shd w:val="clear" w:color="auto" w:fill="auto"/>
            <w:vAlign w:val="center"/>
          </w:tcPr>
          <w:p w14:paraId="451ECCA8" w14:textId="2D4E3291"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7E8E7CBF" w14:textId="3BF51B22"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C72000" w:rsidRPr="0063141E" w14:paraId="06E096DF" w14:textId="77777777" w:rsidTr="00235E1B">
        <w:trPr>
          <w:jc w:val="center"/>
        </w:trPr>
        <w:tc>
          <w:tcPr>
            <w:tcW w:w="1710" w:type="dxa"/>
            <w:vMerge/>
            <w:shd w:val="clear" w:color="auto" w:fill="auto"/>
          </w:tcPr>
          <w:p w14:paraId="39DD3677" w14:textId="77777777" w:rsidR="00C72000" w:rsidRPr="00235E1B" w:rsidRDefault="00C72000"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767F3337" w14:textId="77777777"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Occupational Therapy</w:t>
            </w:r>
          </w:p>
        </w:tc>
        <w:tc>
          <w:tcPr>
            <w:tcW w:w="2790" w:type="dxa"/>
            <w:shd w:val="clear" w:color="auto" w:fill="DEEAF6" w:themeFill="accent1" w:themeFillTint="33"/>
            <w:vAlign w:val="center"/>
          </w:tcPr>
          <w:p w14:paraId="503FB29E" w14:textId="2BF6BAEB"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1937A5CE" w14:textId="499E12AF"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C72000" w:rsidRPr="0063141E" w14:paraId="58D6304D" w14:textId="77777777" w:rsidTr="00235E1B">
        <w:trPr>
          <w:jc w:val="center"/>
        </w:trPr>
        <w:tc>
          <w:tcPr>
            <w:tcW w:w="1710" w:type="dxa"/>
            <w:vMerge/>
            <w:shd w:val="clear" w:color="auto" w:fill="auto"/>
          </w:tcPr>
          <w:p w14:paraId="7108A3FA" w14:textId="77777777" w:rsidR="00C72000" w:rsidRPr="00235E1B" w:rsidRDefault="00C72000" w:rsidP="00257641">
            <w:pPr>
              <w:keepNext/>
              <w:spacing w:after="0"/>
              <w:rPr>
                <w:rFonts w:asciiTheme="minorHAnsi" w:hAnsiTheme="minorHAnsi"/>
                <w:b/>
                <w:sz w:val="22"/>
                <w:szCs w:val="22"/>
              </w:rPr>
            </w:pPr>
          </w:p>
        </w:tc>
        <w:tc>
          <w:tcPr>
            <w:tcW w:w="2065" w:type="dxa"/>
            <w:shd w:val="clear" w:color="auto" w:fill="auto"/>
            <w:vAlign w:val="center"/>
          </w:tcPr>
          <w:p w14:paraId="7387AC26" w14:textId="77777777"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Oncology</w:t>
            </w:r>
          </w:p>
        </w:tc>
        <w:tc>
          <w:tcPr>
            <w:tcW w:w="2790" w:type="dxa"/>
            <w:shd w:val="clear" w:color="auto" w:fill="auto"/>
            <w:vAlign w:val="center"/>
          </w:tcPr>
          <w:p w14:paraId="3AEB7629" w14:textId="336DA5D5"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66760622" w14:textId="36B43895"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C72000" w:rsidRPr="0063141E" w14:paraId="7B6BEF66" w14:textId="77777777" w:rsidTr="00235E1B">
        <w:trPr>
          <w:jc w:val="center"/>
        </w:trPr>
        <w:tc>
          <w:tcPr>
            <w:tcW w:w="1710" w:type="dxa"/>
            <w:vMerge/>
            <w:shd w:val="clear" w:color="auto" w:fill="auto"/>
          </w:tcPr>
          <w:p w14:paraId="2C07CDAB" w14:textId="77777777" w:rsidR="00C72000" w:rsidRPr="00235E1B" w:rsidRDefault="00C72000"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4269EED7" w14:textId="77777777"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Ophthalmology</w:t>
            </w:r>
          </w:p>
        </w:tc>
        <w:tc>
          <w:tcPr>
            <w:tcW w:w="2790" w:type="dxa"/>
            <w:shd w:val="clear" w:color="auto" w:fill="DEEAF6" w:themeFill="accent1" w:themeFillTint="33"/>
            <w:vAlign w:val="center"/>
          </w:tcPr>
          <w:p w14:paraId="62A78DA9" w14:textId="107FBBC4"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15CD2E0A" w14:textId="7620C80D"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C72000" w:rsidRPr="0063141E" w14:paraId="22E8525E" w14:textId="77777777" w:rsidTr="00235E1B">
        <w:trPr>
          <w:jc w:val="center"/>
        </w:trPr>
        <w:tc>
          <w:tcPr>
            <w:tcW w:w="1710" w:type="dxa"/>
            <w:vMerge/>
            <w:shd w:val="clear" w:color="auto" w:fill="auto"/>
          </w:tcPr>
          <w:p w14:paraId="76CC1DFA" w14:textId="77777777" w:rsidR="00C72000" w:rsidRPr="00235E1B" w:rsidRDefault="00C72000" w:rsidP="00257641">
            <w:pPr>
              <w:keepNext/>
              <w:spacing w:after="0"/>
              <w:rPr>
                <w:rFonts w:asciiTheme="minorHAnsi" w:hAnsiTheme="minorHAnsi"/>
                <w:b/>
                <w:sz w:val="22"/>
                <w:szCs w:val="22"/>
              </w:rPr>
            </w:pPr>
          </w:p>
        </w:tc>
        <w:tc>
          <w:tcPr>
            <w:tcW w:w="2065" w:type="dxa"/>
            <w:shd w:val="clear" w:color="auto" w:fill="auto"/>
            <w:vAlign w:val="center"/>
          </w:tcPr>
          <w:p w14:paraId="0FA6FED4" w14:textId="77777777"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Orthopedics</w:t>
            </w:r>
          </w:p>
        </w:tc>
        <w:tc>
          <w:tcPr>
            <w:tcW w:w="2790" w:type="dxa"/>
            <w:shd w:val="clear" w:color="auto" w:fill="auto"/>
            <w:vAlign w:val="center"/>
          </w:tcPr>
          <w:p w14:paraId="01F7B30E" w14:textId="0F530A73"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290E4135" w14:textId="50F27ECF"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C72000" w:rsidRPr="0063141E" w14:paraId="2F6E285B" w14:textId="77777777" w:rsidTr="00235E1B">
        <w:trPr>
          <w:jc w:val="center"/>
        </w:trPr>
        <w:tc>
          <w:tcPr>
            <w:tcW w:w="1710" w:type="dxa"/>
            <w:vMerge/>
            <w:shd w:val="clear" w:color="auto" w:fill="auto"/>
          </w:tcPr>
          <w:p w14:paraId="45AC97E5" w14:textId="77777777" w:rsidR="00C72000" w:rsidRPr="00235E1B" w:rsidRDefault="00C72000"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094C0B6E" w14:textId="77777777"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Orthopedic Surgeon</w:t>
            </w:r>
          </w:p>
        </w:tc>
        <w:tc>
          <w:tcPr>
            <w:tcW w:w="2790" w:type="dxa"/>
            <w:shd w:val="clear" w:color="auto" w:fill="DEEAF6" w:themeFill="accent1" w:themeFillTint="33"/>
            <w:vAlign w:val="center"/>
          </w:tcPr>
          <w:p w14:paraId="1802DD49" w14:textId="7FC492C0"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6EBEF948" w14:textId="169CCA20" w:rsidR="00C72000" w:rsidRPr="00235E1B" w:rsidRDefault="00C72000"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56D9F0E6" w14:textId="77777777" w:rsidTr="00235E1B">
        <w:trPr>
          <w:jc w:val="center"/>
        </w:trPr>
        <w:tc>
          <w:tcPr>
            <w:tcW w:w="1710" w:type="dxa"/>
            <w:vMerge/>
            <w:shd w:val="clear" w:color="auto" w:fill="auto"/>
          </w:tcPr>
          <w:p w14:paraId="300F05CC"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auto"/>
            <w:vAlign w:val="center"/>
          </w:tcPr>
          <w:p w14:paraId="4B5E3BAD"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Otolaryngology / Otorhinolaryngology</w:t>
            </w:r>
          </w:p>
        </w:tc>
        <w:tc>
          <w:tcPr>
            <w:tcW w:w="2790" w:type="dxa"/>
            <w:shd w:val="clear" w:color="auto" w:fill="auto"/>
            <w:vAlign w:val="center"/>
          </w:tcPr>
          <w:p w14:paraId="5018DC29" w14:textId="650E9A9F"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7B71C686" w14:textId="40EFF1B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611F2E5A" w14:textId="77777777" w:rsidTr="00235E1B">
        <w:trPr>
          <w:jc w:val="center"/>
        </w:trPr>
        <w:tc>
          <w:tcPr>
            <w:tcW w:w="1710" w:type="dxa"/>
            <w:vMerge/>
            <w:shd w:val="clear" w:color="auto" w:fill="auto"/>
          </w:tcPr>
          <w:p w14:paraId="01FB88E4"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29BF446F"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Physical Therapy</w:t>
            </w:r>
          </w:p>
        </w:tc>
        <w:tc>
          <w:tcPr>
            <w:tcW w:w="2790" w:type="dxa"/>
            <w:shd w:val="clear" w:color="auto" w:fill="DEEAF6" w:themeFill="accent1" w:themeFillTint="33"/>
            <w:vAlign w:val="center"/>
          </w:tcPr>
          <w:p w14:paraId="25F8D15B" w14:textId="6F7306EF"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093C15DB" w14:textId="64C2F333"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2E98A9D3" w14:textId="77777777" w:rsidTr="00235E1B">
        <w:trPr>
          <w:jc w:val="center"/>
        </w:trPr>
        <w:tc>
          <w:tcPr>
            <w:tcW w:w="1710" w:type="dxa"/>
            <w:vMerge/>
            <w:shd w:val="clear" w:color="auto" w:fill="auto"/>
          </w:tcPr>
          <w:p w14:paraId="04420A97"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auto"/>
            <w:vAlign w:val="center"/>
          </w:tcPr>
          <w:p w14:paraId="749CF8CD"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Pulmonology</w:t>
            </w:r>
          </w:p>
        </w:tc>
        <w:tc>
          <w:tcPr>
            <w:tcW w:w="2790" w:type="dxa"/>
            <w:shd w:val="clear" w:color="auto" w:fill="auto"/>
            <w:vAlign w:val="center"/>
          </w:tcPr>
          <w:p w14:paraId="5302182F" w14:textId="1F379C31"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706D5D14" w14:textId="55846421"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4F7955F9" w14:textId="77777777" w:rsidTr="00235E1B">
        <w:trPr>
          <w:jc w:val="center"/>
        </w:trPr>
        <w:tc>
          <w:tcPr>
            <w:tcW w:w="1710" w:type="dxa"/>
            <w:vMerge/>
            <w:shd w:val="clear" w:color="auto" w:fill="auto"/>
          </w:tcPr>
          <w:p w14:paraId="31B7CA50"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72D91D8D"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Physical Medicine and Rehabilitation Specialist</w:t>
            </w:r>
          </w:p>
        </w:tc>
        <w:tc>
          <w:tcPr>
            <w:tcW w:w="2790" w:type="dxa"/>
            <w:shd w:val="clear" w:color="auto" w:fill="DEEAF6" w:themeFill="accent1" w:themeFillTint="33"/>
            <w:vAlign w:val="center"/>
          </w:tcPr>
          <w:p w14:paraId="071CDD7C" w14:textId="62CAEE73"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1E58CB3B" w14:textId="1266A6E2"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4D27656E" w14:textId="77777777" w:rsidTr="00235E1B">
        <w:trPr>
          <w:jc w:val="center"/>
        </w:trPr>
        <w:tc>
          <w:tcPr>
            <w:tcW w:w="1710" w:type="dxa"/>
            <w:vMerge/>
            <w:shd w:val="clear" w:color="auto" w:fill="auto"/>
          </w:tcPr>
          <w:p w14:paraId="7CE40C7E"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auto"/>
            <w:vAlign w:val="center"/>
          </w:tcPr>
          <w:p w14:paraId="53C03236"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Speech Therapy</w:t>
            </w:r>
          </w:p>
        </w:tc>
        <w:tc>
          <w:tcPr>
            <w:tcW w:w="2790" w:type="dxa"/>
            <w:shd w:val="clear" w:color="auto" w:fill="auto"/>
            <w:vAlign w:val="center"/>
          </w:tcPr>
          <w:p w14:paraId="6048C723" w14:textId="6576AD50"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03E39713" w14:textId="7969860E"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 xml:space="preserve">Two </w:t>
            </w:r>
            <w:r w:rsidRPr="00235E1B">
              <w:rPr>
                <w:rFonts w:asciiTheme="minorHAnsi" w:hAnsiTheme="minorHAnsi"/>
                <w:b/>
                <w:sz w:val="22"/>
                <w:szCs w:val="22"/>
              </w:rPr>
              <w:t>(2)</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3D40BCE8" w14:textId="77777777" w:rsidTr="00235E1B">
        <w:trPr>
          <w:jc w:val="center"/>
        </w:trPr>
        <w:tc>
          <w:tcPr>
            <w:tcW w:w="1710" w:type="dxa"/>
            <w:vMerge w:val="restart"/>
            <w:shd w:val="clear" w:color="auto" w:fill="auto"/>
          </w:tcPr>
          <w:p w14:paraId="544F93E0" w14:textId="08F9A56F" w:rsidR="007B5CD8" w:rsidRPr="00235E1B" w:rsidRDefault="007B5CD8" w:rsidP="00257641">
            <w:pPr>
              <w:keepNext/>
              <w:spacing w:after="0"/>
              <w:rPr>
                <w:rFonts w:asciiTheme="minorHAnsi" w:hAnsiTheme="minorHAnsi"/>
                <w:b/>
                <w:sz w:val="22"/>
                <w:szCs w:val="22"/>
              </w:rPr>
            </w:pPr>
            <w:r w:rsidRPr="00235E1B">
              <w:rPr>
                <w:rFonts w:asciiTheme="minorHAnsi" w:hAnsiTheme="minorHAnsi"/>
                <w:b/>
                <w:sz w:val="22"/>
                <w:szCs w:val="22"/>
              </w:rPr>
              <w:t>Other Specialist</w:t>
            </w:r>
          </w:p>
        </w:tc>
        <w:tc>
          <w:tcPr>
            <w:tcW w:w="2065" w:type="dxa"/>
            <w:shd w:val="clear" w:color="auto" w:fill="DEEAF6" w:themeFill="accent1" w:themeFillTint="33"/>
            <w:vAlign w:val="center"/>
          </w:tcPr>
          <w:p w14:paraId="0BE8E34D"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Anesthesiology</w:t>
            </w:r>
          </w:p>
        </w:tc>
        <w:tc>
          <w:tcPr>
            <w:tcW w:w="2790" w:type="dxa"/>
            <w:shd w:val="clear" w:color="auto" w:fill="DEEAF6" w:themeFill="accent1" w:themeFillTint="33"/>
            <w:vAlign w:val="center"/>
          </w:tcPr>
          <w:p w14:paraId="6FC6B410" w14:textId="68AEEBD6"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33938421" w14:textId="630C73E3"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22DF658D" w14:textId="77777777" w:rsidTr="00235E1B">
        <w:trPr>
          <w:jc w:val="center"/>
        </w:trPr>
        <w:tc>
          <w:tcPr>
            <w:tcW w:w="1710" w:type="dxa"/>
            <w:vMerge/>
            <w:shd w:val="clear" w:color="auto" w:fill="auto"/>
          </w:tcPr>
          <w:p w14:paraId="779BED1D"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auto"/>
            <w:vAlign w:val="center"/>
          </w:tcPr>
          <w:p w14:paraId="33E473C3"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Chiropractic</w:t>
            </w:r>
          </w:p>
        </w:tc>
        <w:tc>
          <w:tcPr>
            <w:tcW w:w="2790" w:type="dxa"/>
            <w:shd w:val="clear" w:color="auto" w:fill="auto"/>
            <w:vAlign w:val="center"/>
          </w:tcPr>
          <w:p w14:paraId="783869A6" w14:textId="199A5FB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6AA04E0E" w14:textId="34F6B988"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5494C491" w14:textId="77777777" w:rsidTr="00235E1B">
        <w:trPr>
          <w:jc w:val="center"/>
        </w:trPr>
        <w:tc>
          <w:tcPr>
            <w:tcW w:w="1710" w:type="dxa"/>
            <w:vMerge/>
            <w:shd w:val="clear" w:color="auto" w:fill="auto"/>
          </w:tcPr>
          <w:p w14:paraId="6F478C5D"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26E0CA31"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Dialysis</w:t>
            </w:r>
          </w:p>
        </w:tc>
        <w:tc>
          <w:tcPr>
            <w:tcW w:w="2790" w:type="dxa"/>
            <w:shd w:val="clear" w:color="auto" w:fill="DEEAF6" w:themeFill="accent1" w:themeFillTint="33"/>
            <w:vAlign w:val="center"/>
          </w:tcPr>
          <w:p w14:paraId="76CFCB1B" w14:textId="5256A354"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1F1A7204" w14:textId="2739FDF1"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1DD7A864" w14:textId="77777777" w:rsidTr="00235E1B">
        <w:trPr>
          <w:jc w:val="center"/>
        </w:trPr>
        <w:tc>
          <w:tcPr>
            <w:tcW w:w="1710" w:type="dxa"/>
            <w:vMerge/>
            <w:shd w:val="clear" w:color="auto" w:fill="auto"/>
          </w:tcPr>
          <w:p w14:paraId="6A45C298"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auto"/>
            <w:vAlign w:val="center"/>
          </w:tcPr>
          <w:p w14:paraId="11472BD8"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Durable Medical Equipment (DME)</w:t>
            </w:r>
          </w:p>
        </w:tc>
        <w:tc>
          <w:tcPr>
            <w:tcW w:w="2790" w:type="dxa"/>
            <w:shd w:val="clear" w:color="auto" w:fill="auto"/>
            <w:vAlign w:val="center"/>
          </w:tcPr>
          <w:p w14:paraId="20341698" w14:textId="60C4C20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5E708628" w14:textId="1CAFD2BB"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0BC4305F" w14:textId="77777777" w:rsidTr="00235E1B">
        <w:trPr>
          <w:jc w:val="center"/>
        </w:trPr>
        <w:tc>
          <w:tcPr>
            <w:tcW w:w="1710" w:type="dxa"/>
            <w:vMerge/>
            <w:shd w:val="clear" w:color="auto" w:fill="auto"/>
          </w:tcPr>
          <w:p w14:paraId="7563C177"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0F01FAD4"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Endocrinology</w:t>
            </w:r>
          </w:p>
        </w:tc>
        <w:tc>
          <w:tcPr>
            <w:tcW w:w="2790" w:type="dxa"/>
            <w:shd w:val="clear" w:color="auto" w:fill="DEEAF6" w:themeFill="accent1" w:themeFillTint="33"/>
            <w:vAlign w:val="center"/>
          </w:tcPr>
          <w:p w14:paraId="63F0A353" w14:textId="775471B0"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58FA0CA6" w14:textId="095383B6"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31D4E6BA" w14:textId="77777777" w:rsidTr="00235E1B">
        <w:trPr>
          <w:jc w:val="center"/>
        </w:trPr>
        <w:tc>
          <w:tcPr>
            <w:tcW w:w="1710" w:type="dxa"/>
            <w:vMerge/>
            <w:shd w:val="clear" w:color="auto" w:fill="auto"/>
          </w:tcPr>
          <w:p w14:paraId="00806DDA"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auto"/>
            <w:vAlign w:val="center"/>
          </w:tcPr>
          <w:p w14:paraId="5A0306A8"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Hematology</w:t>
            </w:r>
          </w:p>
        </w:tc>
        <w:tc>
          <w:tcPr>
            <w:tcW w:w="2790" w:type="dxa"/>
            <w:shd w:val="clear" w:color="auto" w:fill="auto"/>
            <w:vAlign w:val="center"/>
          </w:tcPr>
          <w:p w14:paraId="72A1B4E1" w14:textId="7D9A6365"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7F59C484" w14:textId="21B68890"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184BBE09" w14:textId="77777777" w:rsidTr="00235E1B">
        <w:trPr>
          <w:jc w:val="center"/>
        </w:trPr>
        <w:tc>
          <w:tcPr>
            <w:tcW w:w="1710" w:type="dxa"/>
            <w:vMerge/>
            <w:shd w:val="clear" w:color="auto" w:fill="auto"/>
          </w:tcPr>
          <w:p w14:paraId="4FA44144"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6B68A36B"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Home Health Services</w:t>
            </w:r>
          </w:p>
        </w:tc>
        <w:tc>
          <w:tcPr>
            <w:tcW w:w="2790" w:type="dxa"/>
            <w:shd w:val="clear" w:color="auto" w:fill="DEEAF6" w:themeFill="accent1" w:themeFillTint="33"/>
            <w:vAlign w:val="center"/>
          </w:tcPr>
          <w:p w14:paraId="19F9D531" w14:textId="26E420A4"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7545F819" w14:textId="40A52143"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28ED7ADB" w14:textId="77777777" w:rsidTr="00235E1B">
        <w:trPr>
          <w:jc w:val="center"/>
        </w:trPr>
        <w:tc>
          <w:tcPr>
            <w:tcW w:w="1710" w:type="dxa"/>
            <w:vMerge/>
            <w:shd w:val="clear" w:color="auto" w:fill="auto"/>
          </w:tcPr>
          <w:p w14:paraId="2CC628ED"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auto"/>
            <w:vAlign w:val="center"/>
          </w:tcPr>
          <w:p w14:paraId="491CD4C7"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Laboratory</w:t>
            </w:r>
          </w:p>
        </w:tc>
        <w:tc>
          <w:tcPr>
            <w:tcW w:w="2790" w:type="dxa"/>
            <w:shd w:val="clear" w:color="auto" w:fill="auto"/>
            <w:vAlign w:val="center"/>
          </w:tcPr>
          <w:p w14:paraId="3195217C" w14:textId="18C4EC4D"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2C5A8D5A" w14:textId="20748814"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009050AA" w14:textId="77777777" w:rsidTr="00235E1B">
        <w:trPr>
          <w:jc w:val="center"/>
        </w:trPr>
        <w:tc>
          <w:tcPr>
            <w:tcW w:w="1710" w:type="dxa"/>
            <w:vMerge/>
            <w:shd w:val="clear" w:color="auto" w:fill="auto"/>
          </w:tcPr>
          <w:p w14:paraId="398EF023"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3B9F3A9E"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Nephrology</w:t>
            </w:r>
          </w:p>
        </w:tc>
        <w:tc>
          <w:tcPr>
            <w:tcW w:w="2790" w:type="dxa"/>
            <w:shd w:val="clear" w:color="auto" w:fill="DEEAF6" w:themeFill="accent1" w:themeFillTint="33"/>
            <w:vAlign w:val="center"/>
          </w:tcPr>
          <w:p w14:paraId="47280C37" w14:textId="55AA0CB4"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073E6AB5" w14:textId="4132710E"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7263889A" w14:textId="77777777" w:rsidTr="00235E1B">
        <w:trPr>
          <w:jc w:val="center"/>
        </w:trPr>
        <w:tc>
          <w:tcPr>
            <w:tcW w:w="1710" w:type="dxa"/>
            <w:vMerge/>
            <w:shd w:val="clear" w:color="auto" w:fill="auto"/>
          </w:tcPr>
          <w:p w14:paraId="3B7331FF"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auto"/>
            <w:vAlign w:val="center"/>
          </w:tcPr>
          <w:p w14:paraId="4D51CBDE"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Neurosurgery</w:t>
            </w:r>
          </w:p>
        </w:tc>
        <w:tc>
          <w:tcPr>
            <w:tcW w:w="2790" w:type="dxa"/>
            <w:vAlign w:val="center"/>
          </w:tcPr>
          <w:p w14:paraId="741D4D06" w14:textId="02D077C6"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62B91B92" w14:textId="6669638F"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577A1EFD" w14:textId="77777777" w:rsidTr="00235E1B">
        <w:trPr>
          <w:jc w:val="center"/>
        </w:trPr>
        <w:tc>
          <w:tcPr>
            <w:tcW w:w="1710" w:type="dxa"/>
            <w:vMerge/>
            <w:shd w:val="clear" w:color="auto" w:fill="auto"/>
          </w:tcPr>
          <w:p w14:paraId="6F7C709B"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13F8E378"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Orthotics and Prosthetics</w:t>
            </w:r>
          </w:p>
        </w:tc>
        <w:tc>
          <w:tcPr>
            <w:tcW w:w="2790" w:type="dxa"/>
            <w:shd w:val="clear" w:color="auto" w:fill="DEEAF6" w:themeFill="accent1" w:themeFillTint="33"/>
            <w:vAlign w:val="center"/>
          </w:tcPr>
          <w:p w14:paraId="3B1E92B4" w14:textId="69ACA780"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524C62E0" w14:textId="2320C47C"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44658D09" w14:textId="77777777" w:rsidTr="00235E1B">
        <w:trPr>
          <w:jc w:val="center"/>
        </w:trPr>
        <w:tc>
          <w:tcPr>
            <w:tcW w:w="1710" w:type="dxa"/>
            <w:vMerge/>
            <w:shd w:val="clear" w:color="auto" w:fill="auto"/>
          </w:tcPr>
          <w:p w14:paraId="0303B42B"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auto"/>
            <w:vAlign w:val="center"/>
          </w:tcPr>
          <w:p w14:paraId="40238A72"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Pathology</w:t>
            </w:r>
          </w:p>
        </w:tc>
        <w:tc>
          <w:tcPr>
            <w:tcW w:w="2790" w:type="dxa"/>
            <w:vAlign w:val="center"/>
          </w:tcPr>
          <w:p w14:paraId="4A17AFB9" w14:textId="1FA2D98E"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758D2F89" w14:textId="1EEECC13"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47CD8472" w14:textId="77777777" w:rsidTr="00235E1B">
        <w:trPr>
          <w:jc w:val="center"/>
        </w:trPr>
        <w:tc>
          <w:tcPr>
            <w:tcW w:w="1710" w:type="dxa"/>
            <w:vMerge/>
            <w:shd w:val="clear" w:color="auto" w:fill="auto"/>
          </w:tcPr>
          <w:p w14:paraId="06E06C43"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6AA5FF95"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Plastic Surgery</w:t>
            </w:r>
          </w:p>
        </w:tc>
        <w:tc>
          <w:tcPr>
            <w:tcW w:w="2790" w:type="dxa"/>
            <w:shd w:val="clear" w:color="auto" w:fill="DEEAF6" w:themeFill="accent1" w:themeFillTint="33"/>
            <w:vAlign w:val="center"/>
          </w:tcPr>
          <w:p w14:paraId="360AE752" w14:textId="4580E052"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3EB1D88E" w14:textId="09BD163D"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189BDD1D" w14:textId="77777777" w:rsidTr="00235E1B">
        <w:trPr>
          <w:jc w:val="center"/>
        </w:trPr>
        <w:tc>
          <w:tcPr>
            <w:tcW w:w="1710" w:type="dxa"/>
            <w:vMerge/>
            <w:shd w:val="clear" w:color="auto" w:fill="auto"/>
          </w:tcPr>
          <w:p w14:paraId="325EE07B"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auto"/>
            <w:vAlign w:val="center"/>
          </w:tcPr>
          <w:p w14:paraId="7CD6AB11"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Podiatry</w:t>
            </w:r>
          </w:p>
        </w:tc>
        <w:tc>
          <w:tcPr>
            <w:tcW w:w="2790" w:type="dxa"/>
            <w:vAlign w:val="center"/>
          </w:tcPr>
          <w:p w14:paraId="00963F0E" w14:textId="7C2A8B6B"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541DDC5E" w14:textId="5B59015D" w:rsidR="007B5CD8" w:rsidRPr="00235E1B" w:rsidRDefault="007B5CD8" w:rsidP="00235E1B">
            <w:pPr>
              <w:keepNext/>
              <w:spacing w:after="0"/>
              <w:rPr>
                <w:rFonts w:asciiTheme="minorHAnsi" w:hAnsiTheme="minorHAnsi"/>
                <w:b/>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1C2855FA" w14:textId="77777777" w:rsidTr="00235E1B">
        <w:trPr>
          <w:jc w:val="center"/>
        </w:trPr>
        <w:tc>
          <w:tcPr>
            <w:tcW w:w="1710" w:type="dxa"/>
            <w:vMerge/>
            <w:shd w:val="clear" w:color="auto" w:fill="auto"/>
          </w:tcPr>
          <w:p w14:paraId="2E7E68A5"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428143E1"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Radiology</w:t>
            </w:r>
          </w:p>
        </w:tc>
        <w:tc>
          <w:tcPr>
            <w:tcW w:w="2790" w:type="dxa"/>
            <w:shd w:val="clear" w:color="auto" w:fill="DEEAF6" w:themeFill="accent1" w:themeFillTint="33"/>
            <w:vAlign w:val="center"/>
          </w:tcPr>
          <w:p w14:paraId="0547D8DC" w14:textId="07337BB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06A251CA" w14:textId="1EFDAFA4" w:rsidR="007B5CD8" w:rsidRPr="00235E1B" w:rsidRDefault="007B5CD8" w:rsidP="00235E1B">
            <w:pPr>
              <w:keepNext/>
              <w:spacing w:after="0"/>
              <w:rPr>
                <w:rFonts w:asciiTheme="minorHAnsi" w:hAnsiTheme="minorHAnsi"/>
                <w:b/>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3C686996" w14:textId="77777777" w:rsidTr="00235E1B">
        <w:trPr>
          <w:jc w:val="center"/>
        </w:trPr>
        <w:tc>
          <w:tcPr>
            <w:tcW w:w="1710" w:type="dxa"/>
            <w:vMerge/>
            <w:shd w:val="clear" w:color="auto" w:fill="auto"/>
          </w:tcPr>
          <w:p w14:paraId="52771603"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auto"/>
            <w:vAlign w:val="center"/>
          </w:tcPr>
          <w:p w14:paraId="3D9441CA"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Thoracic Surgery</w:t>
            </w:r>
          </w:p>
        </w:tc>
        <w:tc>
          <w:tcPr>
            <w:tcW w:w="2790" w:type="dxa"/>
            <w:vAlign w:val="center"/>
          </w:tcPr>
          <w:p w14:paraId="1AFFB5C4" w14:textId="5D1DC810"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auto"/>
            <w:vAlign w:val="center"/>
          </w:tcPr>
          <w:p w14:paraId="2A98A115" w14:textId="30572A54" w:rsidR="007B5CD8" w:rsidRPr="00235E1B" w:rsidRDefault="007B5CD8" w:rsidP="00235E1B">
            <w:pPr>
              <w:keepNext/>
              <w:spacing w:after="0"/>
              <w:rPr>
                <w:rFonts w:asciiTheme="minorHAnsi" w:hAnsiTheme="minorHAnsi"/>
                <w:b/>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526573AD" w14:textId="77777777" w:rsidTr="00235E1B">
        <w:trPr>
          <w:jc w:val="center"/>
        </w:trPr>
        <w:tc>
          <w:tcPr>
            <w:tcW w:w="1710" w:type="dxa"/>
            <w:vMerge/>
            <w:shd w:val="clear" w:color="auto" w:fill="auto"/>
          </w:tcPr>
          <w:p w14:paraId="0CA779DC"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0FFAA2A6"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Urology</w:t>
            </w:r>
          </w:p>
        </w:tc>
        <w:tc>
          <w:tcPr>
            <w:tcW w:w="2790" w:type="dxa"/>
            <w:shd w:val="clear" w:color="auto" w:fill="DEEAF6" w:themeFill="accent1" w:themeFillTint="33"/>
            <w:vAlign w:val="center"/>
          </w:tcPr>
          <w:p w14:paraId="41AD9759" w14:textId="5A90EA93"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006233AF" w14:textId="5EECE8D8" w:rsidR="007B5CD8" w:rsidRPr="00235E1B" w:rsidRDefault="007B5CD8" w:rsidP="00235E1B">
            <w:pPr>
              <w:keepNext/>
              <w:spacing w:after="0"/>
              <w:rPr>
                <w:rFonts w:asciiTheme="minorHAnsi" w:hAnsiTheme="minorHAnsi"/>
                <w:b/>
                <w:sz w:val="22"/>
                <w:szCs w:val="22"/>
              </w:rPr>
            </w:pPr>
            <w:r w:rsidRPr="00235E1B">
              <w:rPr>
                <w:rFonts w:asciiTheme="minorHAnsi" w:hAnsiTheme="minorHAnsi"/>
                <w:sz w:val="22"/>
                <w:szCs w:val="22"/>
              </w:rPr>
              <w:t>One</w:t>
            </w:r>
            <w:r w:rsidRPr="00235E1B">
              <w:rPr>
                <w:rFonts w:asciiTheme="minorHAnsi" w:hAnsiTheme="minorHAnsi"/>
                <w:b/>
                <w:sz w:val="22"/>
                <w:szCs w:val="22"/>
              </w:rPr>
              <w:t xml:space="preserve"> (1)</w:t>
            </w:r>
            <w:r w:rsidRPr="00235E1B">
              <w:rPr>
                <w:rFonts w:asciiTheme="minorHAnsi" w:hAnsiTheme="minorHAnsi"/>
                <w:sz w:val="22"/>
                <w:szCs w:val="22"/>
              </w:rPr>
              <w:t xml:space="preserve"> provider within twenty </w:t>
            </w:r>
            <w:r w:rsidRPr="00235E1B">
              <w:rPr>
                <w:rFonts w:asciiTheme="minorHAnsi" w:hAnsiTheme="minorHAnsi"/>
                <w:b/>
                <w:sz w:val="22"/>
                <w:szCs w:val="22"/>
              </w:rPr>
              <w:t>(20) miles</w:t>
            </w:r>
            <w:r w:rsidRPr="00235E1B">
              <w:rPr>
                <w:rFonts w:asciiTheme="minorHAnsi" w:hAnsiTheme="minorHAnsi"/>
                <w:sz w:val="22"/>
                <w:szCs w:val="22"/>
              </w:rPr>
              <w:t xml:space="preserve"> or thirty </w:t>
            </w:r>
            <w:r w:rsidRPr="00235E1B">
              <w:rPr>
                <w:rFonts w:asciiTheme="minorHAnsi" w:hAnsiTheme="minorHAnsi"/>
                <w:b/>
                <w:sz w:val="22"/>
                <w:szCs w:val="22"/>
              </w:rPr>
              <w:t>(30) minutes</w:t>
            </w:r>
            <w:r w:rsidRPr="00235E1B">
              <w:rPr>
                <w:rFonts w:asciiTheme="minorHAnsi" w:hAnsiTheme="minorHAnsi"/>
                <w:sz w:val="22"/>
                <w:szCs w:val="22"/>
              </w:rPr>
              <w:t xml:space="preserve"> travel time</w:t>
            </w:r>
          </w:p>
        </w:tc>
      </w:tr>
      <w:tr w:rsidR="007B5CD8" w:rsidRPr="0063141E" w14:paraId="5BF682E4" w14:textId="77777777" w:rsidTr="00235E1B">
        <w:trPr>
          <w:jc w:val="center"/>
        </w:trPr>
        <w:tc>
          <w:tcPr>
            <w:tcW w:w="1710" w:type="dxa"/>
            <w:vMerge w:val="restart"/>
            <w:shd w:val="clear" w:color="auto" w:fill="auto"/>
          </w:tcPr>
          <w:p w14:paraId="1913890C" w14:textId="77777777" w:rsidR="007B5CD8" w:rsidRPr="00235E1B" w:rsidRDefault="007B5CD8" w:rsidP="00257641">
            <w:pPr>
              <w:keepNext/>
              <w:spacing w:after="0"/>
              <w:rPr>
                <w:rFonts w:asciiTheme="minorHAnsi" w:hAnsiTheme="minorHAnsi"/>
                <w:b/>
                <w:sz w:val="22"/>
                <w:szCs w:val="22"/>
              </w:rPr>
            </w:pPr>
            <w:r w:rsidRPr="00235E1B">
              <w:rPr>
                <w:rFonts w:asciiTheme="minorHAnsi" w:hAnsiTheme="minorHAnsi"/>
                <w:b/>
                <w:sz w:val="22"/>
                <w:szCs w:val="22"/>
              </w:rPr>
              <w:t>Hospital</w:t>
            </w:r>
          </w:p>
        </w:tc>
        <w:tc>
          <w:tcPr>
            <w:tcW w:w="2065" w:type="dxa"/>
            <w:shd w:val="clear" w:color="auto" w:fill="auto"/>
            <w:vAlign w:val="center"/>
          </w:tcPr>
          <w:p w14:paraId="1D7D4104"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Basic Hospital Services</w:t>
            </w:r>
          </w:p>
        </w:tc>
        <w:tc>
          <w:tcPr>
            <w:tcW w:w="2790" w:type="dxa"/>
            <w:shd w:val="clear" w:color="auto" w:fill="auto"/>
            <w:vAlign w:val="center"/>
          </w:tcPr>
          <w:p w14:paraId="276B9D00"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b/>
                <w:sz w:val="22"/>
                <w:szCs w:val="22"/>
              </w:rPr>
              <w:t>Urban:</w:t>
            </w:r>
            <w:r w:rsidRPr="00235E1B">
              <w:rPr>
                <w:rFonts w:asciiTheme="minorHAnsi" w:hAnsiTheme="minorHAnsi"/>
                <w:sz w:val="22"/>
                <w:szCs w:val="22"/>
              </w:rPr>
              <w:t xml:space="preserve"> One</w:t>
            </w:r>
            <w:r w:rsidRPr="00235E1B">
              <w:rPr>
                <w:rFonts w:asciiTheme="minorHAnsi" w:hAnsiTheme="minorHAnsi"/>
                <w:b/>
                <w:sz w:val="22"/>
                <w:szCs w:val="22"/>
              </w:rPr>
              <w:t xml:space="preserve"> (1)</w:t>
            </w:r>
            <w:r w:rsidRPr="00235E1B">
              <w:rPr>
                <w:rFonts w:asciiTheme="minorHAnsi" w:hAnsiTheme="minorHAnsi"/>
                <w:sz w:val="22"/>
                <w:szCs w:val="22"/>
              </w:rPr>
              <w:t xml:space="preserve"> hospital within thirty </w:t>
            </w:r>
            <w:r w:rsidRPr="00235E1B">
              <w:rPr>
                <w:rFonts w:asciiTheme="minorHAnsi" w:hAnsiTheme="minorHAnsi"/>
                <w:b/>
                <w:sz w:val="22"/>
                <w:szCs w:val="22"/>
              </w:rPr>
              <w:t>(30) miles</w:t>
            </w:r>
            <w:r w:rsidRPr="00235E1B">
              <w:rPr>
                <w:rFonts w:asciiTheme="minorHAnsi" w:hAnsiTheme="minorHAnsi"/>
                <w:sz w:val="22"/>
                <w:szCs w:val="22"/>
              </w:rPr>
              <w:t xml:space="preserve"> or forty-five </w:t>
            </w:r>
            <w:r w:rsidRPr="00235E1B">
              <w:rPr>
                <w:rFonts w:asciiTheme="minorHAnsi" w:hAnsiTheme="minorHAnsi"/>
                <w:b/>
                <w:sz w:val="22"/>
                <w:szCs w:val="22"/>
              </w:rPr>
              <w:t>(45) minutes</w:t>
            </w:r>
            <w:r w:rsidRPr="00235E1B">
              <w:rPr>
                <w:rFonts w:asciiTheme="minorHAnsi" w:hAnsiTheme="minorHAnsi"/>
                <w:sz w:val="22"/>
                <w:szCs w:val="22"/>
              </w:rPr>
              <w:t xml:space="preserve"> travel time</w:t>
            </w:r>
          </w:p>
          <w:p w14:paraId="3A4F3F37" w14:textId="6672DE44" w:rsidR="007B5CD8" w:rsidRPr="00235E1B" w:rsidRDefault="007B5CD8" w:rsidP="00235E1B">
            <w:pPr>
              <w:keepNext/>
              <w:spacing w:after="0"/>
              <w:rPr>
                <w:rFonts w:asciiTheme="minorHAnsi" w:hAnsiTheme="minorHAnsi"/>
                <w:b/>
                <w:sz w:val="22"/>
                <w:szCs w:val="22"/>
              </w:rPr>
            </w:pPr>
            <w:r w:rsidRPr="00235E1B">
              <w:rPr>
                <w:rFonts w:asciiTheme="minorHAnsi" w:hAnsiTheme="minorHAnsi"/>
                <w:b/>
                <w:sz w:val="22"/>
                <w:szCs w:val="22"/>
              </w:rPr>
              <w:t>Rural:</w:t>
            </w:r>
            <w:r w:rsidRPr="00235E1B">
              <w:rPr>
                <w:rFonts w:asciiTheme="minorHAnsi" w:hAnsiTheme="minorHAnsi"/>
                <w:sz w:val="22"/>
                <w:szCs w:val="22"/>
              </w:rPr>
              <w:t xml:space="preserve"> One </w:t>
            </w:r>
            <w:r w:rsidRPr="00235E1B">
              <w:rPr>
                <w:rFonts w:asciiTheme="minorHAnsi" w:hAnsiTheme="minorHAnsi"/>
                <w:b/>
                <w:sz w:val="22"/>
                <w:szCs w:val="22"/>
              </w:rPr>
              <w:t>(1)</w:t>
            </w:r>
            <w:r w:rsidRPr="00235E1B">
              <w:rPr>
                <w:rFonts w:asciiTheme="minorHAnsi" w:hAnsiTheme="minorHAnsi"/>
                <w:sz w:val="22"/>
                <w:szCs w:val="22"/>
              </w:rPr>
              <w:t xml:space="preserve"> hospital within sixty </w:t>
            </w:r>
            <w:r w:rsidRPr="00235E1B">
              <w:rPr>
                <w:rFonts w:asciiTheme="minorHAnsi" w:hAnsiTheme="minorHAnsi"/>
                <w:b/>
                <w:sz w:val="22"/>
                <w:szCs w:val="22"/>
              </w:rPr>
              <w:t>(60) miles</w:t>
            </w:r>
            <w:r w:rsidRPr="00235E1B">
              <w:rPr>
                <w:rFonts w:asciiTheme="minorHAnsi" w:hAnsiTheme="minorHAnsi"/>
                <w:sz w:val="22"/>
                <w:szCs w:val="22"/>
              </w:rPr>
              <w:t xml:space="preserve"> or ninety </w:t>
            </w:r>
            <w:r w:rsidRPr="00235E1B">
              <w:rPr>
                <w:rFonts w:asciiTheme="minorHAnsi" w:hAnsiTheme="minorHAnsi"/>
                <w:b/>
                <w:sz w:val="22"/>
                <w:szCs w:val="22"/>
              </w:rPr>
              <w:t>(90) minutes</w:t>
            </w:r>
            <w:r w:rsidRPr="00235E1B">
              <w:rPr>
                <w:rFonts w:asciiTheme="minorHAnsi" w:hAnsiTheme="minorHAnsi"/>
                <w:sz w:val="22"/>
                <w:szCs w:val="22"/>
              </w:rPr>
              <w:t xml:space="preserve"> travel time</w:t>
            </w:r>
          </w:p>
        </w:tc>
        <w:tc>
          <w:tcPr>
            <w:tcW w:w="2970" w:type="dxa"/>
            <w:shd w:val="clear" w:color="auto" w:fill="auto"/>
            <w:vAlign w:val="center"/>
          </w:tcPr>
          <w:p w14:paraId="6394C970" w14:textId="3B9410A4" w:rsidR="007B5CD8" w:rsidRPr="00235E1B" w:rsidRDefault="007B5CD8" w:rsidP="00235E1B">
            <w:pPr>
              <w:keepNext/>
              <w:spacing w:after="0"/>
              <w:rPr>
                <w:rFonts w:asciiTheme="minorHAnsi" w:hAnsiTheme="minorHAnsi"/>
                <w:sz w:val="22"/>
                <w:szCs w:val="22"/>
              </w:rPr>
            </w:pPr>
            <w:r w:rsidRPr="00235E1B">
              <w:rPr>
                <w:rFonts w:asciiTheme="minorHAnsi" w:hAnsiTheme="minorHAnsi"/>
                <w:b/>
                <w:sz w:val="22"/>
                <w:szCs w:val="22"/>
              </w:rPr>
              <w:t>Urban:</w:t>
            </w:r>
            <w:r w:rsidRPr="00235E1B">
              <w:rPr>
                <w:rFonts w:asciiTheme="minorHAnsi" w:hAnsiTheme="minorHAnsi"/>
                <w:sz w:val="22"/>
                <w:szCs w:val="22"/>
              </w:rPr>
              <w:t xml:space="preserve"> One</w:t>
            </w:r>
            <w:r w:rsidRPr="00235E1B">
              <w:rPr>
                <w:rFonts w:asciiTheme="minorHAnsi" w:hAnsiTheme="minorHAnsi"/>
                <w:b/>
                <w:sz w:val="22"/>
                <w:szCs w:val="22"/>
              </w:rPr>
              <w:t xml:space="preserve"> (1)</w:t>
            </w:r>
            <w:r w:rsidRPr="00235E1B">
              <w:rPr>
                <w:rFonts w:asciiTheme="minorHAnsi" w:hAnsiTheme="minorHAnsi"/>
                <w:sz w:val="22"/>
                <w:szCs w:val="22"/>
              </w:rPr>
              <w:t xml:space="preserve"> hospital within thirty </w:t>
            </w:r>
            <w:r w:rsidRPr="00235E1B">
              <w:rPr>
                <w:rFonts w:asciiTheme="minorHAnsi" w:hAnsiTheme="minorHAnsi"/>
                <w:b/>
                <w:sz w:val="22"/>
                <w:szCs w:val="22"/>
              </w:rPr>
              <w:t>(30) miles</w:t>
            </w:r>
            <w:r w:rsidRPr="00235E1B">
              <w:rPr>
                <w:rFonts w:asciiTheme="minorHAnsi" w:hAnsiTheme="minorHAnsi"/>
                <w:sz w:val="22"/>
                <w:szCs w:val="22"/>
              </w:rPr>
              <w:t xml:space="preserve"> or forty-five </w:t>
            </w:r>
            <w:r w:rsidRPr="00235E1B">
              <w:rPr>
                <w:rFonts w:asciiTheme="minorHAnsi" w:hAnsiTheme="minorHAnsi"/>
                <w:b/>
                <w:sz w:val="22"/>
                <w:szCs w:val="22"/>
              </w:rPr>
              <w:t>(45) minutes</w:t>
            </w:r>
            <w:r w:rsidRPr="00235E1B">
              <w:rPr>
                <w:rFonts w:asciiTheme="minorHAnsi" w:hAnsiTheme="minorHAnsi"/>
                <w:sz w:val="22"/>
                <w:szCs w:val="22"/>
              </w:rPr>
              <w:t xml:space="preserve"> travel time</w:t>
            </w:r>
          </w:p>
          <w:p w14:paraId="5E00B397" w14:textId="77777777" w:rsidR="007B5CD8" w:rsidRPr="00235E1B" w:rsidRDefault="007B5CD8" w:rsidP="00235E1B">
            <w:pPr>
              <w:keepNext/>
              <w:spacing w:after="0"/>
              <w:rPr>
                <w:rFonts w:asciiTheme="minorHAnsi" w:hAnsiTheme="minorHAnsi"/>
                <w:b/>
                <w:sz w:val="22"/>
                <w:szCs w:val="22"/>
              </w:rPr>
            </w:pPr>
            <w:r w:rsidRPr="00235E1B">
              <w:rPr>
                <w:rFonts w:asciiTheme="minorHAnsi" w:hAnsiTheme="minorHAnsi"/>
                <w:b/>
                <w:sz w:val="22"/>
                <w:szCs w:val="22"/>
              </w:rPr>
              <w:t>Rural:</w:t>
            </w:r>
            <w:r w:rsidRPr="00235E1B">
              <w:rPr>
                <w:rFonts w:asciiTheme="minorHAnsi" w:hAnsiTheme="minorHAnsi"/>
                <w:sz w:val="22"/>
                <w:szCs w:val="22"/>
              </w:rPr>
              <w:t xml:space="preserve"> One </w:t>
            </w:r>
            <w:r w:rsidRPr="00235E1B">
              <w:rPr>
                <w:rFonts w:asciiTheme="minorHAnsi" w:hAnsiTheme="minorHAnsi"/>
                <w:b/>
                <w:sz w:val="22"/>
                <w:szCs w:val="22"/>
              </w:rPr>
              <w:t>(1)</w:t>
            </w:r>
            <w:r w:rsidRPr="00235E1B">
              <w:rPr>
                <w:rFonts w:asciiTheme="minorHAnsi" w:hAnsiTheme="minorHAnsi"/>
                <w:sz w:val="22"/>
                <w:szCs w:val="22"/>
              </w:rPr>
              <w:t xml:space="preserve"> hospital within sixty </w:t>
            </w:r>
            <w:r w:rsidRPr="00235E1B">
              <w:rPr>
                <w:rFonts w:asciiTheme="minorHAnsi" w:hAnsiTheme="minorHAnsi"/>
                <w:b/>
                <w:sz w:val="22"/>
                <w:szCs w:val="22"/>
              </w:rPr>
              <w:t>(60) miles</w:t>
            </w:r>
            <w:r w:rsidRPr="00235E1B">
              <w:rPr>
                <w:rFonts w:asciiTheme="minorHAnsi" w:hAnsiTheme="minorHAnsi"/>
                <w:sz w:val="22"/>
                <w:szCs w:val="22"/>
              </w:rPr>
              <w:t xml:space="preserve"> or ninety </w:t>
            </w:r>
            <w:r w:rsidRPr="00235E1B">
              <w:rPr>
                <w:rFonts w:asciiTheme="minorHAnsi" w:hAnsiTheme="minorHAnsi"/>
                <w:b/>
                <w:sz w:val="22"/>
                <w:szCs w:val="22"/>
              </w:rPr>
              <w:t>(90) minutes</w:t>
            </w:r>
            <w:r w:rsidRPr="00235E1B">
              <w:rPr>
                <w:rFonts w:asciiTheme="minorHAnsi" w:hAnsiTheme="minorHAnsi"/>
                <w:sz w:val="22"/>
                <w:szCs w:val="22"/>
              </w:rPr>
              <w:t xml:space="preserve"> travel time</w:t>
            </w:r>
          </w:p>
        </w:tc>
      </w:tr>
      <w:tr w:rsidR="007B5CD8" w:rsidRPr="0063141E" w14:paraId="03298DC8" w14:textId="77777777" w:rsidTr="00235E1B">
        <w:trPr>
          <w:trHeight w:val="1835"/>
          <w:jc w:val="center"/>
        </w:trPr>
        <w:tc>
          <w:tcPr>
            <w:tcW w:w="1710" w:type="dxa"/>
            <w:vMerge/>
            <w:shd w:val="clear" w:color="auto" w:fill="auto"/>
          </w:tcPr>
          <w:p w14:paraId="1B085945" w14:textId="77777777" w:rsidR="007B5CD8" w:rsidRPr="00235E1B" w:rsidRDefault="007B5CD8" w:rsidP="00257641">
            <w:pPr>
              <w:keepNext/>
              <w:spacing w:after="0"/>
              <w:rPr>
                <w:rFonts w:asciiTheme="minorHAnsi" w:hAnsiTheme="minorHAnsi"/>
                <w:b/>
                <w:sz w:val="22"/>
                <w:szCs w:val="22"/>
              </w:rPr>
            </w:pPr>
          </w:p>
        </w:tc>
        <w:tc>
          <w:tcPr>
            <w:tcW w:w="2065" w:type="dxa"/>
            <w:shd w:val="clear" w:color="auto" w:fill="DEEAF6" w:themeFill="accent1" w:themeFillTint="33"/>
            <w:vAlign w:val="center"/>
          </w:tcPr>
          <w:p w14:paraId="2A5569E2"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sz w:val="22"/>
                <w:szCs w:val="22"/>
              </w:rPr>
              <w:t>Tertiary Hospital Services</w:t>
            </w:r>
            <w:r w:rsidRPr="00235E1B">
              <w:rPr>
                <w:rStyle w:val="FootnoteReference"/>
                <w:rFonts w:asciiTheme="minorHAnsi" w:hAnsiTheme="minorHAnsi"/>
                <w:sz w:val="22"/>
                <w:szCs w:val="22"/>
              </w:rPr>
              <w:footnoteReference w:id="19"/>
            </w:r>
          </w:p>
        </w:tc>
        <w:tc>
          <w:tcPr>
            <w:tcW w:w="2790" w:type="dxa"/>
            <w:shd w:val="clear" w:color="auto" w:fill="DEEAF6" w:themeFill="accent1" w:themeFillTint="33"/>
            <w:vAlign w:val="center"/>
          </w:tcPr>
          <w:p w14:paraId="5FC5CBAA" w14:textId="77777777" w:rsidR="007B5CD8" w:rsidRPr="00235E1B" w:rsidRDefault="007B5CD8" w:rsidP="00235E1B">
            <w:pPr>
              <w:keepNext/>
              <w:spacing w:after="0"/>
              <w:rPr>
                <w:rFonts w:asciiTheme="minorHAnsi" w:hAnsiTheme="minorHAnsi"/>
                <w:sz w:val="22"/>
                <w:szCs w:val="22"/>
              </w:rPr>
            </w:pPr>
            <w:r w:rsidRPr="00235E1B">
              <w:rPr>
                <w:rFonts w:asciiTheme="minorHAnsi" w:hAnsiTheme="minorHAnsi"/>
                <w:b/>
                <w:sz w:val="22"/>
                <w:szCs w:val="22"/>
              </w:rPr>
              <w:t>Urban:</w:t>
            </w:r>
            <w:r w:rsidRPr="00235E1B">
              <w:rPr>
                <w:rFonts w:asciiTheme="minorHAnsi" w:hAnsiTheme="minorHAnsi"/>
                <w:sz w:val="22"/>
                <w:szCs w:val="22"/>
              </w:rPr>
              <w:t xml:space="preserve"> One</w:t>
            </w:r>
            <w:r w:rsidRPr="00235E1B">
              <w:rPr>
                <w:rFonts w:asciiTheme="minorHAnsi" w:hAnsiTheme="minorHAnsi"/>
                <w:b/>
                <w:sz w:val="22"/>
                <w:szCs w:val="22"/>
              </w:rPr>
              <w:t xml:space="preserve"> (1)</w:t>
            </w:r>
            <w:r w:rsidRPr="00235E1B">
              <w:rPr>
                <w:rFonts w:asciiTheme="minorHAnsi" w:hAnsiTheme="minorHAnsi"/>
                <w:sz w:val="22"/>
                <w:szCs w:val="22"/>
              </w:rPr>
              <w:t xml:space="preserve"> hospital within thirty </w:t>
            </w:r>
            <w:r w:rsidRPr="00235E1B">
              <w:rPr>
                <w:rFonts w:asciiTheme="minorHAnsi" w:hAnsiTheme="minorHAnsi"/>
                <w:b/>
                <w:sz w:val="22"/>
                <w:szCs w:val="22"/>
              </w:rPr>
              <w:t>(30) miles</w:t>
            </w:r>
            <w:r w:rsidRPr="00235E1B">
              <w:rPr>
                <w:rFonts w:asciiTheme="minorHAnsi" w:hAnsiTheme="minorHAnsi"/>
                <w:sz w:val="22"/>
                <w:szCs w:val="22"/>
              </w:rPr>
              <w:t xml:space="preserve"> or forty-five </w:t>
            </w:r>
            <w:r w:rsidRPr="00235E1B">
              <w:rPr>
                <w:rFonts w:asciiTheme="minorHAnsi" w:hAnsiTheme="minorHAnsi"/>
                <w:b/>
                <w:sz w:val="22"/>
                <w:szCs w:val="22"/>
              </w:rPr>
              <w:t>(45) minutes</w:t>
            </w:r>
            <w:r w:rsidRPr="00235E1B">
              <w:rPr>
                <w:rFonts w:asciiTheme="minorHAnsi" w:hAnsiTheme="minorHAnsi"/>
                <w:sz w:val="22"/>
                <w:szCs w:val="22"/>
              </w:rPr>
              <w:t xml:space="preserve"> travel time</w:t>
            </w:r>
          </w:p>
          <w:p w14:paraId="5ED2B243" w14:textId="4223275A" w:rsidR="007B5CD8" w:rsidRPr="00235E1B" w:rsidRDefault="007B5CD8" w:rsidP="00235E1B">
            <w:pPr>
              <w:keepNext/>
              <w:spacing w:after="0"/>
              <w:rPr>
                <w:rFonts w:asciiTheme="minorHAnsi" w:hAnsiTheme="minorHAnsi"/>
                <w:b/>
                <w:sz w:val="22"/>
                <w:szCs w:val="22"/>
              </w:rPr>
            </w:pPr>
            <w:r w:rsidRPr="00235E1B">
              <w:rPr>
                <w:rFonts w:asciiTheme="minorHAnsi" w:hAnsiTheme="minorHAnsi"/>
                <w:b/>
                <w:sz w:val="22"/>
                <w:szCs w:val="22"/>
              </w:rPr>
              <w:t>Rural:</w:t>
            </w:r>
            <w:r w:rsidRPr="00235E1B">
              <w:rPr>
                <w:rFonts w:asciiTheme="minorHAnsi" w:hAnsiTheme="minorHAnsi"/>
                <w:sz w:val="22"/>
                <w:szCs w:val="22"/>
              </w:rPr>
              <w:t xml:space="preserve"> One </w:t>
            </w:r>
            <w:r w:rsidRPr="00235E1B">
              <w:rPr>
                <w:rFonts w:asciiTheme="minorHAnsi" w:hAnsiTheme="minorHAnsi"/>
                <w:b/>
                <w:sz w:val="22"/>
                <w:szCs w:val="22"/>
              </w:rPr>
              <w:t>(1)</w:t>
            </w:r>
            <w:r w:rsidRPr="00235E1B">
              <w:rPr>
                <w:rFonts w:asciiTheme="minorHAnsi" w:hAnsiTheme="minorHAnsi"/>
                <w:sz w:val="22"/>
                <w:szCs w:val="22"/>
              </w:rPr>
              <w:t xml:space="preserve"> hospital within sixty </w:t>
            </w:r>
            <w:r w:rsidRPr="00235E1B">
              <w:rPr>
                <w:rFonts w:asciiTheme="minorHAnsi" w:hAnsiTheme="minorHAnsi"/>
                <w:b/>
                <w:sz w:val="22"/>
                <w:szCs w:val="22"/>
              </w:rPr>
              <w:t>(60) miles</w:t>
            </w:r>
            <w:r w:rsidRPr="00235E1B">
              <w:rPr>
                <w:rFonts w:asciiTheme="minorHAnsi" w:hAnsiTheme="minorHAnsi"/>
                <w:sz w:val="22"/>
                <w:szCs w:val="22"/>
              </w:rPr>
              <w:t xml:space="preserve"> or ninety </w:t>
            </w:r>
            <w:r w:rsidRPr="00235E1B">
              <w:rPr>
                <w:rFonts w:asciiTheme="minorHAnsi" w:hAnsiTheme="minorHAnsi"/>
                <w:b/>
                <w:sz w:val="22"/>
                <w:szCs w:val="22"/>
              </w:rPr>
              <w:t>(90) minutes</w:t>
            </w:r>
            <w:r w:rsidRPr="00235E1B">
              <w:rPr>
                <w:rFonts w:asciiTheme="minorHAnsi" w:hAnsiTheme="minorHAnsi"/>
                <w:sz w:val="22"/>
                <w:szCs w:val="22"/>
              </w:rPr>
              <w:t xml:space="preserve"> travel time</w:t>
            </w:r>
          </w:p>
        </w:tc>
        <w:tc>
          <w:tcPr>
            <w:tcW w:w="2970" w:type="dxa"/>
            <w:shd w:val="clear" w:color="auto" w:fill="DEEAF6" w:themeFill="accent1" w:themeFillTint="33"/>
            <w:vAlign w:val="center"/>
          </w:tcPr>
          <w:p w14:paraId="6730ED4B" w14:textId="0D390071" w:rsidR="007B5CD8" w:rsidRPr="00235E1B" w:rsidRDefault="007B5CD8" w:rsidP="00235E1B">
            <w:pPr>
              <w:keepNext/>
              <w:spacing w:after="0"/>
              <w:rPr>
                <w:rFonts w:asciiTheme="minorHAnsi" w:hAnsiTheme="minorHAnsi"/>
                <w:sz w:val="22"/>
                <w:szCs w:val="22"/>
              </w:rPr>
            </w:pPr>
            <w:r w:rsidRPr="00235E1B">
              <w:rPr>
                <w:rFonts w:asciiTheme="minorHAnsi" w:hAnsiTheme="minorHAnsi"/>
                <w:b/>
                <w:sz w:val="22"/>
                <w:szCs w:val="22"/>
              </w:rPr>
              <w:t>Urban:</w:t>
            </w:r>
            <w:r w:rsidRPr="00235E1B">
              <w:rPr>
                <w:rFonts w:asciiTheme="minorHAnsi" w:hAnsiTheme="minorHAnsi"/>
                <w:sz w:val="22"/>
                <w:szCs w:val="22"/>
              </w:rPr>
              <w:t xml:space="preserve"> One</w:t>
            </w:r>
            <w:r w:rsidRPr="00235E1B">
              <w:rPr>
                <w:rFonts w:asciiTheme="minorHAnsi" w:hAnsiTheme="minorHAnsi"/>
                <w:b/>
                <w:sz w:val="22"/>
                <w:szCs w:val="22"/>
              </w:rPr>
              <w:t xml:space="preserve"> (1)</w:t>
            </w:r>
            <w:r w:rsidRPr="00235E1B">
              <w:rPr>
                <w:rFonts w:asciiTheme="minorHAnsi" w:hAnsiTheme="minorHAnsi"/>
                <w:sz w:val="22"/>
                <w:szCs w:val="22"/>
              </w:rPr>
              <w:t xml:space="preserve"> hospital within thirty </w:t>
            </w:r>
            <w:r w:rsidRPr="00235E1B">
              <w:rPr>
                <w:rFonts w:asciiTheme="minorHAnsi" w:hAnsiTheme="minorHAnsi"/>
                <w:b/>
                <w:sz w:val="22"/>
                <w:szCs w:val="22"/>
              </w:rPr>
              <w:t>(30) miles</w:t>
            </w:r>
            <w:r w:rsidRPr="00235E1B">
              <w:rPr>
                <w:rFonts w:asciiTheme="minorHAnsi" w:hAnsiTheme="minorHAnsi"/>
                <w:sz w:val="22"/>
                <w:szCs w:val="22"/>
              </w:rPr>
              <w:t xml:space="preserve"> or forty-five </w:t>
            </w:r>
            <w:r w:rsidRPr="00235E1B">
              <w:rPr>
                <w:rFonts w:asciiTheme="minorHAnsi" w:hAnsiTheme="minorHAnsi"/>
                <w:b/>
                <w:sz w:val="22"/>
                <w:szCs w:val="22"/>
              </w:rPr>
              <w:t>(45) minutes</w:t>
            </w:r>
            <w:r w:rsidRPr="00235E1B">
              <w:rPr>
                <w:rFonts w:asciiTheme="minorHAnsi" w:hAnsiTheme="minorHAnsi"/>
                <w:sz w:val="22"/>
                <w:szCs w:val="22"/>
              </w:rPr>
              <w:t xml:space="preserve"> travel time</w:t>
            </w:r>
          </w:p>
          <w:p w14:paraId="5B0C5519" w14:textId="77777777" w:rsidR="007B5CD8" w:rsidRPr="00235E1B" w:rsidRDefault="007B5CD8" w:rsidP="00235E1B">
            <w:pPr>
              <w:keepNext/>
              <w:spacing w:after="0"/>
              <w:rPr>
                <w:rFonts w:asciiTheme="minorHAnsi" w:hAnsiTheme="minorHAnsi"/>
                <w:b/>
                <w:sz w:val="22"/>
                <w:szCs w:val="22"/>
              </w:rPr>
            </w:pPr>
            <w:r w:rsidRPr="00235E1B">
              <w:rPr>
                <w:rFonts w:asciiTheme="minorHAnsi" w:hAnsiTheme="minorHAnsi"/>
                <w:b/>
                <w:sz w:val="22"/>
                <w:szCs w:val="22"/>
              </w:rPr>
              <w:t>Rural:</w:t>
            </w:r>
            <w:r w:rsidRPr="00235E1B">
              <w:rPr>
                <w:rFonts w:asciiTheme="minorHAnsi" w:hAnsiTheme="minorHAnsi"/>
                <w:sz w:val="22"/>
                <w:szCs w:val="22"/>
              </w:rPr>
              <w:t xml:space="preserve"> One </w:t>
            </w:r>
            <w:r w:rsidRPr="00235E1B">
              <w:rPr>
                <w:rFonts w:asciiTheme="minorHAnsi" w:hAnsiTheme="minorHAnsi"/>
                <w:b/>
                <w:sz w:val="22"/>
                <w:szCs w:val="22"/>
              </w:rPr>
              <w:t>(1)</w:t>
            </w:r>
            <w:r w:rsidRPr="00235E1B">
              <w:rPr>
                <w:rFonts w:asciiTheme="minorHAnsi" w:hAnsiTheme="minorHAnsi"/>
                <w:sz w:val="22"/>
                <w:szCs w:val="22"/>
              </w:rPr>
              <w:t xml:space="preserve"> hospital within sixty </w:t>
            </w:r>
            <w:r w:rsidRPr="00235E1B">
              <w:rPr>
                <w:rFonts w:asciiTheme="minorHAnsi" w:hAnsiTheme="minorHAnsi"/>
                <w:b/>
                <w:sz w:val="22"/>
                <w:szCs w:val="22"/>
              </w:rPr>
              <w:t>(60) miles</w:t>
            </w:r>
            <w:r w:rsidRPr="00235E1B">
              <w:rPr>
                <w:rFonts w:asciiTheme="minorHAnsi" w:hAnsiTheme="minorHAnsi"/>
                <w:sz w:val="22"/>
                <w:szCs w:val="22"/>
              </w:rPr>
              <w:t xml:space="preserve"> or ninety </w:t>
            </w:r>
            <w:r w:rsidRPr="00235E1B">
              <w:rPr>
                <w:rFonts w:asciiTheme="minorHAnsi" w:hAnsiTheme="minorHAnsi"/>
                <w:b/>
                <w:sz w:val="22"/>
                <w:szCs w:val="22"/>
              </w:rPr>
              <w:t>(90) minutes</w:t>
            </w:r>
            <w:r w:rsidRPr="00235E1B">
              <w:rPr>
                <w:rFonts w:asciiTheme="minorHAnsi" w:hAnsiTheme="minorHAnsi"/>
                <w:sz w:val="22"/>
                <w:szCs w:val="22"/>
              </w:rPr>
              <w:t xml:space="preserve"> travel time</w:t>
            </w:r>
          </w:p>
        </w:tc>
      </w:tr>
    </w:tbl>
    <w:p w14:paraId="6C30E222" w14:textId="77777777" w:rsidR="003E35A9" w:rsidRDefault="003E35A9" w:rsidP="007610FD">
      <w:pPr>
        <w:pStyle w:val="Heading2"/>
      </w:pPr>
    </w:p>
    <w:p w14:paraId="46E005A7" w14:textId="77777777" w:rsidR="00235E1B" w:rsidRDefault="00235E1B">
      <w:pPr>
        <w:spacing w:after="0"/>
        <w:rPr>
          <w:b/>
        </w:rPr>
      </w:pPr>
      <w:r>
        <w:rPr>
          <w:b/>
        </w:rPr>
        <w:br w:type="page"/>
      </w:r>
    </w:p>
    <w:p w14:paraId="57B4200A" w14:textId="6C4C5183" w:rsidR="003E35A9" w:rsidRPr="00F60077" w:rsidRDefault="003E35A9" w:rsidP="00257641">
      <w:pPr>
        <w:jc w:val="center"/>
        <w:rPr>
          <w:b/>
        </w:rPr>
      </w:pPr>
      <w:r w:rsidRPr="00F60077">
        <w:rPr>
          <w:b/>
        </w:rPr>
        <w:lastRenderedPageBreak/>
        <w:t>Hospitals</w:t>
      </w:r>
      <w:r>
        <w:rPr>
          <w:b/>
        </w:rPr>
        <w:t xml:space="preserve"> with</w:t>
      </w:r>
      <w:r w:rsidRPr="00583296">
        <w:t xml:space="preserve"> </w:t>
      </w:r>
      <w:r w:rsidRPr="00583296">
        <w:rPr>
          <w:b/>
        </w:rPr>
        <w:t>Tertiary</w:t>
      </w:r>
      <w:r>
        <w:rPr>
          <w:b/>
        </w:rPr>
        <w:t xml:space="preserve"> Services </w:t>
      </w:r>
    </w:p>
    <w:tbl>
      <w:tblPr>
        <w:tblW w:w="8900" w:type="dxa"/>
        <w:jc w:val="center"/>
        <w:tblLayout w:type="fixed"/>
        <w:tblLook w:val="05A0" w:firstRow="1" w:lastRow="0" w:firstColumn="1" w:lastColumn="1" w:noHBand="0" w:noVBand="1"/>
      </w:tblPr>
      <w:tblGrid>
        <w:gridCol w:w="4130"/>
        <w:gridCol w:w="1620"/>
        <w:gridCol w:w="1440"/>
        <w:gridCol w:w="1710"/>
      </w:tblGrid>
      <w:tr w:rsidR="003E35A9" w:rsidRPr="004864CE" w14:paraId="3B537C85" w14:textId="77777777" w:rsidTr="00235E1B">
        <w:trPr>
          <w:trHeight w:val="690"/>
          <w:jc w:val="center"/>
        </w:trPr>
        <w:tc>
          <w:tcPr>
            <w:tcW w:w="4130" w:type="dxa"/>
            <w:tcBorders>
              <w:top w:val="single" w:sz="8" w:space="0" w:color="auto"/>
              <w:left w:val="single" w:sz="8" w:space="0" w:color="auto"/>
              <w:bottom w:val="single" w:sz="8" w:space="0" w:color="auto"/>
              <w:right w:val="single" w:sz="4" w:space="0" w:color="FFFFFF" w:themeColor="background1"/>
            </w:tcBorders>
            <w:shd w:val="clear" w:color="000000" w:fill="1F497D"/>
            <w:vAlign w:val="center"/>
            <w:hideMark/>
          </w:tcPr>
          <w:p w14:paraId="343DF188" w14:textId="77777777" w:rsidR="003E35A9" w:rsidRPr="00235E1B" w:rsidRDefault="003E35A9" w:rsidP="00235E1B">
            <w:pPr>
              <w:spacing w:after="0" w:line="235" w:lineRule="auto"/>
              <w:jc w:val="center"/>
              <w:rPr>
                <w:rFonts w:asciiTheme="minorHAnsi" w:hAnsiTheme="minorHAnsi" w:cs="Arial"/>
                <w:b/>
                <w:bCs/>
                <w:color w:val="FFFFFF"/>
                <w:sz w:val="22"/>
                <w:szCs w:val="22"/>
              </w:rPr>
            </w:pPr>
            <w:r w:rsidRPr="00235E1B">
              <w:rPr>
                <w:rFonts w:asciiTheme="minorHAnsi" w:hAnsiTheme="minorHAnsi" w:cs="Arial"/>
                <w:b/>
                <w:bCs/>
                <w:color w:val="FFFFFF"/>
                <w:sz w:val="22"/>
                <w:szCs w:val="22"/>
              </w:rPr>
              <w:t>Hospital Name</w:t>
            </w:r>
          </w:p>
        </w:tc>
        <w:tc>
          <w:tcPr>
            <w:tcW w:w="1620" w:type="dxa"/>
            <w:tcBorders>
              <w:top w:val="single" w:sz="8" w:space="0" w:color="auto"/>
              <w:left w:val="single" w:sz="4" w:space="0" w:color="FFFFFF" w:themeColor="background1"/>
              <w:bottom w:val="single" w:sz="8" w:space="0" w:color="auto"/>
              <w:right w:val="single" w:sz="4" w:space="0" w:color="FFFFFF" w:themeColor="background1"/>
            </w:tcBorders>
            <w:shd w:val="clear" w:color="000000" w:fill="1F497D"/>
            <w:vAlign w:val="center"/>
            <w:hideMark/>
          </w:tcPr>
          <w:p w14:paraId="4767B656" w14:textId="77777777" w:rsidR="003E35A9" w:rsidRPr="00235E1B" w:rsidRDefault="003E35A9" w:rsidP="00235E1B">
            <w:pPr>
              <w:spacing w:after="0" w:line="235" w:lineRule="auto"/>
              <w:jc w:val="center"/>
              <w:rPr>
                <w:rFonts w:asciiTheme="minorHAnsi" w:hAnsiTheme="minorHAnsi" w:cs="Arial"/>
                <w:b/>
                <w:bCs/>
                <w:color w:val="FFFFFF"/>
                <w:sz w:val="22"/>
                <w:szCs w:val="22"/>
              </w:rPr>
            </w:pPr>
            <w:r w:rsidRPr="00235E1B">
              <w:rPr>
                <w:rFonts w:asciiTheme="minorHAnsi" w:hAnsiTheme="minorHAnsi" w:cs="Arial"/>
                <w:b/>
                <w:bCs/>
                <w:color w:val="FFFFFF"/>
                <w:sz w:val="22"/>
                <w:szCs w:val="22"/>
              </w:rPr>
              <w:t>Pediatric Medical / Surgical Unit</w:t>
            </w:r>
          </w:p>
        </w:tc>
        <w:tc>
          <w:tcPr>
            <w:tcW w:w="1440" w:type="dxa"/>
            <w:tcBorders>
              <w:top w:val="single" w:sz="8" w:space="0" w:color="auto"/>
              <w:left w:val="single" w:sz="4" w:space="0" w:color="FFFFFF" w:themeColor="background1"/>
              <w:bottom w:val="single" w:sz="8" w:space="0" w:color="auto"/>
              <w:right w:val="single" w:sz="4" w:space="0" w:color="FFFFFF" w:themeColor="background1"/>
            </w:tcBorders>
            <w:shd w:val="clear" w:color="000000" w:fill="1F497D"/>
            <w:vAlign w:val="center"/>
            <w:hideMark/>
          </w:tcPr>
          <w:p w14:paraId="70CAE977" w14:textId="77777777" w:rsidR="003E35A9" w:rsidRPr="00235E1B" w:rsidRDefault="003E35A9" w:rsidP="00235E1B">
            <w:pPr>
              <w:spacing w:after="0" w:line="235" w:lineRule="auto"/>
              <w:jc w:val="center"/>
              <w:rPr>
                <w:rFonts w:asciiTheme="minorHAnsi" w:hAnsiTheme="minorHAnsi" w:cs="Arial"/>
                <w:b/>
                <w:bCs/>
                <w:color w:val="FFFFFF"/>
                <w:sz w:val="22"/>
                <w:szCs w:val="22"/>
              </w:rPr>
            </w:pPr>
            <w:r w:rsidRPr="00235E1B">
              <w:rPr>
                <w:rFonts w:asciiTheme="minorHAnsi" w:hAnsiTheme="minorHAnsi" w:cs="Arial"/>
                <w:b/>
                <w:bCs/>
                <w:color w:val="FFFFFF"/>
                <w:sz w:val="22"/>
                <w:szCs w:val="22"/>
              </w:rPr>
              <w:t>Obstetrics Unit</w:t>
            </w:r>
          </w:p>
        </w:tc>
        <w:tc>
          <w:tcPr>
            <w:tcW w:w="1710" w:type="dxa"/>
            <w:tcBorders>
              <w:top w:val="single" w:sz="8" w:space="0" w:color="auto"/>
              <w:left w:val="single" w:sz="4" w:space="0" w:color="FFFFFF" w:themeColor="background1"/>
              <w:bottom w:val="single" w:sz="8" w:space="0" w:color="auto"/>
              <w:right w:val="single" w:sz="8" w:space="0" w:color="auto"/>
            </w:tcBorders>
            <w:shd w:val="clear" w:color="000000" w:fill="1F497D"/>
            <w:vAlign w:val="center"/>
            <w:hideMark/>
          </w:tcPr>
          <w:p w14:paraId="336B6D79" w14:textId="77777777" w:rsidR="003E35A9" w:rsidRPr="00235E1B" w:rsidRDefault="003E35A9" w:rsidP="00235E1B">
            <w:pPr>
              <w:spacing w:after="0" w:line="235" w:lineRule="auto"/>
              <w:jc w:val="center"/>
              <w:rPr>
                <w:rFonts w:asciiTheme="minorHAnsi" w:hAnsiTheme="minorHAnsi" w:cs="Arial"/>
                <w:b/>
                <w:bCs/>
                <w:color w:val="FFFFFF"/>
                <w:sz w:val="22"/>
                <w:szCs w:val="22"/>
              </w:rPr>
            </w:pPr>
            <w:r w:rsidRPr="00235E1B">
              <w:rPr>
                <w:rFonts w:asciiTheme="minorHAnsi" w:hAnsiTheme="minorHAnsi" w:cs="Arial"/>
                <w:b/>
                <w:bCs/>
                <w:color w:val="FFFFFF"/>
                <w:sz w:val="22"/>
                <w:szCs w:val="22"/>
              </w:rPr>
              <w:t>Neonatal Intensive Care Unit</w:t>
            </w:r>
          </w:p>
        </w:tc>
      </w:tr>
      <w:tr w:rsidR="003E35A9" w:rsidRPr="004864CE" w14:paraId="783DD82D"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0CDCD1B0"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Beckley ARH</w:t>
            </w:r>
          </w:p>
        </w:tc>
        <w:tc>
          <w:tcPr>
            <w:tcW w:w="1620" w:type="dxa"/>
            <w:tcBorders>
              <w:top w:val="nil"/>
              <w:left w:val="nil"/>
              <w:bottom w:val="single" w:sz="8" w:space="0" w:color="auto"/>
              <w:right w:val="single" w:sz="8" w:space="0" w:color="auto"/>
            </w:tcBorders>
            <w:shd w:val="clear" w:color="auto" w:fill="auto"/>
            <w:vAlign w:val="center"/>
            <w:hideMark/>
          </w:tcPr>
          <w:p w14:paraId="0E64F879"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529D01E3"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710" w:type="dxa"/>
            <w:tcBorders>
              <w:top w:val="nil"/>
              <w:left w:val="nil"/>
              <w:bottom w:val="single" w:sz="8" w:space="0" w:color="auto"/>
              <w:right w:val="single" w:sz="8" w:space="0" w:color="auto"/>
            </w:tcBorders>
            <w:shd w:val="clear" w:color="auto" w:fill="auto"/>
            <w:vAlign w:val="center"/>
            <w:hideMark/>
          </w:tcPr>
          <w:p w14:paraId="6C5E49B0"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1720B95A"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779B1E45"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Bluefield Regional</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14E53AE0"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391055F4"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42BE3C6B"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65587836"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5D737B6C"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CAMC - General Division</w:t>
            </w:r>
          </w:p>
        </w:tc>
        <w:tc>
          <w:tcPr>
            <w:tcW w:w="1620" w:type="dxa"/>
            <w:tcBorders>
              <w:top w:val="nil"/>
              <w:left w:val="nil"/>
              <w:bottom w:val="single" w:sz="8" w:space="0" w:color="auto"/>
              <w:right w:val="single" w:sz="8" w:space="0" w:color="auto"/>
            </w:tcBorders>
            <w:shd w:val="clear" w:color="auto" w:fill="auto"/>
            <w:vAlign w:val="center"/>
            <w:hideMark/>
          </w:tcPr>
          <w:p w14:paraId="3252D43F"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2EA551F3"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1745A1AF"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736FF43A"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0E088DF5"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CAMC - Memorial Division</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793A976A"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57CFAC2D"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550D1F20"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0C98A76E"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28F93A9A"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CAMC - Teays Valley (Putnam)</w:t>
            </w:r>
          </w:p>
        </w:tc>
        <w:tc>
          <w:tcPr>
            <w:tcW w:w="1620" w:type="dxa"/>
            <w:tcBorders>
              <w:top w:val="nil"/>
              <w:left w:val="nil"/>
              <w:bottom w:val="single" w:sz="8" w:space="0" w:color="auto"/>
              <w:right w:val="single" w:sz="8" w:space="0" w:color="auto"/>
            </w:tcBorders>
            <w:shd w:val="clear" w:color="auto" w:fill="auto"/>
            <w:vAlign w:val="center"/>
            <w:hideMark/>
          </w:tcPr>
          <w:p w14:paraId="7C49DE37"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38DECDA1"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568377D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1FE17497"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575BEF44"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CAMC - Women &amp; Children’s</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7CF6E867"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273EBC6B"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2CCF183C"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r>
      <w:tr w:rsidR="003E35A9" w:rsidRPr="004864CE" w14:paraId="723F49AE"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27428093"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Cabell Huntington</w:t>
            </w:r>
          </w:p>
        </w:tc>
        <w:tc>
          <w:tcPr>
            <w:tcW w:w="1620" w:type="dxa"/>
            <w:tcBorders>
              <w:top w:val="nil"/>
              <w:left w:val="nil"/>
              <w:bottom w:val="single" w:sz="8" w:space="0" w:color="auto"/>
              <w:right w:val="single" w:sz="8" w:space="0" w:color="auto"/>
            </w:tcBorders>
            <w:shd w:val="clear" w:color="auto" w:fill="auto"/>
            <w:vAlign w:val="center"/>
            <w:hideMark/>
          </w:tcPr>
          <w:p w14:paraId="3D4B5853"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0E884897"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1D557391"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r>
      <w:tr w:rsidR="003E35A9" w:rsidRPr="004864CE" w14:paraId="1397A6A0"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00FA8769"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Camden-Clark Memorial</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2629698A"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1DC294EC"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4CD7F325"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66C22C8A"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3BE0118E"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Davis Memorial</w:t>
            </w:r>
          </w:p>
        </w:tc>
        <w:tc>
          <w:tcPr>
            <w:tcW w:w="1620" w:type="dxa"/>
            <w:tcBorders>
              <w:top w:val="nil"/>
              <w:left w:val="nil"/>
              <w:bottom w:val="single" w:sz="8" w:space="0" w:color="auto"/>
              <w:right w:val="single" w:sz="8" w:space="0" w:color="auto"/>
            </w:tcBorders>
            <w:shd w:val="clear" w:color="auto" w:fill="auto"/>
            <w:vAlign w:val="center"/>
            <w:hideMark/>
          </w:tcPr>
          <w:p w14:paraId="1E0E4EBA"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25EEFCC1"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5C634104"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3F8EA62B"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42338E2A"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Fairmont General</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4EE1A78A"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41E5418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130EF30B"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3BD93DFD"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5E8989CC"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Grant Memorial</w:t>
            </w:r>
          </w:p>
        </w:tc>
        <w:tc>
          <w:tcPr>
            <w:tcW w:w="1620" w:type="dxa"/>
            <w:tcBorders>
              <w:top w:val="nil"/>
              <w:left w:val="nil"/>
              <w:bottom w:val="single" w:sz="8" w:space="0" w:color="auto"/>
              <w:right w:val="single" w:sz="8" w:space="0" w:color="auto"/>
            </w:tcBorders>
            <w:shd w:val="clear" w:color="auto" w:fill="auto"/>
            <w:vAlign w:val="center"/>
            <w:hideMark/>
          </w:tcPr>
          <w:p w14:paraId="5D785091"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440" w:type="dxa"/>
            <w:tcBorders>
              <w:top w:val="nil"/>
              <w:left w:val="nil"/>
              <w:bottom w:val="single" w:sz="8" w:space="0" w:color="auto"/>
              <w:right w:val="single" w:sz="8" w:space="0" w:color="auto"/>
            </w:tcBorders>
            <w:shd w:val="clear" w:color="auto" w:fill="auto"/>
            <w:vAlign w:val="center"/>
            <w:hideMark/>
          </w:tcPr>
          <w:p w14:paraId="6BB7B55F"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01B5F088"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7776D53C"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182BEFAD"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Greenbrier Valley</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68968561"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7187C9A7"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01500FB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46FB6DF0"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24DF5A22"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Jackson General</w:t>
            </w:r>
          </w:p>
        </w:tc>
        <w:tc>
          <w:tcPr>
            <w:tcW w:w="1620" w:type="dxa"/>
            <w:tcBorders>
              <w:top w:val="nil"/>
              <w:left w:val="nil"/>
              <w:bottom w:val="single" w:sz="8" w:space="0" w:color="auto"/>
              <w:right w:val="single" w:sz="8" w:space="0" w:color="auto"/>
            </w:tcBorders>
            <w:shd w:val="clear" w:color="auto" w:fill="auto"/>
            <w:vAlign w:val="center"/>
            <w:hideMark/>
          </w:tcPr>
          <w:p w14:paraId="2791889E"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1532ED11"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710" w:type="dxa"/>
            <w:tcBorders>
              <w:top w:val="nil"/>
              <w:left w:val="nil"/>
              <w:bottom w:val="single" w:sz="8" w:space="0" w:color="auto"/>
              <w:right w:val="single" w:sz="8" w:space="0" w:color="auto"/>
            </w:tcBorders>
            <w:shd w:val="clear" w:color="auto" w:fill="auto"/>
            <w:vAlign w:val="center"/>
            <w:hideMark/>
          </w:tcPr>
          <w:p w14:paraId="5DBD6C95"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31ADE983"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36B579EA"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Logan Regional</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6B12C4CC"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4A14A831"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158530CD"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47DB2AD1"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77E4138A"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Mon Health Medical Center</w:t>
            </w:r>
          </w:p>
        </w:tc>
        <w:tc>
          <w:tcPr>
            <w:tcW w:w="1620" w:type="dxa"/>
            <w:tcBorders>
              <w:top w:val="nil"/>
              <w:left w:val="nil"/>
              <w:bottom w:val="single" w:sz="8" w:space="0" w:color="auto"/>
              <w:right w:val="single" w:sz="8" w:space="0" w:color="auto"/>
            </w:tcBorders>
            <w:shd w:val="clear" w:color="auto" w:fill="auto"/>
            <w:vAlign w:val="center"/>
            <w:hideMark/>
          </w:tcPr>
          <w:p w14:paraId="03CE83E1"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24A61433"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1261AA9E"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5F6F7276"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3E066F57"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Mon Health Preston Memorial Hospital</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17EA2729"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0CED1F79"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7FDD14AF"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67E2135C"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5187007E"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Ohio Valley Medical Center</w:t>
            </w:r>
          </w:p>
        </w:tc>
        <w:tc>
          <w:tcPr>
            <w:tcW w:w="1620" w:type="dxa"/>
            <w:tcBorders>
              <w:top w:val="nil"/>
              <w:left w:val="nil"/>
              <w:bottom w:val="single" w:sz="8" w:space="0" w:color="auto"/>
              <w:right w:val="single" w:sz="8" w:space="0" w:color="auto"/>
            </w:tcBorders>
            <w:shd w:val="clear" w:color="auto" w:fill="auto"/>
            <w:vAlign w:val="center"/>
            <w:hideMark/>
          </w:tcPr>
          <w:p w14:paraId="432AC3A1"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5A9FD9DE"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4176067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25A0469B"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670DA95B"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Pleasant Valley</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1226E858"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79AC3B1A"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5F644B0E"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01AA5B99"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tcPr>
          <w:p w14:paraId="10C17F14"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Plateau Medical Center</w:t>
            </w:r>
          </w:p>
        </w:tc>
        <w:tc>
          <w:tcPr>
            <w:tcW w:w="1620" w:type="dxa"/>
            <w:tcBorders>
              <w:top w:val="nil"/>
              <w:left w:val="nil"/>
              <w:bottom w:val="single" w:sz="8" w:space="0" w:color="auto"/>
              <w:right w:val="single" w:sz="8" w:space="0" w:color="auto"/>
            </w:tcBorders>
            <w:shd w:val="clear" w:color="auto" w:fill="auto"/>
            <w:vAlign w:val="center"/>
          </w:tcPr>
          <w:p w14:paraId="6A34E2C7"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tcPr>
          <w:p w14:paraId="09ECD53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710" w:type="dxa"/>
            <w:tcBorders>
              <w:top w:val="nil"/>
              <w:left w:val="nil"/>
              <w:bottom w:val="single" w:sz="8" w:space="0" w:color="auto"/>
              <w:right w:val="single" w:sz="8" w:space="0" w:color="auto"/>
            </w:tcBorders>
            <w:shd w:val="clear" w:color="auto" w:fill="auto"/>
            <w:vAlign w:val="center"/>
          </w:tcPr>
          <w:p w14:paraId="5DBB9E07"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042B64E8"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tcPr>
          <w:p w14:paraId="7F88A304"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Pleasant Valley Hospital</w:t>
            </w:r>
          </w:p>
        </w:tc>
        <w:tc>
          <w:tcPr>
            <w:tcW w:w="1620" w:type="dxa"/>
            <w:tcBorders>
              <w:top w:val="nil"/>
              <w:left w:val="nil"/>
              <w:bottom w:val="single" w:sz="8" w:space="0" w:color="auto"/>
              <w:right w:val="single" w:sz="8" w:space="0" w:color="auto"/>
            </w:tcBorders>
            <w:shd w:val="clear" w:color="auto" w:fill="DEEAF6" w:themeFill="accent1" w:themeFillTint="33"/>
            <w:vAlign w:val="center"/>
          </w:tcPr>
          <w:p w14:paraId="37E2D7A0"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tcPr>
          <w:p w14:paraId="1476EE38"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tcPr>
          <w:p w14:paraId="319D8CB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57533F83"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0FCABC66"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Princeton Community</w:t>
            </w:r>
          </w:p>
        </w:tc>
        <w:tc>
          <w:tcPr>
            <w:tcW w:w="1620" w:type="dxa"/>
            <w:tcBorders>
              <w:top w:val="nil"/>
              <w:left w:val="nil"/>
              <w:bottom w:val="single" w:sz="8" w:space="0" w:color="auto"/>
              <w:right w:val="single" w:sz="8" w:space="0" w:color="auto"/>
            </w:tcBorders>
            <w:shd w:val="clear" w:color="auto" w:fill="auto"/>
            <w:vAlign w:val="center"/>
            <w:hideMark/>
          </w:tcPr>
          <w:p w14:paraId="6FAA5DA8"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75D7F69B"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791C8CD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29F95F38"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2FB85BBC"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Raleigh General</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4EA3F84A"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0379032E"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547BBC73"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4786FF59"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5EC6C035"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Reynolds Memorial</w:t>
            </w:r>
          </w:p>
        </w:tc>
        <w:tc>
          <w:tcPr>
            <w:tcW w:w="1620" w:type="dxa"/>
            <w:tcBorders>
              <w:top w:val="nil"/>
              <w:left w:val="nil"/>
              <w:bottom w:val="single" w:sz="8" w:space="0" w:color="auto"/>
              <w:right w:val="single" w:sz="8" w:space="0" w:color="auto"/>
            </w:tcBorders>
            <w:shd w:val="clear" w:color="auto" w:fill="auto"/>
            <w:vAlign w:val="center"/>
            <w:hideMark/>
          </w:tcPr>
          <w:p w14:paraId="09C89B6E"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6FFF8D3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39D8A6E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1560715B"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20FECB9B"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Roane General Hospital</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69D5BDB7"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47DC0F77"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604A16FA"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3219E525"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tcPr>
          <w:p w14:paraId="2FE95F31"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Saint Francis Hospital</w:t>
            </w:r>
          </w:p>
        </w:tc>
        <w:tc>
          <w:tcPr>
            <w:tcW w:w="1620" w:type="dxa"/>
            <w:tcBorders>
              <w:top w:val="nil"/>
              <w:left w:val="nil"/>
              <w:bottom w:val="single" w:sz="8" w:space="0" w:color="auto"/>
              <w:right w:val="single" w:sz="8" w:space="0" w:color="auto"/>
            </w:tcBorders>
            <w:shd w:val="clear" w:color="auto" w:fill="auto"/>
            <w:vAlign w:val="center"/>
          </w:tcPr>
          <w:p w14:paraId="26F597F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tcPr>
          <w:p w14:paraId="36D2DAC8"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710" w:type="dxa"/>
            <w:tcBorders>
              <w:top w:val="nil"/>
              <w:left w:val="nil"/>
              <w:bottom w:val="single" w:sz="8" w:space="0" w:color="auto"/>
              <w:right w:val="single" w:sz="8" w:space="0" w:color="auto"/>
            </w:tcBorders>
            <w:shd w:val="clear" w:color="auto" w:fill="auto"/>
            <w:vAlign w:val="center"/>
          </w:tcPr>
          <w:p w14:paraId="52200984"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7509B2BD"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tcPr>
          <w:p w14:paraId="26788E44"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St Joseph's Buckhannon</w:t>
            </w:r>
          </w:p>
        </w:tc>
        <w:tc>
          <w:tcPr>
            <w:tcW w:w="1620" w:type="dxa"/>
            <w:tcBorders>
              <w:top w:val="nil"/>
              <w:left w:val="nil"/>
              <w:bottom w:val="single" w:sz="8" w:space="0" w:color="auto"/>
              <w:right w:val="single" w:sz="8" w:space="0" w:color="auto"/>
            </w:tcBorders>
            <w:shd w:val="clear" w:color="auto" w:fill="DEEAF6" w:themeFill="accent1" w:themeFillTint="33"/>
            <w:vAlign w:val="center"/>
          </w:tcPr>
          <w:p w14:paraId="79F687AA"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tcPr>
          <w:p w14:paraId="01BF711C"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tcPr>
          <w:p w14:paraId="2862E576"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2F85854C"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101AE976"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St Mary's Medical Center</w:t>
            </w:r>
          </w:p>
        </w:tc>
        <w:tc>
          <w:tcPr>
            <w:tcW w:w="1620" w:type="dxa"/>
            <w:tcBorders>
              <w:top w:val="nil"/>
              <w:left w:val="nil"/>
              <w:bottom w:val="single" w:sz="8" w:space="0" w:color="auto"/>
              <w:right w:val="single" w:sz="8" w:space="0" w:color="auto"/>
            </w:tcBorders>
            <w:shd w:val="clear" w:color="auto" w:fill="auto"/>
            <w:vAlign w:val="center"/>
            <w:hideMark/>
          </w:tcPr>
          <w:p w14:paraId="737AFD73"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505A1DB6"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2C32AF8D"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7877A5E9"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30577C9E"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Stonewall Jackson</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2754823B"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7014DA30"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6B034B96"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1A05BF11"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2124D58E"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Summersville Memorial</w:t>
            </w:r>
          </w:p>
        </w:tc>
        <w:tc>
          <w:tcPr>
            <w:tcW w:w="1620" w:type="dxa"/>
            <w:tcBorders>
              <w:top w:val="nil"/>
              <w:left w:val="nil"/>
              <w:bottom w:val="single" w:sz="8" w:space="0" w:color="auto"/>
              <w:right w:val="single" w:sz="8" w:space="0" w:color="auto"/>
            </w:tcBorders>
            <w:shd w:val="clear" w:color="auto" w:fill="auto"/>
            <w:vAlign w:val="center"/>
            <w:hideMark/>
          </w:tcPr>
          <w:p w14:paraId="1D21707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26E3804F"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00BE27B3"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3D1635C0"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697FBC20"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Thomas Memorial</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646111DE"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7AF76BEE"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00F47417"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r>
      <w:tr w:rsidR="003E35A9" w:rsidRPr="004864CE" w14:paraId="3A8A9F4B"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1818E4B7"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Webster County</w:t>
            </w:r>
          </w:p>
        </w:tc>
        <w:tc>
          <w:tcPr>
            <w:tcW w:w="1620" w:type="dxa"/>
            <w:tcBorders>
              <w:top w:val="nil"/>
              <w:left w:val="nil"/>
              <w:bottom w:val="single" w:sz="8" w:space="0" w:color="auto"/>
              <w:right w:val="single" w:sz="8" w:space="0" w:color="auto"/>
            </w:tcBorders>
            <w:shd w:val="clear" w:color="auto" w:fill="auto"/>
            <w:vAlign w:val="center"/>
            <w:hideMark/>
          </w:tcPr>
          <w:p w14:paraId="0E0AF6E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55ADEAA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710" w:type="dxa"/>
            <w:tcBorders>
              <w:top w:val="nil"/>
              <w:left w:val="nil"/>
              <w:bottom w:val="single" w:sz="8" w:space="0" w:color="auto"/>
              <w:right w:val="single" w:sz="8" w:space="0" w:color="auto"/>
            </w:tcBorders>
            <w:shd w:val="clear" w:color="auto" w:fill="auto"/>
            <w:vAlign w:val="center"/>
            <w:hideMark/>
          </w:tcPr>
          <w:p w14:paraId="0C0F1AFA"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20623563"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730DDC1B"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Weirton Medical Center</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75C1EC2B"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2B8E3146"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09050374"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55B0B31D"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72A6CBF0"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Welch Community</w:t>
            </w:r>
          </w:p>
        </w:tc>
        <w:tc>
          <w:tcPr>
            <w:tcW w:w="1620" w:type="dxa"/>
            <w:tcBorders>
              <w:top w:val="nil"/>
              <w:left w:val="nil"/>
              <w:bottom w:val="single" w:sz="8" w:space="0" w:color="auto"/>
              <w:right w:val="single" w:sz="8" w:space="0" w:color="auto"/>
            </w:tcBorders>
            <w:shd w:val="clear" w:color="auto" w:fill="auto"/>
            <w:vAlign w:val="center"/>
            <w:hideMark/>
          </w:tcPr>
          <w:p w14:paraId="03EAA024"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440" w:type="dxa"/>
            <w:tcBorders>
              <w:top w:val="nil"/>
              <w:left w:val="nil"/>
              <w:bottom w:val="single" w:sz="8" w:space="0" w:color="auto"/>
              <w:right w:val="single" w:sz="8" w:space="0" w:color="auto"/>
            </w:tcBorders>
            <w:shd w:val="clear" w:color="auto" w:fill="auto"/>
            <w:vAlign w:val="center"/>
            <w:hideMark/>
          </w:tcPr>
          <w:p w14:paraId="5B0E328F"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4AB67B9B"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33EF033F"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76D43626"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Wetzel County</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462E4F1C"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799DB006"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3176C1A1"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59269CBC"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735C65D8"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Wheeling Hospital</w:t>
            </w:r>
          </w:p>
        </w:tc>
        <w:tc>
          <w:tcPr>
            <w:tcW w:w="1620" w:type="dxa"/>
            <w:tcBorders>
              <w:top w:val="nil"/>
              <w:left w:val="nil"/>
              <w:bottom w:val="single" w:sz="8" w:space="0" w:color="auto"/>
              <w:right w:val="single" w:sz="8" w:space="0" w:color="auto"/>
            </w:tcBorders>
            <w:shd w:val="clear" w:color="auto" w:fill="auto"/>
            <w:vAlign w:val="center"/>
            <w:hideMark/>
          </w:tcPr>
          <w:p w14:paraId="3ABC0721"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5A6A59F9"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3D0A8F42"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44071791"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tcPr>
          <w:p w14:paraId="3957B642"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Williamson Memorial Hospital</w:t>
            </w:r>
          </w:p>
        </w:tc>
        <w:tc>
          <w:tcPr>
            <w:tcW w:w="1620" w:type="dxa"/>
            <w:tcBorders>
              <w:top w:val="nil"/>
              <w:left w:val="nil"/>
              <w:bottom w:val="single" w:sz="8" w:space="0" w:color="auto"/>
              <w:right w:val="single" w:sz="8" w:space="0" w:color="auto"/>
            </w:tcBorders>
            <w:shd w:val="clear" w:color="auto" w:fill="DEEAF6" w:themeFill="accent1" w:themeFillTint="33"/>
            <w:vAlign w:val="center"/>
          </w:tcPr>
          <w:p w14:paraId="74F7D345"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tcPr>
          <w:p w14:paraId="62710157"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c>
          <w:tcPr>
            <w:tcW w:w="1710" w:type="dxa"/>
            <w:tcBorders>
              <w:top w:val="nil"/>
              <w:left w:val="nil"/>
              <w:bottom w:val="single" w:sz="8" w:space="0" w:color="auto"/>
              <w:right w:val="single" w:sz="8" w:space="0" w:color="auto"/>
            </w:tcBorders>
            <w:shd w:val="clear" w:color="auto" w:fill="DEEAF6" w:themeFill="accent1" w:themeFillTint="33"/>
            <w:vAlign w:val="center"/>
          </w:tcPr>
          <w:p w14:paraId="244D4970"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00AF0611"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5F1FF342"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WVU Hospitals</w:t>
            </w:r>
          </w:p>
        </w:tc>
        <w:tc>
          <w:tcPr>
            <w:tcW w:w="1620" w:type="dxa"/>
            <w:tcBorders>
              <w:top w:val="nil"/>
              <w:left w:val="nil"/>
              <w:bottom w:val="single" w:sz="8" w:space="0" w:color="auto"/>
              <w:right w:val="single" w:sz="8" w:space="0" w:color="auto"/>
            </w:tcBorders>
            <w:shd w:val="clear" w:color="auto" w:fill="auto"/>
            <w:vAlign w:val="center"/>
            <w:hideMark/>
          </w:tcPr>
          <w:p w14:paraId="67C42628"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6AF8BE0C"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639FB351"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r>
      <w:tr w:rsidR="003E35A9" w:rsidRPr="004864CE" w14:paraId="626B46DA"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55887345"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WVU Medicine Berkeley Medical Center</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6EBB07A4"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18210143"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453A235B"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6E1EE822" w14:textId="77777777" w:rsidTr="00235E1B">
        <w:trPr>
          <w:trHeight w:val="240"/>
          <w:jc w:val="center"/>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488A0F82"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WVU Medicine Jefferson Medical Center</w:t>
            </w:r>
          </w:p>
        </w:tc>
        <w:tc>
          <w:tcPr>
            <w:tcW w:w="1620" w:type="dxa"/>
            <w:tcBorders>
              <w:top w:val="nil"/>
              <w:left w:val="nil"/>
              <w:bottom w:val="single" w:sz="8" w:space="0" w:color="auto"/>
              <w:right w:val="single" w:sz="8" w:space="0" w:color="auto"/>
            </w:tcBorders>
            <w:shd w:val="clear" w:color="auto" w:fill="auto"/>
            <w:vAlign w:val="center"/>
            <w:hideMark/>
          </w:tcPr>
          <w:p w14:paraId="7381C0CB"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auto"/>
            <w:vAlign w:val="center"/>
            <w:hideMark/>
          </w:tcPr>
          <w:p w14:paraId="53CE3264"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auto"/>
            <w:vAlign w:val="center"/>
            <w:hideMark/>
          </w:tcPr>
          <w:p w14:paraId="28700FE7"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r w:rsidR="003E35A9" w:rsidRPr="004864CE" w14:paraId="7394ACD2" w14:textId="77777777" w:rsidTr="00235E1B">
        <w:trPr>
          <w:trHeight w:val="223"/>
          <w:jc w:val="center"/>
        </w:trPr>
        <w:tc>
          <w:tcPr>
            <w:tcW w:w="4130" w:type="dxa"/>
            <w:tcBorders>
              <w:top w:val="nil"/>
              <w:left w:val="single" w:sz="8" w:space="0" w:color="auto"/>
              <w:bottom w:val="single" w:sz="8" w:space="0" w:color="auto"/>
              <w:right w:val="single" w:sz="8" w:space="0" w:color="auto"/>
            </w:tcBorders>
            <w:shd w:val="clear" w:color="auto" w:fill="DEEAF6" w:themeFill="accent1" w:themeFillTint="33"/>
            <w:vAlign w:val="center"/>
            <w:hideMark/>
          </w:tcPr>
          <w:p w14:paraId="32BC4AAD" w14:textId="77777777" w:rsidR="003E35A9" w:rsidRPr="00235E1B" w:rsidRDefault="003E35A9" w:rsidP="00235E1B">
            <w:pPr>
              <w:spacing w:after="0" w:line="235" w:lineRule="auto"/>
              <w:rPr>
                <w:rFonts w:asciiTheme="minorHAnsi" w:hAnsiTheme="minorHAnsi" w:cs="Arial"/>
                <w:color w:val="000000"/>
                <w:sz w:val="22"/>
                <w:szCs w:val="22"/>
              </w:rPr>
            </w:pPr>
            <w:r w:rsidRPr="00235E1B">
              <w:rPr>
                <w:rFonts w:asciiTheme="minorHAnsi" w:hAnsiTheme="minorHAnsi" w:cs="Arial"/>
                <w:color w:val="000000"/>
                <w:sz w:val="22"/>
                <w:szCs w:val="22"/>
              </w:rPr>
              <w:t>WVU Medicine United Hospital Center</w:t>
            </w:r>
          </w:p>
        </w:tc>
        <w:tc>
          <w:tcPr>
            <w:tcW w:w="1620" w:type="dxa"/>
            <w:tcBorders>
              <w:top w:val="nil"/>
              <w:left w:val="nil"/>
              <w:bottom w:val="single" w:sz="8" w:space="0" w:color="auto"/>
              <w:right w:val="single" w:sz="8" w:space="0" w:color="auto"/>
            </w:tcBorders>
            <w:shd w:val="clear" w:color="auto" w:fill="DEEAF6" w:themeFill="accent1" w:themeFillTint="33"/>
            <w:vAlign w:val="center"/>
            <w:hideMark/>
          </w:tcPr>
          <w:p w14:paraId="7C899F18"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440" w:type="dxa"/>
            <w:tcBorders>
              <w:top w:val="nil"/>
              <w:left w:val="nil"/>
              <w:bottom w:val="single" w:sz="8" w:space="0" w:color="auto"/>
              <w:right w:val="single" w:sz="8" w:space="0" w:color="auto"/>
            </w:tcBorders>
            <w:shd w:val="clear" w:color="auto" w:fill="DEEAF6" w:themeFill="accent1" w:themeFillTint="33"/>
            <w:vAlign w:val="center"/>
            <w:hideMark/>
          </w:tcPr>
          <w:p w14:paraId="46A94A2A"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YES</w:t>
            </w:r>
          </w:p>
        </w:tc>
        <w:tc>
          <w:tcPr>
            <w:tcW w:w="1710" w:type="dxa"/>
            <w:tcBorders>
              <w:top w:val="nil"/>
              <w:left w:val="nil"/>
              <w:bottom w:val="single" w:sz="8" w:space="0" w:color="auto"/>
              <w:right w:val="single" w:sz="8" w:space="0" w:color="auto"/>
            </w:tcBorders>
            <w:shd w:val="clear" w:color="auto" w:fill="DEEAF6" w:themeFill="accent1" w:themeFillTint="33"/>
            <w:vAlign w:val="center"/>
            <w:hideMark/>
          </w:tcPr>
          <w:p w14:paraId="678EFD34" w14:textId="77777777" w:rsidR="003E35A9" w:rsidRPr="00235E1B" w:rsidRDefault="003E35A9" w:rsidP="00235E1B">
            <w:pPr>
              <w:spacing w:after="0" w:line="235" w:lineRule="auto"/>
              <w:jc w:val="center"/>
              <w:rPr>
                <w:rFonts w:asciiTheme="minorHAnsi" w:hAnsiTheme="minorHAnsi" w:cs="Arial"/>
                <w:color w:val="000000"/>
                <w:sz w:val="22"/>
                <w:szCs w:val="22"/>
              </w:rPr>
            </w:pPr>
            <w:r w:rsidRPr="00235E1B">
              <w:rPr>
                <w:rFonts w:asciiTheme="minorHAnsi" w:hAnsiTheme="minorHAnsi" w:cs="Arial"/>
                <w:color w:val="000000"/>
                <w:sz w:val="22"/>
                <w:szCs w:val="22"/>
              </w:rPr>
              <w:t>NO</w:t>
            </w:r>
          </w:p>
        </w:tc>
      </w:tr>
    </w:tbl>
    <w:p w14:paraId="6BC58C65" w14:textId="77777777" w:rsidR="003E35A9" w:rsidRDefault="003E35A9" w:rsidP="00257641">
      <w:pPr>
        <w:pStyle w:val="Heading3"/>
        <w:ind w:left="547"/>
      </w:pPr>
      <w:bookmarkStart w:id="275" w:name="_Toc7162620"/>
      <w:bookmarkStart w:id="276" w:name="_Toc7528979"/>
      <w:bookmarkStart w:id="277" w:name="_Toc8129113"/>
      <w:r>
        <w:lastRenderedPageBreak/>
        <w:t>Pediatric Dental Network Access Standards</w:t>
      </w:r>
      <w:bookmarkEnd w:id="275"/>
      <w:bookmarkEnd w:id="276"/>
      <w:bookmarkEnd w:id="277"/>
    </w:p>
    <w:p w14:paraId="14A7FC46" w14:textId="77777777" w:rsidR="003E35A9" w:rsidRDefault="003E35A9" w:rsidP="00942394">
      <w:r>
        <w:t xml:space="preserve">The MCO must contract with a sufficient number of active dental providers accepting new patients and meet the following standards for all pediatric populations. </w:t>
      </w:r>
      <w:r w:rsidRPr="00BF2A3A">
        <w:t xml:space="preserve">For review purposes, </w:t>
      </w:r>
      <w:r>
        <w:t xml:space="preserve">dental </w:t>
      </w:r>
      <w:r w:rsidRPr="00BF2A3A">
        <w:t>providers are grouped</w:t>
      </w:r>
      <w:r>
        <w:t xml:space="preserve"> as dentists or</w:t>
      </w:r>
      <w:r w:rsidRPr="00942394">
        <w:t xml:space="preserve"> </w:t>
      </w:r>
      <w:r>
        <w:t>dental specialists</w:t>
      </w:r>
      <w:r w:rsidRPr="00BF2A3A">
        <w:t>. The requirements for each specialty group are outlined below.</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340"/>
        <w:gridCol w:w="4981"/>
      </w:tblGrid>
      <w:tr w:rsidR="003E35A9" w14:paraId="5ABDF548" w14:textId="77777777" w:rsidTr="00942394">
        <w:trPr>
          <w:trHeight w:val="431"/>
        </w:trPr>
        <w:tc>
          <w:tcPr>
            <w:tcW w:w="2214" w:type="dxa"/>
            <w:tcBorders>
              <w:right w:val="single" w:sz="4" w:space="0" w:color="FFFFFF" w:themeColor="background1"/>
            </w:tcBorders>
            <w:shd w:val="clear" w:color="auto" w:fill="002060"/>
          </w:tcPr>
          <w:p w14:paraId="27254581" w14:textId="77777777" w:rsidR="003E35A9" w:rsidRPr="00942394" w:rsidRDefault="003E35A9" w:rsidP="00942394">
            <w:pPr>
              <w:keepNext/>
              <w:spacing w:before="40" w:after="40"/>
              <w:jc w:val="center"/>
              <w:rPr>
                <w:rFonts w:ascii="Calibri" w:hAnsi="Calibri"/>
                <w:b/>
                <w:color w:val="FFFFFF"/>
                <w:sz w:val="22"/>
                <w:szCs w:val="22"/>
              </w:rPr>
            </w:pPr>
            <w:r w:rsidRPr="00942394">
              <w:rPr>
                <w:rFonts w:ascii="Calibri" w:hAnsi="Calibri"/>
                <w:b/>
                <w:color w:val="FFFFFF"/>
                <w:sz w:val="22"/>
                <w:szCs w:val="22"/>
              </w:rPr>
              <w:t>Provider Category</w:t>
            </w:r>
          </w:p>
        </w:tc>
        <w:tc>
          <w:tcPr>
            <w:tcW w:w="2340" w:type="dxa"/>
            <w:tcBorders>
              <w:left w:val="single" w:sz="4" w:space="0" w:color="FFFFFF" w:themeColor="background1"/>
              <w:right w:val="single" w:sz="4" w:space="0" w:color="FFFFFF" w:themeColor="background1"/>
            </w:tcBorders>
            <w:shd w:val="clear" w:color="auto" w:fill="002060"/>
          </w:tcPr>
          <w:p w14:paraId="5BE826F9" w14:textId="77777777" w:rsidR="003E35A9" w:rsidRPr="00942394" w:rsidRDefault="003E35A9" w:rsidP="00942394">
            <w:pPr>
              <w:keepNext/>
              <w:spacing w:before="40" w:after="40"/>
              <w:jc w:val="center"/>
              <w:rPr>
                <w:rFonts w:ascii="Calibri" w:hAnsi="Calibri"/>
                <w:b/>
                <w:color w:val="FFFFFF"/>
                <w:sz w:val="22"/>
                <w:szCs w:val="22"/>
              </w:rPr>
            </w:pPr>
            <w:r w:rsidRPr="00942394">
              <w:rPr>
                <w:rFonts w:ascii="Calibri" w:hAnsi="Calibri"/>
                <w:b/>
                <w:color w:val="FFFFFF"/>
                <w:sz w:val="22"/>
                <w:szCs w:val="22"/>
              </w:rPr>
              <w:t>Provider Type</w:t>
            </w:r>
          </w:p>
        </w:tc>
        <w:tc>
          <w:tcPr>
            <w:tcW w:w="4981" w:type="dxa"/>
            <w:tcBorders>
              <w:left w:val="single" w:sz="4" w:space="0" w:color="FFFFFF" w:themeColor="background1"/>
            </w:tcBorders>
            <w:shd w:val="clear" w:color="auto" w:fill="002060"/>
          </w:tcPr>
          <w:p w14:paraId="742C18BD" w14:textId="77777777" w:rsidR="003E35A9" w:rsidRPr="00942394" w:rsidRDefault="003E35A9" w:rsidP="00942394">
            <w:pPr>
              <w:keepNext/>
              <w:spacing w:before="40" w:after="40"/>
              <w:jc w:val="center"/>
              <w:rPr>
                <w:rFonts w:ascii="Calibri" w:hAnsi="Calibri"/>
                <w:b/>
                <w:color w:val="FFFFFF"/>
                <w:sz w:val="22"/>
                <w:szCs w:val="22"/>
              </w:rPr>
            </w:pPr>
            <w:r w:rsidRPr="00942394">
              <w:rPr>
                <w:rFonts w:ascii="Calibri" w:hAnsi="Calibri"/>
                <w:b/>
                <w:color w:val="FFFFFF"/>
                <w:sz w:val="22"/>
                <w:szCs w:val="22"/>
              </w:rPr>
              <w:t>Pediatric Standard</w:t>
            </w:r>
          </w:p>
        </w:tc>
      </w:tr>
      <w:tr w:rsidR="003E35A9" w14:paraId="3C541E0E" w14:textId="77777777" w:rsidTr="00942394">
        <w:tc>
          <w:tcPr>
            <w:tcW w:w="2214" w:type="dxa"/>
            <w:shd w:val="clear" w:color="auto" w:fill="auto"/>
          </w:tcPr>
          <w:p w14:paraId="4477B747" w14:textId="77777777" w:rsidR="003E35A9" w:rsidRPr="00942394" w:rsidRDefault="003E35A9" w:rsidP="00942394">
            <w:pPr>
              <w:keepNext/>
              <w:spacing w:before="40" w:after="40"/>
              <w:rPr>
                <w:rFonts w:ascii="Calibri" w:hAnsi="Calibri"/>
                <w:b/>
                <w:sz w:val="22"/>
                <w:szCs w:val="22"/>
              </w:rPr>
            </w:pPr>
            <w:r w:rsidRPr="00942394">
              <w:rPr>
                <w:rFonts w:ascii="Calibri" w:hAnsi="Calibri"/>
                <w:b/>
                <w:sz w:val="22"/>
                <w:szCs w:val="22"/>
              </w:rPr>
              <w:t>General Dentist</w:t>
            </w:r>
          </w:p>
        </w:tc>
        <w:tc>
          <w:tcPr>
            <w:tcW w:w="2340" w:type="dxa"/>
            <w:shd w:val="clear" w:color="auto" w:fill="auto"/>
            <w:vAlign w:val="center"/>
          </w:tcPr>
          <w:p w14:paraId="3FBEFCC1" w14:textId="77777777" w:rsidR="003E35A9" w:rsidRPr="00942394" w:rsidRDefault="003E35A9" w:rsidP="00942394">
            <w:pPr>
              <w:keepNext/>
              <w:spacing w:before="40" w:after="40"/>
              <w:rPr>
                <w:rFonts w:ascii="Calibri" w:hAnsi="Calibri"/>
                <w:sz w:val="22"/>
                <w:szCs w:val="22"/>
              </w:rPr>
            </w:pPr>
            <w:r w:rsidRPr="00942394">
              <w:rPr>
                <w:rFonts w:ascii="Calibri" w:hAnsi="Calibri"/>
                <w:sz w:val="22"/>
                <w:szCs w:val="22"/>
              </w:rPr>
              <w:t>Dentist</w:t>
            </w:r>
          </w:p>
        </w:tc>
        <w:tc>
          <w:tcPr>
            <w:tcW w:w="4981" w:type="dxa"/>
            <w:shd w:val="clear" w:color="auto" w:fill="auto"/>
            <w:vAlign w:val="center"/>
          </w:tcPr>
          <w:p w14:paraId="1CF3496A" w14:textId="77777777" w:rsidR="003E35A9" w:rsidRPr="00942394" w:rsidRDefault="003E35A9" w:rsidP="00942394">
            <w:pPr>
              <w:keepNext/>
              <w:spacing w:before="40" w:after="40"/>
              <w:rPr>
                <w:rFonts w:ascii="Calibri" w:hAnsi="Calibri"/>
                <w:sz w:val="22"/>
                <w:szCs w:val="22"/>
              </w:rPr>
            </w:pPr>
            <w:r w:rsidRPr="00942394">
              <w:rPr>
                <w:rFonts w:ascii="Calibri" w:hAnsi="Calibri"/>
                <w:sz w:val="22"/>
                <w:szCs w:val="22"/>
              </w:rPr>
              <w:t>Two</w:t>
            </w:r>
            <w:r w:rsidRPr="00942394">
              <w:rPr>
                <w:rFonts w:ascii="Calibri" w:hAnsi="Calibri"/>
                <w:b/>
                <w:sz w:val="22"/>
                <w:szCs w:val="22"/>
              </w:rPr>
              <w:t xml:space="preserve"> (2)</w:t>
            </w:r>
            <w:r w:rsidRPr="00942394">
              <w:rPr>
                <w:rFonts w:ascii="Calibri" w:hAnsi="Calibri"/>
                <w:sz w:val="22"/>
                <w:szCs w:val="22"/>
              </w:rPr>
              <w:t xml:space="preserve"> providers within twenty-five </w:t>
            </w:r>
            <w:r w:rsidRPr="00942394">
              <w:rPr>
                <w:rFonts w:ascii="Calibri" w:hAnsi="Calibri"/>
                <w:b/>
                <w:sz w:val="22"/>
                <w:szCs w:val="22"/>
              </w:rPr>
              <w:t>(25) miles</w:t>
            </w:r>
            <w:r w:rsidRPr="00942394">
              <w:rPr>
                <w:rFonts w:ascii="Calibri" w:hAnsi="Calibri"/>
                <w:sz w:val="22"/>
                <w:szCs w:val="22"/>
              </w:rPr>
              <w:t xml:space="preserve"> or thirty </w:t>
            </w:r>
            <w:r w:rsidRPr="00942394">
              <w:rPr>
                <w:rFonts w:ascii="Calibri" w:hAnsi="Calibri"/>
                <w:b/>
                <w:sz w:val="22"/>
                <w:szCs w:val="22"/>
              </w:rPr>
              <w:t>(30) minutes</w:t>
            </w:r>
            <w:r w:rsidRPr="00942394">
              <w:rPr>
                <w:rFonts w:ascii="Calibri" w:hAnsi="Calibri"/>
                <w:sz w:val="22"/>
                <w:szCs w:val="22"/>
              </w:rPr>
              <w:t xml:space="preserve"> travel time</w:t>
            </w:r>
          </w:p>
        </w:tc>
      </w:tr>
      <w:tr w:rsidR="003E35A9" w14:paraId="451C4F8F" w14:textId="77777777" w:rsidTr="00942394">
        <w:tc>
          <w:tcPr>
            <w:tcW w:w="2214" w:type="dxa"/>
            <w:vMerge w:val="restart"/>
            <w:shd w:val="clear" w:color="auto" w:fill="auto"/>
          </w:tcPr>
          <w:p w14:paraId="0211E1EC" w14:textId="77777777" w:rsidR="003E35A9" w:rsidRPr="00942394" w:rsidRDefault="003E35A9" w:rsidP="00942394">
            <w:pPr>
              <w:keepNext/>
              <w:spacing w:before="40" w:after="40"/>
              <w:rPr>
                <w:rFonts w:ascii="Calibri" w:hAnsi="Calibri"/>
                <w:b/>
                <w:sz w:val="22"/>
                <w:szCs w:val="22"/>
              </w:rPr>
            </w:pPr>
            <w:r w:rsidRPr="00942394">
              <w:rPr>
                <w:rFonts w:ascii="Calibri" w:hAnsi="Calibri"/>
                <w:b/>
                <w:sz w:val="22"/>
                <w:szCs w:val="22"/>
              </w:rPr>
              <w:t>Dental Specialist</w:t>
            </w:r>
          </w:p>
        </w:tc>
        <w:tc>
          <w:tcPr>
            <w:tcW w:w="2340" w:type="dxa"/>
            <w:shd w:val="clear" w:color="auto" w:fill="DEEAF6" w:themeFill="accent1" w:themeFillTint="33"/>
            <w:vAlign w:val="center"/>
          </w:tcPr>
          <w:p w14:paraId="0314BE41" w14:textId="77777777" w:rsidR="003E35A9" w:rsidRPr="00942394" w:rsidRDefault="003E35A9" w:rsidP="00942394">
            <w:pPr>
              <w:keepNext/>
              <w:spacing w:before="40" w:after="40"/>
              <w:rPr>
                <w:rFonts w:ascii="Calibri" w:hAnsi="Calibri"/>
                <w:sz w:val="22"/>
                <w:szCs w:val="22"/>
              </w:rPr>
            </w:pPr>
            <w:r w:rsidRPr="00942394">
              <w:rPr>
                <w:rFonts w:ascii="Calibri" w:hAnsi="Calibri"/>
                <w:sz w:val="22"/>
                <w:szCs w:val="22"/>
              </w:rPr>
              <w:t>Oral Surgeon</w:t>
            </w:r>
          </w:p>
        </w:tc>
        <w:tc>
          <w:tcPr>
            <w:tcW w:w="4981" w:type="dxa"/>
            <w:shd w:val="clear" w:color="auto" w:fill="DEEAF6" w:themeFill="accent1" w:themeFillTint="33"/>
            <w:vAlign w:val="center"/>
          </w:tcPr>
          <w:p w14:paraId="4DD37AD6" w14:textId="77777777" w:rsidR="003E35A9" w:rsidRPr="00942394" w:rsidRDefault="003E35A9" w:rsidP="00942394">
            <w:pPr>
              <w:keepNext/>
              <w:spacing w:before="40" w:after="40"/>
              <w:rPr>
                <w:rFonts w:ascii="Calibri" w:hAnsi="Calibri"/>
                <w:sz w:val="22"/>
                <w:szCs w:val="22"/>
              </w:rPr>
            </w:pPr>
            <w:r w:rsidRPr="00942394">
              <w:rPr>
                <w:rFonts w:ascii="Calibri" w:hAnsi="Calibri"/>
                <w:sz w:val="22"/>
                <w:szCs w:val="22"/>
              </w:rPr>
              <w:t xml:space="preserve">One </w:t>
            </w:r>
            <w:r w:rsidRPr="00942394">
              <w:rPr>
                <w:rFonts w:ascii="Calibri" w:hAnsi="Calibri"/>
                <w:b/>
                <w:sz w:val="22"/>
                <w:szCs w:val="22"/>
              </w:rPr>
              <w:t>(1)</w:t>
            </w:r>
            <w:r w:rsidRPr="00942394">
              <w:rPr>
                <w:rFonts w:ascii="Calibri" w:hAnsi="Calibri"/>
                <w:sz w:val="22"/>
                <w:szCs w:val="22"/>
              </w:rPr>
              <w:t xml:space="preserve"> provider within forty-five </w:t>
            </w:r>
            <w:r w:rsidRPr="00942394">
              <w:rPr>
                <w:rFonts w:ascii="Calibri" w:hAnsi="Calibri"/>
                <w:b/>
                <w:sz w:val="22"/>
                <w:szCs w:val="22"/>
              </w:rPr>
              <w:t>(45) miles</w:t>
            </w:r>
            <w:r w:rsidRPr="00942394">
              <w:rPr>
                <w:rFonts w:ascii="Calibri" w:hAnsi="Calibri"/>
                <w:sz w:val="22"/>
                <w:szCs w:val="22"/>
              </w:rPr>
              <w:t xml:space="preserve"> or sixty </w:t>
            </w:r>
            <w:r w:rsidRPr="00942394">
              <w:rPr>
                <w:rFonts w:ascii="Calibri" w:hAnsi="Calibri"/>
                <w:b/>
                <w:sz w:val="22"/>
                <w:szCs w:val="22"/>
              </w:rPr>
              <w:t>(60) minutes</w:t>
            </w:r>
            <w:r w:rsidRPr="00942394">
              <w:rPr>
                <w:rFonts w:ascii="Calibri" w:hAnsi="Calibri"/>
                <w:sz w:val="22"/>
                <w:szCs w:val="22"/>
              </w:rPr>
              <w:t xml:space="preserve"> travel time</w:t>
            </w:r>
          </w:p>
        </w:tc>
      </w:tr>
      <w:tr w:rsidR="003E35A9" w14:paraId="2C0B1467" w14:textId="77777777" w:rsidTr="00942394">
        <w:tc>
          <w:tcPr>
            <w:tcW w:w="2214" w:type="dxa"/>
            <w:vMerge/>
            <w:shd w:val="clear" w:color="auto" w:fill="auto"/>
          </w:tcPr>
          <w:p w14:paraId="6A2501C1" w14:textId="77777777" w:rsidR="003E35A9" w:rsidRPr="00942394" w:rsidRDefault="003E35A9" w:rsidP="00942394">
            <w:pPr>
              <w:keepNext/>
              <w:spacing w:before="40" w:after="40"/>
              <w:rPr>
                <w:rFonts w:ascii="Calibri" w:hAnsi="Calibri"/>
                <w:sz w:val="22"/>
                <w:szCs w:val="22"/>
              </w:rPr>
            </w:pPr>
          </w:p>
        </w:tc>
        <w:tc>
          <w:tcPr>
            <w:tcW w:w="2340" w:type="dxa"/>
            <w:shd w:val="clear" w:color="auto" w:fill="auto"/>
            <w:vAlign w:val="center"/>
          </w:tcPr>
          <w:p w14:paraId="28C13D07" w14:textId="77777777" w:rsidR="003E35A9" w:rsidRPr="00942394" w:rsidRDefault="003E35A9" w:rsidP="00942394">
            <w:pPr>
              <w:keepNext/>
              <w:spacing w:before="40" w:after="40"/>
              <w:rPr>
                <w:rFonts w:ascii="Calibri" w:hAnsi="Calibri"/>
                <w:sz w:val="22"/>
                <w:szCs w:val="22"/>
              </w:rPr>
            </w:pPr>
            <w:r w:rsidRPr="00942394">
              <w:rPr>
                <w:rFonts w:ascii="Calibri" w:hAnsi="Calibri"/>
                <w:sz w:val="22"/>
                <w:szCs w:val="22"/>
              </w:rPr>
              <w:t>Orthodontist</w:t>
            </w:r>
          </w:p>
        </w:tc>
        <w:tc>
          <w:tcPr>
            <w:tcW w:w="4981" w:type="dxa"/>
            <w:shd w:val="clear" w:color="auto" w:fill="auto"/>
            <w:vAlign w:val="center"/>
          </w:tcPr>
          <w:p w14:paraId="184F0F4F" w14:textId="77777777" w:rsidR="003E35A9" w:rsidRPr="00942394" w:rsidRDefault="003E35A9" w:rsidP="00942394">
            <w:pPr>
              <w:keepNext/>
              <w:spacing w:before="40" w:after="40"/>
              <w:rPr>
                <w:rFonts w:ascii="Calibri" w:hAnsi="Calibri"/>
                <w:sz w:val="22"/>
                <w:szCs w:val="22"/>
              </w:rPr>
            </w:pPr>
            <w:r w:rsidRPr="00942394">
              <w:rPr>
                <w:rFonts w:ascii="Calibri" w:hAnsi="Calibri"/>
                <w:sz w:val="22"/>
                <w:szCs w:val="22"/>
              </w:rPr>
              <w:t xml:space="preserve">One </w:t>
            </w:r>
            <w:r w:rsidRPr="00942394">
              <w:rPr>
                <w:rFonts w:ascii="Calibri" w:hAnsi="Calibri"/>
                <w:b/>
                <w:sz w:val="22"/>
                <w:szCs w:val="22"/>
              </w:rPr>
              <w:t>(1)</w:t>
            </w:r>
            <w:r w:rsidRPr="00942394">
              <w:rPr>
                <w:rFonts w:ascii="Calibri" w:hAnsi="Calibri"/>
                <w:sz w:val="22"/>
                <w:szCs w:val="22"/>
              </w:rPr>
              <w:t xml:space="preserve"> provider within forty-five </w:t>
            </w:r>
            <w:r w:rsidRPr="00942394">
              <w:rPr>
                <w:rFonts w:ascii="Calibri" w:hAnsi="Calibri"/>
                <w:b/>
                <w:sz w:val="22"/>
                <w:szCs w:val="22"/>
              </w:rPr>
              <w:t>(45) miles</w:t>
            </w:r>
            <w:r w:rsidRPr="00942394">
              <w:rPr>
                <w:rFonts w:ascii="Calibri" w:hAnsi="Calibri"/>
                <w:sz w:val="22"/>
                <w:szCs w:val="22"/>
              </w:rPr>
              <w:t xml:space="preserve"> or sixty </w:t>
            </w:r>
            <w:r w:rsidRPr="00942394">
              <w:rPr>
                <w:rFonts w:ascii="Calibri" w:hAnsi="Calibri"/>
                <w:b/>
                <w:sz w:val="22"/>
                <w:szCs w:val="22"/>
              </w:rPr>
              <w:t>(60) minutes</w:t>
            </w:r>
            <w:r w:rsidRPr="00942394">
              <w:rPr>
                <w:rFonts w:ascii="Calibri" w:hAnsi="Calibri"/>
                <w:sz w:val="22"/>
                <w:szCs w:val="22"/>
              </w:rPr>
              <w:t xml:space="preserve"> travel time</w:t>
            </w:r>
          </w:p>
        </w:tc>
      </w:tr>
    </w:tbl>
    <w:p w14:paraId="401A90EE" w14:textId="77777777" w:rsidR="003E35A9" w:rsidRDefault="003E35A9" w:rsidP="00257641"/>
    <w:p w14:paraId="5636C84F" w14:textId="77777777" w:rsidR="003E35A9" w:rsidRDefault="003E35A9" w:rsidP="00257641">
      <w:pPr>
        <w:pStyle w:val="Heading3"/>
        <w:ind w:left="547"/>
      </w:pPr>
      <w:bookmarkStart w:id="278" w:name="_Toc7162621"/>
      <w:bookmarkStart w:id="279" w:name="_Toc7528980"/>
      <w:bookmarkStart w:id="280" w:name="_Toc8129114"/>
      <w:r>
        <w:t>Behavioral Health Network Access Standards</w:t>
      </w:r>
      <w:bookmarkEnd w:id="278"/>
      <w:bookmarkEnd w:id="279"/>
      <w:bookmarkEnd w:id="280"/>
    </w:p>
    <w:p w14:paraId="0EAF7457" w14:textId="77777777" w:rsidR="003E35A9" w:rsidRDefault="003E35A9" w:rsidP="00942394">
      <w:r>
        <w:t xml:space="preserve">The MCO must contract with a sufficient number of active behavioral health and SUD providers accepting new patients and meet the following standards for all adult and pediatric populations. </w:t>
      </w:r>
      <w:r w:rsidRPr="00BF2A3A">
        <w:t xml:space="preserve">For review purposes, </w:t>
      </w:r>
      <w:r>
        <w:t xml:space="preserve">behavioral health </w:t>
      </w:r>
      <w:r w:rsidRPr="00BF2A3A">
        <w:t>providers are grouped</w:t>
      </w:r>
      <w:r>
        <w:t xml:space="preserve"> as behavioral health providers, behavioral health facilities, SUD providers, or SUD facilities</w:t>
      </w:r>
      <w:r w:rsidRPr="00BF2A3A">
        <w:t>. The requirements for each specialty group are outlined below.</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977"/>
        <w:gridCol w:w="2700"/>
        <w:gridCol w:w="2700"/>
      </w:tblGrid>
      <w:tr w:rsidR="005B4A23" w14:paraId="69A74706" w14:textId="77777777" w:rsidTr="00C6361E">
        <w:trPr>
          <w:trHeight w:val="494"/>
          <w:tblHeader/>
          <w:jc w:val="center"/>
        </w:trPr>
        <w:tc>
          <w:tcPr>
            <w:tcW w:w="1708" w:type="dxa"/>
            <w:tcBorders>
              <w:right w:val="single" w:sz="4" w:space="0" w:color="FFFFFF" w:themeColor="background1"/>
            </w:tcBorders>
            <w:shd w:val="clear" w:color="auto" w:fill="002060"/>
          </w:tcPr>
          <w:p w14:paraId="62E068A9" w14:textId="77777777" w:rsidR="005B4A23" w:rsidRPr="00942394" w:rsidRDefault="005B4A23" w:rsidP="00942394">
            <w:pPr>
              <w:spacing w:after="0"/>
              <w:jc w:val="center"/>
              <w:rPr>
                <w:rFonts w:asciiTheme="minorHAnsi" w:hAnsiTheme="minorHAnsi"/>
                <w:b/>
                <w:color w:val="FFFFFF"/>
                <w:sz w:val="22"/>
                <w:szCs w:val="22"/>
              </w:rPr>
            </w:pPr>
            <w:r w:rsidRPr="00942394">
              <w:rPr>
                <w:rFonts w:asciiTheme="minorHAnsi" w:hAnsiTheme="minorHAnsi"/>
                <w:b/>
                <w:color w:val="FFFFFF"/>
                <w:sz w:val="22"/>
                <w:szCs w:val="22"/>
              </w:rPr>
              <w:t>Provider Category</w:t>
            </w:r>
          </w:p>
        </w:tc>
        <w:tc>
          <w:tcPr>
            <w:tcW w:w="1977" w:type="dxa"/>
            <w:tcBorders>
              <w:left w:val="single" w:sz="4" w:space="0" w:color="FFFFFF" w:themeColor="background1"/>
              <w:right w:val="single" w:sz="4" w:space="0" w:color="FFFFFF" w:themeColor="background1"/>
            </w:tcBorders>
            <w:shd w:val="clear" w:color="auto" w:fill="002060"/>
            <w:vAlign w:val="center"/>
          </w:tcPr>
          <w:p w14:paraId="561C0185" w14:textId="77777777" w:rsidR="005B4A23" w:rsidRPr="00942394" w:rsidRDefault="005B4A23" w:rsidP="00942394">
            <w:pPr>
              <w:spacing w:after="0"/>
              <w:rPr>
                <w:rFonts w:asciiTheme="minorHAnsi" w:hAnsiTheme="minorHAnsi"/>
                <w:b/>
                <w:color w:val="FFFFFF"/>
                <w:sz w:val="22"/>
                <w:szCs w:val="22"/>
              </w:rPr>
            </w:pPr>
            <w:r w:rsidRPr="00942394">
              <w:rPr>
                <w:rFonts w:asciiTheme="minorHAnsi" w:hAnsiTheme="minorHAnsi"/>
                <w:b/>
                <w:color w:val="FFFFFF"/>
                <w:sz w:val="22"/>
                <w:szCs w:val="22"/>
              </w:rPr>
              <w:t>Provider Type</w:t>
            </w:r>
          </w:p>
        </w:tc>
        <w:tc>
          <w:tcPr>
            <w:tcW w:w="2700" w:type="dxa"/>
            <w:tcBorders>
              <w:left w:val="single" w:sz="4" w:space="0" w:color="FFFFFF" w:themeColor="background1"/>
              <w:right w:val="single" w:sz="4" w:space="0" w:color="FFFFFF" w:themeColor="background1"/>
            </w:tcBorders>
            <w:shd w:val="clear" w:color="auto" w:fill="002060"/>
            <w:vAlign w:val="center"/>
          </w:tcPr>
          <w:p w14:paraId="36706C24" w14:textId="221C53CF" w:rsidR="005B4A23" w:rsidRPr="00942394" w:rsidRDefault="005B4A23" w:rsidP="00942394">
            <w:pPr>
              <w:spacing w:after="0"/>
              <w:rPr>
                <w:rFonts w:asciiTheme="minorHAnsi" w:hAnsiTheme="minorHAnsi"/>
                <w:b/>
                <w:color w:val="FFFFFF"/>
                <w:sz w:val="22"/>
                <w:szCs w:val="22"/>
              </w:rPr>
            </w:pPr>
            <w:r w:rsidRPr="00942394">
              <w:rPr>
                <w:rFonts w:asciiTheme="minorHAnsi" w:hAnsiTheme="minorHAnsi"/>
                <w:b/>
                <w:color w:val="FFFFFF"/>
                <w:sz w:val="22"/>
                <w:szCs w:val="22"/>
              </w:rPr>
              <w:t>Adult Standard</w:t>
            </w:r>
          </w:p>
        </w:tc>
        <w:tc>
          <w:tcPr>
            <w:tcW w:w="2700" w:type="dxa"/>
            <w:tcBorders>
              <w:left w:val="single" w:sz="4" w:space="0" w:color="FFFFFF" w:themeColor="background1"/>
            </w:tcBorders>
            <w:shd w:val="clear" w:color="auto" w:fill="002060"/>
            <w:vAlign w:val="center"/>
          </w:tcPr>
          <w:p w14:paraId="5EB53B0D" w14:textId="57175DA5" w:rsidR="005B4A23" w:rsidRPr="00942394" w:rsidRDefault="005B4A23" w:rsidP="00942394">
            <w:pPr>
              <w:spacing w:after="0"/>
              <w:rPr>
                <w:rFonts w:asciiTheme="minorHAnsi" w:hAnsiTheme="minorHAnsi"/>
                <w:b/>
                <w:color w:val="FFFFFF"/>
                <w:sz w:val="22"/>
                <w:szCs w:val="22"/>
              </w:rPr>
            </w:pPr>
            <w:r w:rsidRPr="00942394">
              <w:rPr>
                <w:rFonts w:asciiTheme="minorHAnsi" w:hAnsiTheme="minorHAnsi"/>
                <w:b/>
                <w:color w:val="FFFFFF"/>
                <w:sz w:val="22"/>
                <w:szCs w:val="22"/>
              </w:rPr>
              <w:t>Pediatric Standard</w:t>
            </w:r>
          </w:p>
        </w:tc>
      </w:tr>
      <w:tr w:rsidR="005B4A23" w14:paraId="4DE9D601" w14:textId="77777777" w:rsidTr="00C6361E">
        <w:trPr>
          <w:jc w:val="center"/>
        </w:trPr>
        <w:tc>
          <w:tcPr>
            <w:tcW w:w="1708" w:type="dxa"/>
            <w:vMerge w:val="restart"/>
            <w:shd w:val="clear" w:color="auto" w:fill="auto"/>
          </w:tcPr>
          <w:p w14:paraId="515CA132" w14:textId="77777777" w:rsidR="005B4A23" w:rsidRPr="00942394" w:rsidRDefault="005B4A23" w:rsidP="00942394">
            <w:pPr>
              <w:spacing w:after="0"/>
              <w:rPr>
                <w:rFonts w:asciiTheme="minorHAnsi" w:hAnsiTheme="minorHAnsi"/>
                <w:b/>
                <w:sz w:val="22"/>
                <w:szCs w:val="22"/>
              </w:rPr>
            </w:pPr>
            <w:r w:rsidRPr="00942394">
              <w:rPr>
                <w:rFonts w:asciiTheme="minorHAnsi" w:hAnsiTheme="minorHAnsi"/>
                <w:b/>
                <w:sz w:val="22"/>
                <w:szCs w:val="22"/>
              </w:rPr>
              <w:t>BH Provider</w:t>
            </w:r>
          </w:p>
        </w:tc>
        <w:tc>
          <w:tcPr>
            <w:tcW w:w="1977" w:type="dxa"/>
            <w:shd w:val="clear" w:color="auto" w:fill="auto"/>
            <w:vAlign w:val="center"/>
          </w:tcPr>
          <w:p w14:paraId="69A0EA35" w14:textId="77777777" w:rsidR="005B4A23" w:rsidRPr="00942394" w:rsidRDefault="005B4A23" w:rsidP="00942394">
            <w:pPr>
              <w:spacing w:after="0"/>
              <w:rPr>
                <w:rFonts w:asciiTheme="minorHAnsi" w:hAnsiTheme="minorHAnsi"/>
                <w:sz w:val="22"/>
                <w:szCs w:val="22"/>
              </w:rPr>
            </w:pPr>
            <w:r w:rsidRPr="00942394">
              <w:rPr>
                <w:rFonts w:asciiTheme="minorHAnsi" w:hAnsiTheme="minorHAnsi"/>
                <w:sz w:val="22"/>
                <w:szCs w:val="22"/>
              </w:rPr>
              <w:t>Psychologist</w:t>
            </w:r>
          </w:p>
        </w:tc>
        <w:tc>
          <w:tcPr>
            <w:tcW w:w="2700" w:type="dxa"/>
            <w:vAlign w:val="center"/>
          </w:tcPr>
          <w:p w14:paraId="7827D97D" w14:textId="10E924CD" w:rsidR="005B4A23" w:rsidRPr="00942394" w:rsidRDefault="005B4A23" w:rsidP="00942394">
            <w:pPr>
              <w:spacing w:after="0"/>
              <w:rPr>
                <w:rFonts w:asciiTheme="minorHAnsi" w:hAnsiTheme="minorHAnsi"/>
                <w:sz w:val="22"/>
                <w:szCs w:val="22"/>
              </w:rPr>
            </w:pPr>
            <w:r w:rsidRPr="00942394">
              <w:rPr>
                <w:rFonts w:asciiTheme="minorHAnsi" w:hAnsiTheme="minorHAnsi"/>
                <w:sz w:val="22"/>
                <w:szCs w:val="22"/>
              </w:rPr>
              <w:t>Two</w:t>
            </w:r>
            <w:r w:rsidRPr="00942394">
              <w:rPr>
                <w:rFonts w:asciiTheme="minorHAnsi" w:hAnsiTheme="minorHAnsi"/>
                <w:b/>
                <w:sz w:val="22"/>
                <w:szCs w:val="22"/>
              </w:rPr>
              <w:t xml:space="preserve"> (2)</w:t>
            </w:r>
            <w:r w:rsidRPr="00942394">
              <w:rPr>
                <w:rFonts w:asciiTheme="minorHAnsi" w:hAnsiTheme="minorHAnsi"/>
                <w:sz w:val="22"/>
                <w:szCs w:val="22"/>
              </w:rPr>
              <w:t xml:space="preserve"> providers within forty-five </w:t>
            </w:r>
            <w:r w:rsidRPr="00942394">
              <w:rPr>
                <w:rFonts w:asciiTheme="minorHAnsi" w:hAnsiTheme="minorHAnsi"/>
                <w:b/>
                <w:sz w:val="22"/>
                <w:szCs w:val="22"/>
              </w:rPr>
              <w:t>(45) miles</w:t>
            </w:r>
            <w:r w:rsidRPr="00942394">
              <w:rPr>
                <w:rFonts w:asciiTheme="minorHAnsi" w:hAnsiTheme="minorHAnsi"/>
                <w:sz w:val="22"/>
                <w:szCs w:val="22"/>
              </w:rPr>
              <w:t xml:space="preserve"> or sixty </w:t>
            </w:r>
            <w:r w:rsidRPr="00942394">
              <w:rPr>
                <w:rFonts w:asciiTheme="minorHAnsi" w:hAnsiTheme="minorHAnsi"/>
                <w:b/>
                <w:sz w:val="22"/>
                <w:szCs w:val="22"/>
              </w:rPr>
              <w:t>(60) minutes</w:t>
            </w:r>
            <w:r w:rsidRPr="00942394">
              <w:rPr>
                <w:rFonts w:asciiTheme="minorHAnsi" w:hAnsiTheme="minorHAnsi"/>
                <w:sz w:val="22"/>
                <w:szCs w:val="22"/>
              </w:rPr>
              <w:t xml:space="preserve"> travel time</w:t>
            </w:r>
          </w:p>
        </w:tc>
        <w:tc>
          <w:tcPr>
            <w:tcW w:w="2700" w:type="dxa"/>
            <w:vAlign w:val="center"/>
          </w:tcPr>
          <w:p w14:paraId="5AF396B7" w14:textId="11F17BD2" w:rsidR="005B4A23" w:rsidRPr="00942394" w:rsidRDefault="005B4A23" w:rsidP="00942394">
            <w:pPr>
              <w:spacing w:after="0"/>
              <w:rPr>
                <w:rFonts w:asciiTheme="minorHAnsi" w:hAnsiTheme="minorHAnsi"/>
                <w:b/>
                <w:sz w:val="22"/>
                <w:szCs w:val="22"/>
              </w:rPr>
            </w:pPr>
            <w:r w:rsidRPr="00942394">
              <w:rPr>
                <w:rFonts w:asciiTheme="minorHAnsi" w:hAnsiTheme="minorHAnsi"/>
                <w:sz w:val="22"/>
                <w:szCs w:val="22"/>
              </w:rPr>
              <w:t>Two</w:t>
            </w:r>
            <w:r w:rsidRPr="00942394">
              <w:rPr>
                <w:rFonts w:asciiTheme="minorHAnsi" w:hAnsiTheme="minorHAnsi"/>
                <w:b/>
                <w:sz w:val="22"/>
                <w:szCs w:val="22"/>
              </w:rPr>
              <w:t xml:space="preserve"> (2)</w:t>
            </w:r>
            <w:r w:rsidRPr="00942394">
              <w:rPr>
                <w:rFonts w:asciiTheme="minorHAnsi" w:hAnsiTheme="minorHAnsi"/>
                <w:sz w:val="22"/>
                <w:szCs w:val="22"/>
              </w:rPr>
              <w:t xml:space="preserve"> providers within forty-five </w:t>
            </w:r>
            <w:r w:rsidRPr="00942394">
              <w:rPr>
                <w:rFonts w:asciiTheme="minorHAnsi" w:hAnsiTheme="minorHAnsi"/>
                <w:b/>
                <w:sz w:val="22"/>
                <w:szCs w:val="22"/>
              </w:rPr>
              <w:t>(45) miles</w:t>
            </w:r>
            <w:r w:rsidRPr="00942394">
              <w:rPr>
                <w:rFonts w:asciiTheme="minorHAnsi" w:hAnsiTheme="minorHAnsi"/>
                <w:sz w:val="22"/>
                <w:szCs w:val="22"/>
              </w:rPr>
              <w:t xml:space="preserve"> or sixty </w:t>
            </w:r>
            <w:r w:rsidRPr="00942394">
              <w:rPr>
                <w:rFonts w:asciiTheme="minorHAnsi" w:hAnsiTheme="minorHAnsi"/>
                <w:b/>
                <w:sz w:val="22"/>
                <w:szCs w:val="22"/>
              </w:rPr>
              <w:t>(60) minutes</w:t>
            </w:r>
            <w:r w:rsidRPr="00942394">
              <w:rPr>
                <w:rFonts w:asciiTheme="minorHAnsi" w:hAnsiTheme="minorHAnsi"/>
                <w:sz w:val="22"/>
                <w:szCs w:val="22"/>
              </w:rPr>
              <w:t xml:space="preserve"> travel time</w:t>
            </w:r>
          </w:p>
        </w:tc>
      </w:tr>
      <w:tr w:rsidR="005B4A23" w14:paraId="2AF49AD7" w14:textId="77777777" w:rsidTr="00C6361E">
        <w:trPr>
          <w:jc w:val="center"/>
        </w:trPr>
        <w:tc>
          <w:tcPr>
            <w:tcW w:w="1708" w:type="dxa"/>
            <w:vMerge/>
            <w:shd w:val="clear" w:color="auto" w:fill="auto"/>
          </w:tcPr>
          <w:p w14:paraId="1EC3B0F1" w14:textId="77777777" w:rsidR="005B4A23" w:rsidRPr="00942394" w:rsidRDefault="005B4A23" w:rsidP="00942394">
            <w:pPr>
              <w:spacing w:after="0"/>
              <w:rPr>
                <w:rFonts w:asciiTheme="minorHAnsi" w:hAnsiTheme="minorHAnsi"/>
                <w:b/>
                <w:sz w:val="22"/>
                <w:szCs w:val="22"/>
              </w:rPr>
            </w:pPr>
          </w:p>
        </w:tc>
        <w:tc>
          <w:tcPr>
            <w:tcW w:w="1977" w:type="dxa"/>
            <w:shd w:val="clear" w:color="auto" w:fill="DEEAF6" w:themeFill="accent1" w:themeFillTint="33"/>
            <w:vAlign w:val="center"/>
          </w:tcPr>
          <w:p w14:paraId="5467D974" w14:textId="77777777" w:rsidR="005B4A23" w:rsidRPr="00942394" w:rsidRDefault="005B4A23" w:rsidP="00942394">
            <w:pPr>
              <w:spacing w:after="0"/>
              <w:rPr>
                <w:rFonts w:asciiTheme="minorHAnsi" w:hAnsiTheme="minorHAnsi"/>
                <w:sz w:val="22"/>
                <w:szCs w:val="22"/>
              </w:rPr>
            </w:pPr>
            <w:r w:rsidRPr="00942394">
              <w:rPr>
                <w:rFonts w:asciiTheme="minorHAnsi" w:hAnsiTheme="minorHAnsi"/>
                <w:sz w:val="22"/>
                <w:szCs w:val="22"/>
              </w:rPr>
              <w:t>Psychiatrist</w:t>
            </w:r>
          </w:p>
        </w:tc>
        <w:tc>
          <w:tcPr>
            <w:tcW w:w="2700" w:type="dxa"/>
            <w:shd w:val="clear" w:color="auto" w:fill="DEEAF6" w:themeFill="accent1" w:themeFillTint="33"/>
            <w:vAlign w:val="center"/>
          </w:tcPr>
          <w:p w14:paraId="5330FCB2" w14:textId="5B358CC3" w:rsidR="005B4A23" w:rsidRPr="00942394" w:rsidRDefault="005B4A23" w:rsidP="00942394">
            <w:pPr>
              <w:spacing w:after="0"/>
              <w:rPr>
                <w:rFonts w:asciiTheme="minorHAnsi" w:hAnsiTheme="minorHAnsi"/>
                <w:sz w:val="22"/>
                <w:szCs w:val="22"/>
              </w:rPr>
            </w:pPr>
            <w:r w:rsidRPr="00942394">
              <w:rPr>
                <w:rFonts w:asciiTheme="minorHAnsi" w:hAnsiTheme="minorHAnsi"/>
                <w:sz w:val="22"/>
                <w:szCs w:val="22"/>
              </w:rPr>
              <w:t>Two</w:t>
            </w:r>
            <w:r w:rsidRPr="00942394">
              <w:rPr>
                <w:rFonts w:asciiTheme="minorHAnsi" w:hAnsiTheme="minorHAnsi"/>
                <w:b/>
                <w:sz w:val="22"/>
                <w:szCs w:val="22"/>
              </w:rPr>
              <w:t xml:space="preserve"> (2)</w:t>
            </w:r>
            <w:r w:rsidRPr="00942394">
              <w:rPr>
                <w:rFonts w:asciiTheme="minorHAnsi" w:hAnsiTheme="minorHAnsi"/>
                <w:sz w:val="22"/>
                <w:szCs w:val="22"/>
              </w:rPr>
              <w:t xml:space="preserve"> providers within forty-five </w:t>
            </w:r>
            <w:r w:rsidRPr="00942394">
              <w:rPr>
                <w:rFonts w:asciiTheme="minorHAnsi" w:hAnsiTheme="minorHAnsi"/>
                <w:b/>
                <w:sz w:val="22"/>
                <w:szCs w:val="22"/>
              </w:rPr>
              <w:t>(45) miles</w:t>
            </w:r>
            <w:r w:rsidRPr="00942394">
              <w:rPr>
                <w:rFonts w:asciiTheme="minorHAnsi" w:hAnsiTheme="minorHAnsi"/>
                <w:sz w:val="22"/>
                <w:szCs w:val="22"/>
              </w:rPr>
              <w:t xml:space="preserve"> or sixty </w:t>
            </w:r>
            <w:r w:rsidRPr="00942394">
              <w:rPr>
                <w:rFonts w:asciiTheme="minorHAnsi" w:hAnsiTheme="minorHAnsi"/>
                <w:b/>
                <w:sz w:val="22"/>
                <w:szCs w:val="22"/>
              </w:rPr>
              <w:t>(60) minutes</w:t>
            </w:r>
            <w:r w:rsidRPr="00942394">
              <w:rPr>
                <w:rFonts w:asciiTheme="minorHAnsi" w:hAnsiTheme="minorHAnsi"/>
                <w:sz w:val="22"/>
                <w:szCs w:val="22"/>
              </w:rPr>
              <w:t xml:space="preserve"> travel time</w:t>
            </w:r>
          </w:p>
        </w:tc>
        <w:tc>
          <w:tcPr>
            <w:tcW w:w="2700" w:type="dxa"/>
            <w:shd w:val="clear" w:color="auto" w:fill="DEEAF6" w:themeFill="accent1" w:themeFillTint="33"/>
            <w:vAlign w:val="center"/>
          </w:tcPr>
          <w:p w14:paraId="49B11EBA" w14:textId="2BCF8513" w:rsidR="005B4A23" w:rsidRPr="00942394" w:rsidRDefault="005B4A23" w:rsidP="00942394">
            <w:pPr>
              <w:spacing w:after="0"/>
              <w:rPr>
                <w:rFonts w:asciiTheme="minorHAnsi" w:hAnsiTheme="minorHAnsi"/>
                <w:b/>
                <w:sz w:val="22"/>
                <w:szCs w:val="22"/>
              </w:rPr>
            </w:pPr>
            <w:r w:rsidRPr="00942394">
              <w:rPr>
                <w:rFonts w:asciiTheme="minorHAnsi" w:hAnsiTheme="minorHAnsi"/>
                <w:sz w:val="22"/>
                <w:szCs w:val="22"/>
              </w:rPr>
              <w:t>Two</w:t>
            </w:r>
            <w:r w:rsidRPr="00942394">
              <w:rPr>
                <w:rFonts w:asciiTheme="minorHAnsi" w:hAnsiTheme="minorHAnsi"/>
                <w:b/>
                <w:sz w:val="22"/>
                <w:szCs w:val="22"/>
              </w:rPr>
              <w:t xml:space="preserve"> (2)</w:t>
            </w:r>
            <w:r w:rsidRPr="00942394">
              <w:rPr>
                <w:rFonts w:asciiTheme="minorHAnsi" w:hAnsiTheme="minorHAnsi"/>
                <w:sz w:val="22"/>
                <w:szCs w:val="22"/>
              </w:rPr>
              <w:t xml:space="preserve"> providers within forty-five </w:t>
            </w:r>
            <w:r w:rsidRPr="00942394">
              <w:rPr>
                <w:rFonts w:asciiTheme="minorHAnsi" w:hAnsiTheme="minorHAnsi"/>
                <w:b/>
                <w:sz w:val="22"/>
                <w:szCs w:val="22"/>
              </w:rPr>
              <w:t>(45) miles</w:t>
            </w:r>
            <w:r w:rsidRPr="00942394">
              <w:rPr>
                <w:rFonts w:asciiTheme="minorHAnsi" w:hAnsiTheme="minorHAnsi"/>
                <w:sz w:val="22"/>
                <w:szCs w:val="22"/>
              </w:rPr>
              <w:t xml:space="preserve"> or sixty </w:t>
            </w:r>
            <w:r w:rsidRPr="00942394">
              <w:rPr>
                <w:rFonts w:asciiTheme="minorHAnsi" w:hAnsiTheme="minorHAnsi"/>
                <w:b/>
                <w:sz w:val="22"/>
                <w:szCs w:val="22"/>
              </w:rPr>
              <w:t>(60) minutes</w:t>
            </w:r>
            <w:r w:rsidRPr="00942394">
              <w:rPr>
                <w:rFonts w:asciiTheme="minorHAnsi" w:hAnsiTheme="minorHAnsi"/>
                <w:sz w:val="22"/>
                <w:szCs w:val="22"/>
              </w:rPr>
              <w:t xml:space="preserve"> travel time</w:t>
            </w:r>
          </w:p>
        </w:tc>
      </w:tr>
      <w:tr w:rsidR="005B4A23" w14:paraId="08E4B3EC" w14:textId="77777777" w:rsidTr="00C6361E">
        <w:trPr>
          <w:jc w:val="center"/>
        </w:trPr>
        <w:tc>
          <w:tcPr>
            <w:tcW w:w="1708" w:type="dxa"/>
            <w:vMerge/>
            <w:shd w:val="clear" w:color="auto" w:fill="auto"/>
          </w:tcPr>
          <w:p w14:paraId="04E4F8B6" w14:textId="77777777" w:rsidR="005B4A23" w:rsidRPr="00942394" w:rsidRDefault="005B4A23" w:rsidP="00942394">
            <w:pPr>
              <w:spacing w:after="0"/>
              <w:rPr>
                <w:rFonts w:asciiTheme="minorHAnsi" w:hAnsiTheme="minorHAnsi"/>
                <w:b/>
                <w:sz w:val="22"/>
                <w:szCs w:val="22"/>
              </w:rPr>
            </w:pPr>
          </w:p>
        </w:tc>
        <w:tc>
          <w:tcPr>
            <w:tcW w:w="1977" w:type="dxa"/>
            <w:shd w:val="clear" w:color="auto" w:fill="auto"/>
            <w:vAlign w:val="center"/>
          </w:tcPr>
          <w:p w14:paraId="5F25FFFC" w14:textId="77777777" w:rsidR="005B4A23" w:rsidRPr="00942394" w:rsidRDefault="005B4A23" w:rsidP="00942394">
            <w:pPr>
              <w:spacing w:after="0"/>
              <w:rPr>
                <w:rFonts w:asciiTheme="minorHAnsi" w:hAnsiTheme="minorHAnsi"/>
                <w:sz w:val="22"/>
                <w:szCs w:val="22"/>
              </w:rPr>
            </w:pPr>
            <w:r w:rsidRPr="00942394">
              <w:rPr>
                <w:rFonts w:asciiTheme="minorHAnsi" w:hAnsiTheme="minorHAnsi"/>
                <w:sz w:val="22"/>
                <w:szCs w:val="22"/>
              </w:rPr>
              <w:t>Licensed Professional Counselor (LPC)</w:t>
            </w:r>
          </w:p>
        </w:tc>
        <w:tc>
          <w:tcPr>
            <w:tcW w:w="2700" w:type="dxa"/>
            <w:vAlign w:val="center"/>
          </w:tcPr>
          <w:p w14:paraId="59FAE154" w14:textId="3065E8D6" w:rsidR="005B4A23" w:rsidRPr="00942394" w:rsidRDefault="005B4A23" w:rsidP="00942394">
            <w:pPr>
              <w:spacing w:after="0"/>
              <w:rPr>
                <w:rFonts w:asciiTheme="minorHAnsi" w:hAnsiTheme="minorHAnsi"/>
                <w:sz w:val="22"/>
                <w:szCs w:val="22"/>
              </w:rPr>
            </w:pPr>
            <w:r w:rsidRPr="00942394">
              <w:rPr>
                <w:rFonts w:asciiTheme="minorHAnsi" w:hAnsiTheme="minorHAnsi"/>
                <w:sz w:val="22"/>
                <w:szCs w:val="22"/>
              </w:rPr>
              <w:t>Two</w:t>
            </w:r>
            <w:r w:rsidRPr="00942394">
              <w:rPr>
                <w:rFonts w:asciiTheme="minorHAnsi" w:hAnsiTheme="minorHAnsi"/>
                <w:b/>
                <w:sz w:val="22"/>
                <w:szCs w:val="22"/>
              </w:rPr>
              <w:t xml:space="preserve"> (2)</w:t>
            </w:r>
            <w:r w:rsidRPr="00942394">
              <w:rPr>
                <w:rFonts w:asciiTheme="minorHAnsi" w:hAnsiTheme="minorHAnsi"/>
                <w:sz w:val="22"/>
                <w:szCs w:val="22"/>
              </w:rPr>
              <w:t xml:space="preserve"> providers within forty-five </w:t>
            </w:r>
            <w:r w:rsidRPr="00942394">
              <w:rPr>
                <w:rFonts w:asciiTheme="minorHAnsi" w:hAnsiTheme="minorHAnsi"/>
                <w:b/>
                <w:sz w:val="22"/>
                <w:szCs w:val="22"/>
              </w:rPr>
              <w:t>(45) miles</w:t>
            </w:r>
            <w:r w:rsidRPr="00942394">
              <w:rPr>
                <w:rFonts w:asciiTheme="minorHAnsi" w:hAnsiTheme="minorHAnsi"/>
                <w:sz w:val="22"/>
                <w:szCs w:val="22"/>
              </w:rPr>
              <w:t xml:space="preserve"> or sixty </w:t>
            </w:r>
            <w:r w:rsidRPr="00942394">
              <w:rPr>
                <w:rFonts w:asciiTheme="minorHAnsi" w:hAnsiTheme="minorHAnsi"/>
                <w:b/>
                <w:sz w:val="22"/>
                <w:szCs w:val="22"/>
              </w:rPr>
              <w:t>(60) minutes</w:t>
            </w:r>
            <w:r w:rsidRPr="00942394">
              <w:rPr>
                <w:rFonts w:asciiTheme="minorHAnsi" w:hAnsiTheme="minorHAnsi"/>
                <w:sz w:val="22"/>
                <w:szCs w:val="22"/>
              </w:rPr>
              <w:t xml:space="preserve"> travel time</w:t>
            </w:r>
          </w:p>
        </w:tc>
        <w:tc>
          <w:tcPr>
            <w:tcW w:w="2700" w:type="dxa"/>
            <w:vAlign w:val="center"/>
          </w:tcPr>
          <w:p w14:paraId="037A60EA" w14:textId="195B2DDB" w:rsidR="005B4A23" w:rsidRPr="00942394" w:rsidRDefault="005B4A23" w:rsidP="00942394">
            <w:pPr>
              <w:spacing w:after="0"/>
              <w:rPr>
                <w:rFonts w:asciiTheme="minorHAnsi" w:hAnsiTheme="minorHAnsi"/>
                <w:b/>
                <w:sz w:val="22"/>
                <w:szCs w:val="22"/>
              </w:rPr>
            </w:pPr>
            <w:r w:rsidRPr="00942394">
              <w:rPr>
                <w:rFonts w:asciiTheme="minorHAnsi" w:hAnsiTheme="minorHAnsi"/>
                <w:sz w:val="22"/>
                <w:szCs w:val="22"/>
              </w:rPr>
              <w:t>Two</w:t>
            </w:r>
            <w:r w:rsidRPr="00942394">
              <w:rPr>
                <w:rFonts w:asciiTheme="minorHAnsi" w:hAnsiTheme="minorHAnsi"/>
                <w:b/>
                <w:sz w:val="22"/>
                <w:szCs w:val="22"/>
              </w:rPr>
              <w:t xml:space="preserve"> (2)</w:t>
            </w:r>
            <w:r w:rsidRPr="00942394">
              <w:rPr>
                <w:rFonts w:asciiTheme="minorHAnsi" w:hAnsiTheme="minorHAnsi"/>
                <w:sz w:val="22"/>
                <w:szCs w:val="22"/>
              </w:rPr>
              <w:t xml:space="preserve"> providers within forty-five </w:t>
            </w:r>
            <w:r w:rsidRPr="00942394">
              <w:rPr>
                <w:rFonts w:asciiTheme="minorHAnsi" w:hAnsiTheme="minorHAnsi"/>
                <w:b/>
                <w:sz w:val="22"/>
                <w:szCs w:val="22"/>
              </w:rPr>
              <w:t>(45) miles</w:t>
            </w:r>
            <w:r w:rsidRPr="00942394">
              <w:rPr>
                <w:rFonts w:asciiTheme="minorHAnsi" w:hAnsiTheme="minorHAnsi"/>
                <w:sz w:val="22"/>
                <w:szCs w:val="22"/>
              </w:rPr>
              <w:t xml:space="preserve"> or sixty </w:t>
            </w:r>
            <w:r w:rsidRPr="00942394">
              <w:rPr>
                <w:rFonts w:asciiTheme="minorHAnsi" w:hAnsiTheme="minorHAnsi"/>
                <w:b/>
                <w:sz w:val="22"/>
                <w:szCs w:val="22"/>
              </w:rPr>
              <w:t>(60) minutes</w:t>
            </w:r>
            <w:r w:rsidRPr="00942394">
              <w:rPr>
                <w:rFonts w:asciiTheme="minorHAnsi" w:hAnsiTheme="minorHAnsi"/>
                <w:sz w:val="22"/>
                <w:szCs w:val="22"/>
              </w:rPr>
              <w:t xml:space="preserve"> travel time</w:t>
            </w:r>
          </w:p>
        </w:tc>
      </w:tr>
      <w:tr w:rsidR="005B4A23" w14:paraId="0C6AE246" w14:textId="77777777" w:rsidTr="00C6361E">
        <w:trPr>
          <w:jc w:val="center"/>
        </w:trPr>
        <w:tc>
          <w:tcPr>
            <w:tcW w:w="1708" w:type="dxa"/>
            <w:vMerge/>
            <w:shd w:val="clear" w:color="auto" w:fill="auto"/>
          </w:tcPr>
          <w:p w14:paraId="48D72014" w14:textId="77777777" w:rsidR="005B4A23" w:rsidRPr="00942394" w:rsidRDefault="005B4A23" w:rsidP="00942394">
            <w:pPr>
              <w:spacing w:after="0"/>
              <w:rPr>
                <w:rFonts w:asciiTheme="minorHAnsi" w:hAnsiTheme="minorHAnsi"/>
                <w:b/>
                <w:sz w:val="22"/>
                <w:szCs w:val="22"/>
              </w:rPr>
            </w:pPr>
          </w:p>
        </w:tc>
        <w:tc>
          <w:tcPr>
            <w:tcW w:w="1977" w:type="dxa"/>
            <w:shd w:val="clear" w:color="auto" w:fill="DEEAF6" w:themeFill="accent1" w:themeFillTint="33"/>
            <w:vAlign w:val="center"/>
          </w:tcPr>
          <w:p w14:paraId="7FF673B5" w14:textId="77777777" w:rsidR="005B4A23" w:rsidRPr="00942394" w:rsidRDefault="005B4A23" w:rsidP="00942394">
            <w:pPr>
              <w:spacing w:after="0"/>
              <w:rPr>
                <w:rFonts w:asciiTheme="minorHAnsi" w:hAnsiTheme="minorHAnsi"/>
                <w:sz w:val="22"/>
                <w:szCs w:val="22"/>
              </w:rPr>
            </w:pPr>
            <w:r w:rsidRPr="00942394">
              <w:rPr>
                <w:rFonts w:asciiTheme="minorHAnsi" w:hAnsiTheme="minorHAnsi"/>
                <w:sz w:val="22"/>
                <w:szCs w:val="22"/>
              </w:rPr>
              <w:t>Licensed Independent Clinical Social Worker (LICSW)</w:t>
            </w:r>
          </w:p>
        </w:tc>
        <w:tc>
          <w:tcPr>
            <w:tcW w:w="2700" w:type="dxa"/>
            <w:shd w:val="clear" w:color="auto" w:fill="DEEAF6" w:themeFill="accent1" w:themeFillTint="33"/>
            <w:vAlign w:val="center"/>
          </w:tcPr>
          <w:p w14:paraId="7B8ABA20" w14:textId="50A224F8" w:rsidR="005B4A23" w:rsidRPr="00942394" w:rsidRDefault="005B4A23" w:rsidP="00942394">
            <w:pPr>
              <w:spacing w:after="0"/>
              <w:rPr>
                <w:rFonts w:asciiTheme="minorHAnsi" w:hAnsiTheme="minorHAnsi"/>
                <w:sz w:val="22"/>
                <w:szCs w:val="22"/>
              </w:rPr>
            </w:pPr>
            <w:r w:rsidRPr="00942394">
              <w:rPr>
                <w:rFonts w:asciiTheme="minorHAnsi" w:hAnsiTheme="minorHAnsi"/>
                <w:sz w:val="22"/>
                <w:szCs w:val="22"/>
              </w:rPr>
              <w:t>Two</w:t>
            </w:r>
            <w:r w:rsidRPr="00942394">
              <w:rPr>
                <w:rFonts w:asciiTheme="minorHAnsi" w:hAnsiTheme="minorHAnsi"/>
                <w:b/>
                <w:sz w:val="22"/>
                <w:szCs w:val="22"/>
              </w:rPr>
              <w:t xml:space="preserve"> (2)</w:t>
            </w:r>
            <w:r w:rsidRPr="00942394">
              <w:rPr>
                <w:rFonts w:asciiTheme="minorHAnsi" w:hAnsiTheme="minorHAnsi"/>
                <w:sz w:val="22"/>
                <w:szCs w:val="22"/>
              </w:rPr>
              <w:t xml:space="preserve"> providers within forty-five </w:t>
            </w:r>
            <w:r w:rsidRPr="00942394">
              <w:rPr>
                <w:rFonts w:asciiTheme="minorHAnsi" w:hAnsiTheme="minorHAnsi"/>
                <w:b/>
                <w:sz w:val="22"/>
                <w:szCs w:val="22"/>
              </w:rPr>
              <w:t>(45) miles</w:t>
            </w:r>
            <w:r w:rsidRPr="00942394">
              <w:rPr>
                <w:rFonts w:asciiTheme="minorHAnsi" w:hAnsiTheme="minorHAnsi"/>
                <w:sz w:val="22"/>
                <w:szCs w:val="22"/>
              </w:rPr>
              <w:t xml:space="preserve"> or sixty </w:t>
            </w:r>
            <w:r w:rsidRPr="00942394">
              <w:rPr>
                <w:rFonts w:asciiTheme="minorHAnsi" w:hAnsiTheme="minorHAnsi"/>
                <w:b/>
                <w:sz w:val="22"/>
                <w:szCs w:val="22"/>
              </w:rPr>
              <w:t>(60) minutes</w:t>
            </w:r>
            <w:r w:rsidRPr="00942394">
              <w:rPr>
                <w:rFonts w:asciiTheme="minorHAnsi" w:hAnsiTheme="minorHAnsi"/>
                <w:sz w:val="22"/>
                <w:szCs w:val="22"/>
              </w:rPr>
              <w:t xml:space="preserve"> travel time</w:t>
            </w:r>
          </w:p>
        </w:tc>
        <w:tc>
          <w:tcPr>
            <w:tcW w:w="2700" w:type="dxa"/>
            <w:shd w:val="clear" w:color="auto" w:fill="DEEAF6" w:themeFill="accent1" w:themeFillTint="33"/>
            <w:vAlign w:val="center"/>
          </w:tcPr>
          <w:p w14:paraId="2419CA19" w14:textId="08A34B41" w:rsidR="005B4A23" w:rsidRPr="00942394" w:rsidRDefault="005B4A23" w:rsidP="00942394">
            <w:pPr>
              <w:spacing w:after="0"/>
              <w:rPr>
                <w:rFonts w:asciiTheme="minorHAnsi" w:hAnsiTheme="minorHAnsi"/>
                <w:b/>
                <w:sz w:val="22"/>
                <w:szCs w:val="22"/>
              </w:rPr>
            </w:pPr>
            <w:r w:rsidRPr="00942394">
              <w:rPr>
                <w:rFonts w:asciiTheme="minorHAnsi" w:hAnsiTheme="minorHAnsi"/>
                <w:sz w:val="22"/>
                <w:szCs w:val="22"/>
              </w:rPr>
              <w:t>Two</w:t>
            </w:r>
            <w:r w:rsidRPr="00942394">
              <w:rPr>
                <w:rFonts w:asciiTheme="minorHAnsi" w:hAnsiTheme="minorHAnsi"/>
                <w:b/>
                <w:sz w:val="22"/>
                <w:szCs w:val="22"/>
              </w:rPr>
              <w:t xml:space="preserve"> (2)</w:t>
            </w:r>
            <w:r w:rsidRPr="00942394">
              <w:rPr>
                <w:rFonts w:asciiTheme="minorHAnsi" w:hAnsiTheme="minorHAnsi"/>
                <w:sz w:val="22"/>
                <w:szCs w:val="22"/>
              </w:rPr>
              <w:t xml:space="preserve"> providers within forty-five </w:t>
            </w:r>
            <w:r w:rsidRPr="00942394">
              <w:rPr>
                <w:rFonts w:asciiTheme="minorHAnsi" w:hAnsiTheme="minorHAnsi"/>
                <w:b/>
                <w:sz w:val="22"/>
                <w:szCs w:val="22"/>
              </w:rPr>
              <w:t>(45) miles</w:t>
            </w:r>
            <w:r w:rsidRPr="00942394">
              <w:rPr>
                <w:rFonts w:asciiTheme="minorHAnsi" w:hAnsiTheme="minorHAnsi"/>
                <w:sz w:val="22"/>
                <w:szCs w:val="22"/>
              </w:rPr>
              <w:t xml:space="preserve"> or sixty </w:t>
            </w:r>
            <w:r w:rsidRPr="00942394">
              <w:rPr>
                <w:rFonts w:asciiTheme="minorHAnsi" w:hAnsiTheme="minorHAnsi"/>
                <w:b/>
                <w:sz w:val="22"/>
                <w:szCs w:val="22"/>
              </w:rPr>
              <w:t>(60) minutes</w:t>
            </w:r>
            <w:r w:rsidRPr="00942394">
              <w:rPr>
                <w:rFonts w:asciiTheme="minorHAnsi" w:hAnsiTheme="minorHAnsi"/>
                <w:sz w:val="22"/>
                <w:szCs w:val="22"/>
              </w:rPr>
              <w:t xml:space="preserve"> travel time</w:t>
            </w:r>
          </w:p>
        </w:tc>
      </w:tr>
      <w:tr w:rsidR="00297FF0" w14:paraId="1B2AB62C" w14:textId="77777777" w:rsidTr="00C6361E">
        <w:trPr>
          <w:trHeight w:val="1095"/>
          <w:jc w:val="center"/>
        </w:trPr>
        <w:tc>
          <w:tcPr>
            <w:tcW w:w="1708" w:type="dxa"/>
            <w:vMerge w:val="restart"/>
            <w:shd w:val="clear" w:color="auto" w:fill="auto"/>
          </w:tcPr>
          <w:p w14:paraId="5C70C134" w14:textId="50387013" w:rsidR="00297FF0" w:rsidRPr="00942394" w:rsidRDefault="00297FF0" w:rsidP="00942394">
            <w:pPr>
              <w:spacing w:after="0"/>
              <w:rPr>
                <w:rFonts w:asciiTheme="minorHAnsi" w:hAnsiTheme="minorHAnsi"/>
                <w:b/>
                <w:sz w:val="22"/>
                <w:szCs w:val="22"/>
              </w:rPr>
            </w:pPr>
            <w:r w:rsidRPr="00942394">
              <w:rPr>
                <w:rFonts w:asciiTheme="minorHAnsi" w:hAnsiTheme="minorHAnsi"/>
                <w:b/>
                <w:sz w:val="22"/>
                <w:szCs w:val="22"/>
              </w:rPr>
              <w:t>BH Facility</w:t>
            </w:r>
          </w:p>
        </w:tc>
        <w:tc>
          <w:tcPr>
            <w:tcW w:w="1977" w:type="dxa"/>
            <w:shd w:val="clear" w:color="auto" w:fill="auto"/>
            <w:vAlign w:val="center"/>
          </w:tcPr>
          <w:p w14:paraId="6CB0BF7B" w14:textId="5F744F9F" w:rsidR="00297FF0" w:rsidRPr="00942394" w:rsidRDefault="00297FF0" w:rsidP="00942394">
            <w:pPr>
              <w:spacing w:after="0"/>
              <w:rPr>
                <w:rFonts w:asciiTheme="minorHAnsi" w:hAnsiTheme="minorHAnsi"/>
                <w:sz w:val="22"/>
                <w:szCs w:val="22"/>
              </w:rPr>
            </w:pPr>
            <w:r w:rsidRPr="00297FF0">
              <w:rPr>
                <w:rFonts w:asciiTheme="minorHAnsi" w:hAnsiTheme="minorHAnsi"/>
                <w:sz w:val="22"/>
                <w:szCs w:val="22"/>
              </w:rPr>
              <w:t>Adult Inpatient Psychiatric Unit</w:t>
            </w:r>
          </w:p>
        </w:tc>
        <w:tc>
          <w:tcPr>
            <w:tcW w:w="2700" w:type="dxa"/>
            <w:vAlign w:val="center"/>
          </w:tcPr>
          <w:p w14:paraId="0A969F1A" w14:textId="77777777" w:rsidR="00297FF0" w:rsidRPr="00297FF0" w:rsidRDefault="00297FF0" w:rsidP="00297FF0">
            <w:pPr>
              <w:spacing w:after="0"/>
              <w:rPr>
                <w:rFonts w:asciiTheme="minorHAnsi" w:hAnsiTheme="minorHAnsi"/>
                <w:sz w:val="22"/>
                <w:szCs w:val="22"/>
              </w:rPr>
            </w:pPr>
            <w:r w:rsidRPr="00297FF0">
              <w:rPr>
                <w:rFonts w:asciiTheme="minorHAnsi" w:hAnsiTheme="minorHAnsi"/>
                <w:b/>
                <w:sz w:val="22"/>
                <w:szCs w:val="22"/>
              </w:rPr>
              <w:t>Urban:</w:t>
            </w:r>
            <w:r w:rsidRPr="00297FF0">
              <w:rPr>
                <w:rFonts w:asciiTheme="minorHAnsi" w:hAnsiTheme="minorHAnsi"/>
                <w:sz w:val="22"/>
                <w:szCs w:val="22"/>
              </w:rPr>
              <w:t xml:space="preserve"> One</w:t>
            </w:r>
            <w:r w:rsidRPr="00297FF0">
              <w:rPr>
                <w:rFonts w:asciiTheme="minorHAnsi" w:hAnsiTheme="minorHAnsi"/>
                <w:b/>
                <w:sz w:val="22"/>
                <w:szCs w:val="22"/>
              </w:rPr>
              <w:t xml:space="preserve"> (1)</w:t>
            </w:r>
            <w:r w:rsidRPr="00297FF0">
              <w:rPr>
                <w:rFonts w:asciiTheme="minorHAnsi" w:hAnsiTheme="minorHAnsi"/>
                <w:sz w:val="22"/>
                <w:szCs w:val="22"/>
              </w:rPr>
              <w:t xml:space="preserve"> hospital within thirty </w:t>
            </w:r>
            <w:r w:rsidRPr="00297FF0">
              <w:rPr>
                <w:rFonts w:asciiTheme="minorHAnsi" w:hAnsiTheme="minorHAnsi"/>
                <w:b/>
                <w:sz w:val="22"/>
                <w:szCs w:val="22"/>
              </w:rPr>
              <w:t>(30) miles</w:t>
            </w:r>
            <w:r w:rsidRPr="00297FF0">
              <w:rPr>
                <w:rFonts w:asciiTheme="minorHAnsi" w:hAnsiTheme="minorHAnsi"/>
                <w:sz w:val="22"/>
                <w:szCs w:val="22"/>
              </w:rPr>
              <w:t xml:space="preserve"> or forty-five </w:t>
            </w:r>
            <w:r w:rsidRPr="00297FF0">
              <w:rPr>
                <w:rFonts w:asciiTheme="minorHAnsi" w:hAnsiTheme="minorHAnsi"/>
                <w:b/>
                <w:sz w:val="22"/>
                <w:szCs w:val="22"/>
              </w:rPr>
              <w:t>(45) minutes</w:t>
            </w:r>
            <w:r w:rsidRPr="00297FF0">
              <w:rPr>
                <w:rFonts w:asciiTheme="minorHAnsi" w:hAnsiTheme="minorHAnsi"/>
                <w:sz w:val="22"/>
                <w:szCs w:val="22"/>
              </w:rPr>
              <w:t xml:space="preserve"> travel time</w:t>
            </w:r>
          </w:p>
          <w:p w14:paraId="53AEB87C" w14:textId="4F6271E0" w:rsidR="00297FF0" w:rsidRPr="00942394" w:rsidRDefault="00297FF0" w:rsidP="00297FF0">
            <w:pPr>
              <w:spacing w:after="0"/>
              <w:rPr>
                <w:rFonts w:asciiTheme="minorHAnsi" w:hAnsiTheme="minorHAnsi"/>
                <w:sz w:val="22"/>
                <w:szCs w:val="22"/>
              </w:rPr>
            </w:pPr>
            <w:r w:rsidRPr="00297FF0">
              <w:rPr>
                <w:rFonts w:asciiTheme="minorHAnsi" w:hAnsiTheme="minorHAnsi"/>
                <w:b/>
                <w:sz w:val="22"/>
                <w:szCs w:val="22"/>
              </w:rPr>
              <w:t>Rural:</w:t>
            </w:r>
            <w:r w:rsidRPr="00297FF0">
              <w:rPr>
                <w:rFonts w:asciiTheme="minorHAnsi" w:hAnsiTheme="minorHAnsi"/>
                <w:sz w:val="22"/>
                <w:szCs w:val="22"/>
              </w:rPr>
              <w:t xml:space="preserve"> One </w:t>
            </w:r>
            <w:r w:rsidRPr="00297FF0">
              <w:rPr>
                <w:rFonts w:asciiTheme="minorHAnsi" w:hAnsiTheme="minorHAnsi"/>
                <w:b/>
                <w:sz w:val="22"/>
                <w:szCs w:val="22"/>
              </w:rPr>
              <w:t>(1)</w:t>
            </w:r>
            <w:r w:rsidRPr="00297FF0">
              <w:rPr>
                <w:rFonts w:asciiTheme="minorHAnsi" w:hAnsiTheme="minorHAnsi"/>
                <w:sz w:val="22"/>
                <w:szCs w:val="22"/>
              </w:rPr>
              <w:t xml:space="preserve"> hospital within sixty </w:t>
            </w:r>
            <w:r w:rsidRPr="00297FF0">
              <w:rPr>
                <w:rFonts w:asciiTheme="minorHAnsi" w:hAnsiTheme="minorHAnsi"/>
                <w:b/>
                <w:sz w:val="22"/>
                <w:szCs w:val="22"/>
              </w:rPr>
              <w:t>(60) miles</w:t>
            </w:r>
            <w:r w:rsidRPr="00297FF0">
              <w:rPr>
                <w:rFonts w:asciiTheme="minorHAnsi" w:hAnsiTheme="minorHAnsi"/>
                <w:sz w:val="22"/>
                <w:szCs w:val="22"/>
              </w:rPr>
              <w:t xml:space="preserve"> or ninety </w:t>
            </w:r>
            <w:r w:rsidRPr="00297FF0">
              <w:rPr>
                <w:rFonts w:asciiTheme="minorHAnsi" w:hAnsiTheme="minorHAnsi"/>
                <w:b/>
                <w:sz w:val="22"/>
                <w:szCs w:val="22"/>
              </w:rPr>
              <w:t>(90) minutes</w:t>
            </w:r>
            <w:r w:rsidRPr="00297FF0">
              <w:rPr>
                <w:rFonts w:asciiTheme="minorHAnsi" w:hAnsiTheme="minorHAnsi"/>
                <w:sz w:val="22"/>
                <w:szCs w:val="22"/>
              </w:rPr>
              <w:t xml:space="preserve"> travel time</w:t>
            </w:r>
          </w:p>
        </w:tc>
        <w:tc>
          <w:tcPr>
            <w:tcW w:w="2700" w:type="dxa"/>
            <w:shd w:val="clear" w:color="auto" w:fill="auto"/>
            <w:vAlign w:val="center"/>
          </w:tcPr>
          <w:p w14:paraId="70E84EFA" w14:textId="54C5329E" w:rsidR="00297FF0" w:rsidRPr="00942394" w:rsidRDefault="00297FF0" w:rsidP="00942394">
            <w:pPr>
              <w:spacing w:after="0"/>
              <w:rPr>
                <w:rFonts w:asciiTheme="minorHAnsi" w:hAnsiTheme="minorHAnsi"/>
                <w:sz w:val="22"/>
                <w:szCs w:val="22"/>
              </w:rPr>
            </w:pPr>
            <w:r>
              <w:rPr>
                <w:rFonts w:asciiTheme="minorHAnsi" w:hAnsiTheme="minorHAnsi"/>
                <w:sz w:val="22"/>
                <w:szCs w:val="22"/>
              </w:rPr>
              <w:t>N/A</w:t>
            </w:r>
          </w:p>
        </w:tc>
      </w:tr>
      <w:tr w:rsidR="00297FF0" w14:paraId="0D16567B" w14:textId="77777777" w:rsidTr="00C6361E">
        <w:trPr>
          <w:trHeight w:val="1095"/>
          <w:jc w:val="center"/>
        </w:trPr>
        <w:tc>
          <w:tcPr>
            <w:tcW w:w="1708" w:type="dxa"/>
            <w:vMerge/>
            <w:shd w:val="clear" w:color="auto" w:fill="auto"/>
          </w:tcPr>
          <w:p w14:paraId="2AA9B625" w14:textId="410DF9E4" w:rsidR="00297FF0" w:rsidRPr="00942394" w:rsidRDefault="00297FF0" w:rsidP="00942394">
            <w:pPr>
              <w:spacing w:after="0"/>
              <w:rPr>
                <w:rFonts w:asciiTheme="minorHAnsi" w:hAnsiTheme="minorHAnsi"/>
                <w:b/>
                <w:sz w:val="22"/>
                <w:szCs w:val="22"/>
              </w:rPr>
            </w:pPr>
          </w:p>
        </w:tc>
        <w:tc>
          <w:tcPr>
            <w:tcW w:w="1977" w:type="dxa"/>
            <w:shd w:val="clear" w:color="auto" w:fill="DEEAF6" w:themeFill="accent1" w:themeFillTint="33"/>
            <w:vAlign w:val="center"/>
          </w:tcPr>
          <w:p w14:paraId="4BBD6F80" w14:textId="3203CAB5" w:rsidR="00297FF0" w:rsidRPr="00942394" w:rsidRDefault="00297FF0" w:rsidP="00942394">
            <w:pPr>
              <w:spacing w:after="0"/>
              <w:rPr>
                <w:rFonts w:asciiTheme="minorHAnsi" w:hAnsiTheme="minorHAnsi"/>
                <w:sz w:val="22"/>
                <w:szCs w:val="22"/>
              </w:rPr>
            </w:pPr>
            <w:r w:rsidRPr="00942394">
              <w:rPr>
                <w:rFonts w:asciiTheme="minorHAnsi" w:hAnsiTheme="minorHAnsi"/>
                <w:sz w:val="22"/>
                <w:szCs w:val="22"/>
              </w:rPr>
              <w:t>Behavioral Health Clinic</w:t>
            </w:r>
            <w:r w:rsidRPr="00942394" w:rsidDel="00297FF0">
              <w:rPr>
                <w:rFonts w:asciiTheme="minorHAnsi" w:hAnsiTheme="minorHAnsi"/>
                <w:sz w:val="22"/>
                <w:szCs w:val="22"/>
              </w:rPr>
              <w:t>Psychiatric Residential Treatment Facility (PRTF)</w:t>
            </w:r>
          </w:p>
        </w:tc>
        <w:tc>
          <w:tcPr>
            <w:tcW w:w="2700" w:type="dxa"/>
            <w:shd w:val="clear" w:color="auto" w:fill="DEEAF6" w:themeFill="accent1" w:themeFillTint="33"/>
            <w:vAlign w:val="center"/>
          </w:tcPr>
          <w:p w14:paraId="707E8762" w14:textId="77777777" w:rsidR="00297FF0" w:rsidRPr="00942394" w:rsidRDefault="00297FF0" w:rsidP="00297FF0">
            <w:pPr>
              <w:spacing w:after="0"/>
              <w:rPr>
                <w:rFonts w:asciiTheme="minorHAnsi" w:hAnsiTheme="minorHAnsi"/>
                <w:sz w:val="22"/>
                <w:szCs w:val="22"/>
              </w:rPr>
            </w:pPr>
            <w:r w:rsidRPr="00942394">
              <w:rPr>
                <w:rFonts w:asciiTheme="minorHAnsi" w:hAnsiTheme="minorHAnsi"/>
                <w:sz w:val="22"/>
                <w:szCs w:val="22"/>
              </w:rPr>
              <w:t>Contract with identified list:</w:t>
            </w:r>
          </w:p>
          <w:p w14:paraId="411CBFC0" w14:textId="77777777" w:rsidR="00297FF0" w:rsidRPr="00942394" w:rsidRDefault="00297FF0" w:rsidP="00297FF0">
            <w:pPr>
              <w:spacing w:after="0"/>
              <w:ind w:left="252" w:hanging="252"/>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Appalachian Community Health Center;</w:t>
            </w:r>
          </w:p>
          <w:p w14:paraId="06F4FA0D" w14:textId="77777777" w:rsidR="00297FF0" w:rsidRPr="00942394" w:rsidRDefault="00297FF0" w:rsidP="00297FF0">
            <w:pPr>
              <w:spacing w:after="0"/>
              <w:ind w:left="252" w:hanging="252"/>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EastRidge Health Systems, Inc.;</w:t>
            </w:r>
          </w:p>
          <w:p w14:paraId="7F297B44" w14:textId="77777777" w:rsidR="00297FF0" w:rsidRPr="00942394" w:rsidRDefault="00297FF0" w:rsidP="00297FF0">
            <w:pPr>
              <w:spacing w:after="0"/>
              <w:ind w:left="252" w:hanging="252"/>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 xml:space="preserve">FMRS Health Systems, Inc.; </w:t>
            </w:r>
          </w:p>
          <w:p w14:paraId="756AE8E5" w14:textId="77777777" w:rsidR="00297FF0" w:rsidRPr="00942394" w:rsidRDefault="00297FF0" w:rsidP="00297FF0">
            <w:pPr>
              <w:spacing w:after="0"/>
              <w:ind w:left="252" w:hanging="252"/>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Healthways, Inc.;</w:t>
            </w:r>
          </w:p>
          <w:p w14:paraId="21758983" w14:textId="77777777" w:rsidR="00297FF0" w:rsidRPr="00942394" w:rsidRDefault="00297FF0" w:rsidP="00297FF0">
            <w:pPr>
              <w:spacing w:after="0"/>
              <w:ind w:left="252" w:hanging="252"/>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Logan-Mingo Area Mental Health, Inc.;</w:t>
            </w:r>
          </w:p>
          <w:p w14:paraId="352924DB" w14:textId="77777777" w:rsidR="00297FF0" w:rsidRPr="00942394" w:rsidRDefault="00297FF0" w:rsidP="00297FF0">
            <w:pPr>
              <w:spacing w:after="0"/>
              <w:ind w:left="252" w:hanging="252"/>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Northwood Health Systems, Inc.;</w:t>
            </w:r>
          </w:p>
          <w:p w14:paraId="0677BD3B" w14:textId="77777777" w:rsidR="00297FF0" w:rsidRPr="00942394" w:rsidRDefault="00297FF0" w:rsidP="00297FF0">
            <w:pPr>
              <w:spacing w:after="0"/>
              <w:ind w:left="252" w:hanging="252"/>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Potomac Highlands Mental Health Guild, Inc.;</w:t>
            </w:r>
          </w:p>
          <w:p w14:paraId="3AA3217A" w14:textId="77777777" w:rsidR="00297FF0" w:rsidRPr="00942394" w:rsidRDefault="00297FF0" w:rsidP="00297FF0">
            <w:pPr>
              <w:spacing w:after="0"/>
              <w:ind w:left="252" w:hanging="252"/>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Prestera Center for Mental Health Services;</w:t>
            </w:r>
          </w:p>
          <w:p w14:paraId="1F482322" w14:textId="77777777" w:rsidR="00297FF0" w:rsidRPr="00942394" w:rsidRDefault="00297FF0" w:rsidP="00297FF0">
            <w:pPr>
              <w:spacing w:after="0"/>
              <w:ind w:left="252" w:hanging="252"/>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Seneca Health Services, Inc.;</w:t>
            </w:r>
          </w:p>
          <w:p w14:paraId="2D7892B7" w14:textId="77777777" w:rsidR="00297FF0" w:rsidRPr="00942394" w:rsidRDefault="00297FF0" w:rsidP="00297FF0">
            <w:pPr>
              <w:spacing w:after="0"/>
              <w:ind w:left="252" w:hanging="252"/>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Southern Highlands;</w:t>
            </w:r>
          </w:p>
          <w:p w14:paraId="05A13546" w14:textId="77777777" w:rsidR="00297FF0" w:rsidRPr="00942394" w:rsidRDefault="00297FF0" w:rsidP="00297FF0">
            <w:pPr>
              <w:spacing w:after="0"/>
              <w:ind w:left="252" w:hanging="252"/>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United Summit Center, Inc.;</w:t>
            </w:r>
          </w:p>
          <w:p w14:paraId="14857A27" w14:textId="77777777" w:rsidR="00297FF0" w:rsidRPr="00942394" w:rsidRDefault="00297FF0" w:rsidP="00297FF0">
            <w:pPr>
              <w:spacing w:after="0"/>
              <w:ind w:left="252" w:hanging="252"/>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Valley Comprehensive Community Mental Health Center, Inc.; and</w:t>
            </w:r>
          </w:p>
          <w:p w14:paraId="5FABD4BA" w14:textId="77777777" w:rsidR="00297FF0" w:rsidRPr="00942394" w:rsidDel="00297FF0" w:rsidRDefault="00297FF0" w:rsidP="00297FF0">
            <w:pPr>
              <w:spacing w:after="0"/>
              <w:rPr>
                <w:rFonts w:asciiTheme="minorHAnsi" w:hAnsiTheme="minorHAnsi"/>
                <w:sz w:val="22"/>
                <w:szCs w:val="22"/>
              </w:rPr>
            </w:pPr>
            <w:r w:rsidRPr="00942394">
              <w:rPr>
                <w:rFonts w:asciiTheme="minorHAnsi" w:hAnsiTheme="minorHAnsi"/>
                <w:sz w:val="22"/>
                <w:szCs w:val="22"/>
              </w:rPr>
              <w:t>•</w:t>
            </w:r>
            <w:r w:rsidRPr="00942394">
              <w:rPr>
                <w:rFonts w:asciiTheme="minorHAnsi" w:hAnsiTheme="minorHAnsi"/>
                <w:sz w:val="22"/>
                <w:szCs w:val="22"/>
              </w:rPr>
              <w:tab/>
              <w:t>Westbrook Health Services, Inc.</w:t>
            </w:r>
            <w:r w:rsidRPr="00942394" w:rsidDel="00297FF0">
              <w:rPr>
                <w:rFonts w:asciiTheme="minorHAnsi" w:hAnsiTheme="minorHAnsi"/>
                <w:sz w:val="22"/>
                <w:szCs w:val="22"/>
              </w:rPr>
              <w:t xml:space="preserve">Contract with identified list: </w:t>
            </w:r>
          </w:p>
          <w:p w14:paraId="5E0CC400" w14:textId="77777777" w:rsidR="00297FF0" w:rsidRPr="00942394" w:rsidDel="00297FF0" w:rsidRDefault="00297FF0" w:rsidP="00297FF0">
            <w:pPr>
              <w:spacing w:after="0"/>
              <w:ind w:left="252" w:hanging="252"/>
              <w:rPr>
                <w:rFonts w:asciiTheme="minorHAnsi" w:hAnsiTheme="minorHAnsi"/>
                <w:sz w:val="22"/>
                <w:szCs w:val="22"/>
              </w:rPr>
            </w:pPr>
            <w:r w:rsidRPr="00942394" w:rsidDel="00297FF0">
              <w:rPr>
                <w:rFonts w:asciiTheme="minorHAnsi" w:hAnsiTheme="minorHAnsi"/>
                <w:sz w:val="22"/>
                <w:szCs w:val="22"/>
              </w:rPr>
              <w:t>•</w:t>
            </w:r>
            <w:r w:rsidRPr="00942394" w:rsidDel="00297FF0">
              <w:rPr>
                <w:rFonts w:asciiTheme="minorHAnsi" w:hAnsiTheme="minorHAnsi"/>
                <w:sz w:val="22"/>
                <w:szCs w:val="22"/>
              </w:rPr>
              <w:tab/>
              <w:t xml:space="preserve">Highland Charleston; </w:t>
            </w:r>
          </w:p>
          <w:p w14:paraId="2AC82B70" w14:textId="77777777" w:rsidR="00297FF0" w:rsidRPr="00942394" w:rsidDel="00297FF0" w:rsidRDefault="00297FF0" w:rsidP="00297FF0">
            <w:pPr>
              <w:spacing w:after="0"/>
              <w:ind w:left="252" w:hanging="252"/>
              <w:rPr>
                <w:rFonts w:asciiTheme="minorHAnsi" w:hAnsiTheme="minorHAnsi"/>
                <w:sz w:val="22"/>
                <w:szCs w:val="22"/>
              </w:rPr>
            </w:pPr>
            <w:r w:rsidRPr="00942394" w:rsidDel="00297FF0">
              <w:rPr>
                <w:rFonts w:asciiTheme="minorHAnsi" w:hAnsiTheme="minorHAnsi"/>
                <w:sz w:val="22"/>
                <w:szCs w:val="22"/>
              </w:rPr>
              <w:t>•</w:t>
            </w:r>
            <w:r w:rsidRPr="00942394" w:rsidDel="00297FF0">
              <w:rPr>
                <w:rFonts w:asciiTheme="minorHAnsi" w:hAnsiTheme="minorHAnsi"/>
                <w:sz w:val="22"/>
                <w:szCs w:val="22"/>
              </w:rPr>
              <w:tab/>
              <w:t xml:space="preserve">River Park; and </w:t>
            </w:r>
          </w:p>
          <w:p w14:paraId="46BE3748" w14:textId="58593C6B" w:rsidR="00297FF0" w:rsidRPr="00942394" w:rsidRDefault="00297FF0" w:rsidP="00942394">
            <w:pPr>
              <w:spacing w:after="0"/>
              <w:ind w:left="252" w:hanging="252"/>
              <w:rPr>
                <w:rFonts w:asciiTheme="minorHAnsi" w:hAnsiTheme="minorHAnsi"/>
                <w:sz w:val="22"/>
                <w:szCs w:val="22"/>
              </w:rPr>
            </w:pPr>
            <w:r w:rsidRPr="00942394" w:rsidDel="00297FF0">
              <w:rPr>
                <w:rFonts w:asciiTheme="minorHAnsi" w:hAnsiTheme="minorHAnsi"/>
                <w:sz w:val="22"/>
                <w:szCs w:val="22"/>
              </w:rPr>
              <w:t>•</w:t>
            </w:r>
            <w:r w:rsidRPr="00942394" w:rsidDel="00297FF0">
              <w:rPr>
                <w:rFonts w:asciiTheme="minorHAnsi" w:hAnsiTheme="minorHAnsi"/>
                <w:sz w:val="22"/>
                <w:szCs w:val="22"/>
              </w:rPr>
              <w:tab/>
              <w:t>Barboursville’s School</w:t>
            </w:r>
          </w:p>
        </w:tc>
        <w:tc>
          <w:tcPr>
            <w:tcW w:w="2700" w:type="dxa"/>
            <w:shd w:val="clear" w:color="auto" w:fill="DEEAF6" w:themeFill="accent1" w:themeFillTint="33"/>
            <w:vAlign w:val="center"/>
          </w:tcPr>
          <w:p w14:paraId="4C2D887E" w14:textId="77777777" w:rsidR="00297FF0" w:rsidRPr="00942394" w:rsidRDefault="00297FF0" w:rsidP="00297FF0">
            <w:pPr>
              <w:spacing w:after="0"/>
              <w:rPr>
                <w:rFonts w:asciiTheme="minorHAnsi" w:hAnsiTheme="minorHAnsi"/>
                <w:sz w:val="22"/>
                <w:szCs w:val="22"/>
              </w:rPr>
            </w:pPr>
            <w:r w:rsidRPr="00942394">
              <w:rPr>
                <w:rFonts w:asciiTheme="minorHAnsi" w:hAnsiTheme="minorHAnsi"/>
                <w:sz w:val="22"/>
                <w:szCs w:val="22"/>
              </w:rPr>
              <w:t>Contract with identified list:</w:t>
            </w:r>
          </w:p>
          <w:p w14:paraId="09DA38E5" w14:textId="77777777" w:rsidR="00297FF0" w:rsidRPr="00942394" w:rsidRDefault="00297FF0" w:rsidP="00297FF0">
            <w:pPr>
              <w:pStyle w:val="ListParagraph"/>
              <w:numPr>
                <w:ilvl w:val="0"/>
                <w:numId w:val="1015"/>
              </w:numPr>
              <w:spacing w:after="0" w:line="240" w:lineRule="auto"/>
              <w:ind w:left="252" w:hanging="252"/>
              <w:rPr>
                <w:rFonts w:asciiTheme="minorHAnsi" w:hAnsiTheme="minorHAnsi"/>
                <w:sz w:val="22"/>
              </w:rPr>
            </w:pPr>
            <w:r w:rsidRPr="00942394">
              <w:rPr>
                <w:rFonts w:asciiTheme="minorHAnsi" w:hAnsiTheme="minorHAnsi"/>
                <w:sz w:val="22"/>
              </w:rPr>
              <w:t>Appalachian Community Health Center;</w:t>
            </w:r>
          </w:p>
          <w:p w14:paraId="13C56AFB" w14:textId="77777777" w:rsidR="00297FF0" w:rsidRPr="00942394" w:rsidRDefault="00297FF0" w:rsidP="00297FF0">
            <w:pPr>
              <w:pStyle w:val="ListParagraph"/>
              <w:numPr>
                <w:ilvl w:val="0"/>
                <w:numId w:val="1015"/>
              </w:numPr>
              <w:spacing w:after="0" w:line="240" w:lineRule="auto"/>
              <w:ind w:left="252" w:hanging="252"/>
              <w:rPr>
                <w:rFonts w:asciiTheme="minorHAnsi" w:hAnsiTheme="minorHAnsi"/>
                <w:sz w:val="22"/>
              </w:rPr>
            </w:pPr>
            <w:r w:rsidRPr="00942394">
              <w:rPr>
                <w:rFonts w:asciiTheme="minorHAnsi" w:hAnsiTheme="minorHAnsi"/>
                <w:sz w:val="22"/>
              </w:rPr>
              <w:t>EastRidge Health Systems, Inc.;</w:t>
            </w:r>
          </w:p>
          <w:p w14:paraId="17A5E518" w14:textId="77777777" w:rsidR="00297FF0" w:rsidRPr="00942394" w:rsidRDefault="00297FF0" w:rsidP="00297FF0">
            <w:pPr>
              <w:pStyle w:val="ListParagraph"/>
              <w:numPr>
                <w:ilvl w:val="0"/>
                <w:numId w:val="1015"/>
              </w:numPr>
              <w:spacing w:after="0" w:line="240" w:lineRule="auto"/>
              <w:ind w:left="252" w:hanging="252"/>
              <w:rPr>
                <w:rFonts w:asciiTheme="minorHAnsi" w:hAnsiTheme="minorHAnsi"/>
                <w:sz w:val="22"/>
              </w:rPr>
            </w:pPr>
            <w:r w:rsidRPr="00942394">
              <w:rPr>
                <w:rFonts w:asciiTheme="minorHAnsi" w:hAnsiTheme="minorHAnsi"/>
                <w:sz w:val="22"/>
              </w:rPr>
              <w:t xml:space="preserve">FMRS Health Systems, Inc.; </w:t>
            </w:r>
          </w:p>
          <w:p w14:paraId="52528F40" w14:textId="77777777" w:rsidR="00297FF0" w:rsidRPr="00942394" w:rsidRDefault="00297FF0" w:rsidP="00297FF0">
            <w:pPr>
              <w:pStyle w:val="ListParagraph"/>
              <w:numPr>
                <w:ilvl w:val="0"/>
                <w:numId w:val="1015"/>
              </w:numPr>
              <w:spacing w:after="0" w:line="240" w:lineRule="auto"/>
              <w:ind w:left="252" w:hanging="252"/>
              <w:rPr>
                <w:rFonts w:asciiTheme="minorHAnsi" w:hAnsiTheme="minorHAnsi"/>
                <w:sz w:val="22"/>
              </w:rPr>
            </w:pPr>
            <w:r w:rsidRPr="00942394">
              <w:rPr>
                <w:rFonts w:asciiTheme="minorHAnsi" w:hAnsiTheme="minorHAnsi"/>
                <w:sz w:val="22"/>
              </w:rPr>
              <w:t>Healthways, Inc.;</w:t>
            </w:r>
          </w:p>
          <w:p w14:paraId="444E79AB" w14:textId="77777777" w:rsidR="00297FF0" w:rsidRPr="00942394" w:rsidRDefault="00297FF0" w:rsidP="00297FF0">
            <w:pPr>
              <w:pStyle w:val="ListParagraph"/>
              <w:numPr>
                <w:ilvl w:val="0"/>
                <w:numId w:val="1015"/>
              </w:numPr>
              <w:spacing w:after="0" w:line="240" w:lineRule="auto"/>
              <w:ind w:left="252" w:hanging="252"/>
              <w:rPr>
                <w:rFonts w:asciiTheme="minorHAnsi" w:hAnsiTheme="minorHAnsi"/>
                <w:sz w:val="22"/>
              </w:rPr>
            </w:pPr>
            <w:r w:rsidRPr="00942394">
              <w:rPr>
                <w:rFonts w:asciiTheme="minorHAnsi" w:hAnsiTheme="minorHAnsi"/>
                <w:sz w:val="22"/>
              </w:rPr>
              <w:t>Logan-Mingo Area Mental Health, Inc.;</w:t>
            </w:r>
          </w:p>
          <w:p w14:paraId="119E72C9" w14:textId="77777777" w:rsidR="00297FF0" w:rsidRPr="00942394" w:rsidRDefault="00297FF0" w:rsidP="00297FF0">
            <w:pPr>
              <w:pStyle w:val="ListParagraph"/>
              <w:numPr>
                <w:ilvl w:val="0"/>
                <w:numId w:val="1015"/>
              </w:numPr>
              <w:spacing w:after="0" w:line="240" w:lineRule="auto"/>
              <w:ind w:left="252" w:hanging="252"/>
              <w:rPr>
                <w:rFonts w:asciiTheme="minorHAnsi" w:hAnsiTheme="minorHAnsi"/>
                <w:sz w:val="22"/>
              </w:rPr>
            </w:pPr>
            <w:r w:rsidRPr="00942394">
              <w:rPr>
                <w:rFonts w:asciiTheme="minorHAnsi" w:hAnsiTheme="minorHAnsi"/>
                <w:sz w:val="22"/>
              </w:rPr>
              <w:t>Northwood Health Systems, Inc.;</w:t>
            </w:r>
          </w:p>
          <w:p w14:paraId="06A63E72" w14:textId="77777777" w:rsidR="00297FF0" w:rsidRPr="00942394" w:rsidRDefault="00297FF0" w:rsidP="00297FF0">
            <w:pPr>
              <w:pStyle w:val="ListParagraph"/>
              <w:numPr>
                <w:ilvl w:val="0"/>
                <w:numId w:val="1015"/>
              </w:numPr>
              <w:spacing w:after="0" w:line="240" w:lineRule="auto"/>
              <w:ind w:left="252" w:hanging="252"/>
              <w:rPr>
                <w:rFonts w:asciiTheme="minorHAnsi" w:hAnsiTheme="minorHAnsi"/>
                <w:sz w:val="22"/>
              </w:rPr>
            </w:pPr>
            <w:r w:rsidRPr="00942394">
              <w:rPr>
                <w:rFonts w:asciiTheme="minorHAnsi" w:hAnsiTheme="minorHAnsi"/>
                <w:sz w:val="22"/>
              </w:rPr>
              <w:t>Potomac Highlands Mental Health Guild, Inc.;</w:t>
            </w:r>
          </w:p>
          <w:p w14:paraId="32B66272" w14:textId="77777777" w:rsidR="00297FF0" w:rsidRPr="00942394" w:rsidRDefault="00297FF0" w:rsidP="00297FF0">
            <w:pPr>
              <w:pStyle w:val="ListParagraph"/>
              <w:numPr>
                <w:ilvl w:val="0"/>
                <w:numId w:val="1015"/>
              </w:numPr>
              <w:spacing w:after="0" w:line="240" w:lineRule="auto"/>
              <w:ind w:left="252" w:hanging="252"/>
              <w:rPr>
                <w:rFonts w:asciiTheme="minorHAnsi" w:hAnsiTheme="minorHAnsi"/>
                <w:sz w:val="22"/>
              </w:rPr>
            </w:pPr>
            <w:r w:rsidRPr="00942394">
              <w:rPr>
                <w:rFonts w:asciiTheme="minorHAnsi" w:hAnsiTheme="minorHAnsi"/>
                <w:sz w:val="22"/>
              </w:rPr>
              <w:t>Prestera Center for Mental Health Services;</w:t>
            </w:r>
          </w:p>
          <w:p w14:paraId="19EB90C0" w14:textId="77777777" w:rsidR="00297FF0" w:rsidRPr="00942394" w:rsidRDefault="00297FF0" w:rsidP="00297FF0">
            <w:pPr>
              <w:pStyle w:val="ListParagraph"/>
              <w:numPr>
                <w:ilvl w:val="0"/>
                <w:numId w:val="1015"/>
              </w:numPr>
              <w:spacing w:after="0" w:line="240" w:lineRule="auto"/>
              <w:ind w:left="252" w:hanging="252"/>
              <w:rPr>
                <w:rFonts w:asciiTheme="minorHAnsi" w:hAnsiTheme="minorHAnsi"/>
                <w:sz w:val="22"/>
              </w:rPr>
            </w:pPr>
            <w:r w:rsidRPr="00942394">
              <w:rPr>
                <w:rFonts w:asciiTheme="minorHAnsi" w:hAnsiTheme="minorHAnsi"/>
                <w:sz w:val="22"/>
              </w:rPr>
              <w:t>Seneca Health Services, Inc.;</w:t>
            </w:r>
          </w:p>
          <w:p w14:paraId="7D1CC759" w14:textId="77777777" w:rsidR="00297FF0" w:rsidRPr="00942394" w:rsidRDefault="00297FF0" w:rsidP="00297FF0">
            <w:pPr>
              <w:pStyle w:val="ListParagraph"/>
              <w:numPr>
                <w:ilvl w:val="0"/>
                <w:numId w:val="1015"/>
              </w:numPr>
              <w:spacing w:after="0" w:line="240" w:lineRule="auto"/>
              <w:ind w:left="252" w:hanging="252"/>
              <w:rPr>
                <w:rFonts w:asciiTheme="minorHAnsi" w:hAnsiTheme="minorHAnsi"/>
                <w:sz w:val="22"/>
              </w:rPr>
            </w:pPr>
            <w:r w:rsidRPr="00942394">
              <w:rPr>
                <w:rFonts w:asciiTheme="minorHAnsi" w:hAnsiTheme="minorHAnsi"/>
                <w:sz w:val="22"/>
              </w:rPr>
              <w:t>Southern Highlands;</w:t>
            </w:r>
          </w:p>
          <w:p w14:paraId="5418AAF9" w14:textId="77777777" w:rsidR="00297FF0" w:rsidRPr="00942394" w:rsidRDefault="00297FF0" w:rsidP="00297FF0">
            <w:pPr>
              <w:pStyle w:val="ListParagraph"/>
              <w:numPr>
                <w:ilvl w:val="0"/>
                <w:numId w:val="1015"/>
              </w:numPr>
              <w:spacing w:after="0" w:line="240" w:lineRule="auto"/>
              <w:ind w:left="252" w:hanging="252"/>
              <w:rPr>
                <w:rFonts w:asciiTheme="minorHAnsi" w:hAnsiTheme="minorHAnsi"/>
                <w:sz w:val="22"/>
              </w:rPr>
            </w:pPr>
            <w:r w:rsidRPr="00942394">
              <w:rPr>
                <w:rFonts w:asciiTheme="minorHAnsi" w:hAnsiTheme="minorHAnsi"/>
                <w:sz w:val="22"/>
              </w:rPr>
              <w:t>United Summit Center, Inc.;</w:t>
            </w:r>
          </w:p>
          <w:p w14:paraId="51640638" w14:textId="77777777" w:rsidR="00297FF0" w:rsidRPr="00942394" w:rsidRDefault="00297FF0" w:rsidP="00297FF0">
            <w:pPr>
              <w:pStyle w:val="ListParagraph"/>
              <w:numPr>
                <w:ilvl w:val="0"/>
                <w:numId w:val="1015"/>
              </w:numPr>
              <w:spacing w:after="0" w:line="240" w:lineRule="auto"/>
              <w:ind w:left="252" w:hanging="252"/>
              <w:rPr>
                <w:rFonts w:asciiTheme="minorHAnsi" w:hAnsiTheme="minorHAnsi"/>
                <w:sz w:val="22"/>
              </w:rPr>
            </w:pPr>
            <w:r w:rsidRPr="00942394">
              <w:rPr>
                <w:rFonts w:asciiTheme="minorHAnsi" w:hAnsiTheme="minorHAnsi"/>
                <w:sz w:val="22"/>
              </w:rPr>
              <w:t>Valley Comprehensive Community Mental Health Center, Inc.; and</w:t>
            </w:r>
          </w:p>
          <w:p w14:paraId="054F848A" w14:textId="77777777" w:rsidR="00297FF0" w:rsidRPr="00942394" w:rsidDel="00297FF0" w:rsidRDefault="00297FF0" w:rsidP="00297FF0">
            <w:pPr>
              <w:spacing w:after="0"/>
              <w:rPr>
                <w:rFonts w:asciiTheme="minorHAnsi" w:hAnsiTheme="minorHAnsi" w:cs="Arial"/>
                <w:sz w:val="22"/>
                <w:szCs w:val="22"/>
              </w:rPr>
            </w:pPr>
            <w:r w:rsidRPr="00942394">
              <w:rPr>
                <w:rFonts w:asciiTheme="minorHAnsi" w:hAnsiTheme="minorHAnsi"/>
                <w:sz w:val="22"/>
              </w:rPr>
              <w:t>Westbrook Health Services, Inc.</w:t>
            </w:r>
            <w:r w:rsidRPr="00942394" w:rsidDel="00297FF0">
              <w:rPr>
                <w:rFonts w:asciiTheme="minorHAnsi" w:hAnsiTheme="minorHAnsi"/>
                <w:sz w:val="22"/>
                <w:szCs w:val="22"/>
              </w:rPr>
              <w:t>Contract with identified list</w:t>
            </w:r>
            <w:r w:rsidRPr="00942394" w:rsidDel="00297FF0">
              <w:rPr>
                <w:rFonts w:asciiTheme="minorHAnsi" w:hAnsiTheme="minorHAnsi" w:cs="Arial"/>
                <w:sz w:val="22"/>
                <w:szCs w:val="22"/>
              </w:rPr>
              <w:t xml:space="preserve">: </w:t>
            </w:r>
          </w:p>
          <w:p w14:paraId="569C4EB7" w14:textId="77777777" w:rsidR="00297FF0" w:rsidRPr="00942394" w:rsidDel="00297FF0" w:rsidRDefault="00297FF0" w:rsidP="00297FF0">
            <w:pPr>
              <w:pStyle w:val="ListParagraph"/>
              <w:numPr>
                <w:ilvl w:val="0"/>
                <w:numId w:val="1012"/>
              </w:numPr>
              <w:spacing w:after="0" w:line="240" w:lineRule="auto"/>
              <w:ind w:left="252" w:hanging="252"/>
              <w:rPr>
                <w:rFonts w:asciiTheme="minorHAnsi" w:hAnsiTheme="minorHAnsi"/>
                <w:b/>
                <w:sz w:val="22"/>
              </w:rPr>
            </w:pPr>
            <w:r w:rsidRPr="00942394" w:rsidDel="00297FF0">
              <w:rPr>
                <w:rFonts w:asciiTheme="minorHAnsi" w:hAnsiTheme="minorHAnsi"/>
                <w:sz w:val="22"/>
              </w:rPr>
              <w:t xml:space="preserve">Highland Charleston; </w:t>
            </w:r>
          </w:p>
          <w:p w14:paraId="45849F3E" w14:textId="77777777" w:rsidR="00297FF0" w:rsidRPr="00942394" w:rsidDel="00297FF0" w:rsidRDefault="00297FF0" w:rsidP="00297FF0">
            <w:pPr>
              <w:pStyle w:val="ListParagraph"/>
              <w:numPr>
                <w:ilvl w:val="0"/>
                <w:numId w:val="1012"/>
              </w:numPr>
              <w:spacing w:after="0" w:line="240" w:lineRule="auto"/>
              <w:ind w:left="252" w:hanging="252"/>
              <w:rPr>
                <w:rFonts w:asciiTheme="minorHAnsi" w:hAnsiTheme="minorHAnsi"/>
                <w:b/>
                <w:sz w:val="22"/>
              </w:rPr>
            </w:pPr>
            <w:r w:rsidRPr="00942394" w:rsidDel="00297FF0">
              <w:rPr>
                <w:rFonts w:asciiTheme="minorHAnsi" w:hAnsiTheme="minorHAnsi"/>
                <w:sz w:val="22"/>
              </w:rPr>
              <w:t xml:space="preserve">River Park; and </w:t>
            </w:r>
          </w:p>
          <w:p w14:paraId="59A79545" w14:textId="7CCCB8D9" w:rsidR="00297FF0" w:rsidRPr="00942394" w:rsidRDefault="00297FF0" w:rsidP="00942394">
            <w:pPr>
              <w:pStyle w:val="ListParagraph"/>
              <w:numPr>
                <w:ilvl w:val="0"/>
                <w:numId w:val="1015"/>
              </w:numPr>
              <w:spacing w:after="0" w:line="240" w:lineRule="auto"/>
              <w:ind w:left="252" w:hanging="252"/>
              <w:rPr>
                <w:rFonts w:asciiTheme="minorHAnsi" w:hAnsiTheme="minorHAnsi"/>
                <w:sz w:val="22"/>
              </w:rPr>
            </w:pPr>
            <w:r w:rsidRPr="00942394" w:rsidDel="00297FF0">
              <w:rPr>
                <w:rFonts w:asciiTheme="minorHAnsi" w:hAnsiTheme="minorHAnsi"/>
                <w:sz w:val="22"/>
              </w:rPr>
              <w:t xml:space="preserve">Barboursville’s School </w:t>
            </w:r>
          </w:p>
        </w:tc>
      </w:tr>
      <w:tr w:rsidR="00297FF0" w14:paraId="39CB1D08" w14:textId="77777777" w:rsidTr="00C6361E">
        <w:trPr>
          <w:jc w:val="center"/>
        </w:trPr>
        <w:tc>
          <w:tcPr>
            <w:tcW w:w="1708" w:type="dxa"/>
            <w:vMerge/>
            <w:shd w:val="clear" w:color="auto" w:fill="auto"/>
          </w:tcPr>
          <w:p w14:paraId="44A871BB" w14:textId="4A736E72" w:rsidR="00297FF0" w:rsidRPr="00942394" w:rsidRDefault="00297FF0" w:rsidP="00297FF0">
            <w:pPr>
              <w:spacing w:after="0"/>
              <w:rPr>
                <w:rFonts w:asciiTheme="minorHAnsi" w:hAnsiTheme="minorHAnsi"/>
                <w:b/>
                <w:sz w:val="22"/>
                <w:szCs w:val="22"/>
              </w:rPr>
            </w:pPr>
          </w:p>
        </w:tc>
        <w:tc>
          <w:tcPr>
            <w:tcW w:w="1977" w:type="dxa"/>
            <w:shd w:val="clear" w:color="auto" w:fill="auto"/>
            <w:vAlign w:val="center"/>
          </w:tcPr>
          <w:p w14:paraId="0D1FD9F8" w14:textId="26628327" w:rsidR="00297FF0" w:rsidRPr="00942394" w:rsidRDefault="00297FF0" w:rsidP="00297FF0">
            <w:pPr>
              <w:spacing w:after="0"/>
              <w:rPr>
                <w:rFonts w:asciiTheme="minorHAnsi" w:hAnsiTheme="minorHAnsi"/>
                <w:sz w:val="22"/>
                <w:szCs w:val="22"/>
              </w:rPr>
            </w:pPr>
            <w:r w:rsidRPr="00942394">
              <w:rPr>
                <w:rFonts w:asciiTheme="minorHAnsi" w:hAnsiTheme="minorHAnsi"/>
                <w:sz w:val="22"/>
                <w:szCs w:val="22"/>
              </w:rPr>
              <w:t>Psychiatric Residential Treatment Facility (PRTF)</w:t>
            </w:r>
          </w:p>
        </w:tc>
        <w:tc>
          <w:tcPr>
            <w:tcW w:w="2700" w:type="dxa"/>
            <w:vAlign w:val="center"/>
          </w:tcPr>
          <w:p w14:paraId="77F80DEB" w14:textId="60649DD1" w:rsidR="00297FF0" w:rsidRPr="00942394" w:rsidRDefault="00297FF0" w:rsidP="00297FF0">
            <w:pPr>
              <w:spacing w:after="0"/>
              <w:ind w:left="252" w:hanging="252"/>
              <w:rPr>
                <w:rFonts w:asciiTheme="minorHAnsi" w:hAnsiTheme="minorHAnsi"/>
                <w:sz w:val="22"/>
                <w:szCs w:val="22"/>
              </w:rPr>
            </w:pPr>
            <w:r>
              <w:rPr>
                <w:rFonts w:asciiTheme="minorHAnsi" w:hAnsiTheme="minorHAnsi"/>
                <w:sz w:val="22"/>
                <w:szCs w:val="22"/>
              </w:rPr>
              <w:t>N/A</w:t>
            </w:r>
          </w:p>
        </w:tc>
        <w:tc>
          <w:tcPr>
            <w:tcW w:w="2700" w:type="dxa"/>
            <w:vAlign w:val="center"/>
          </w:tcPr>
          <w:p w14:paraId="126904E3" w14:textId="77777777" w:rsidR="00297FF0" w:rsidRPr="00942394" w:rsidRDefault="00297FF0" w:rsidP="00297FF0">
            <w:pPr>
              <w:spacing w:after="0"/>
              <w:rPr>
                <w:rFonts w:asciiTheme="minorHAnsi" w:hAnsiTheme="minorHAnsi" w:cs="Arial"/>
                <w:sz w:val="22"/>
                <w:szCs w:val="22"/>
              </w:rPr>
            </w:pPr>
            <w:r w:rsidRPr="00942394">
              <w:rPr>
                <w:rFonts w:asciiTheme="minorHAnsi" w:hAnsiTheme="minorHAnsi"/>
                <w:sz w:val="22"/>
                <w:szCs w:val="22"/>
              </w:rPr>
              <w:t>Contract with identified list</w:t>
            </w:r>
            <w:r w:rsidRPr="00942394">
              <w:rPr>
                <w:rFonts w:asciiTheme="minorHAnsi" w:hAnsiTheme="minorHAnsi" w:cs="Arial"/>
                <w:sz w:val="22"/>
                <w:szCs w:val="22"/>
              </w:rPr>
              <w:t xml:space="preserve">: </w:t>
            </w:r>
          </w:p>
          <w:p w14:paraId="61ED3DB2" w14:textId="77777777" w:rsidR="00297FF0" w:rsidRPr="00942394" w:rsidRDefault="00297FF0" w:rsidP="00297FF0">
            <w:pPr>
              <w:pStyle w:val="ListParagraph"/>
              <w:numPr>
                <w:ilvl w:val="0"/>
                <w:numId w:val="1012"/>
              </w:numPr>
              <w:spacing w:after="0" w:line="240" w:lineRule="auto"/>
              <w:ind w:left="252" w:hanging="252"/>
              <w:rPr>
                <w:rFonts w:asciiTheme="minorHAnsi" w:hAnsiTheme="minorHAnsi"/>
                <w:b/>
                <w:sz w:val="22"/>
              </w:rPr>
            </w:pPr>
            <w:r w:rsidRPr="00942394">
              <w:rPr>
                <w:rFonts w:asciiTheme="minorHAnsi" w:hAnsiTheme="minorHAnsi"/>
                <w:sz w:val="22"/>
              </w:rPr>
              <w:t xml:space="preserve">Highland Charleston; </w:t>
            </w:r>
          </w:p>
          <w:p w14:paraId="6564CF92" w14:textId="77777777" w:rsidR="00297FF0" w:rsidRPr="00942394" w:rsidRDefault="00297FF0" w:rsidP="00297FF0">
            <w:pPr>
              <w:pStyle w:val="ListParagraph"/>
              <w:numPr>
                <w:ilvl w:val="0"/>
                <w:numId w:val="1012"/>
              </w:numPr>
              <w:spacing w:after="0" w:line="240" w:lineRule="auto"/>
              <w:ind w:left="252" w:hanging="252"/>
              <w:rPr>
                <w:rFonts w:asciiTheme="minorHAnsi" w:hAnsiTheme="minorHAnsi"/>
                <w:b/>
                <w:sz w:val="22"/>
              </w:rPr>
            </w:pPr>
            <w:r w:rsidRPr="00942394">
              <w:rPr>
                <w:rFonts w:asciiTheme="minorHAnsi" w:hAnsiTheme="minorHAnsi"/>
                <w:sz w:val="22"/>
              </w:rPr>
              <w:t xml:space="preserve">River Park; and </w:t>
            </w:r>
          </w:p>
          <w:p w14:paraId="06A66DB3" w14:textId="194D978C" w:rsidR="00297FF0" w:rsidRPr="00942394" w:rsidRDefault="00297FF0" w:rsidP="00297FF0">
            <w:pPr>
              <w:pStyle w:val="ListParagraph"/>
              <w:numPr>
                <w:ilvl w:val="0"/>
                <w:numId w:val="1012"/>
              </w:numPr>
              <w:spacing w:after="0" w:line="240" w:lineRule="auto"/>
              <w:ind w:left="252" w:hanging="252"/>
              <w:rPr>
                <w:rFonts w:asciiTheme="minorHAnsi" w:hAnsiTheme="minorHAnsi"/>
                <w:sz w:val="22"/>
              </w:rPr>
            </w:pPr>
            <w:r w:rsidRPr="00942394">
              <w:rPr>
                <w:rFonts w:asciiTheme="minorHAnsi" w:hAnsiTheme="minorHAnsi"/>
                <w:sz w:val="22"/>
              </w:rPr>
              <w:t xml:space="preserve">Barboursville’s School </w:t>
            </w:r>
          </w:p>
        </w:tc>
      </w:tr>
      <w:tr w:rsidR="00297FF0" w14:paraId="19AF2179" w14:textId="77777777" w:rsidTr="00C6361E">
        <w:trPr>
          <w:jc w:val="center"/>
        </w:trPr>
        <w:tc>
          <w:tcPr>
            <w:tcW w:w="1708" w:type="dxa"/>
            <w:shd w:val="clear" w:color="auto" w:fill="auto"/>
          </w:tcPr>
          <w:p w14:paraId="684FB83C" w14:textId="1AA8728D" w:rsidR="00297FF0" w:rsidRPr="00942394" w:rsidRDefault="00297FF0" w:rsidP="00297FF0">
            <w:pPr>
              <w:spacing w:after="0"/>
              <w:rPr>
                <w:rFonts w:asciiTheme="minorHAnsi" w:hAnsiTheme="minorHAnsi"/>
                <w:b/>
                <w:sz w:val="22"/>
                <w:szCs w:val="22"/>
              </w:rPr>
            </w:pPr>
            <w:r w:rsidRPr="00942394">
              <w:rPr>
                <w:rFonts w:asciiTheme="minorHAnsi" w:hAnsiTheme="minorHAnsi"/>
                <w:b/>
                <w:sz w:val="22"/>
                <w:szCs w:val="22"/>
              </w:rPr>
              <w:t>SUD Provider</w:t>
            </w:r>
          </w:p>
        </w:tc>
        <w:tc>
          <w:tcPr>
            <w:tcW w:w="1977" w:type="dxa"/>
            <w:shd w:val="clear" w:color="auto" w:fill="DEEAF6" w:themeFill="accent1" w:themeFillTint="33"/>
            <w:vAlign w:val="center"/>
          </w:tcPr>
          <w:p w14:paraId="555BCD15" w14:textId="4B3F399A" w:rsidR="00297FF0" w:rsidRPr="00942394" w:rsidRDefault="00297FF0" w:rsidP="00297FF0">
            <w:pPr>
              <w:spacing w:after="0"/>
              <w:rPr>
                <w:rFonts w:asciiTheme="minorHAnsi" w:hAnsiTheme="minorHAnsi"/>
                <w:sz w:val="22"/>
                <w:szCs w:val="22"/>
              </w:rPr>
            </w:pPr>
            <w:r w:rsidRPr="00942394">
              <w:rPr>
                <w:rFonts w:asciiTheme="minorHAnsi" w:hAnsiTheme="minorHAnsi"/>
                <w:sz w:val="22"/>
                <w:szCs w:val="22"/>
              </w:rPr>
              <w:t>Outpatient SUD provider</w:t>
            </w:r>
          </w:p>
        </w:tc>
        <w:tc>
          <w:tcPr>
            <w:tcW w:w="2700" w:type="dxa"/>
            <w:shd w:val="clear" w:color="auto" w:fill="DEEAF6" w:themeFill="accent1" w:themeFillTint="33"/>
            <w:vAlign w:val="center"/>
          </w:tcPr>
          <w:p w14:paraId="3DD77F10" w14:textId="5391B37E" w:rsidR="00297FF0" w:rsidRPr="00942394" w:rsidRDefault="00297FF0" w:rsidP="00297FF0">
            <w:pPr>
              <w:spacing w:after="0"/>
              <w:rPr>
                <w:rFonts w:asciiTheme="minorHAnsi" w:hAnsiTheme="minorHAnsi"/>
                <w:sz w:val="22"/>
                <w:szCs w:val="22"/>
              </w:rPr>
            </w:pPr>
            <w:r w:rsidRPr="00942394">
              <w:rPr>
                <w:rFonts w:asciiTheme="minorHAnsi" w:hAnsiTheme="minorHAnsi"/>
                <w:sz w:val="22"/>
                <w:szCs w:val="22"/>
              </w:rPr>
              <w:t>One</w:t>
            </w:r>
            <w:r w:rsidRPr="00942394">
              <w:rPr>
                <w:rFonts w:asciiTheme="minorHAnsi" w:hAnsiTheme="minorHAnsi"/>
                <w:b/>
                <w:sz w:val="22"/>
                <w:szCs w:val="22"/>
              </w:rPr>
              <w:t xml:space="preserve"> (1)</w:t>
            </w:r>
            <w:r w:rsidRPr="00942394">
              <w:rPr>
                <w:rFonts w:asciiTheme="minorHAnsi" w:hAnsiTheme="minorHAnsi"/>
                <w:sz w:val="22"/>
                <w:szCs w:val="22"/>
              </w:rPr>
              <w:t xml:space="preserve"> provider within forty-five </w:t>
            </w:r>
            <w:r w:rsidRPr="00942394">
              <w:rPr>
                <w:rFonts w:asciiTheme="minorHAnsi" w:hAnsiTheme="minorHAnsi"/>
                <w:b/>
                <w:sz w:val="22"/>
                <w:szCs w:val="22"/>
              </w:rPr>
              <w:t>(45) miles</w:t>
            </w:r>
            <w:r w:rsidRPr="00942394">
              <w:rPr>
                <w:rFonts w:asciiTheme="minorHAnsi" w:hAnsiTheme="minorHAnsi"/>
                <w:sz w:val="22"/>
                <w:szCs w:val="22"/>
              </w:rPr>
              <w:t xml:space="preserve"> or sixty </w:t>
            </w:r>
            <w:r w:rsidRPr="00942394">
              <w:rPr>
                <w:rFonts w:asciiTheme="minorHAnsi" w:hAnsiTheme="minorHAnsi"/>
                <w:b/>
                <w:sz w:val="22"/>
                <w:szCs w:val="22"/>
              </w:rPr>
              <w:t>(60) minutes</w:t>
            </w:r>
            <w:r w:rsidRPr="00942394">
              <w:rPr>
                <w:rFonts w:asciiTheme="minorHAnsi" w:hAnsiTheme="minorHAnsi"/>
                <w:sz w:val="22"/>
                <w:szCs w:val="22"/>
              </w:rPr>
              <w:t xml:space="preserve"> travel time</w:t>
            </w:r>
          </w:p>
        </w:tc>
        <w:tc>
          <w:tcPr>
            <w:tcW w:w="2700" w:type="dxa"/>
            <w:shd w:val="clear" w:color="auto" w:fill="DEEAF6" w:themeFill="accent1" w:themeFillTint="33"/>
            <w:vAlign w:val="center"/>
          </w:tcPr>
          <w:p w14:paraId="0F3259E3" w14:textId="179FCDDB" w:rsidR="00297FF0" w:rsidRPr="00942394" w:rsidRDefault="00297FF0" w:rsidP="00297FF0">
            <w:pPr>
              <w:spacing w:after="0"/>
              <w:rPr>
                <w:rFonts w:asciiTheme="minorHAnsi" w:hAnsiTheme="minorHAnsi"/>
                <w:sz w:val="22"/>
                <w:szCs w:val="22"/>
              </w:rPr>
            </w:pPr>
            <w:r w:rsidRPr="00942394">
              <w:rPr>
                <w:rFonts w:asciiTheme="minorHAnsi" w:hAnsiTheme="minorHAnsi"/>
                <w:sz w:val="22"/>
                <w:szCs w:val="22"/>
              </w:rPr>
              <w:t>One</w:t>
            </w:r>
            <w:r w:rsidRPr="00942394">
              <w:rPr>
                <w:rFonts w:asciiTheme="minorHAnsi" w:hAnsiTheme="minorHAnsi"/>
                <w:b/>
                <w:sz w:val="22"/>
                <w:szCs w:val="22"/>
              </w:rPr>
              <w:t xml:space="preserve"> (1)</w:t>
            </w:r>
            <w:r w:rsidRPr="00942394">
              <w:rPr>
                <w:rFonts w:asciiTheme="minorHAnsi" w:hAnsiTheme="minorHAnsi"/>
                <w:sz w:val="22"/>
                <w:szCs w:val="22"/>
              </w:rPr>
              <w:t xml:space="preserve"> provider within forty-five </w:t>
            </w:r>
            <w:r w:rsidRPr="00942394">
              <w:rPr>
                <w:rFonts w:asciiTheme="minorHAnsi" w:hAnsiTheme="minorHAnsi"/>
                <w:b/>
                <w:sz w:val="22"/>
                <w:szCs w:val="22"/>
              </w:rPr>
              <w:t>(45) miles</w:t>
            </w:r>
            <w:r w:rsidRPr="00942394">
              <w:rPr>
                <w:rFonts w:asciiTheme="minorHAnsi" w:hAnsiTheme="minorHAnsi"/>
                <w:sz w:val="22"/>
                <w:szCs w:val="22"/>
              </w:rPr>
              <w:t xml:space="preserve"> or sixty </w:t>
            </w:r>
            <w:r w:rsidRPr="00942394">
              <w:rPr>
                <w:rFonts w:asciiTheme="minorHAnsi" w:hAnsiTheme="minorHAnsi"/>
                <w:b/>
                <w:sz w:val="22"/>
                <w:szCs w:val="22"/>
              </w:rPr>
              <w:t>(60) minutes</w:t>
            </w:r>
            <w:r w:rsidRPr="00942394">
              <w:rPr>
                <w:rFonts w:asciiTheme="minorHAnsi" w:hAnsiTheme="minorHAnsi"/>
                <w:sz w:val="22"/>
                <w:szCs w:val="22"/>
              </w:rPr>
              <w:t xml:space="preserve"> travel time</w:t>
            </w:r>
          </w:p>
        </w:tc>
      </w:tr>
      <w:tr w:rsidR="00297FF0" w14:paraId="5F0D1B63" w14:textId="77777777" w:rsidTr="00C6361E">
        <w:trPr>
          <w:jc w:val="center"/>
        </w:trPr>
        <w:tc>
          <w:tcPr>
            <w:tcW w:w="1708" w:type="dxa"/>
            <w:shd w:val="clear" w:color="auto" w:fill="auto"/>
          </w:tcPr>
          <w:p w14:paraId="40258DCE" w14:textId="50BB9D7D" w:rsidR="00297FF0" w:rsidRPr="00942394" w:rsidRDefault="00297FF0" w:rsidP="00942394">
            <w:pPr>
              <w:spacing w:after="0"/>
              <w:rPr>
                <w:rFonts w:asciiTheme="minorHAnsi" w:hAnsiTheme="minorHAnsi"/>
                <w:b/>
                <w:sz w:val="22"/>
                <w:szCs w:val="22"/>
              </w:rPr>
            </w:pPr>
            <w:r w:rsidRPr="00942394" w:rsidDel="00297FF0">
              <w:rPr>
                <w:rFonts w:asciiTheme="minorHAnsi" w:hAnsiTheme="minorHAnsi"/>
                <w:b/>
                <w:sz w:val="22"/>
                <w:szCs w:val="22"/>
              </w:rPr>
              <w:t>SUD Facility</w:t>
            </w:r>
          </w:p>
        </w:tc>
        <w:tc>
          <w:tcPr>
            <w:tcW w:w="1977" w:type="dxa"/>
            <w:shd w:val="clear" w:color="auto" w:fill="FFFFFF" w:themeFill="background1"/>
            <w:vAlign w:val="center"/>
          </w:tcPr>
          <w:p w14:paraId="7BBDDFC4" w14:textId="4895B720" w:rsidR="00297FF0" w:rsidRPr="00942394" w:rsidRDefault="00297FF0" w:rsidP="00942394">
            <w:pPr>
              <w:spacing w:after="0"/>
              <w:rPr>
                <w:rFonts w:asciiTheme="minorHAnsi" w:hAnsiTheme="minorHAnsi"/>
                <w:sz w:val="22"/>
                <w:szCs w:val="22"/>
              </w:rPr>
            </w:pPr>
            <w:r w:rsidRPr="00942394" w:rsidDel="00182187">
              <w:rPr>
                <w:rFonts w:asciiTheme="minorHAnsi" w:hAnsiTheme="minorHAnsi"/>
                <w:sz w:val="22"/>
                <w:szCs w:val="22"/>
              </w:rPr>
              <w:t>Residential SUD provider</w:t>
            </w:r>
          </w:p>
        </w:tc>
        <w:tc>
          <w:tcPr>
            <w:tcW w:w="2700" w:type="dxa"/>
            <w:shd w:val="clear" w:color="auto" w:fill="FFFFFF" w:themeFill="background1"/>
            <w:vAlign w:val="center"/>
          </w:tcPr>
          <w:p w14:paraId="28407F31" w14:textId="2E634F8E" w:rsidR="00297FF0" w:rsidRPr="00942394" w:rsidRDefault="00297FF0" w:rsidP="00942394">
            <w:pPr>
              <w:spacing w:after="0"/>
              <w:rPr>
                <w:rFonts w:asciiTheme="minorHAnsi" w:hAnsiTheme="minorHAnsi"/>
                <w:sz w:val="22"/>
                <w:szCs w:val="22"/>
              </w:rPr>
            </w:pPr>
            <w:r w:rsidRPr="00942394" w:rsidDel="00182187">
              <w:rPr>
                <w:rFonts w:asciiTheme="minorHAnsi" w:hAnsiTheme="minorHAnsi"/>
                <w:sz w:val="22"/>
                <w:szCs w:val="22"/>
              </w:rPr>
              <w:t>Contract with all SUD residential providers in West Virginia</w:t>
            </w:r>
          </w:p>
        </w:tc>
        <w:tc>
          <w:tcPr>
            <w:tcW w:w="2700" w:type="dxa"/>
            <w:shd w:val="clear" w:color="auto" w:fill="FFFFFF" w:themeFill="background1"/>
            <w:vAlign w:val="center"/>
          </w:tcPr>
          <w:p w14:paraId="76BA2AE9" w14:textId="79C57CC9" w:rsidR="00297FF0" w:rsidRPr="00942394" w:rsidRDefault="00297FF0" w:rsidP="00942394">
            <w:pPr>
              <w:spacing w:after="0"/>
              <w:rPr>
                <w:rFonts w:asciiTheme="minorHAnsi" w:hAnsiTheme="minorHAnsi"/>
                <w:b/>
                <w:sz w:val="22"/>
                <w:szCs w:val="22"/>
              </w:rPr>
            </w:pPr>
            <w:r w:rsidRPr="00942394" w:rsidDel="00182187">
              <w:rPr>
                <w:rFonts w:asciiTheme="minorHAnsi" w:hAnsiTheme="minorHAnsi"/>
                <w:sz w:val="22"/>
                <w:szCs w:val="22"/>
              </w:rPr>
              <w:t>N/A</w:t>
            </w:r>
          </w:p>
        </w:tc>
      </w:tr>
    </w:tbl>
    <w:p w14:paraId="6C335B42" w14:textId="77777777" w:rsidR="003E35A9" w:rsidRDefault="003E35A9" w:rsidP="00942394">
      <w:pPr>
        <w:pStyle w:val="normal6"/>
      </w:pPr>
    </w:p>
    <w:p w14:paraId="1B2E43ED" w14:textId="77777777" w:rsidR="003E35A9" w:rsidRDefault="003E35A9" w:rsidP="00257641">
      <w:pPr>
        <w:pStyle w:val="Heading3"/>
        <w:ind w:left="547"/>
      </w:pPr>
      <w:bookmarkStart w:id="281" w:name="_Toc7162622"/>
      <w:bookmarkStart w:id="282" w:name="_Toc7528981"/>
      <w:bookmarkStart w:id="283" w:name="_Toc8129115"/>
      <w:r>
        <w:lastRenderedPageBreak/>
        <w:t>Essential Community Providers (ECPs)</w:t>
      </w:r>
      <w:bookmarkEnd w:id="281"/>
      <w:bookmarkEnd w:id="282"/>
      <w:bookmarkEnd w:id="283"/>
    </w:p>
    <w:p w14:paraId="58F0A354" w14:textId="77777777" w:rsidR="003E35A9" w:rsidRDefault="003E35A9" w:rsidP="00942394">
      <w:r w:rsidRPr="00111F1D">
        <w:t>Essential Community Providers (ECPs) are types of providers and settings that serve predominantly low-income and medically underserved populations</w:t>
      </w:r>
      <w:r>
        <w:t xml:space="preserve"> such as </w:t>
      </w:r>
      <w:r w:rsidRPr="00DF1D1C">
        <w:t>Federally Qualified Health Centers (FQHCs) and Rural Health Clinics (RHCs)</w:t>
      </w:r>
      <w:r w:rsidRPr="00111F1D">
        <w:t xml:space="preserve">. The MCO must </w:t>
      </w:r>
      <w:r>
        <w:t>c</w:t>
      </w:r>
      <w:r w:rsidRPr="00111F1D">
        <w:t xml:space="preserve">ontract with as many FQHCs and RHCs as necessary to permit beneficiary access to participating FQHCs and RHCs without having to travel a significantly greater distance past a non-participating FQHC or RHC. </w:t>
      </w:r>
      <w:r w:rsidRPr="00BF2A3A">
        <w:t xml:space="preserve">The requirements for </w:t>
      </w:r>
      <w:r>
        <w:t>FQHCs and RHCs</w:t>
      </w:r>
      <w:r w:rsidRPr="00BF2A3A">
        <w:t xml:space="preserve"> are outlined below.</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4"/>
        <w:gridCol w:w="2936"/>
        <w:gridCol w:w="3230"/>
      </w:tblGrid>
      <w:tr w:rsidR="005B4A23" w:rsidRPr="00316877" w14:paraId="6E544C2D" w14:textId="77777777" w:rsidTr="00942394">
        <w:trPr>
          <w:trHeight w:val="431"/>
          <w:jc w:val="center"/>
        </w:trPr>
        <w:tc>
          <w:tcPr>
            <w:tcW w:w="3184" w:type="dxa"/>
            <w:tcBorders>
              <w:right w:val="single" w:sz="4" w:space="0" w:color="FFFFFF" w:themeColor="background1"/>
            </w:tcBorders>
            <w:shd w:val="clear" w:color="auto" w:fill="002060"/>
          </w:tcPr>
          <w:p w14:paraId="54D49901" w14:textId="77777777" w:rsidR="005B4A23" w:rsidRPr="00942394" w:rsidRDefault="005B4A23" w:rsidP="00942394">
            <w:pPr>
              <w:keepNext/>
              <w:spacing w:before="40" w:after="40"/>
              <w:jc w:val="center"/>
              <w:rPr>
                <w:rFonts w:asciiTheme="minorHAnsi" w:hAnsiTheme="minorHAnsi"/>
                <w:b/>
                <w:color w:val="FFFFFF"/>
                <w:sz w:val="22"/>
                <w:szCs w:val="22"/>
              </w:rPr>
            </w:pPr>
            <w:r w:rsidRPr="00942394">
              <w:rPr>
                <w:rFonts w:asciiTheme="minorHAnsi" w:hAnsiTheme="minorHAnsi"/>
                <w:b/>
                <w:color w:val="FFFFFF"/>
                <w:sz w:val="22"/>
                <w:szCs w:val="22"/>
              </w:rPr>
              <w:t>Provider Type</w:t>
            </w:r>
          </w:p>
        </w:tc>
        <w:tc>
          <w:tcPr>
            <w:tcW w:w="2936" w:type="dxa"/>
            <w:tcBorders>
              <w:left w:val="single" w:sz="4" w:space="0" w:color="FFFFFF" w:themeColor="background1"/>
              <w:right w:val="single" w:sz="4" w:space="0" w:color="FFFFFF" w:themeColor="background1"/>
            </w:tcBorders>
            <w:shd w:val="clear" w:color="auto" w:fill="002060"/>
          </w:tcPr>
          <w:p w14:paraId="1FAF4C69" w14:textId="2EB61982" w:rsidR="005B4A23" w:rsidRPr="00942394" w:rsidRDefault="005B4A23" w:rsidP="00942394">
            <w:pPr>
              <w:keepNext/>
              <w:spacing w:before="40" w:after="40"/>
              <w:jc w:val="center"/>
              <w:rPr>
                <w:rFonts w:asciiTheme="minorHAnsi" w:hAnsiTheme="minorHAnsi"/>
                <w:b/>
                <w:color w:val="FFFFFF"/>
                <w:sz w:val="22"/>
                <w:szCs w:val="22"/>
              </w:rPr>
            </w:pPr>
            <w:r w:rsidRPr="00942394">
              <w:rPr>
                <w:rFonts w:asciiTheme="minorHAnsi" w:hAnsiTheme="minorHAnsi"/>
                <w:b/>
                <w:color w:val="FFFFFF"/>
                <w:sz w:val="22"/>
                <w:szCs w:val="22"/>
              </w:rPr>
              <w:t>Adult Standard</w:t>
            </w:r>
          </w:p>
        </w:tc>
        <w:tc>
          <w:tcPr>
            <w:tcW w:w="3230" w:type="dxa"/>
            <w:tcBorders>
              <w:left w:val="single" w:sz="4" w:space="0" w:color="FFFFFF" w:themeColor="background1"/>
            </w:tcBorders>
            <w:shd w:val="clear" w:color="auto" w:fill="002060"/>
          </w:tcPr>
          <w:p w14:paraId="15FEE2ED" w14:textId="7142832D" w:rsidR="005B4A23" w:rsidRPr="00942394" w:rsidRDefault="005B4A23" w:rsidP="00942394">
            <w:pPr>
              <w:keepNext/>
              <w:spacing w:before="40" w:after="40"/>
              <w:jc w:val="center"/>
              <w:rPr>
                <w:rFonts w:asciiTheme="minorHAnsi" w:hAnsiTheme="minorHAnsi"/>
                <w:b/>
                <w:color w:val="FFFFFF"/>
                <w:sz w:val="22"/>
                <w:szCs w:val="22"/>
              </w:rPr>
            </w:pPr>
            <w:r w:rsidRPr="00942394">
              <w:rPr>
                <w:rFonts w:asciiTheme="minorHAnsi" w:hAnsiTheme="minorHAnsi"/>
                <w:b/>
                <w:color w:val="FFFFFF"/>
                <w:sz w:val="22"/>
                <w:szCs w:val="22"/>
              </w:rPr>
              <w:t>Pediatric Standard</w:t>
            </w:r>
          </w:p>
        </w:tc>
      </w:tr>
      <w:tr w:rsidR="005B4A23" w:rsidRPr="002B0E80" w14:paraId="632D4E12" w14:textId="77777777" w:rsidTr="005B4A23">
        <w:trPr>
          <w:jc w:val="center"/>
        </w:trPr>
        <w:tc>
          <w:tcPr>
            <w:tcW w:w="3184" w:type="dxa"/>
            <w:shd w:val="clear" w:color="auto" w:fill="auto"/>
          </w:tcPr>
          <w:p w14:paraId="32FB4F63" w14:textId="77777777" w:rsidR="005B4A23" w:rsidRPr="00942394" w:rsidRDefault="005B4A23" w:rsidP="00942394">
            <w:pPr>
              <w:keepNext/>
              <w:spacing w:before="40" w:after="40"/>
              <w:rPr>
                <w:rFonts w:asciiTheme="minorHAnsi" w:hAnsiTheme="minorHAnsi"/>
                <w:sz w:val="22"/>
                <w:szCs w:val="22"/>
              </w:rPr>
            </w:pPr>
            <w:r w:rsidRPr="00942394">
              <w:rPr>
                <w:rFonts w:asciiTheme="minorHAnsi" w:hAnsiTheme="minorHAnsi"/>
                <w:sz w:val="22"/>
                <w:szCs w:val="22"/>
              </w:rPr>
              <w:t>FQHC or RHC</w:t>
            </w:r>
          </w:p>
        </w:tc>
        <w:tc>
          <w:tcPr>
            <w:tcW w:w="2936" w:type="dxa"/>
          </w:tcPr>
          <w:p w14:paraId="304F3ACB" w14:textId="11967FF5" w:rsidR="005B4A23" w:rsidRPr="00942394" w:rsidRDefault="005B4A23" w:rsidP="00942394">
            <w:pPr>
              <w:keepNext/>
              <w:spacing w:before="40" w:after="40"/>
              <w:rPr>
                <w:rFonts w:asciiTheme="minorHAnsi" w:hAnsiTheme="minorHAnsi"/>
                <w:sz w:val="22"/>
                <w:szCs w:val="22"/>
              </w:rPr>
            </w:pPr>
            <w:r w:rsidRPr="00942394">
              <w:rPr>
                <w:rFonts w:asciiTheme="minorHAnsi" w:hAnsiTheme="minorHAnsi"/>
                <w:sz w:val="22"/>
                <w:szCs w:val="22"/>
              </w:rPr>
              <w:t>One</w:t>
            </w:r>
            <w:r w:rsidRPr="00942394">
              <w:rPr>
                <w:rFonts w:asciiTheme="minorHAnsi" w:hAnsiTheme="minorHAnsi"/>
                <w:b/>
                <w:sz w:val="22"/>
                <w:szCs w:val="22"/>
              </w:rPr>
              <w:t xml:space="preserve"> (1)</w:t>
            </w:r>
            <w:r w:rsidRPr="00942394">
              <w:rPr>
                <w:rFonts w:asciiTheme="minorHAnsi" w:hAnsiTheme="minorHAnsi"/>
                <w:sz w:val="22"/>
                <w:szCs w:val="22"/>
              </w:rPr>
              <w:t xml:space="preserve"> provider within forty-five </w:t>
            </w:r>
            <w:r w:rsidRPr="00942394">
              <w:rPr>
                <w:rFonts w:asciiTheme="minorHAnsi" w:hAnsiTheme="minorHAnsi"/>
                <w:b/>
                <w:sz w:val="22"/>
                <w:szCs w:val="22"/>
              </w:rPr>
              <w:t>(45) miles</w:t>
            </w:r>
            <w:r w:rsidRPr="00942394">
              <w:rPr>
                <w:rFonts w:asciiTheme="minorHAnsi" w:hAnsiTheme="minorHAnsi"/>
                <w:sz w:val="22"/>
                <w:szCs w:val="22"/>
              </w:rPr>
              <w:t xml:space="preserve"> or sixty </w:t>
            </w:r>
            <w:r w:rsidRPr="00942394">
              <w:rPr>
                <w:rFonts w:asciiTheme="minorHAnsi" w:hAnsiTheme="minorHAnsi"/>
                <w:b/>
                <w:sz w:val="22"/>
                <w:szCs w:val="22"/>
              </w:rPr>
              <w:t>(60) minutes</w:t>
            </w:r>
            <w:r w:rsidRPr="00942394">
              <w:rPr>
                <w:rFonts w:asciiTheme="minorHAnsi" w:hAnsiTheme="minorHAnsi"/>
                <w:sz w:val="22"/>
                <w:szCs w:val="22"/>
              </w:rPr>
              <w:t xml:space="preserve"> travel time</w:t>
            </w:r>
          </w:p>
        </w:tc>
        <w:tc>
          <w:tcPr>
            <w:tcW w:w="3230" w:type="dxa"/>
          </w:tcPr>
          <w:p w14:paraId="1045DC9E" w14:textId="231323C0" w:rsidR="005B4A23" w:rsidRPr="00942394" w:rsidRDefault="005B4A23" w:rsidP="00942394">
            <w:pPr>
              <w:keepNext/>
              <w:spacing w:before="40" w:after="40"/>
              <w:rPr>
                <w:rFonts w:asciiTheme="minorHAnsi" w:hAnsiTheme="minorHAnsi"/>
                <w:sz w:val="22"/>
                <w:szCs w:val="22"/>
              </w:rPr>
            </w:pPr>
            <w:r w:rsidRPr="00942394">
              <w:rPr>
                <w:rFonts w:asciiTheme="minorHAnsi" w:hAnsiTheme="minorHAnsi"/>
                <w:sz w:val="22"/>
                <w:szCs w:val="22"/>
              </w:rPr>
              <w:t>One</w:t>
            </w:r>
            <w:r w:rsidRPr="00942394">
              <w:rPr>
                <w:rFonts w:asciiTheme="minorHAnsi" w:hAnsiTheme="minorHAnsi"/>
                <w:b/>
                <w:sz w:val="22"/>
                <w:szCs w:val="22"/>
              </w:rPr>
              <w:t xml:space="preserve"> (1)</w:t>
            </w:r>
            <w:r w:rsidRPr="00942394">
              <w:rPr>
                <w:rFonts w:asciiTheme="minorHAnsi" w:hAnsiTheme="minorHAnsi"/>
                <w:sz w:val="22"/>
                <w:szCs w:val="22"/>
              </w:rPr>
              <w:t xml:space="preserve"> provider within forty-five </w:t>
            </w:r>
            <w:r w:rsidRPr="00942394">
              <w:rPr>
                <w:rFonts w:asciiTheme="minorHAnsi" w:hAnsiTheme="minorHAnsi"/>
                <w:b/>
                <w:sz w:val="22"/>
                <w:szCs w:val="22"/>
              </w:rPr>
              <w:t>(45) miles</w:t>
            </w:r>
            <w:r w:rsidRPr="00942394">
              <w:rPr>
                <w:rFonts w:asciiTheme="minorHAnsi" w:hAnsiTheme="minorHAnsi"/>
                <w:sz w:val="22"/>
                <w:szCs w:val="22"/>
              </w:rPr>
              <w:t xml:space="preserve"> or sixty </w:t>
            </w:r>
            <w:r w:rsidRPr="00942394">
              <w:rPr>
                <w:rFonts w:asciiTheme="minorHAnsi" w:hAnsiTheme="minorHAnsi"/>
                <w:b/>
                <w:sz w:val="22"/>
                <w:szCs w:val="22"/>
              </w:rPr>
              <w:t>(60) minutes</w:t>
            </w:r>
            <w:r w:rsidRPr="00942394">
              <w:rPr>
                <w:rFonts w:asciiTheme="minorHAnsi" w:hAnsiTheme="minorHAnsi"/>
                <w:sz w:val="22"/>
                <w:szCs w:val="22"/>
              </w:rPr>
              <w:t xml:space="preserve"> travel time</w:t>
            </w:r>
          </w:p>
        </w:tc>
      </w:tr>
    </w:tbl>
    <w:p w14:paraId="5C18FCFA" w14:textId="77777777" w:rsidR="003E35A9" w:rsidRPr="00111F1D" w:rsidRDefault="003E35A9" w:rsidP="00257641"/>
    <w:p w14:paraId="3B83BF38" w14:textId="77777777" w:rsidR="003E35A9" w:rsidRDefault="003E35A9" w:rsidP="00257641">
      <w:pPr>
        <w:pStyle w:val="Heading3"/>
        <w:ind w:left="547"/>
      </w:pPr>
      <w:bookmarkStart w:id="284" w:name="_Toc7162623"/>
      <w:bookmarkStart w:id="285" w:name="_Toc7528982"/>
      <w:bookmarkStart w:id="286" w:name="_Toc8129116"/>
      <w:r>
        <w:t>Network Adequacy for Additional Providers Types</w:t>
      </w:r>
      <w:bookmarkEnd w:id="284"/>
      <w:bookmarkEnd w:id="285"/>
      <w:bookmarkEnd w:id="286"/>
    </w:p>
    <w:p w14:paraId="484BA77A" w14:textId="77777777" w:rsidR="003E35A9" w:rsidRPr="007E6B40" w:rsidRDefault="003E35A9" w:rsidP="00257641">
      <w:r>
        <w:t>The Department may identify additional providers when it promotes</w:t>
      </w:r>
      <w:r w:rsidRPr="007E6B40">
        <w:t xml:space="preserve"> the objectives of the Medicaid program</w:t>
      </w:r>
      <w:r>
        <w:t xml:space="preserve"> as determined by CMS. The MCO must contract with a sufficient number of these providers who are accepting new patients and must meet the following standards for all adult and pediatric populations.</w:t>
      </w:r>
      <w:r w:rsidRPr="0046001E">
        <w:t xml:space="preserve"> </w:t>
      </w:r>
      <w:r w:rsidRPr="00BF2A3A">
        <w:t xml:space="preserve">The requirements for </w:t>
      </w:r>
      <w:r>
        <w:t>additional providers</w:t>
      </w:r>
      <w:r w:rsidRPr="00BF2A3A">
        <w:t xml:space="preserve"> are outlined below.</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3001"/>
        <w:gridCol w:w="3024"/>
      </w:tblGrid>
      <w:tr w:rsidR="005B4A23" w:rsidRPr="00316877" w14:paraId="66137A10" w14:textId="77777777" w:rsidTr="00942394">
        <w:trPr>
          <w:trHeight w:val="431"/>
          <w:jc w:val="center"/>
        </w:trPr>
        <w:tc>
          <w:tcPr>
            <w:tcW w:w="3325" w:type="dxa"/>
            <w:tcBorders>
              <w:right w:val="single" w:sz="4" w:space="0" w:color="FFFFFF" w:themeColor="background1"/>
            </w:tcBorders>
            <w:shd w:val="clear" w:color="auto" w:fill="002060"/>
          </w:tcPr>
          <w:p w14:paraId="1964CEE3" w14:textId="77777777" w:rsidR="005B4A23" w:rsidRPr="00942394" w:rsidRDefault="005B4A23" w:rsidP="00942394">
            <w:pPr>
              <w:keepNext/>
              <w:spacing w:before="40" w:after="40"/>
              <w:jc w:val="center"/>
              <w:rPr>
                <w:rFonts w:ascii="Calibri" w:hAnsi="Calibri"/>
                <w:b/>
                <w:color w:val="FFFFFF"/>
                <w:sz w:val="22"/>
                <w:szCs w:val="22"/>
              </w:rPr>
            </w:pPr>
            <w:r w:rsidRPr="00942394">
              <w:rPr>
                <w:rFonts w:ascii="Calibri" w:hAnsi="Calibri"/>
                <w:b/>
                <w:color w:val="FFFFFF"/>
                <w:sz w:val="22"/>
                <w:szCs w:val="22"/>
              </w:rPr>
              <w:t>Provider Type</w:t>
            </w:r>
          </w:p>
        </w:tc>
        <w:tc>
          <w:tcPr>
            <w:tcW w:w="3001" w:type="dxa"/>
            <w:tcBorders>
              <w:left w:val="single" w:sz="4" w:space="0" w:color="FFFFFF" w:themeColor="background1"/>
              <w:right w:val="single" w:sz="4" w:space="0" w:color="FFFFFF" w:themeColor="background1"/>
            </w:tcBorders>
            <w:shd w:val="clear" w:color="auto" w:fill="002060"/>
          </w:tcPr>
          <w:p w14:paraId="411CD50C" w14:textId="6875EDB1" w:rsidR="005B4A23" w:rsidRPr="00942394" w:rsidRDefault="005B4A23" w:rsidP="00942394">
            <w:pPr>
              <w:keepNext/>
              <w:spacing w:before="40" w:after="40"/>
              <w:jc w:val="center"/>
              <w:rPr>
                <w:rFonts w:ascii="Calibri" w:hAnsi="Calibri"/>
                <w:b/>
                <w:color w:val="FFFFFF"/>
                <w:sz w:val="22"/>
                <w:szCs w:val="22"/>
              </w:rPr>
            </w:pPr>
            <w:r w:rsidRPr="00942394">
              <w:rPr>
                <w:rFonts w:ascii="Calibri" w:hAnsi="Calibri"/>
                <w:b/>
                <w:color w:val="FFFFFF"/>
                <w:sz w:val="22"/>
                <w:szCs w:val="22"/>
              </w:rPr>
              <w:t>Adult Standard</w:t>
            </w:r>
          </w:p>
        </w:tc>
        <w:tc>
          <w:tcPr>
            <w:tcW w:w="3024" w:type="dxa"/>
            <w:tcBorders>
              <w:left w:val="single" w:sz="4" w:space="0" w:color="FFFFFF" w:themeColor="background1"/>
            </w:tcBorders>
            <w:shd w:val="clear" w:color="auto" w:fill="002060"/>
          </w:tcPr>
          <w:p w14:paraId="785B6A8C" w14:textId="06713C24" w:rsidR="005B4A23" w:rsidRPr="00942394" w:rsidRDefault="005B4A23" w:rsidP="00942394">
            <w:pPr>
              <w:keepNext/>
              <w:spacing w:before="40" w:after="40"/>
              <w:jc w:val="center"/>
              <w:rPr>
                <w:rFonts w:ascii="Calibri" w:hAnsi="Calibri"/>
                <w:b/>
                <w:color w:val="FFFFFF"/>
                <w:sz w:val="22"/>
                <w:szCs w:val="22"/>
              </w:rPr>
            </w:pPr>
            <w:r w:rsidRPr="00942394">
              <w:rPr>
                <w:rFonts w:ascii="Calibri" w:hAnsi="Calibri"/>
                <w:b/>
                <w:color w:val="FFFFFF"/>
                <w:sz w:val="22"/>
                <w:szCs w:val="22"/>
              </w:rPr>
              <w:t>Pediatric Standard</w:t>
            </w:r>
          </w:p>
        </w:tc>
      </w:tr>
      <w:tr w:rsidR="005B4A23" w:rsidRPr="002B0E80" w14:paraId="71B98233" w14:textId="77777777" w:rsidTr="00942394">
        <w:trPr>
          <w:jc w:val="center"/>
        </w:trPr>
        <w:tc>
          <w:tcPr>
            <w:tcW w:w="3325" w:type="dxa"/>
            <w:shd w:val="clear" w:color="auto" w:fill="auto"/>
          </w:tcPr>
          <w:p w14:paraId="143EA5BC" w14:textId="77777777" w:rsidR="005B4A23" w:rsidRPr="00942394" w:rsidRDefault="005B4A23" w:rsidP="00942394">
            <w:pPr>
              <w:keepNext/>
              <w:spacing w:before="40" w:after="40"/>
              <w:rPr>
                <w:rFonts w:ascii="Calibri" w:hAnsi="Calibri"/>
                <w:sz w:val="22"/>
                <w:szCs w:val="22"/>
              </w:rPr>
            </w:pPr>
            <w:r w:rsidRPr="00942394">
              <w:rPr>
                <w:rFonts w:ascii="Calibri" w:hAnsi="Calibri"/>
                <w:sz w:val="22"/>
                <w:szCs w:val="22"/>
              </w:rPr>
              <w:t>Additional Provider Type to promote the objectives of the Medicaid program as determined by CMS</w:t>
            </w:r>
          </w:p>
        </w:tc>
        <w:tc>
          <w:tcPr>
            <w:tcW w:w="3001" w:type="dxa"/>
            <w:vAlign w:val="center"/>
          </w:tcPr>
          <w:p w14:paraId="6EB55348" w14:textId="69D1A677" w:rsidR="005B4A23" w:rsidRPr="00942394" w:rsidRDefault="005B4A23" w:rsidP="00942394">
            <w:pPr>
              <w:keepNext/>
              <w:spacing w:before="40" w:after="40"/>
              <w:rPr>
                <w:rFonts w:asciiTheme="minorHAnsi" w:hAnsiTheme="minorHAnsi"/>
                <w:sz w:val="22"/>
                <w:szCs w:val="22"/>
              </w:rPr>
            </w:pPr>
            <w:r w:rsidRPr="00942394">
              <w:rPr>
                <w:rFonts w:asciiTheme="minorHAnsi" w:hAnsiTheme="minorHAnsi"/>
                <w:sz w:val="22"/>
                <w:szCs w:val="22"/>
              </w:rPr>
              <w:t>One</w:t>
            </w:r>
            <w:r w:rsidRPr="00942394">
              <w:rPr>
                <w:rFonts w:asciiTheme="minorHAnsi" w:hAnsiTheme="minorHAnsi"/>
                <w:b/>
                <w:sz w:val="22"/>
                <w:szCs w:val="22"/>
              </w:rPr>
              <w:t xml:space="preserve"> (1)</w:t>
            </w:r>
            <w:r w:rsidRPr="00942394">
              <w:rPr>
                <w:rFonts w:asciiTheme="minorHAnsi" w:hAnsiTheme="minorHAnsi"/>
                <w:sz w:val="22"/>
                <w:szCs w:val="22"/>
              </w:rPr>
              <w:t xml:space="preserve"> provider within twenty </w:t>
            </w:r>
            <w:r w:rsidRPr="00942394">
              <w:rPr>
                <w:rFonts w:asciiTheme="minorHAnsi" w:hAnsiTheme="minorHAnsi"/>
                <w:b/>
                <w:sz w:val="22"/>
                <w:szCs w:val="22"/>
              </w:rPr>
              <w:t>(20) miles</w:t>
            </w:r>
            <w:r w:rsidRPr="00942394">
              <w:rPr>
                <w:rFonts w:asciiTheme="minorHAnsi" w:hAnsiTheme="minorHAnsi"/>
                <w:sz w:val="22"/>
                <w:szCs w:val="22"/>
              </w:rPr>
              <w:t xml:space="preserve"> or thirty </w:t>
            </w:r>
            <w:r w:rsidRPr="00942394">
              <w:rPr>
                <w:rFonts w:asciiTheme="minorHAnsi" w:hAnsiTheme="minorHAnsi"/>
                <w:b/>
                <w:sz w:val="22"/>
                <w:szCs w:val="22"/>
              </w:rPr>
              <w:t>(30) minutes</w:t>
            </w:r>
            <w:r w:rsidRPr="00942394">
              <w:rPr>
                <w:rFonts w:asciiTheme="minorHAnsi" w:hAnsiTheme="minorHAnsi"/>
                <w:sz w:val="22"/>
                <w:szCs w:val="22"/>
              </w:rPr>
              <w:t xml:space="preserve"> travel time</w:t>
            </w:r>
          </w:p>
        </w:tc>
        <w:tc>
          <w:tcPr>
            <w:tcW w:w="3024" w:type="dxa"/>
            <w:vAlign w:val="center"/>
          </w:tcPr>
          <w:p w14:paraId="4CCD0EB1" w14:textId="0A25FF07" w:rsidR="005B4A23" w:rsidRPr="00942394" w:rsidRDefault="005B4A23" w:rsidP="00942394">
            <w:pPr>
              <w:keepNext/>
              <w:spacing w:before="40" w:after="40"/>
              <w:rPr>
                <w:rFonts w:ascii="Calibri" w:hAnsi="Calibri"/>
                <w:sz w:val="22"/>
                <w:szCs w:val="22"/>
              </w:rPr>
            </w:pPr>
            <w:r w:rsidRPr="00942394">
              <w:rPr>
                <w:rFonts w:asciiTheme="minorHAnsi" w:hAnsiTheme="minorHAnsi"/>
                <w:sz w:val="22"/>
                <w:szCs w:val="22"/>
              </w:rPr>
              <w:t>One</w:t>
            </w:r>
            <w:r w:rsidRPr="00942394">
              <w:rPr>
                <w:rFonts w:asciiTheme="minorHAnsi" w:hAnsiTheme="minorHAnsi"/>
                <w:b/>
                <w:sz w:val="22"/>
                <w:szCs w:val="22"/>
              </w:rPr>
              <w:t xml:space="preserve"> (1)</w:t>
            </w:r>
            <w:r w:rsidRPr="00942394">
              <w:rPr>
                <w:rFonts w:asciiTheme="minorHAnsi" w:hAnsiTheme="minorHAnsi"/>
                <w:sz w:val="22"/>
                <w:szCs w:val="22"/>
              </w:rPr>
              <w:t xml:space="preserve"> provider within twenty </w:t>
            </w:r>
            <w:r w:rsidRPr="00942394">
              <w:rPr>
                <w:rFonts w:asciiTheme="minorHAnsi" w:hAnsiTheme="minorHAnsi"/>
                <w:b/>
                <w:sz w:val="22"/>
                <w:szCs w:val="22"/>
              </w:rPr>
              <w:t>(20) miles</w:t>
            </w:r>
            <w:r w:rsidRPr="00942394">
              <w:rPr>
                <w:rFonts w:asciiTheme="minorHAnsi" w:hAnsiTheme="minorHAnsi"/>
                <w:sz w:val="22"/>
                <w:szCs w:val="22"/>
              </w:rPr>
              <w:t xml:space="preserve"> or thirty </w:t>
            </w:r>
            <w:r w:rsidRPr="00942394">
              <w:rPr>
                <w:rFonts w:asciiTheme="minorHAnsi" w:hAnsiTheme="minorHAnsi"/>
                <w:b/>
                <w:sz w:val="22"/>
                <w:szCs w:val="22"/>
              </w:rPr>
              <w:t>(30) minutes</w:t>
            </w:r>
            <w:r w:rsidRPr="00942394">
              <w:rPr>
                <w:rFonts w:asciiTheme="minorHAnsi" w:hAnsiTheme="minorHAnsi"/>
                <w:sz w:val="22"/>
                <w:szCs w:val="22"/>
              </w:rPr>
              <w:t xml:space="preserve"> travel time</w:t>
            </w:r>
          </w:p>
        </w:tc>
      </w:tr>
    </w:tbl>
    <w:p w14:paraId="74C4DFED" w14:textId="77777777" w:rsidR="003E35A9" w:rsidRDefault="003E35A9" w:rsidP="007610FD">
      <w:pPr>
        <w:pStyle w:val="Heading2"/>
      </w:pPr>
    </w:p>
    <w:p w14:paraId="3FCF7B9D" w14:textId="77777777" w:rsidR="003E35A9" w:rsidRDefault="003E35A9" w:rsidP="007610FD">
      <w:pPr>
        <w:pStyle w:val="Heading2"/>
      </w:pPr>
      <w:bookmarkStart w:id="287" w:name="_Toc7162624"/>
      <w:bookmarkStart w:id="288" w:name="_Toc7528983"/>
      <w:bookmarkStart w:id="289" w:name="_Toc8129117"/>
      <w:r>
        <w:t>Network Submission and Network Adequacy Evaluation</w:t>
      </w:r>
      <w:bookmarkEnd w:id="287"/>
      <w:bookmarkEnd w:id="288"/>
      <w:bookmarkEnd w:id="289"/>
    </w:p>
    <w:p w14:paraId="15C5FAE6" w14:textId="77777777" w:rsidR="003E35A9" w:rsidRPr="00DE3CBE" w:rsidRDefault="003E35A9" w:rsidP="00942394">
      <w:pPr>
        <w:rPr>
          <w:i/>
        </w:rPr>
      </w:pPr>
      <w:r>
        <w:t>In accordance with the preceding standards, the MCOs must submit to the Department the following provider network information as described below.</w:t>
      </w:r>
    </w:p>
    <w:p w14:paraId="6736FA42" w14:textId="77777777" w:rsidR="003E35A9" w:rsidRDefault="003E35A9" w:rsidP="00257641">
      <w:pPr>
        <w:pStyle w:val="Heading3"/>
        <w:ind w:left="547"/>
      </w:pPr>
      <w:bookmarkStart w:id="290" w:name="_Toc7162625"/>
      <w:bookmarkStart w:id="291" w:name="_Toc7528984"/>
      <w:bookmarkStart w:id="292" w:name="_Toc8129118"/>
      <w:r>
        <w:t>Provider Network Submission</w:t>
      </w:r>
      <w:bookmarkEnd w:id="290"/>
      <w:bookmarkEnd w:id="291"/>
      <w:bookmarkEnd w:id="292"/>
    </w:p>
    <w:p w14:paraId="432B925D" w14:textId="77777777" w:rsidR="003E35A9" w:rsidRPr="0083324F" w:rsidRDefault="003E35A9" w:rsidP="00257641">
      <w:pPr>
        <w:pStyle w:val="Heading4"/>
        <w:ind w:left="1080"/>
      </w:pPr>
      <w:r w:rsidRPr="00751FEB">
        <w:t xml:space="preserve">Submission of </w:t>
      </w:r>
      <w:r w:rsidRPr="0083324F">
        <w:t>Geographic Data Maps</w:t>
      </w:r>
    </w:p>
    <w:p w14:paraId="799AD233" w14:textId="2599C44B" w:rsidR="003E35A9" w:rsidRPr="003D34BA" w:rsidRDefault="003E35A9" w:rsidP="00942394">
      <w:r w:rsidRPr="003D34BA">
        <w:t>The MCO must provide individual geographic maps for all medical, dental, and behavioral health provider</w:t>
      </w:r>
      <w:r w:rsidR="003F006B">
        <w:t>,</w:t>
      </w:r>
      <w:r w:rsidR="003F006B" w:rsidRPr="003F006B">
        <w:t xml:space="preserve"> </w:t>
      </w:r>
      <w:r w:rsidR="003F006B">
        <w:t>ECP, and other provider</w:t>
      </w:r>
      <w:r w:rsidRPr="003D34BA">
        <w:t xml:space="preserve"> types</w:t>
      </w:r>
      <w:r>
        <w:t xml:space="preserve"> and subtypes defined in the preceding standards</w:t>
      </w:r>
      <w:r w:rsidRPr="003D34BA">
        <w:t xml:space="preserve">. </w:t>
      </w:r>
      <w:r>
        <w:t xml:space="preserve">Each </w:t>
      </w:r>
      <w:r w:rsidRPr="003D34BA">
        <w:t>map must either clearly demonstrate which providers are accepting new patients or only include providers that are accepting new patients.</w:t>
      </w:r>
    </w:p>
    <w:p w14:paraId="73C7F9A6" w14:textId="2EE74A41" w:rsidR="003E35A9" w:rsidRDefault="003E35A9" w:rsidP="00942394">
      <w:r w:rsidRPr="003D34BA">
        <w:t>The MCO must submit supporting data tables with each m</w:t>
      </w:r>
      <w:r w:rsidR="003F006B">
        <w:t>ap. The supporting data tables must</w:t>
      </w:r>
      <w:r w:rsidRPr="003D34BA">
        <w:t xml:space="preserve"> include, at a minimum, the name of county, the number of eligible </w:t>
      </w:r>
      <w:r w:rsidR="00206CEC">
        <w:t>enrollee</w:t>
      </w:r>
      <w:r w:rsidR="00206CEC" w:rsidRPr="003D34BA">
        <w:t xml:space="preserve">s </w:t>
      </w:r>
      <w:r w:rsidRPr="003D34BA">
        <w:t xml:space="preserve">in the county, the provider type, the number of providers of that type in the county, the number of </w:t>
      </w:r>
      <w:r w:rsidR="00206CEC">
        <w:t>enrollee</w:t>
      </w:r>
      <w:r w:rsidR="00206CEC" w:rsidRPr="003D34BA">
        <w:t xml:space="preserve">s </w:t>
      </w:r>
      <w:r w:rsidRPr="003D34BA">
        <w:t xml:space="preserve">with access to the provider type, the number of </w:t>
      </w:r>
      <w:r w:rsidR="00206CEC">
        <w:t>enrollee</w:t>
      </w:r>
      <w:r w:rsidR="00206CEC" w:rsidRPr="003D34BA">
        <w:t xml:space="preserve">s </w:t>
      </w:r>
      <w:r w:rsidRPr="003D34BA">
        <w:t xml:space="preserve">without access to provider type, the percentage of </w:t>
      </w:r>
      <w:r w:rsidR="00206CEC">
        <w:t>enrollee</w:t>
      </w:r>
      <w:r w:rsidR="00206CEC" w:rsidRPr="003D34BA">
        <w:t xml:space="preserve">s </w:t>
      </w:r>
      <w:r w:rsidRPr="003D34BA">
        <w:t xml:space="preserve">with access to the provider type, the percentage of </w:t>
      </w:r>
      <w:r w:rsidR="00206CEC">
        <w:t>enrollee</w:t>
      </w:r>
      <w:r w:rsidR="00206CEC" w:rsidRPr="003D34BA">
        <w:t xml:space="preserve">s </w:t>
      </w:r>
      <w:r w:rsidRPr="003D34BA">
        <w:t>without access to provider type, and the average d</w:t>
      </w:r>
      <w:r>
        <w:t>istance to available providers.</w:t>
      </w:r>
    </w:p>
    <w:p w14:paraId="6E016977" w14:textId="77777777" w:rsidR="003F006B" w:rsidRPr="009E26B5" w:rsidRDefault="003E35A9" w:rsidP="00942394">
      <w:r w:rsidRPr="003D34BA">
        <w:lastRenderedPageBreak/>
        <w:t>The tables with the supporting data should follow each individual geographic data map. BMS will provide sample PDF and Excel formats for the geo maps and supporting data.</w:t>
      </w:r>
      <w:r w:rsidR="003F006B">
        <w:t xml:space="preserve"> The MCO must provide data for all provider types in both PDF and Excel formats.</w:t>
      </w:r>
    </w:p>
    <w:p w14:paraId="0AA71B17" w14:textId="038C91C5" w:rsidR="003E35A9" w:rsidRPr="003D34BA" w:rsidRDefault="003E35A9" w:rsidP="00942394">
      <w:r>
        <w:t>The g</w:t>
      </w:r>
      <w:r w:rsidRPr="002B0E80">
        <w:t>eographic data maps</w:t>
      </w:r>
      <w:r w:rsidR="003F006B">
        <w:t xml:space="preserve"> in PDF format</w:t>
      </w:r>
      <w:r w:rsidRPr="002B0E80">
        <w:t xml:space="preserve"> and supporting tables</w:t>
      </w:r>
      <w:r>
        <w:t xml:space="preserve"> in </w:t>
      </w:r>
      <w:r w:rsidR="003F006B">
        <w:t xml:space="preserve">PDF and </w:t>
      </w:r>
      <w:r>
        <w:t>Excel</w:t>
      </w:r>
      <w:r w:rsidRPr="002B0E80">
        <w:t xml:space="preserve"> by county for each provider type for which there is a defined time or distance standard</w:t>
      </w:r>
      <w:r>
        <w:t xml:space="preserve"> must be submitted to the Department annually, by October 31</w:t>
      </w:r>
      <w:r w:rsidRPr="00DE3CBE">
        <w:rPr>
          <w:vertAlign w:val="superscript"/>
        </w:rPr>
        <w:t>st</w:t>
      </w:r>
      <w:r>
        <w:t>.</w:t>
      </w:r>
    </w:p>
    <w:p w14:paraId="370A3CC9" w14:textId="77777777" w:rsidR="003E35A9" w:rsidRPr="0083324F" w:rsidRDefault="003E35A9" w:rsidP="00257641">
      <w:pPr>
        <w:pStyle w:val="Heading4"/>
        <w:ind w:left="1080"/>
      </w:pPr>
      <w:r w:rsidRPr="00751FEB">
        <w:t xml:space="preserve">Submission of </w:t>
      </w:r>
      <w:r w:rsidRPr="0083324F">
        <w:t>Provider Network File</w:t>
      </w:r>
    </w:p>
    <w:p w14:paraId="1ECAAF82" w14:textId="01BCA197" w:rsidR="003E35A9" w:rsidRDefault="003E35A9" w:rsidP="00942394">
      <w:pPr>
        <w:pStyle w:val="normal6"/>
        <w:rPr>
          <w:color w:val="000000"/>
        </w:rPr>
      </w:pPr>
      <w:r w:rsidRPr="003D34BA">
        <w:t xml:space="preserve">The MCO must submit </w:t>
      </w:r>
      <w:r>
        <w:t>to the Department annually by</w:t>
      </w:r>
      <w:r w:rsidRPr="00D127E0">
        <w:t xml:space="preserve"> </w:t>
      </w:r>
      <w:r>
        <w:t>October 31</w:t>
      </w:r>
      <w:r w:rsidRPr="00B4619D">
        <w:rPr>
          <w:vertAlign w:val="superscript"/>
        </w:rPr>
        <w:t>st</w:t>
      </w:r>
      <w:r>
        <w:t xml:space="preserve"> </w:t>
      </w:r>
      <w:r w:rsidRPr="003D34BA">
        <w:t>an Excel file listing all providers and facilities in the MCO’s network for the Medicaid line of business only</w:t>
      </w:r>
      <w:r>
        <w:t xml:space="preserve">. Prior to submission, </w:t>
      </w:r>
      <w:r w:rsidR="00003EA7">
        <w:t>t</w:t>
      </w:r>
      <w:r w:rsidR="00003EA7" w:rsidRPr="00003EA7">
        <w:t>he Department</w:t>
      </w:r>
      <w:r w:rsidRPr="003D34BA">
        <w:t xml:space="preserve"> will provide an Excel file template </w:t>
      </w:r>
      <w:r>
        <w:t>for</w:t>
      </w:r>
      <w:r w:rsidRPr="003D34BA">
        <w:t xml:space="preserve"> t</w:t>
      </w:r>
      <w:r>
        <w:t>he requested data.</w:t>
      </w:r>
      <w:r w:rsidRPr="003D34BA">
        <w:t xml:space="preserve"> </w:t>
      </w:r>
      <w:r w:rsidRPr="003D34BA">
        <w:rPr>
          <w:color w:val="000000"/>
        </w:rPr>
        <w:t xml:space="preserve">The files should contain the following information for </w:t>
      </w:r>
      <w:r w:rsidRPr="003D34BA">
        <w:rPr>
          <w:b/>
          <w:i/>
          <w:iCs/>
          <w:color w:val="000000"/>
        </w:rPr>
        <w:t>all</w:t>
      </w:r>
      <w:r w:rsidRPr="003D34BA">
        <w:rPr>
          <w:b/>
          <w:color w:val="000000"/>
        </w:rPr>
        <w:t xml:space="preserve"> </w:t>
      </w:r>
      <w:r w:rsidRPr="003D34BA">
        <w:rPr>
          <w:color w:val="000000"/>
        </w:rPr>
        <w:t xml:space="preserve">providers and facilities contracting with the MCO: </w:t>
      </w:r>
    </w:p>
    <w:p w14:paraId="1E1FA6C6" w14:textId="77777777" w:rsidR="003E35A9" w:rsidRPr="00B4619D" w:rsidRDefault="003E35A9" w:rsidP="00942394">
      <w:pPr>
        <w:pStyle w:val="bullet1"/>
      </w:pPr>
      <w:r w:rsidRPr="00B4619D">
        <w:t>Provider names listed in separate columns for last name, first name, middle initial, and degree</w:t>
      </w:r>
    </w:p>
    <w:p w14:paraId="3F4DAA1C" w14:textId="77777777" w:rsidR="003E35A9" w:rsidRPr="00B4619D" w:rsidRDefault="003E35A9" w:rsidP="00942394">
      <w:pPr>
        <w:pStyle w:val="bullet1"/>
      </w:pPr>
      <w:r w:rsidRPr="00B4619D">
        <w:t>Provider specialty</w:t>
      </w:r>
    </w:p>
    <w:p w14:paraId="2183C625" w14:textId="77777777" w:rsidR="003E35A9" w:rsidRPr="00B4619D" w:rsidRDefault="003E35A9" w:rsidP="00942394">
      <w:pPr>
        <w:pStyle w:val="bullet1"/>
      </w:pPr>
      <w:r w:rsidRPr="00B4619D">
        <w:t>Provider office names</w:t>
      </w:r>
    </w:p>
    <w:p w14:paraId="57554857" w14:textId="25724C09" w:rsidR="003E35A9" w:rsidRPr="00B4619D" w:rsidRDefault="003E35A9" w:rsidP="00942394">
      <w:pPr>
        <w:pStyle w:val="bullet1"/>
      </w:pPr>
      <w:r w:rsidRPr="00B4619D">
        <w:t>Provider type (e.g., physician, physician assistant, nurse midwife, therapist, FQHC, psychologist, dentist)</w:t>
      </w:r>
      <w:r w:rsidR="003150A4">
        <w:t xml:space="preserve"> </w:t>
      </w:r>
    </w:p>
    <w:p w14:paraId="7DC515B5" w14:textId="77777777" w:rsidR="003E35A9" w:rsidRPr="00B4619D" w:rsidRDefault="003E35A9" w:rsidP="00942394">
      <w:pPr>
        <w:pStyle w:val="bullet1"/>
      </w:pPr>
      <w:r w:rsidRPr="00B4619D">
        <w:t>Provider addresses, including the county in which the provider office is located (list all provider locations, including out-of-state)</w:t>
      </w:r>
    </w:p>
    <w:p w14:paraId="0CDEB45F" w14:textId="77777777" w:rsidR="003E35A9" w:rsidRPr="00B4619D" w:rsidRDefault="003E35A9" w:rsidP="00942394">
      <w:pPr>
        <w:pStyle w:val="bullet1"/>
      </w:pPr>
      <w:r w:rsidRPr="00B4619D">
        <w:t>Indicator for providers that are not accepting new patients</w:t>
      </w:r>
    </w:p>
    <w:p w14:paraId="56BA5E7A" w14:textId="77777777" w:rsidR="003E35A9" w:rsidRPr="00B4619D" w:rsidRDefault="003E35A9" w:rsidP="00942394">
      <w:pPr>
        <w:pStyle w:val="bullet1"/>
      </w:pPr>
      <w:r w:rsidRPr="00B4619D">
        <w:t>Other provider restrictions, listed in separate columns by type of restriction (i.e., age restrictions, gender restrictions, or any other restrictions)</w:t>
      </w:r>
    </w:p>
    <w:p w14:paraId="46C7507A" w14:textId="77777777" w:rsidR="003E35A9" w:rsidRPr="00B4619D" w:rsidRDefault="003E35A9" w:rsidP="00942394">
      <w:pPr>
        <w:pStyle w:val="bullet1"/>
      </w:pPr>
      <w:r w:rsidRPr="00B4619D">
        <w:t>Indicator for whether the physician acts as a PCP for physicians with primary care specialties (e.g., family practice, general practice, internal medicine, internal medicine, pediatrics)</w:t>
      </w:r>
    </w:p>
    <w:p w14:paraId="67673036" w14:textId="77777777" w:rsidR="003E35A9" w:rsidRPr="003D34BA" w:rsidRDefault="003E35A9" w:rsidP="00942394">
      <w:pPr>
        <w:pStyle w:val="bullet1"/>
        <w:spacing w:after="240"/>
        <w:rPr>
          <w:b/>
          <w:bCs/>
        </w:rPr>
      </w:pPr>
      <w:r w:rsidRPr="00B4619D">
        <w:t>NPI and tax ID number, if available</w:t>
      </w:r>
    </w:p>
    <w:p w14:paraId="3C5372E9" w14:textId="77777777" w:rsidR="003E35A9" w:rsidRPr="00DE3CBE" w:rsidRDefault="003E35A9" w:rsidP="00257641">
      <w:pPr>
        <w:keepNext/>
        <w:keepLines/>
        <w:spacing w:after="0"/>
        <w:contextualSpacing/>
        <w:rPr>
          <w:rFonts w:eastAsia="Calibri"/>
        </w:rPr>
      </w:pPr>
      <w:r w:rsidRPr="00DE3CBE">
        <w:rPr>
          <w:rFonts w:eastAsia="Calibri"/>
        </w:rPr>
        <w:t xml:space="preserve">The MCO may submit separate files for medical, dental, behavioral health, if preferred. </w:t>
      </w:r>
    </w:p>
    <w:p w14:paraId="686C1934" w14:textId="77777777" w:rsidR="003E35A9" w:rsidRPr="00DE3CBE" w:rsidRDefault="003E35A9" w:rsidP="00942394">
      <w:pPr>
        <w:rPr>
          <w:rFonts w:eastAsia="Calibri"/>
        </w:rPr>
      </w:pPr>
      <w:r w:rsidRPr="00DE3CBE">
        <w:rPr>
          <w:rFonts w:eastAsia="Calibri"/>
        </w:rPr>
        <w:t>Any network changes must be reported quarterly (forty-five (45) calendar days after end of the quarter) to the Department by specialty using the same format.</w:t>
      </w:r>
    </w:p>
    <w:p w14:paraId="3A6B3923" w14:textId="77777777" w:rsidR="003E35A9" w:rsidRPr="0083324F" w:rsidRDefault="003E35A9" w:rsidP="00257641">
      <w:pPr>
        <w:pStyle w:val="Heading4"/>
        <w:ind w:left="1080"/>
      </w:pPr>
      <w:r w:rsidRPr="00751FEB">
        <w:t xml:space="preserve">Submission of </w:t>
      </w:r>
      <w:r w:rsidRPr="0083324F">
        <w:t>Ratio Worksheet</w:t>
      </w:r>
    </w:p>
    <w:p w14:paraId="3E7BD45F" w14:textId="16A7D7F2" w:rsidR="003E35A9" w:rsidRPr="003D34BA" w:rsidRDefault="003E35A9" w:rsidP="00942394">
      <w:pPr>
        <w:rPr>
          <w:rFonts w:eastAsia="Calibri"/>
        </w:rPr>
      </w:pPr>
      <w:r w:rsidRPr="003D34BA">
        <w:rPr>
          <w:rFonts w:eastAsia="Calibri"/>
        </w:rPr>
        <w:t xml:space="preserve">The MCO must complete the </w:t>
      </w:r>
      <w:r>
        <w:rPr>
          <w:rFonts w:eastAsia="Calibri"/>
        </w:rPr>
        <w:t>provider-to-</w:t>
      </w:r>
      <w:r w:rsidR="00206CEC">
        <w:rPr>
          <w:rFonts w:eastAsia="Calibri"/>
        </w:rPr>
        <w:t>enrollee</w:t>
      </w:r>
      <w:r w:rsidR="00206CEC" w:rsidRPr="003D34BA">
        <w:rPr>
          <w:rFonts w:eastAsia="Calibri"/>
        </w:rPr>
        <w:t xml:space="preserve"> </w:t>
      </w:r>
      <w:r w:rsidRPr="003D34BA">
        <w:rPr>
          <w:rFonts w:eastAsia="Calibri"/>
        </w:rPr>
        <w:t>ratio worksheet for PCPs and OB/GYNs, us</w:t>
      </w:r>
      <w:r>
        <w:rPr>
          <w:rFonts w:eastAsia="Calibri"/>
        </w:rPr>
        <w:t xml:space="preserve">ing the </w:t>
      </w:r>
      <w:r w:rsidR="0064356E">
        <w:rPr>
          <w:rFonts w:eastAsia="Calibri"/>
        </w:rPr>
        <w:t>Department</w:t>
      </w:r>
      <w:r>
        <w:rPr>
          <w:rFonts w:eastAsia="Calibri"/>
        </w:rPr>
        <w:t xml:space="preserve">-provided template. </w:t>
      </w:r>
      <w:r w:rsidRPr="003D34BA">
        <w:rPr>
          <w:rFonts w:eastAsia="Calibri"/>
        </w:rPr>
        <w:t xml:space="preserve">The </w:t>
      </w:r>
      <w:r w:rsidR="0064356E">
        <w:rPr>
          <w:rFonts w:eastAsia="Calibri"/>
        </w:rPr>
        <w:t>Department</w:t>
      </w:r>
      <w:r w:rsidRPr="003D34BA">
        <w:rPr>
          <w:rFonts w:eastAsia="Calibri"/>
        </w:rPr>
        <w:t>-provided template contains instructions on which fields the MCO must populate.</w:t>
      </w:r>
      <w:r w:rsidRPr="00D127E0">
        <w:rPr>
          <w:rFonts w:cs="Arial"/>
        </w:rPr>
        <w:t xml:space="preserve"> </w:t>
      </w:r>
      <w:r>
        <w:rPr>
          <w:rFonts w:cs="Arial"/>
        </w:rPr>
        <w:t>T</w:t>
      </w:r>
      <w:r w:rsidRPr="003D34BA">
        <w:rPr>
          <w:rFonts w:cs="Arial"/>
        </w:rPr>
        <w:t>he MCO must submit</w:t>
      </w:r>
      <w:r>
        <w:rPr>
          <w:rFonts w:cs="Arial"/>
        </w:rPr>
        <w:t xml:space="preserve"> the ratio worksheet</w:t>
      </w:r>
      <w:r w:rsidRPr="003D34BA">
        <w:rPr>
          <w:rFonts w:cs="Arial"/>
        </w:rPr>
        <w:t xml:space="preserve"> </w:t>
      </w:r>
      <w:r>
        <w:rPr>
          <w:rFonts w:cs="Arial"/>
        </w:rPr>
        <w:t>to the Department annually by</w:t>
      </w:r>
      <w:r w:rsidRPr="00D127E0">
        <w:rPr>
          <w:rFonts w:cs="Arial"/>
        </w:rPr>
        <w:t xml:space="preserve"> </w:t>
      </w:r>
      <w:r>
        <w:rPr>
          <w:rFonts w:cs="Arial"/>
        </w:rPr>
        <w:t>October 31</w:t>
      </w:r>
      <w:r w:rsidRPr="00B4619D">
        <w:rPr>
          <w:rFonts w:cs="Arial"/>
          <w:vertAlign w:val="superscript"/>
        </w:rPr>
        <w:t>st</w:t>
      </w:r>
      <w:r>
        <w:rPr>
          <w:rFonts w:cs="Arial"/>
          <w:vertAlign w:val="superscript"/>
        </w:rPr>
        <w:t xml:space="preserve"> </w:t>
      </w:r>
      <w:r w:rsidRPr="00DE3CBE">
        <w:rPr>
          <w:rFonts w:cs="Arial"/>
        </w:rPr>
        <w:t>.</w:t>
      </w:r>
    </w:p>
    <w:p w14:paraId="21C46B6B" w14:textId="77777777" w:rsidR="003E35A9" w:rsidRPr="00DE3CBE" w:rsidRDefault="003E35A9" w:rsidP="00257641">
      <w:pPr>
        <w:pStyle w:val="Heading3"/>
        <w:ind w:left="547"/>
      </w:pPr>
      <w:bookmarkStart w:id="293" w:name="_Toc7162626"/>
      <w:bookmarkStart w:id="294" w:name="_Toc7528985"/>
      <w:bookmarkStart w:id="295" w:name="_Toc8129119"/>
      <w:r w:rsidRPr="00751FEB">
        <w:lastRenderedPageBreak/>
        <w:t>Provider Netw</w:t>
      </w:r>
      <w:r w:rsidRPr="0083324F">
        <w:t>ork Evaluation</w:t>
      </w:r>
      <w:bookmarkEnd w:id="293"/>
      <w:bookmarkEnd w:id="294"/>
      <w:bookmarkEnd w:id="295"/>
    </w:p>
    <w:p w14:paraId="4F30CBD7" w14:textId="60487303" w:rsidR="00A730BB" w:rsidRDefault="00297FF0" w:rsidP="00942394">
      <w:r w:rsidRPr="00297FF0">
        <w:t>The Department will evaluate the provider-to-</w:t>
      </w:r>
      <w:r w:rsidR="00206CEC">
        <w:t>enrollee</w:t>
      </w:r>
      <w:r w:rsidR="00206CEC" w:rsidRPr="00297FF0">
        <w:t xml:space="preserve"> </w:t>
      </w:r>
      <w:r w:rsidRPr="00297FF0">
        <w:t xml:space="preserve">PCP and OB/GYN network adequacy ratios for the MCO in each county in which the MCO operates. In evaluating, The Department will compare the number of the MCO’s unique providers located within the county to the number of the MCO’s </w:t>
      </w:r>
      <w:r w:rsidR="00206CEC">
        <w:t>enrollee</w:t>
      </w:r>
      <w:r w:rsidR="00206CEC" w:rsidRPr="00297FF0">
        <w:t xml:space="preserve">s </w:t>
      </w:r>
      <w:r w:rsidRPr="00297FF0">
        <w:t xml:space="preserve">within the county.  </w:t>
      </w:r>
    </w:p>
    <w:p w14:paraId="11DF27CE" w14:textId="4C9D518B" w:rsidR="003E35A9" w:rsidRDefault="003E35A9" w:rsidP="00942394">
      <w:r w:rsidRPr="00300480">
        <w:t xml:space="preserve">To review compliance with time </w:t>
      </w:r>
      <w:r>
        <w:t xml:space="preserve">and travel distance </w:t>
      </w:r>
      <w:r w:rsidRPr="00300480">
        <w:t xml:space="preserve">standards, </w:t>
      </w:r>
      <w:r w:rsidR="0010053D">
        <w:t>the Department</w:t>
      </w:r>
      <w:r w:rsidR="0010053D" w:rsidRPr="00300480">
        <w:t xml:space="preserve"> </w:t>
      </w:r>
      <w:r w:rsidRPr="00300480">
        <w:t xml:space="preserve">will review </w:t>
      </w:r>
      <w:r w:rsidRPr="003E6CFD">
        <w:t>geographic data maps</w:t>
      </w:r>
      <w:r w:rsidRPr="007356F3">
        <w:t xml:space="preserve"> and </w:t>
      </w:r>
      <w:r w:rsidRPr="003E6CFD">
        <w:t>supporting tables</w:t>
      </w:r>
      <w:r w:rsidRPr="00300480">
        <w:t xml:space="preserve"> to verify appropriate </w:t>
      </w:r>
      <w:r w:rsidR="00206CEC">
        <w:t>enrollee</w:t>
      </w:r>
      <w:r w:rsidR="00206CEC" w:rsidRPr="00300480">
        <w:t xml:space="preserve"> </w:t>
      </w:r>
      <w:r w:rsidRPr="00300480">
        <w:t xml:space="preserve">access to </w:t>
      </w:r>
      <w:r>
        <w:t xml:space="preserve">all provider types. BMS defines adequate access as one hundred percent (100%) of </w:t>
      </w:r>
      <w:r w:rsidR="00206CEC">
        <w:t xml:space="preserve">enrollees </w:t>
      </w:r>
      <w:r>
        <w:t>in each county have access to every provider type within the specified time and travel distance standards.</w:t>
      </w:r>
    </w:p>
    <w:p w14:paraId="56176F83" w14:textId="05ED6AA2" w:rsidR="003E35A9" w:rsidRPr="003A1B86" w:rsidRDefault="003E35A9" w:rsidP="00942394">
      <w:r>
        <w:t xml:space="preserve">If any specialty services cannot be provided by a contracted provider, the MCO must demonstrate how it will ensure Medicaid enrollees access to this specialty (e.g., allowing out-of-network referrals when appropriate). </w:t>
      </w:r>
      <w:r w:rsidR="0010053D">
        <w:t xml:space="preserve">The Department </w:t>
      </w:r>
      <w:r>
        <w:t>will evaluate the number and location of contracted specialists and provisions to ensure access where contracted specialists are not available in determining the overall adequacy of the specialist network in a given county.</w:t>
      </w:r>
      <w:r w:rsidR="003150A4">
        <w:t xml:space="preserve"> </w:t>
      </w:r>
    </w:p>
    <w:p w14:paraId="5C1DE4AE" w14:textId="21BF3666" w:rsidR="003E35A9" w:rsidRDefault="0010053D" w:rsidP="00942394">
      <w:r>
        <w:t>The Department</w:t>
      </w:r>
      <w:r w:rsidR="003E35A9">
        <w:t xml:space="preserve"> or its contractor will assess the network against </w:t>
      </w:r>
      <w:r w:rsidR="00003EA7">
        <w:t>the Department</w:t>
      </w:r>
      <w:r w:rsidR="003E35A9">
        <w:t>’</w:t>
      </w:r>
      <w:r w:rsidR="00003EA7">
        <w:t>s</w:t>
      </w:r>
      <w:r w:rsidR="003E35A9">
        <w:t xml:space="preserve"> network requirements and provide an assessment of network adequacy to the MCO in a timely manner. </w:t>
      </w:r>
    </w:p>
    <w:p w14:paraId="01DADD3A" w14:textId="77777777" w:rsidR="003E35A9" w:rsidRPr="00F53061" w:rsidRDefault="003E35A9" w:rsidP="00257641">
      <w:pPr>
        <w:pStyle w:val="Heading4"/>
        <w:ind w:left="1080"/>
      </w:pPr>
      <w:r w:rsidRPr="00751FEB">
        <w:t>Exception</w:t>
      </w:r>
      <w:r w:rsidRPr="0083324F">
        <w:t xml:space="preserve"> Requests</w:t>
      </w:r>
    </w:p>
    <w:p w14:paraId="6C3D48A6" w14:textId="4A4E29DF" w:rsidR="003E35A9" w:rsidRPr="00C43618" w:rsidRDefault="003E35A9" w:rsidP="00942394">
      <w:r>
        <w:t xml:space="preserve">The Department will </w:t>
      </w:r>
      <w:r w:rsidRPr="00B00248">
        <w:t xml:space="preserve">consider requests for exceptions to the </w:t>
      </w:r>
      <w:r>
        <w:t xml:space="preserve">provider </w:t>
      </w:r>
      <w:r w:rsidRPr="00B00248">
        <w:t>access standards under limited circumstances (e.g. if no appropriate provider types are located within the mileage standards)</w:t>
      </w:r>
      <w:r>
        <w:t xml:space="preserve"> and </w:t>
      </w:r>
      <w:r w:rsidRPr="00AC3F64">
        <w:t xml:space="preserve">may, in its sole discretion, grant exceptions to </w:t>
      </w:r>
      <w:r>
        <w:t>these</w:t>
      </w:r>
      <w:r w:rsidRPr="00AC3F64">
        <w:t xml:space="preserve"> standards</w:t>
      </w:r>
      <w:r w:rsidRPr="00B00248">
        <w:t xml:space="preserve">. Each exception request </w:t>
      </w:r>
      <w:r>
        <w:t xml:space="preserve">from the MCO to the Department </w:t>
      </w:r>
      <w:r w:rsidRPr="00B00248">
        <w:t xml:space="preserve">must be </w:t>
      </w:r>
      <w:r>
        <w:t>in writing</w:t>
      </w:r>
      <w:r w:rsidR="000850DD">
        <w:t xml:space="preserve"> and include detailed information</w:t>
      </w:r>
      <w:r w:rsidR="000850DD" w:rsidRPr="000850DD">
        <w:t xml:space="preserve"> </w:t>
      </w:r>
      <w:r w:rsidR="000850DD">
        <w:t>with supporting</w:t>
      </w:r>
      <w:r w:rsidR="000850DD" w:rsidRPr="00B00248">
        <w:t xml:space="preserve"> documentation</w:t>
      </w:r>
      <w:r w:rsidR="000850DD">
        <w:t xml:space="preserve"> regarding how they will</w:t>
      </w:r>
      <w:r w:rsidR="00E510D0">
        <w:t xml:space="preserve"> mitigate the provider network deficit and</w:t>
      </w:r>
      <w:r w:rsidR="000850DD">
        <w:t xml:space="preserve"> meet the needs of the </w:t>
      </w:r>
      <w:r w:rsidR="00206CEC">
        <w:t>enrollees</w:t>
      </w:r>
      <w:r w:rsidRPr="00B00248">
        <w:t>.</w:t>
      </w:r>
      <w:r>
        <w:t xml:space="preserve"> </w:t>
      </w:r>
      <w:r w:rsidRPr="00F345BD">
        <w:t xml:space="preserve">Exceptions to network requirements will be considered based on </w:t>
      </w:r>
      <w:r>
        <w:t xml:space="preserve">the information provided, </w:t>
      </w:r>
      <w:r w:rsidRPr="00F345BD">
        <w:t>current patterns of care</w:t>
      </w:r>
      <w:r>
        <w:t>,</w:t>
      </w:r>
      <w:r w:rsidRPr="00F345BD">
        <w:t xml:space="preserve"> and locations where the travel time and distance standards differ significantly from providers in the community, as allowed in West Virginia’s 1915(b) Waiver.</w:t>
      </w:r>
    </w:p>
    <w:sectPr w:rsidR="003E35A9" w:rsidRPr="00C43618" w:rsidSect="00CA0C0E">
      <w:footerReference w:type="default" r:id="rId43"/>
      <w:footerReference w:type="first" r:id="rId44"/>
      <w:pgSz w:w="12240" w:h="15840" w:code="1"/>
      <w:pgMar w:top="1440" w:right="1440" w:bottom="1440" w:left="1440" w:header="720" w:footer="720" w:gutter="0"/>
      <w:pgNumType w:start="1"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7EA5E" w14:textId="77777777" w:rsidR="000617C9" w:rsidRDefault="000617C9">
      <w:r>
        <w:separator/>
      </w:r>
    </w:p>
    <w:p w14:paraId="56A6E5A0" w14:textId="77777777" w:rsidR="000617C9" w:rsidRDefault="000617C9"/>
  </w:endnote>
  <w:endnote w:type="continuationSeparator" w:id="0">
    <w:p w14:paraId="08F11590" w14:textId="77777777" w:rsidR="000617C9" w:rsidRDefault="000617C9">
      <w:r>
        <w:continuationSeparator/>
      </w:r>
    </w:p>
    <w:p w14:paraId="23D4EC16" w14:textId="77777777" w:rsidR="000617C9" w:rsidRDefault="000617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BED31" w14:textId="77777777" w:rsidR="00613ED8" w:rsidRDefault="00613ED8" w:rsidP="00784E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w:t>
    </w:r>
    <w:r>
      <w:rPr>
        <w:rStyle w:val="PageNumber"/>
      </w:rPr>
      <w:fldChar w:fldCharType="end"/>
    </w:r>
  </w:p>
  <w:p w14:paraId="6D7747F1" w14:textId="77777777" w:rsidR="00613ED8" w:rsidRDefault="00613ED8">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42EB5" w14:textId="6F82DEAE" w:rsidR="00613ED8" w:rsidRDefault="00613ED8" w:rsidP="00F85BA6">
    <w:pPr>
      <w:pStyle w:val="Footer"/>
      <w:tabs>
        <w:tab w:val="clear" w:pos="8640"/>
        <w:tab w:val="right" w:pos="9360"/>
      </w:tabs>
      <w:ind w:right="-18"/>
      <w:jc w:val="right"/>
    </w:pPr>
    <w:r>
      <w:rPr>
        <w:rStyle w:val="PageNumber"/>
      </w:rPr>
      <w:t>D-</w:t>
    </w:r>
    <w:r>
      <w:rPr>
        <w:rStyle w:val="PageNumber"/>
      </w:rPr>
      <w:fldChar w:fldCharType="begin"/>
    </w:r>
    <w:r>
      <w:rPr>
        <w:rStyle w:val="PageNumber"/>
      </w:rPr>
      <w:instrText xml:space="preserve"> PAGE </w:instrText>
    </w:r>
    <w:r>
      <w:rPr>
        <w:rStyle w:val="PageNumber"/>
      </w:rPr>
      <w:fldChar w:fldCharType="separate"/>
    </w:r>
    <w:r w:rsidR="00821FDF">
      <w:rPr>
        <w:rStyle w:val="PageNumber"/>
      </w:rPr>
      <w:t>5</w:t>
    </w:r>
    <w:r>
      <w:rPr>
        <w:rStyle w:val="PageNumber"/>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4B50C" w14:textId="47386CBC" w:rsidR="00613ED8" w:rsidRDefault="00613ED8" w:rsidP="00EB6E6F">
    <w:pPr>
      <w:pStyle w:val="Footer"/>
      <w:tabs>
        <w:tab w:val="clear" w:pos="4320"/>
        <w:tab w:val="clear" w:pos="8640"/>
        <w:tab w:val="right" w:pos="9360"/>
      </w:tabs>
      <w:jc w:val="right"/>
    </w:pPr>
    <w:r>
      <w:rPr>
        <w:noProof w:val="0"/>
      </w:rPr>
      <w:t>E-</w:t>
    </w:r>
    <w:r>
      <w:rPr>
        <w:noProof w:val="0"/>
      </w:rPr>
      <w:fldChar w:fldCharType="begin"/>
    </w:r>
    <w:r>
      <w:instrText xml:space="preserve"> PAGE   \* MERGEFORMAT </w:instrText>
    </w:r>
    <w:r>
      <w:rPr>
        <w:noProof w:val="0"/>
      </w:rPr>
      <w:fldChar w:fldCharType="separate"/>
    </w:r>
    <w:r w:rsidR="00821FDF">
      <w:t>1</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2C353" w14:textId="0703058E" w:rsidR="00613ED8" w:rsidRDefault="00613ED8" w:rsidP="00F85BA6">
    <w:pPr>
      <w:pStyle w:val="Footer"/>
      <w:tabs>
        <w:tab w:val="clear" w:pos="8640"/>
        <w:tab w:val="left" w:pos="8397"/>
        <w:tab w:val="right" w:pos="9360"/>
      </w:tabs>
      <w:ind w:right="-18"/>
      <w:jc w:val="right"/>
    </w:pPr>
    <w:r>
      <w:rPr>
        <w:rStyle w:val="PageNumber"/>
      </w:rPr>
      <w:t>E-2</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6210B" w14:textId="77777777" w:rsidR="00613ED8" w:rsidRDefault="00613ED8">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4D1CD" w14:textId="3550F744" w:rsidR="00613ED8" w:rsidRDefault="00613ED8" w:rsidP="00F85BA6">
    <w:pPr>
      <w:pStyle w:val="Footer"/>
      <w:tabs>
        <w:tab w:val="clear" w:pos="8640"/>
        <w:tab w:val="left" w:pos="8397"/>
        <w:tab w:val="right" w:pos="9360"/>
      </w:tabs>
      <w:ind w:right="-18"/>
      <w:jc w:val="right"/>
    </w:pPr>
    <w:r>
      <w:rPr>
        <w:rStyle w:val="PageNumber"/>
      </w:rPr>
      <w:t>F-</w:t>
    </w:r>
    <w:r w:rsidRPr="00C16038">
      <w:rPr>
        <w:rStyle w:val="PageNumber"/>
      </w:rPr>
      <w:fldChar w:fldCharType="begin"/>
    </w:r>
    <w:r w:rsidRPr="00C16038">
      <w:rPr>
        <w:rStyle w:val="PageNumber"/>
      </w:rPr>
      <w:instrText xml:space="preserve"> PAGE   \* MERGEFORMAT </w:instrText>
    </w:r>
    <w:r w:rsidRPr="00C16038">
      <w:rPr>
        <w:rStyle w:val="PageNumber"/>
      </w:rPr>
      <w:fldChar w:fldCharType="separate"/>
    </w:r>
    <w:r w:rsidR="00821FDF">
      <w:rPr>
        <w:rStyle w:val="PageNumber"/>
      </w:rPr>
      <w:t>3</w:t>
    </w:r>
    <w:r w:rsidRPr="00C16038">
      <w:rPr>
        <w:rStyle w:val="PageNumber"/>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DC181" w14:textId="37D97AF2" w:rsidR="00613ED8" w:rsidRDefault="00613ED8" w:rsidP="00CC42FE">
    <w:pPr>
      <w:pStyle w:val="Footer"/>
      <w:tabs>
        <w:tab w:val="clear" w:pos="8640"/>
        <w:tab w:val="left" w:pos="8397"/>
        <w:tab w:val="right" w:pos="9360"/>
      </w:tabs>
      <w:ind w:right="-18"/>
      <w:jc w:val="right"/>
    </w:pPr>
    <w:r>
      <w:rPr>
        <w:rStyle w:val="PageNumber"/>
      </w:rPr>
      <w:t>G-</w:t>
    </w:r>
    <w:r w:rsidRPr="00C16038">
      <w:rPr>
        <w:rStyle w:val="PageNumber"/>
      </w:rPr>
      <w:fldChar w:fldCharType="begin"/>
    </w:r>
    <w:r w:rsidRPr="00C16038">
      <w:rPr>
        <w:rStyle w:val="PageNumber"/>
      </w:rPr>
      <w:instrText xml:space="preserve"> PAGE   \* MERGEFORMAT </w:instrText>
    </w:r>
    <w:r w:rsidRPr="00C16038">
      <w:rPr>
        <w:rStyle w:val="PageNumber"/>
      </w:rPr>
      <w:fldChar w:fldCharType="separate"/>
    </w:r>
    <w:r>
      <w:rPr>
        <w:rStyle w:val="PageNumber"/>
      </w:rPr>
      <w:t>1</w:t>
    </w:r>
    <w:r w:rsidRPr="00C16038">
      <w:rPr>
        <w:rStyle w:val="PageNumber"/>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FEE68" w14:textId="108D893F" w:rsidR="00613ED8" w:rsidRDefault="00613ED8" w:rsidP="00F85BA6">
    <w:pPr>
      <w:pStyle w:val="Footer"/>
      <w:tabs>
        <w:tab w:val="clear" w:pos="8640"/>
        <w:tab w:val="left" w:pos="8397"/>
        <w:tab w:val="right" w:pos="9360"/>
      </w:tabs>
      <w:ind w:right="-18"/>
      <w:jc w:val="right"/>
    </w:pPr>
    <w:r>
      <w:rPr>
        <w:rStyle w:val="PageNumber"/>
      </w:rPr>
      <w:t>G-</w:t>
    </w:r>
    <w:r w:rsidRPr="00C16038">
      <w:rPr>
        <w:rStyle w:val="PageNumber"/>
      </w:rPr>
      <w:fldChar w:fldCharType="begin"/>
    </w:r>
    <w:r w:rsidRPr="00C16038">
      <w:rPr>
        <w:rStyle w:val="PageNumber"/>
      </w:rPr>
      <w:instrText xml:space="preserve"> PAGE   \* MERGEFORMAT </w:instrText>
    </w:r>
    <w:r w:rsidRPr="00C16038">
      <w:rPr>
        <w:rStyle w:val="PageNumber"/>
      </w:rPr>
      <w:fldChar w:fldCharType="separate"/>
    </w:r>
    <w:r w:rsidR="00821FDF">
      <w:rPr>
        <w:rStyle w:val="PageNumber"/>
      </w:rPr>
      <w:t>8</w:t>
    </w:r>
    <w:r w:rsidRPr="00C16038">
      <w:rPr>
        <w:rStyle w:val="PageNumber"/>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90A09" w14:textId="77777777" w:rsidR="00613ED8" w:rsidRDefault="00613ED8" w:rsidP="00CC42FE">
    <w:pPr>
      <w:pStyle w:val="Footer"/>
      <w:tabs>
        <w:tab w:val="clear" w:pos="8640"/>
        <w:tab w:val="left" w:pos="8397"/>
        <w:tab w:val="right" w:pos="9360"/>
      </w:tabs>
      <w:ind w:right="-18"/>
      <w:jc w:val="right"/>
    </w:pPr>
    <w:r>
      <w:rPr>
        <w:rStyle w:val="PageNumber"/>
      </w:rPr>
      <w:t>G-</w:t>
    </w:r>
    <w:r w:rsidRPr="00C16038">
      <w:rPr>
        <w:rStyle w:val="PageNumber"/>
      </w:rPr>
      <w:fldChar w:fldCharType="begin"/>
    </w:r>
    <w:r w:rsidRPr="00C16038">
      <w:rPr>
        <w:rStyle w:val="PageNumber"/>
      </w:rPr>
      <w:instrText xml:space="preserve"> PAGE   \* MERGEFORMAT </w:instrText>
    </w:r>
    <w:r w:rsidRPr="00C16038">
      <w:rPr>
        <w:rStyle w:val="PageNumber"/>
      </w:rPr>
      <w:fldChar w:fldCharType="separate"/>
    </w:r>
    <w:r w:rsidR="00821FDF">
      <w:rPr>
        <w:rStyle w:val="PageNumber"/>
      </w:rPr>
      <w:t>1</w:t>
    </w:r>
    <w:r w:rsidRPr="00C16038">
      <w:rPr>
        <w:rStyle w:val="PageNumber"/>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C4C75" w14:textId="7EBA6318" w:rsidR="00613ED8" w:rsidRPr="00CC42FE" w:rsidRDefault="00613ED8" w:rsidP="00CC42FE">
    <w:pPr>
      <w:pStyle w:val="Footer"/>
      <w:tabs>
        <w:tab w:val="clear" w:pos="8640"/>
        <w:tab w:val="left" w:pos="8397"/>
        <w:tab w:val="right" w:pos="9360"/>
      </w:tabs>
      <w:ind w:right="-18"/>
      <w:jc w:val="right"/>
    </w:pPr>
    <w:r>
      <w:rPr>
        <w:rStyle w:val="PageNumber"/>
      </w:rPr>
      <w:t>H-</w:t>
    </w:r>
    <w:r w:rsidRPr="00C16038">
      <w:rPr>
        <w:rStyle w:val="PageNumber"/>
      </w:rPr>
      <w:fldChar w:fldCharType="begin"/>
    </w:r>
    <w:r w:rsidRPr="00C16038">
      <w:rPr>
        <w:rStyle w:val="PageNumber"/>
      </w:rPr>
      <w:instrText xml:space="preserve"> PAGE   \* MERGEFORMAT </w:instrText>
    </w:r>
    <w:r w:rsidRPr="00C16038">
      <w:rPr>
        <w:rStyle w:val="PageNumber"/>
      </w:rPr>
      <w:fldChar w:fldCharType="separate"/>
    </w:r>
    <w:r w:rsidR="00821FDF">
      <w:rPr>
        <w:rStyle w:val="PageNumber"/>
      </w:rPr>
      <w:t>3</w:t>
    </w:r>
    <w:r w:rsidRPr="00C16038">
      <w:rPr>
        <w:rStyle w:val="PageNumber"/>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7765" w14:textId="0836740D" w:rsidR="00613ED8" w:rsidRDefault="00613ED8" w:rsidP="00CC42FE">
    <w:pPr>
      <w:pStyle w:val="Footer"/>
      <w:tabs>
        <w:tab w:val="clear" w:pos="8640"/>
        <w:tab w:val="left" w:pos="8397"/>
        <w:tab w:val="right" w:pos="9360"/>
      </w:tabs>
      <w:ind w:right="-18"/>
      <w:jc w:val="right"/>
    </w:pPr>
    <w:r>
      <w:rPr>
        <w:rStyle w:val="PageNumber"/>
      </w:rPr>
      <w:t>H-</w:t>
    </w:r>
    <w:r w:rsidRPr="00C16038">
      <w:rPr>
        <w:rStyle w:val="PageNumber"/>
      </w:rPr>
      <w:fldChar w:fldCharType="begin"/>
    </w:r>
    <w:r w:rsidRPr="00C16038">
      <w:rPr>
        <w:rStyle w:val="PageNumber"/>
      </w:rPr>
      <w:instrText xml:space="preserve"> PAGE   \* MERGEFORMAT </w:instrText>
    </w:r>
    <w:r w:rsidRPr="00C16038">
      <w:rPr>
        <w:rStyle w:val="PageNumber"/>
      </w:rPr>
      <w:fldChar w:fldCharType="separate"/>
    </w:r>
    <w:r w:rsidR="00821FDF">
      <w:rPr>
        <w:rStyle w:val="PageNumber"/>
      </w:rPr>
      <w:t>1</w:t>
    </w:r>
    <w:r w:rsidRPr="00C16038">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BB69C" w14:textId="77777777" w:rsidR="00613ED8" w:rsidRDefault="00613ED8">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3BF38" w14:textId="26C93A99" w:rsidR="00613ED8" w:rsidRPr="00CC42FE" w:rsidRDefault="00613ED8" w:rsidP="00CC42FE">
    <w:pPr>
      <w:pStyle w:val="Footer"/>
      <w:tabs>
        <w:tab w:val="clear" w:pos="8640"/>
        <w:tab w:val="left" w:pos="8397"/>
        <w:tab w:val="right" w:pos="9360"/>
      </w:tabs>
      <w:ind w:right="-18"/>
      <w:jc w:val="right"/>
    </w:pPr>
    <w:r>
      <w:rPr>
        <w:rStyle w:val="PageNumber"/>
      </w:rPr>
      <w:t>I-</w:t>
    </w:r>
    <w:r w:rsidRPr="00C16038">
      <w:rPr>
        <w:rStyle w:val="PageNumber"/>
      </w:rPr>
      <w:fldChar w:fldCharType="begin"/>
    </w:r>
    <w:r w:rsidRPr="00C16038">
      <w:rPr>
        <w:rStyle w:val="PageNumber"/>
      </w:rPr>
      <w:instrText xml:space="preserve"> PAGE   \* MERGEFORMAT </w:instrText>
    </w:r>
    <w:r w:rsidRPr="00C16038">
      <w:rPr>
        <w:rStyle w:val="PageNumber"/>
      </w:rPr>
      <w:fldChar w:fldCharType="separate"/>
    </w:r>
    <w:r w:rsidR="00821FDF">
      <w:rPr>
        <w:rStyle w:val="PageNumber"/>
      </w:rPr>
      <w:t>2</w:t>
    </w:r>
    <w:r w:rsidRPr="00C16038">
      <w:rPr>
        <w:rStyle w:val="PageNumber"/>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E781" w14:textId="7EB5E326" w:rsidR="00613ED8" w:rsidRDefault="00613ED8" w:rsidP="00CC42FE">
    <w:pPr>
      <w:pStyle w:val="Footer"/>
      <w:tabs>
        <w:tab w:val="clear" w:pos="8640"/>
        <w:tab w:val="left" w:pos="8397"/>
        <w:tab w:val="right" w:pos="9360"/>
      </w:tabs>
      <w:ind w:right="-18"/>
      <w:jc w:val="right"/>
    </w:pPr>
    <w:r>
      <w:rPr>
        <w:rStyle w:val="PageNumber"/>
      </w:rPr>
      <w:t>I-</w:t>
    </w:r>
    <w:r w:rsidRPr="00C16038">
      <w:rPr>
        <w:rStyle w:val="PageNumber"/>
      </w:rPr>
      <w:fldChar w:fldCharType="begin"/>
    </w:r>
    <w:r w:rsidRPr="00C16038">
      <w:rPr>
        <w:rStyle w:val="PageNumber"/>
      </w:rPr>
      <w:instrText xml:space="preserve"> PAGE   \* MERGEFORMAT </w:instrText>
    </w:r>
    <w:r w:rsidRPr="00C16038">
      <w:rPr>
        <w:rStyle w:val="PageNumber"/>
      </w:rPr>
      <w:fldChar w:fldCharType="separate"/>
    </w:r>
    <w:r w:rsidR="00821FDF">
      <w:rPr>
        <w:rStyle w:val="PageNumber"/>
      </w:rPr>
      <w:t>1</w:t>
    </w:r>
    <w:r w:rsidRPr="00C16038">
      <w:rPr>
        <w:rStyle w:val="PageNumber"/>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04E9A" w14:textId="7CB5CA55" w:rsidR="00613ED8" w:rsidRPr="00CC42FE" w:rsidRDefault="00613ED8" w:rsidP="00CC42FE">
    <w:pPr>
      <w:pStyle w:val="Footer"/>
      <w:tabs>
        <w:tab w:val="clear" w:pos="8640"/>
        <w:tab w:val="left" w:pos="8397"/>
        <w:tab w:val="right" w:pos="9360"/>
      </w:tabs>
      <w:ind w:right="-18"/>
      <w:jc w:val="right"/>
    </w:pPr>
    <w:r>
      <w:rPr>
        <w:rStyle w:val="PageNumber"/>
      </w:rPr>
      <w:t>J-</w:t>
    </w:r>
    <w:r w:rsidRPr="00C16038">
      <w:rPr>
        <w:rStyle w:val="PageNumber"/>
      </w:rPr>
      <w:fldChar w:fldCharType="begin"/>
    </w:r>
    <w:r w:rsidRPr="00C16038">
      <w:rPr>
        <w:rStyle w:val="PageNumber"/>
      </w:rPr>
      <w:instrText xml:space="preserve"> PAGE   \* MERGEFORMAT </w:instrText>
    </w:r>
    <w:r w:rsidRPr="00C16038">
      <w:rPr>
        <w:rStyle w:val="PageNumber"/>
      </w:rPr>
      <w:fldChar w:fldCharType="separate"/>
    </w:r>
    <w:r w:rsidR="00821FDF">
      <w:rPr>
        <w:rStyle w:val="PageNumber"/>
      </w:rPr>
      <w:t>2</w:t>
    </w:r>
    <w:r w:rsidRPr="00C16038">
      <w:rPr>
        <w:rStyle w:val="PageNumber"/>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07C1C" w14:textId="0C498605" w:rsidR="00613ED8" w:rsidRDefault="00613ED8" w:rsidP="00CC42FE">
    <w:pPr>
      <w:pStyle w:val="Footer"/>
      <w:tabs>
        <w:tab w:val="clear" w:pos="8640"/>
        <w:tab w:val="left" w:pos="8397"/>
        <w:tab w:val="right" w:pos="9360"/>
      </w:tabs>
      <w:ind w:right="-18"/>
      <w:jc w:val="right"/>
    </w:pPr>
    <w:r>
      <w:rPr>
        <w:rStyle w:val="PageNumber"/>
      </w:rPr>
      <w:t>J-</w:t>
    </w:r>
    <w:r w:rsidRPr="00C16038">
      <w:rPr>
        <w:rStyle w:val="PageNumber"/>
      </w:rPr>
      <w:fldChar w:fldCharType="begin"/>
    </w:r>
    <w:r w:rsidRPr="00C16038">
      <w:rPr>
        <w:rStyle w:val="PageNumber"/>
      </w:rPr>
      <w:instrText xml:space="preserve"> PAGE   \* MERGEFORMAT </w:instrText>
    </w:r>
    <w:r w:rsidRPr="00C16038">
      <w:rPr>
        <w:rStyle w:val="PageNumber"/>
      </w:rPr>
      <w:fldChar w:fldCharType="separate"/>
    </w:r>
    <w:r w:rsidR="00821FDF">
      <w:rPr>
        <w:rStyle w:val="PageNumber"/>
      </w:rPr>
      <w:t>1</w:t>
    </w:r>
    <w:r w:rsidRPr="00C16038">
      <w:rPr>
        <w:rStyle w:val="PageNumber"/>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18182" w14:textId="3126C501" w:rsidR="00613ED8" w:rsidRPr="00CC42FE" w:rsidRDefault="00613ED8" w:rsidP="00CC42FE">
    <w:pPr>
      <w:pStyle w:val="Footer"/>
      <w:tabs>
        <w:tab w:val="clear" w:pos="8640"/>
        <w:tab w:val="left" w:pos="8397"/>
        <w:tab w:val="right" w:pos="9360"/>
      </w:tabs>
      <w:ind w:right="-18"/>
      <w:jc w:val="right"/>
    </w:pPr>
    <w:r>
      <w:rPr>
        <w:rStyle w:val="PageNumber"/>
      </w:rPr>
      <w:t>K-</w:t>
    </w:r>
    <w:r w:rsidRPr="00C16038">
      <w:rPr>
        <w:rStyle w:val="PageNumber"/>
      </w:rPr>
      <w:fldChar w:fldCharType="begin"/>
    </w:r>
    <w:r w:rsidRPr="00C16038">
      <w:rPr>
        <w:rStyle w:val="PageNumber"/>
      </w:rPr>
      <w:instrText xml:space="preserve"> PAGE   \* MERGEFORMAT </w:instrText>
    </w:r>
    <w:r w:rsidRPr="00C16038">
      <w:rPr>
        <w:rStyle w:val="PageNumber"/>
      </w:rPr>
      <w:fldChar w:fldCharType="separate"/>
    </w:r>
    <w:r w:rsidR="00821FDF">
      <w:rPr>
        <w:rStyle w:val="PageNumber"/>
      </w:rPr>
      <w:t>10</w:t>
    </w:r>
    <w:r w:rsidRPr="00C16038">
      <w:rPr>
        <w:rStyle w:val="PageNumber"/>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01484" w14:textId="1A109481" w:rsidR="00613ED8" w:rsidRDefault="00613ED8" w:rsidP="00CC42FE">
    <w:pPr>
      <w:pStyle w:val="Footer"/>
      <w:tabs>
        <w:tab w:val="clear" w:pos="8640"/>
        <w:tab w:val="left" w:pos="8397"/>
        <w:tab w:val="right" w:pos="9360"/>
      </w:tabs>
      <w:ind w:right="-18"/>
      <w:jc w:val="right"/>
    </w:pPr>
    <w:r>
      <w:rPr>
        <w:rStyle w:val="PageNumber"/>
      </w:rPr>
      <w:t>K-</w:t>
    </w:r>
    <w:r w:rsidRPr="00C16038">
      <w:rPr>
        <w:rStyle w:val="PageNumber"/>
      </w:rPr>
      <w:fldChar w:fldCharType="begin"/>
    </w:r>
    <w:r w:rsidRPr="00C16038">
      <w:rPr>
        <w:rStyle w:val="PageNumber"/>
      </w:rPr>
      <w:instrText xml:space="preserve"> PAGE   \* MERGEFORMAT </w:instrText>
    </w:r>
    <w:r w:rsidRPr="00C16038">
      <w:rPr>
        <w:rStyle w:val="PageNumber"/>
      </w:rPr>
      <w:fldChar w:fldCharType="separate"/>
    </w:r>
    <w:r w:rsidR="00821FDF">
      <w:rPr>
        <w:rStyle w:val="PageNumber"/>
      </w:rPr>
      <w:t>1</w:t>
    </w:r>
    <w:r w:rsidRPr="00C16038">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87310" w14:textId="0C75B42E" w:rsidR="00613ED8" w:rsidRDefault="00613ED8">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21FDF">
      <w:rPr>
        <w:rStyle w:val="PageNumber"/>
      </w:rPr>
      <w:t>iii</w:t>
    </w:r>
    <w:r>
      <w:rPr>
        <w:rStyle w:val="PageNumber"/>
      </w:rPr>
      <w:fldChar w:fldCharType="end"/>
    </w:r>
  </w:p>
  <w:p w14:paraId="56F30EE4" w14:textId="70EB906B" w:rsidR="00613ED8" w:rsidRDefault="00613ED8" w:rsidP="00510F54">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A1D71" w14:textId="77777777" w:rsidR="00613ED8" w:rsidRDefault="00613ED8" w:rsidP="00CE2A4C">
    <w:pPr>
      <w:pStyle w:val="Foot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77F3A" w14:textId="409BAD63" w:rsidR="00613ED8" w:rsidRDefault="00613ED8" w:rsidP="0099775D">
    <w:pPr>
      <w:pStyle w:val="Footer"/>
      <w:jc w:val="right"/>
    </w:pPr>
    <w:r>
      <w:rPr>
        <w:rStyle w:val="PageNumber"/>
      </w:rPr>
      <w:fldChar w:fldCharType="begin"/>
    </w:r>
    <w:r>
      <w:rPr>
        <w:rStyle w:val="PageNumber"/>
      </w:rPr>
      <w:instrText xml:space="preserve"> PAGE </w:instrText>
    </w:r>
    <w:r>
      <w:rPr>
        <w:rStyle w:val="PageNumber"/>
      </w:rPr>
      <w:fldChar w:fldCharType="separate"/>
    </w:r>
    <w:r w:rsidR="00821FDF">
      <w:rPr>
        <w:rStyle w:val="PageNumber"/>
      </w:rPr>
      <w:t>15</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52FD" w14:textId="77777777" w:rsidR="00613ED8" w:rsidRDefault="00613ED8">
    <w:pPr>
      <w:pStyle w:val="Footer"/>
      <w:framePr w:wrap="around" w:vAnchor="text" w:hAnchor="margin" w:xAlign="right" w:y="1"/>
      <w:rPr>
        <w:rStyle w:val="PageNumber"/>
      </w:rPr>
    </w:pPr>
    <w:r>
      <w:rPr>
        <w:rStyle w:val="PageNumber"/>
      </w:rPr>
      <w:t>E-</w:t>
    </w: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04248FDA" w14:textId="77777777" w:rsidR="00613ED8" w:rsidRDefault="00613ED8">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67D2A" w14:textId="29F2B034" w:rsidR="00613ED8" w:rsidRDefault="00613ED8" w:rsidP="00F85BA6">
    <w:pPr>
      <w:pStyle w:val="Footer"/>
      <w:jc w:val="right"/>
    </w:pPr>
    <w:r>
      <w:rPr>
        <w:rStyle w:val="PageNumber"/>
      </w:rPr>
      <w:t>A-</w:t>
    </w:r>
    <w:r>
      <w:rPr>
        <w:rStyle w:val="PageNumber"/>
      </w:rPr>
      <w:fldChar w:fldCharType="begin"/>
    </w:r>
    <w:r>
      <w:rPr>
        <w:rStyle w:val="PageNumber"/>
      </w:rPr>
      <w:instrText xml:space="preserve"> PAGE </w:instrText>
    </w:r>
    <w:r>
      <w:rPr>
        <w:rStyle w:val="PageNumber"/>
      </w:rPr>
      <w:fldChar w:fldCharType="separate"/>
    </w:r>
    <w:r w:rsidR="00821FDF">
      <w:rPr>
        <w:rStyle w:val="PageNumber"/>
      </w:rPr>
      <w:t>11</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5200" w14:textId="4F42E6B6" w:rsidR="00613ED8" w:rsidRDefault="00613ED8" w:rsidP="00F85BA6">
    <w:pPr>
      <w:pStyle w:val="Footer"/>
      <w:jc w:val="right"/>
    </w:pPr>
    <w:r>
      <w:rPr>
        <w:rStyle w:val="PageNumber"/>
      </w:rPr>
      <w:t>B-</w:t>
    </w:r>
    <w:r>
      <w:rPr>
        <w:rStyle w:val="PageNumber"/>
      </w:rPr>
      <w:fldChar w:fldCharType="begin"/>
    </w:r>
    <w:r>
      <w:rPr>
        <w:rStyle w:val="PageNumber"/>
      </w:rPr>
      <w:instrText xml:space="preserve"> PAGE </w:instrText>
    </w:r>
    <w:r>
      <w:rPr>
        <w:rStyle w:val="PageNumber"/>
      </w:rPr>
      <w:fldChar w:fldCharType="separate"/>
    </w:r>
    <w:r w:rsidR="00821FDF">
      <w:rPr>
        <w:rStyle w:val="PageNumber"/>
      </w:rPr>
      <w:t>1</w:t>
    </w:r>
    <w:r>
      <w:rPr>
        <w:rStyle w:val="PageNumbe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114D7" w14:textId="059A8942" w:rsidR="00613ED8" w:rsidRDefault="00613ED8" w:rsidP="00F85BA6">
    <w:pPr>
      <w:pStyle w:val="Footer"/>
      <w:jc w:val="right"/>
    </w:pPr>
    <w:r>
      <w:rPr>
        <w:rStyle w:val="PageNumber"/>
      </w:rPr>
      <w:t>C-</w:t>
    </w:r>
    <w:r>
      <w:rPr>
        <w:rStyle w:val="PageNumber"/>
      </w:rPr>
      <w:fldChar w:fldCharType="begin"/>
    </w:r>
    <w:r>
      <w:rPr>
        <w:rStyle w:val="PageNumber"/>
      </w:rPr>
      <w:instrText xml:space="preserve"> PAGE </w:instrText>
    </w:r>
    <w:r>
      <w:rPr>
        <w:rStyle w:val="PageNumber"/>
      </w:rPr>
      <w:fldChar w:fldCharType="separate"/>
    </w:r>
    <w:r w:rsidR="00821FDF">
      <w:rPr>
        <w:rStyle w:val="PageNumber"/>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93DCB" w14:textId="77777777" w:rsidR="000617C9" w:rsidRDefault="000617C9">
      <w:r>
        <w:separator/>
      </w:r>
    </w:p>
  </w:footnote>
  <w:footnote w:type="continuationSeparator" w:id="0">
    <w:p w14:paraId="005ADE9F" w14:textId="77777777" w:rsidR="000617C9" w:rsidRDefault="000617C9">
      <w:r>
        <w:continuationSeparator/>
      </w:r>
    </w:p>
    <w:p w14:paraId="391B1EB4" w14:textId="77777777" w:rsidR="000617C9" w:rsidRDefault="000617C9"/>
  </w:footnote>
  <w:footnote w:id="1">
    <w:p w14:paraId="5F86D65E" w14:textId="63B89F86" w:rsidR="00613ED8" w:rsidRPr="005C2321" w:rsidRDefault="00613ED8" w:rsidP="00737F8F">
      <w:pPr>
        <w:pStyle w:val="FootnoteText"/>
        <w:spacing w:after="0"/>
        <w:ind w:left="270" w:hanging="270"/>
        <w:rPr>
          <w:sz w:val="20"/>
        </w:rPr>
      </w:pPr>
      <w:r w:rsidRPr="005C2321">
        <w:rPr>
          <w:rStyle w:val="FootnoteReference"/>
          <w:sz w:val="20"/>
        </w:rPr>
        <w:footnoteRef/>
      </w:r>
      <w:r w:rsidRPr="005C2321">
        <w:rPr>
          <w:sz w:val="20"/>
        </w:rPr>
        <w:t xml:space="preserve"> </w:t>
      </w:r>
      <w:r w:rsidRPr="005C2321">
        <w:rPr>
          <w:sz w:val="20"/>
        </w:rPr>
        <w:tab/>
        <w:t>Section 1905(r)(5) of the Social Security Act</w:t>
      </w:r>
    </w:p>
  </w:footnote>
  <w:footnote w:id="2">
    <w:p w14:paraId="52DAB64E" w14:textId="6747A85B" w:rsidR="00613ED8" w:rsidRPr="009161EE" w:rsidRDefault="00613ED8">
      <w:pPr>
        <w:pStyle w:val="FootnoteText"/>
        <w:ind w:left="180" w:hanging="180"/>
        <w:rPr>
          <w:sz w:val="20"/>
        </w:rPr>
      </w:pPr>
      <w:r w:rsidRPr="009161EE">
        <w:rPr>
          <w:rStyle w:val="FootnoteReference"/>
          <w:sz w:val="20"/>
        </w:rPr>
        <w:footnoteRef/>
      </w:r>
      <w:r w:rsidRPr="009161EE">
        <w:rPr>
          <w:sz w:val="20"/>
        </w:rPr>
        <w:t xml:space="preserve"> </w:t>
      </w:r>
      <w:r w:rsidRPr="009161EE">
        <w:rPr>
          <w:sz w:val="20"/>
        </w:rPr>
        <w:tab/>
        <w:t>Qualified medical personnel must be accessible twenty-four (24) hours each day, seven (7) days a week, to provide direction to patients in need of urgent or emergency care. Such medical personnel include, but are not limited to, physicians, physicians on</w:t>
      </w:r>
      <w:r w:rsidRPr="009161EE">
        <w:rPr>
          <w:sz w:val="20"/>
        </w:rPr>
        <w:noBreakHyphen/>
        <w:t>call, licensed practical nurses, or registered nurses.</w:t>
      </w:r>
    </w:p>
  </w:footnote>
  <w:footnote w:id="3">
    <w:p w14:paraId="2B90A63A" w14:textId="7BDCC02F" w:rsidR="00613ED8" w:rsidRPr="009161EE" w:rsidRDefault="00613ED8">
      <w:pPr>
        <w:pStyle w:val="FootnoteText"/>
        <w:ind w:left="270" w:hanging="270"/>
        <w:rPr>
          <w:sz w:val="20"/>
        </w:rPr>
      </w:pPr>
      <w:r w:rsidRPr="009161EE">
        <w:rPr>
          <w:rStyle w:val="FootnoteReference"/>
          <w:sz w:val="20"/>
        </w:rPr>
        <w:footnoteRef/>
      </w:r>
      <w:r w:rsidRPr="009161EE">
        <w:rPr>
          <w:sz w:val="20"/>
        </w:rPr>
        <w:t xml:space="preserve"> </w:t>
      </w:r>
      <w:r w:rsidRPr="009161EE">
        <w:rPr>
          <w:sz w:val="20"/>
        </w:rPr>
        <w:tab/>
        <w:t xml:space="preserve">Access to family planning services without prior notification is a federal law. Under OBRA 1987 Section 4113(c)(1)(B), “enrollment of an individual eligible for medical assistance in a primary case management system, a health maintenance organization or a similar entity </w:t>
      </w:r>
      <w:r>
        <w:rPr>
          <w:sz w:val="20"/>
        </w:rPr>
        <w:t>must</w:t>
      </w:r>
      <w:r w:rsidRPr="009161EE">
        <w:rPr>
          <w:sz w:val="20"/>
        </w:rPr>
        <w:t xml:space="preserve"> not restrict the choice of the qualified person, from whom the individual may receive services under Section 1905(a)(4)(c).” Therefore, Medicaid </w:t>
      </w:r>
      <w:r>
        <w:rPr>
          <w:sz w:val="20"/>
        </w:rPr>
        <w:t>enrollee</w:t>
      </w:r>
      <w:r w:rsidRPr="009161EE">
        <w:rPr>
          <w:sz w:val="20"/>
        </w:rPr>
        <w:t>s must be allowed freedom of choice of family planning providers and may receive such services from any family planning provider, including those outside the MCO’s provider network, without prior authorization.</w:t>
      </w:r>
    </w:p>
  </w:footnote>
  <w:footnote w:id="4">
    <w:p w14:paraId="6745DB61" w14:textId="77777777" w:rsidR="00613ED8" w:rsidRPr="005C2321" w:rsidRDefault="00613ED8" w:rsidP="002B6C15">
      <w:pPr>
        <w:pStyle w:val="FootnoteText"/>
        <w:spacing w:after="0"/>
        <w:ind w:left="274" w:hanging="274"/>
        <w:rPr>
          <w:sz w:val="20"/>
        </w:rPr>
      </w:pPr>
      <w:r w:rsidRPr="005C2321">
        <w:rPr>
          <w:rStyle w:val="FootnoteReference"/>
          <w:sz w:val="20"/>
        </w:rPr>
        <w:footnoteRef/>
      </w:r>
      <w:r w:rsidRPr="005C2321">
        <w:rPr>
          <w:sz w:val="20"/>
        </w:rPr>
        <w:t xml:space="preserve"> </w:t>
      </w:r>
      <w:r w:rsidRPr="005C2321">
        <w:rPr>
          <w:sz w:val="20"/>
        </w:rPr>
        <w:tab/>
        <w:t>Infertility services are excluded per West Virginia State law, section 33-25A-4(2)(b).</w:t>
      </w:r>
    </w:p>
  </w:footnote>
  <w:footnote w:id="5">
    <w:p w14:paraId="7DFE100C" w14:textId="77777777" w:rsidR="00613ED8" w:rsidRPr="005C2321" w:rsidRDefault="00613ED8" w:rsidP="002B6C15">
      <w:pPr>
        <w:pStyle w:val="FootnoteText"/>
        <w:spacing w:after="0"/>
        <w:ind w:left="274" w:hanging="274"/>
        <w:rPr>
          <w:sz w:val="20"/>
        </w:rPr>
      </w:pPr>
      <w:r w:rsidRPr="005C2321">
        <w:rPr>
          <w:rStyle w:val="FootnoteReference"/>
          <w:sz w:val="20"/>
        </w:rPr>
        <w:footnoteRef/>
      </w:r>
      <w:r w:rsidRPr="005C2321">
        <w:rPr>
          <w:sz w:val="20"/>
        </w:rPr>
        <w:t xml:space="preserve"> </w:t>
      </w:r>
      <w:r w:rsidRPr="005C2321">
        <w:rPr>
          <w:sz w:val="20"/>
        </w:rPr>
        <w:tab/>
        <w:t>The term “health care professional” means a physician (as defined in section 1861(r) of the Social Security Act) or other health care professional if coverage for the professional’s services is provided under the Managed Care Plan’s Contract for the services. A health care professional includes the following: podiatrist, optometrist, chiropractor, psychologist, dentist, physician assistant, physical or occupational therapist and therapy assistant, speech-language pathologist, audiologist, registered or licensed practical nurse (including nurse practitioner,</w:t>
      </w:r>
      <w:r w:rsidRPr="005C2321">
        <w:t xml:space="preserve"> </w:t>
      </w:r>
      <w:r w:rsidRPr="005C2321">
        <w:rPr>
          <w:sz w:val="20"/>
        </w:rPr>
        <w:t>clinical nurse specialist, certified registered nurse, registered nurse anesthetist, and certified nurse-midwife), licensed certified social worker, registered respiratory therapist, and certified respiratory therapy technician.</w:t>
      </w:r>
    </w:p>
  </w:footnote>
  <w:footnote w:id="6">
    <w:p w14:paraId="39C3C336" w14:textId="084436AE" w:rsidR="00613ED8" w:rsidRDefault="00613ED8" w:rsidP="002B6C15">
      <w:pPr>
        <w:pStyle w:val="FootnoteText"/>
        <w:ind w:left="270" w:hanging="270"/>
      </w:pPr>
      <w:r>
        <w:rPr>
          <w:rStyle w:val="FootnoteReference"/>
        </w:rPr>
        <w:footnoteRef/>
      </w:r>
      <w:r>
        <w:t xml:space="preserve"> </w:t>
      </w:r>
      <w:r>
        <w:tab/>
      </w:r>
      <w:r w:rsidRPr="005C2321">
        <w:rPr>
          <w:sz w:val="20"/>
        </w:rPr>
        <w:t>Tertiary hospital services include (1) acute care services to pediatric patients in medical and surgical units; (2) obstetrics services; and (3) a neo-natal intensive care unit.</w:t>
      </w:r>
    </w:p>
  </w:footnote>
  <w:footnote w:id="7">
    <w:p w14:paraId="36F7785B" w14:textId="5DF49ABB" w:rsidR="00613ED8" w:rsidRPr="005C2321" w:rsidRDefault="00613ED8" w:rsidP="005C2321">
      <w:pPr>
        <w:pStyle w:val="FootnoteText"/>
        <w:spacing w:after="0"/>
        <w:ind w:left="274" w:hanging="274"/>
        <w:rPr>
          <w:sz w:val="20"/>
        </w:rPr>
      </w:pPr>
      <w:r w:rsidRPr="005C2321">
        <w:rPr>
          <w:rStyle w:val="FootnoteReference"/>
          <w:sz w:val="20"/>
        </w:rPr>
        <w:footnoteRef/>
      </w:r>
      <w:r w:rsidRPr="005C2321">
        <w:rPr>
          <w:sz w:val="20"/>
        </w:rPr>
        <w:t xml:space="preserve"> </w:t>
      </w:r>
      <w:r w:rsidRPr="005C2321">
        <w:rPr>
          <w:sz w:val="20"/>
        </w:rPr>
        <w:tab/>
        <w:t>Certified nurse midwives are required to practice in a collaborative relationship with a licensed physician (West Virginia Code §30-15-7). The MCO must ensure compliance with all relevant federal and state regulations related to certified nurse midwives.</w:t>
      </w:r>
    </w:p>
  </w:footnote>
  <w:footnote w:id="8">
    <w:p w14:paraId="790FA505" w14:textId="195EC9A6" w:rsidR="00613ED8" w:rsidRPr="005C2321" w:rsidRDefault="00613ED8" w:rsidP="005C2321">
      <w:pPr>
        <w:pStyle w:val="FootnoteText"/>
        <w:spacing w:after="0"/>
        <w:ind w:left="270" w:hanging="270"/>
        <w:rPr>
          <w:sz w:val="20"/>
        </w:rPr>
      </w:pPr>
      <w:r w:rsidRPr="005C2321">
        <w:rPr>
          <w:rStyle w:val="FootnoteReference"/>
          <w:sz w:val="20"/>
        </w:rPr>
        <w:footnoteRef/>
      </w:r>
      <w:r w:rsidRPr="005C2321">
        <w:rPr>
          <w:sz w:val="20"/>
        </w:rPr>
        <w:t xml:space="preserve"> </w:t>
      </w:r>
      <w:r w:rsidRPr="005C2321">
        <w:rPr>
          <w:sz w:val="20"/>
        </w:rPr>
        <w:tab/>
        <w:t>Nurse practitioners with prescriptive authority must practice in a collaborative relationship with a licensed physician (West Virginia Code §30-7-15a). The MCO must ensure compliance with all relevant federal and state regulations related to nurse practitioners.</w:t>
      </w:r>
    </w:p>
  </w:footnote>
  <w:footnote w:id="9">
    <w:p w14:paraId="16BA8736" w14:textId="77777777" w:rsidR="00613ED8" w:rsidRPr="00CB40F8" w:rsidRDefault="00613ED8" w:rsidP="00CB40F8">
      <w:pPr>
        <w:pStyle w:val="FootnoteText"/>
        <w:spacing w:after="0"/>
        <w:ind w:left="274" w:hanging="274"/>
        <w:rPr>
          <w:sz w:val="20"/>
        </w:rPr>
      </w:pPr>
      <w:r w:rsidRPr="00CB40F8">
        <w:rPr>
          <w:rStyle w:val="FootnoteReference"/>
          <w:sz w:val="20"/>
        </w:rPr>
        <w:footnoteRef/>
      </w:r>
      <w:r w:rsidRPr="00CB40F8">
        <w:rPr>
          <w:sz w:val="20"/>
        </w:rPr>
        <w:tab/>
        <w:t xml:space="preserve">Since federal law requires states to assure access to certified pediatric or family nurse practitioners and certified nurse midwives, and states are not allowed to waive this requirement, the MCOs must provide access to these services. </w:t>
      </w:r>
    </w:p>
  </w:footnote>
  <w:footnote w:id="10">
    <w:p w14:paraId="0CE1D6FF" w14:textId="62153A78" w:rsidR="00613ED8" w:rsidRPr="00CB40F8" w:rsidRDefault="00613ED8" w:rsidP="00CB40F8">
      <w:pPr>
        <w:pStyle w:val="FootnoteText"/>
        <w:spacing w:after="0"/>
        <w:ind w:left="274" w:hanging="274"/>
        <w:rPr>
          <w:sz w:val="20"/>
        </w:rPr>
      </w:pPr>
      <w:r w:rsidRPr="00CB40F8">
        <w:rPr>
          <w:rStyle w:val="FootnoteReference"/>
          <w:sz w:val="20"/>
        </w:rPr>
        <w:footnoteRef/>
      </w:r>
      <w:r w:rsidRPr="00CB40F8">
        <w:rPr>
          <w:sz w:val="20"/>
        </w:rPr>
        <w:tab/>
        <w:t>Health centers not receiving grants but certified by the Secretary of Health and Human Services as meeting the requirements of the grant program may also apply for FQHC status as an FQHC “look-alike.” All FQHCs are non-profit or public entities and must be located in areas designated by the federal government as medically underserved.</w:t>
      </w:r>
    </w:p>
  </w:footnote>
  <w:footnote w:id="11">
    <w:p w14:paraId="56A9CAD4" w14:textId="2AEFE9A6" w:rsidR="00613ED8" w:rsidRDefault="00613ED8">
      <w:pPr>
        <w:pStyle w:val="FootnoteText"/>
      </w:pPr>
      <w:r>
        <w:rPr>
          <w:rStyle w:val="FootnoteReference"/>
        </w:rPr>
        <w:footnoteRef/>
      </w:r>
      <w:r>
        <w:t xml:space="preserve"> </w:t>
      </w:r>
      <w:r w:rsidRPr="00C3245F">
        <w:t>Registered Nurses and Licensed Social Workers that, on behalf of medical homes of children and youth with special heath care needs, facilitate the patient and family engagement necessary for coordinated, ongoing, comprehensive care.</w:t>
      </w:r>
    </w:p>
  </w:footnote>
  <w:footnote w:id="12">
    <w:p w14:paraId="4F01A6D7" w14:textId="77777777" w:rsidR="00613ED8" w:rsidRPr="005C2321" w:rsidRDefault="00613ED8" w:rsidP="005C2321">
      <w:pPr>
        <w:pStyle w:val="FootnoteText"/>
        <w:spacing w:after="0"/>
        <w:ind w:left="274" w:hanging="274"/>
        <w:rPr>
          <w:sz w:val="20"/>
        </w:rPr>
      </w:pPr>
      <w:r w:rsidRPr="005C2321">
        <w:rPr>
          <w:rStyle w:val="FootnoteReference"/>
          <w:sz w:val="20"/>
        </w:rPr>
        <w:footnoteRef/>
      </w:r>
      <w:r w:rsidRPr="005C2321">
        <w:rPr>
          <w:sz w:val="20"/>
        </w:rPr>
        <w:tab/>
        <w:t>Many commercial word processing software programs contain utilities for testing the readability of documents produced using the program.</w:t>
      </w:r>
    </w:p>
  </w:footnote>
  <w:footnote w:id="13">
    <w:p w14:paraId="0D6A5469" w14:textId="77777777" w:rsidR="00613ED8" w:rsidRPr="00B806BF" w:rsidRDefault="00613ED8" w:rsidP="00B806BF">
      <w:pPr>
        <w:pStyle w:val="FootnoteText"/>
        <w:spacing w:after="0"/>
        <w:ind w:left="274" w:hanging="274"/>
        <w:rPr>
          <w:sz w:val="20"/>
        </w:rPr>
      </w:pPr>
      <w:r w:rsidRPr="00B806BF">
        <w:rPr>
          <w:rStyle w:val="FootnoteReference"/>
          <w:sz w:val="20"/>
        </w:rPr>
        <w:footnoteRef/>
      </w:r>
      <w:r w:rsidRPr="00B806BF">
        <w:rPr>
          <w:sz w:val="20"/>
        </w:rPr>
        <w:tab/>
        <w:t>The MCO should contact the county BMS office to obtain information on how enrollees can obtain non-emergency transportation and Medically Necessary transportation.</w:t>
      </w:r>
    </w:p>
  </w:footnote>
  <w:footnote w:id="14">
    <w:p w14:paraId="4334EC81" w14:textId="77777777" w:rsidR="00613ED8" w:rsidRPr="00B806BF" w:rsidRDefault="00613ED8" w:rsidP="00B806BF">
      <w:pPr>
        <w:pStyle w:val="FootnoteText"/>
        <w:spacing w:after="0"/>
        <w:ind w:left="274" w:hanging="274"/>
        <w:rPr>
          <w:sz w:val="20"/>
        </w:rPr>
      </w:pPr>
      <w:r w:rsidRPr="00B806BF">
        <w:rPr>
          <w:rStyle w:val="FootnoteReference"/>
          <w:sz w:val="20"/>
        </w:rPr>
        <w:footnoteRef/>
      </w:r>
      <w:r w:rsidRPr="00B806BF">
        <w:rPr>
          <w:sz w:val="20"/>
        </w:rPr>
        <w:tab/>
        <w:t>The MCO should contact the county BMS office to obtain information on what enrollees need to do in the case of out-of-county and out-of-state moves.</w:t>
      </w:r>
    </w:p>
  </w:footnote>
  <w:footnote w:id="15">
    <w:p w14:paraId="6061D8B8" w14:textId="7CCB962D" w:rsidR="00613ED8" w:rsidRPr="00A17103" w:rsidRDefault="00613ED8" w:rsidP="00A17103">
      <w:pPr>
        <w:pStyle w:val="FootnoteText"/>
        <w:ind w:left="270" w:hanging="270"/>
        <w:rPr>
          <w:sz w:val="20"/>
        </w:rPr>
      </w:pPr>
      <w:r w:rsidRPr="00A17103">
        <w:rPr>
          <w:rStyle w:val="FootnoteReference"/>
          <w:sz w:val="20"/>
        </w:rPr>
        <w:footnoteRef/>
      </w:r>
      <w:r w:rsidRPr="00A17103">
        <w:rPr>
          <w:sz w:val="20"/>
        </w:rPr>
        <w:t xml:space="preserve"> </w:t>
      </w:r>
      <w:r>
        <w:rPr>
          <w:sz w:val="20"/>
        </w:rPr>
        <w:tab/>
      </w:r>
      <w:r w:rsidRPr="00A17103">
        <w:rPr>
          <w:sz w:val="20"/>
        </w:rPr>
        <w:t xml:space="preserve">State fair hearing process is conducted </w:t>
      </w:r>
      <w:r>
        <w:rPr>
          <w:sz w:val="20"/>
        </w:rPr>
        <w:t xml:space="preserve">by the West Virginia DHHR Board of Review </w:t>
      </w:r>
      <w:r w:rsidRPr="00A17103">
        <w:rPr>
          <w:sz w:val="20"/>
        </w:rPr>
        <w:t>in accordance with the WV Common Chapter §710, Subpart A, Hearings for Applicants and Recipients of Public Assistance</w:t>
      </w:r>
    </w:p>
  </w:footnote>
  <w:footnote w:id="16">
    <w:p w14:paraId="24C3EC1A" w14:textId="77777777" w:rsidR="00613ED8" w:rsidRPr="00A17103" w:rsidRDefault="00613ED8">
      <w:pPr>
        <w:pStyle w:val="BodyTextIndent"/>
        <w:tabs>
          <w:tab w:val="clear" w:pos="720"/>
        </w:tabs>
        <w:ind w:left="270" w:hanging="270"/>
        <w:rPr>
          <w:rStyle w:val="FootnoteReference"/>
          <w:sz w:val="20"/>
          <w:vertAlign w:val="baseline"/>
        </w:rPr>
      </w:pPr>
      <w:r w:rsidRPr="00A17103">
        <w:rPr>
          <w:rStyle w:val="FootnoteReference"/>
          <w:sz w:val="20"/>
        </w:rPr>
        <w:footnoteRef/>
      </w:r>
      <w:r w:rsidRPr="00A17103">
        <w:rPr>
          <w:rStyle w:val="FootnoteReference"/>
          <w:sz w:val="20"/>
        </w:rPr>
        <w:t xml:space="preserve"> </w:t>
      </w:r>
      <w:r w:rsidRPr="00A17103">
        <w:rPr>
          <w:sz w:val="20"/>
        </w:rPr>
        <w:tab/>
      </w:r>
      <w:r w:rsidRPr="00A17103">
        <w:rPr>
          <w:rStyle w:val="FootnoteReference"/>
          <w:sz w:val="20"/>
          <w:vertAlign w:val="baseline"/>
        </w:rPr>
        <w:t>A project has been initiated when it has proceeded at least to the point of baseline data collection. That is, the MCO has selected a particular aspect of care for performance measurement, identified the statistical indicator or indicators that will be used, and begun the process of collecting the data needed for an initial assessment of its performance on the indicator(s).</w:t>
      </w:r>
    </w:p>
  </w:footnote>
  <w:footnote w:id="17">
    <w:p w14:paraId="02444075" w14:textId="5EC5BB9D" w:rsidR="00613ED8" w:rsidRPr="00920847" w:rsidRDefault="00613ED8" w:rsidP="0016719F">
      <w:pPr>
        <w:pStyle w:val="FootnoteText"/>
        <w:spacing w:after="0"/>
        <w:ind w:left="274" w:hanging="274"/>
        <w:rPr>
          <w:sz w:val="20"/>
        </w:rPr>
      </w:pPr>
      <w:r w:rsidRPr="00920847">
        <w:rPr>
          <w:rStyle w:val="FootnoteReference"/>
          <w:sz w:val="20"/>
        </w:rPr>
        <w:footnoteRef/>
      </w:r>
      <w:r w:rsidRPr="00920847">
        <w:rPr>
          <w:sz w:val="20"/>
        </w:rPr>
        <w:t xml:space="preserve"> </w:t>
      </w:r>
      <w:r w:rsidRPr="00920847">
        <w:rPr>
          <w:sz w:val="20"/>
        </w:rPr>
        <w:tab/>
        <w:t xml:space="preserve">The MCO must cover the full scope of the dental services under the EPSDT coverage requirements for </w:t>
      </w:r>
      <w:r>
        <w:rPr>
          <w:sz w:val="20"/>
        </w:rPr>
        <w:t>enrollee</w:t>
      </w:r>
      <w:r w:rsidRPr="00920847">
        <w:rPr>
          <w:sz w:val="20"/>
        </w:rPr>
        <w:t>s under twenty-one (21).</w:t>
      </w:r>
    </w:p>
  </w:footnote>
  <w:footnote w:id="18">
    <w:p w14:paraId="0F696F18" w14:textId="7E28CB07" w:rsidR="00613ED8" w:rsidRPr="00920847" w:rsidRDefault="00613ED8" w:rsidP="0016719F">
      <w:pPr>
        <w:pStyle w:val="FootnoteText"/>
        <w:spacing w:after="0"/>
        <w:ind w:left="274" w:hanging="274"/>
        <w:rPr>
          <w:sz w:val="20"/>
        </w:rPr>
      </w:pPr>
      <w:r w:rsidRPr="00920847">
        <w:rPr>
          <w:rStyle w:val="FootnoteReference"/>
          <w:sz w:val="20"/>
        </w:rPr>
        <w:footnoteRef/>
      </w:r>
      <w:r w:rsidRPr="00920847">
        <w:rPr>
          <w:sz w:val="20"/>
        </w:rPr>
        <w:t xml:space="preserve"> </w:t>
      </w:r>
      <w:r>
        <w:rPr>
          <w:sz w:val="20"/>
        </w:rPr>
        <w:tab/>
      </w:r>
      <w:r w:rsidRPr="00920847">
        <w:rPr>
          <w:sz w:val="20"/>
        </w:rPr>
        <w:t>42 CFR § 438.210</w:t>
      </w:r>
    </w:p>
  </w:footnote>
  <w:footnote w:id="19">
    <w:p w14:paraId="2BFC19BD" w14:textId="77852EA3" w:rsidR="00613ED8" w:rsidRDefault="00613ED8" w:rsidP="00235E1B">
      <w:pPr>
        <w:pStyle w:val="FootnoteText"/>
        <w:spacing w:after="0"/>
        <w:ind w:left="270" w:hanging="270"/>
      </w:pPr>
      <w:r>
        <w:rPr>
          <w:rStyle w:val="FootnoteReference"/>
        </w:rPr>
        <w:footnoteRef/>
      </w:r>
      <w:r>
        <w:t xml:space="preserve"> </w:t>
      </w:r>
      <w:r>
        <w:tab/>
      </w:r>
      <w:r w:rsidRPr="005C2321">
        <w:rPr>
          <w:sz w:val="20"/>
        </w:rPr>
        <w:t>Tertiary hospital services include (1) acute care services to pediatric patients in medical and surgical units; (2) obstetrics services; and (3) a neo-natal intensive care unit.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36454"/>
      <w:docPartObj>
        <w:docPartGallery w:val="Watermarks"/>
        <w:docPartUnique/>
      </w:docPartObj>
    </w:sdtPr>
    <w:sdtEndPr/>
    <w:sdtContent>
      <w:p w14:paraId="6AB2B333" w14:textId="6F980516" w:rsidR="00613ED8" w:rsidRDefault="00821FDF">
        <w:pPr>
          <w:pStyle w:val="Header"/>
        </w:pPr>
        <w:r>
          <w:pict w14:anchorId="4C1858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22D90" w14:textId="77777777" w:rsidR="00613ED8" w:rsidRDefault="00613E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0FD3E" w14:textId="77777777" w:rsidR="00613ED8" w:rsidRDefault="00613E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E6E22" w14:textId="77777777" w:rsidR="00613ED8" w:rsidRDefault="00613ED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6D094" w14:textId="77777777" w:rsidR="00613ED8" w:rsidRDefault="00613ED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D548" w14:textId="77777777" w:rsidR="00613ED8" w:rsidRDefault="00613ED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A942" w14:textId="77777777" w:rsidR="00613ED8" w:rsidRDefault="00613E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C5EA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F1A019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28AA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BC497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55E21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5671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16E9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2691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E672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FA20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56F28"/>
    <w:multiLevelType w:val="hybridMultilevel"/>
    <w:tmpl w:val="43765136"/>
    <w:lvl w:ilvl="0" w:tplc="04090001">
      <w:start w:val="1"/>
      <w:numFmt w:val="bullet"/>
      <w:lvlText w:val=""/>
      <w:lvlJc w:val="left"/>
      <w:pPr>
        <w:tabs>
          <w:tab w:val="num" w:pos="668"/>
        </w:tabs>
        <w:ind w:left="668" w:hanging="360"/>
      </w:pPr>
      <w:rPr>
        <w:rFonts w:ascii="Symbol" w:hAnsi="Symbol" w:hint="default"/>
      </w:rPr>
    </w:lvl>
    <w:lvl w:ilvl="1" w:tplc="1D780F58">
      <w:start w:val="1"/>
      <w:numFmt w:val="decimal"/>
      <w:lvlText w:val="%2."/>
      <w:lvlJc w:val="left"/>
      <w:pPr>
        <w:tabs>
          <w:tab w:val="num" w:pos="1512"/>
        </w:tabs>
        <w:ind w:left="1512" w:hanging="432"/>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0183623"/>
    <w:multiLevelType w:val="multilevel"/>
    <w:tmpl w:val="41884946"/>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855" w:hanging="49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0992293"/>
    <w:multiLevelType w:val="hybridMultilevel"/>
    <w:tmpl w:val="35D22B6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00B01726"/>
    <w:multiLevelType w:val="hybridMultilevel"/>
    <w:tmpl w:val="660653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0B6001D"/>
    <w:multiLevelType w:val="hybridMultilevel"/>
    <w:tmpl w:val="0C38FBC6"/>
    <w:lvl w:ilvl="0" w:tplc="04090001">
      <w:start w:val="1"/>
      <w:numFmt w:val="bullet"/>
      <w:lvlText w:val=""/>
      <w:lvlJc w:val="left"/>
      <w:pPr>
        <w:tabs>
          <w:tab w:val="num" w:pos="468"/>
        </w:tabs>
        <w:ind w:left="468"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0B84532"/>
    <w:multiLevelType w:val="hybridMultilevel"/>
    <w:tmpl w:val="3C5E4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0E924FA"/>
    <w:multiLevelType w:val="hybridMultilevel"/>
    <w:tmpl w:val="FA04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EE60AE"/>
    <w:multiLevelType w:val="hybridMultilevel"/>
    <w:tmpl w:val="F3DC0AC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13F028D"/>
    <w:multiLevelType w:val="hybridMultilevel"/>
    <w:tmpl w:val="34343398"/>
    <w:lvl w:ilvl="0" w:tplc="9C781FB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1430AE6"/>
    <w:multiLevelType w:val="hybridMultilevel"/>
    <w:tmpl w:val="AC3850F4"/>
    <w:lvl w:ilvl="0" w:tplc="965E2E8A">
      <w:start w:val="1"/>
      <w:numFmt w:val="bullet"/>
      <w:lvlText w:val=""/>
      <w:lvlJc w:val="left"/>
      <w:pPr>
        <w:tabs>
          <w:tab w:val="num" w:pos="1860"/>
        </w:tabs>
        <w:ind w:left="1860" w:hanging="360"/>
      </w:pPr>
      <w:rPr>
        <w:rFonts w:ascii="Symbol" w:hAnsi="Symbol" w:hint="default"/>
        <w:sz w:val="24"/>
      </w:rPr>
    </w:lvl>
    <w:lvl w:ilvl="1" w:tplc="04090001">
      <w:start w:val="1"/>
      <w:numFmt w:val="bullet"/>
      <w:lvlText w:val=""/>
      <w:lvlJc w:val="left"/>
      <w:pPr>
        <w:tabs>
          <w:tab w:val="num" w:pos="2580"/>
        </w:tabs>
        <w:ind w:left="2580" w:hanging="360"/>
      </w:pPr>
      <w:rPr>
        <w:rFonts w:ascii="Symbol" w:hAnsi="Symbol"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20" w15:restartNumberingAfterBreak="0">
    <w:nsid w:val="014A2578"/>
    <w:multiLevelType w:val="hybridMultilevel"/>
    <w:tmpl w:val="5ECE9F3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15004C3"/>
    <w:multiLevelType w:val="hybridMultilevel"/>
    <w:tmpl w:val="DDC2E98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015F42FD"/>
    <w:multiLevelType w:val="hybridMultilevel"/>
    <w:tmpl w:val="6FAC98B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0172191B"/>
    <w:multiLevelType w:val="hybridMultilevel"/>
    <w:tmpl w:val="B908DB92"/>
    <w:lvl w:ilvl="0" w:tplc="A3FC74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01751CCC"/>
    <w:multiLevelType w:val="hybridMultilevel"/>
    <w:tmpl w:val="D82CD15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01775211"/>
    <w:multiLevelType w:val="hybridMultilevel"/>
    <w:tmpl w:val="54B076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184507D"/>
    <w:multiLevelType w:val="hybridMultilevel"/>
    <w:tmpl w:val="69161168"/>
    <w:lvl w:ilvl="0" w:tplc="B36CA722">
      <w:start w:val="1"/>
      <w:numFmt w:val="decimal"/>
      <w:lvlText w:val="%1."/>
      <w:lvlJc w:val="left"/>
      <w:pPr>
        <w:ind w:left="126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01A260D2"/>
    <w:multiLevelType w:val="hybridMultilevel"/>
    <w:tmpl w:val="5C8CD7F4"/>
    <w:lvl w:ilvl="0" w:tplc="5A389D9C">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01B5267F"/>
    <w:multiLevelType w:val="multilevel"/>
    <w:tmpl w:val="7F102224"/>
    <w:lvl w:ilvl="0">
      <w:start w:val="1"/>
      <w:numFmt w:val="decimal"/>
      <w:lvlText w:val="%1."/>
      <w:lvlJc w:val="left"/>
      <w:pPr>
        <w:ind w:left="720" w:hanging="360"/>
      </w:pPr>
      <w:rPr>
        <w:rFonts w:ascii="Calibri" w:hAnsi="Calibri" w:hint="default"/>
        <w:sz w:val="20"/>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01F07AF0"/>
    <w:multiLevelType w:val="hybridMultilevel"/>
    <w:tmpl w:val="331C311A"/>
    <w:lvl w:ilvl="0" w:tplc="04090017">
      <w:start w:val="1"/>
      <w:numFmt w:val="lowerLetter"/>
      <w:lvlText w:val="%1)"/>
      <w:lvlJc w:val="left"/>
      <w:pPr>
        <w:tabs>
          <w:tab w:val="num" w:pos="1080"/>
        </w:tabs>
        <w:ind w:left="1080" w:hanging="360"/>
      </w:pPr>
      <w:rPr>
        <w:rFonts w:hint="default"/>
        <w:b w:val="0"/>
        <w:i w:val="0"/>
        <w:sz w:val="22"/>
        <w:szCs w:val="2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02081F3D"/>
    <w:multiLevelType w:val="hybridMultilevel"/>
    <w:tmpl w:val="1F8E12CE"/>
    <w:lvl w:ilvl="0" w:tplc="04090001">
      <w:start w:val="1"/>
      <w:numFmt w:val="bullet"/>
      <w:lvlText w:val=""/>
      <w:lvlJc w:val="left"/>
      <w:pPr>
        <w:tabs>
          <w:tab w:val="num" w:pos="468"/>
        </w:tabs>
        <w:ind w:left="468" w:hanging="360"/>
      </w:pPr>
      <w:rPr>
        <w:rFonts w:ascii="Symbol" w:hAnsi="Symbol" w:hint="default"/>
      </w:rPr>
    </w:lvl>
    <w:lvl w:ilvl="1" w:tplc="04090003" w:tentative="1">
      <w:start w:val="1"/>
      <w:numFmt w:val="bullet"/>
      <w:lvlText w:val="o"/>
      <w:lvlJc w:val="left"/>
      <w:pPr>
        <w:tabs>
          <w:tab w:val="num" w:pos="1188"/>
        </w:tabs>
        <w:ind w:left="1188" w:hanging="360"/>
      </w:pPr>
      <w:rPr>
        <w:rFonts w:ascii="Courier New" w:hAnsi="Courier New" w:cs="Courier New" w:hint="default"/>
      </w:rPr>
    </w:lvl>
    <w:lvl w:ilvl="2" w:tplc="04090005" w:tentative="1">
      <w:start w:val="1"/>
      <w:numFmt w:val="bullet"/>
      <w:lvlText w:val=""/>
      <w:lvlJc w:val="left"/>
      <w:pPr>
        <w:tabs>
          <w:tab w:val="num" w:pos="1908"/>
        </w:tabs>
        <w:ind w:left="1908" w:hanging="360"/>
      </w:pPr>
      <w:rPr>
        <w:rFonts w:ascii="Wingdings" w:hAnsi="Wingdings" w:hint="default"/>
      </w:rPr>
    </w:lvl>
    <w:lvl w:ilvl="3" w:tplc="04090001" w:tentative="1">
      <w:start w:val="1"/>
      <w:numFmt w:val="bullet"/>
      <w:lvlText w:val=""/>
      <w:lvlJc w:val="left"/>
      <w:pPr>
        <w:tabs>
          <w:tab w:val="num" w:pos="2628"/>
        </w:tabs>
        <w:ind w:left="2628" w:hanging="360"/>
      </w:pPr>
      <w:rPr>
        <w:rFonts w:ascii="Symbol" w:hAnsi="Symbol" w:hint="default"/>
      </w:rPr>
    </w:lvl>
    <w:lvl w:ilvl="4" w:tplc="04090003" w:tentative="1">
      <w:start w:val="1"/>
      <w:numFmt w:val="bullet"/>
      <w:lvlText w:val="o"/>
      <w:lvlJc w:val="left"/>
      <w:pPr>
        <w:tabs>
          <w:tab w:val="num" w:pos="3348"/>
        </w:tabs>
        <w:ind w:left="3348" w:hanging="360"/>
      </w:pPr>
      <w:rPr>
        <w:rFonts w:ascii="Courier New" w:hAnsi="Courier New" w:cs="Courier New" w:hint="default"/>
      </w:rPr>
    </w:lvl>
    <w:lvl w:ilvl="5" w:tplc="04090005" w:tentative="1">
      <w:start w:val="1"/>
      <w:numFmt w:val="bullet"/>
      <w:lvlText w:val=""/>
      <w:lvlJc w:val="left"/>
      <w:pPr>
        <w:tabs>
          <w:tab w:val="num" w:pos="4068"/>
        </w:tabs>
        <w:ind w:left="4068" w:hanging="360"/>
      </w:pPr>
      <w:rPr>
        <w:rFonts w:ascii="Wingdings" w:hAnsi="Wingdings" w:hint="default"/>
      </w:rPr>
    </w:lvl>
    <w:lvl w:ilvl="6" w:tplc="04090001" w:tentative="1">
      <w:start w:val="1"/>
      <w:numFmt w:val="bullet"/>
      <w:lvlText w:val=""/>
      <w:lvlJc w:val="left"/>
      <w:pPr>
        <w:tabs>
          <w:tab w:val="num" w:pos="4788"/>
        </w:tabs>
        <w:ind w:left="4788" w:hanging="360"/>
      </w:pPr>
      <w:rPr>
        <w:rFonts w:ascii="Symbol" w:hAnsi="Symbol" w:hint="default"/>
      </w:rPr>
    </w:lvl>
    <w:lvl w:ilvl="7" w:tplc="04090003" w:tentative="1">
      <w:start w:val="1"/>
      <w:numFmt w:val="bullet"/>
      <w:lvlText w:val="o"/>
      <w:lvlJc w:val="left"/>
      <w:pPr>
        <w:tabs>
          <w:tab w:val="num" w:pos="5508"/>
        </w:tabs>
        <w:ind w:left="5508" w:hanging="360"/>
      </w:pPr>
      <w:rPr>
        <w:rFonts w:ascii="Courier New" w:hAnsi="Courier New" w:cs="Courier New" w:hint="default"/>
      </w:rPr>
    </w:lvl>
    <w:lvl w:ilvl="8" w:tplc="04090005" w:tentative="1">
      <w:start w:val="1"/>
      <w:numFmt w:val="bullet"/>
      <w:lvlText w:val=""/>
      <w:lvlJc w:val="left"/>
      <w:pPr>
        <w:tabs>
          <w:tab w:val="num" w:pos="6228"/>
        </w:tabs>
        <w:ind w:left="6228" w:hanging="360"/>
      </w:pPr>
      <w:rPr>
        <w:rFonts w:ascii="Wingdings" w:hAnsi="Wingdings" w:hint="default"/>
      </w:rPr>
    </w:lvl>
  </w:abstractNum>
  <w:abstractNum w:abstractNumId="31" w15:restartNumberingAfterBreak="0">
    <w:nsid w:val="020A64D3"/>
    <w:multiLevelType w:val="hybridMultilevel"/>
    <w:tmpl w:val="95B857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020B12A4"/>
    <w:multiLevelType w:val="hybridMultilevel"/>
    <w:tmpl w:val="861443D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023E2080"/>
    <w:multiLevelType w:val="hybridMultilevel"/>
    <w:tmpl w:val="C3309B26"/>
    <w:lvl w:ilvl="0" w:tplc="0409000F">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397"/>
        </w:tabs>
        <w:ind w:left="1397" w:hanging="360"/>
      </w:pPr>
    </w:lvl>
    <w:lvl w:ilvl="2" w:tplc="0409001B" w:tentative="1">
      <w:start w:val="1"/>
      <w:numFmt w:val="lowerRoman"/>
      <w:lvlText w:val="%3."/>
      <w:lvlJc w:val="right"/>
      <w:pPr>
        <w:tabs>
          <w:tab w:val="num" w:pos="2117"/>
        </w:tabs>
        <w:ind w:left="2117" w:hanging="180"/>
      </w:pPr>
    </w:lvl>
    <w:lvl w:ilvl="3" w:tplc="0409000F" w:tentative="1">
      <w:start w:val="1"/>
      <w:numFmt w:val="decimal"/>
      <w:lvlText w:val="%4."/>
      <w:lvlJc w:val="left"/>
      <w:pPr>
        <w:tabs>
          <w:tab w:val="num" w:pos="2837"/>
        </w:tabs>
        <w:ind w:left="2837" w:hanging="360"/>
      </w:pPr>
    </w:lvl>
    <w:lvl w:ilvl="4" w:tplc="04090019" w:tentative="1">
      <w:start w:val="1"/>
      <w:numFmt w:val="lowerLetter"/>
      <w:lvlText w:val="%5."/>
      <w:lvlJc w:val="left"/>
      <w:pPr>
        <w:tabs>
          <w:tab w:val="num" w:pos="3557"/>
        </w:tabs>
        <w:ind w:left="3557" w:hanging="360"/>
      </w:pPr>
    </w:lvl>
    <w:lvl w:ilvl="5" w:tplc="0409001B" w:tentative="1">
      <w:start w:val="1"/>
      <w:numFmt w:val="lowerRoman"/>
      <w:lvlText w:val="%6."/>
      <w:lvlJc w:val="right"/>
      <w:pPr>
        <w:tabs>
          <w:tab w:val="num" w:pos="4277"/>
        </w:tabs>
        <w:ind w:left="4277" w:hanging="180"/>
      </w:pPr>
    </w:lvl>
    <w:lvl w:ilvl="6" w:tplc="0409000F" w:tentative="1">
      <w:start w:val="1"/>
      <w:numFmt w:val="decimal"/>
      <w:lvlText w:val="%7."/>
      <w:lvlJc w:val="left"/>
      <w:pPr>
        <w:tabs>
          <w:tab w:val="num" w:pos="4997"/>
        </w:tabs>
        <w:ind w:left="4997" w:hanging="360"/>
      </w:pPr>
    </w:lvl>
    <w:lvl w:ilvl="7" w:tplc="04090019" w:tentative="1">
      <w:start w:val="1"/>
      <w:numFmt w:val="lowerLetter"/>
      <w:lvlText w:val="%8."/>
      <w:lvlJc w:val="left"/>
      <w:pPr>
        <w:tabs>
          <w:tab w:val="num" w:pos="5717"/>
        </w:tabs>
        <w:ind w:left="5717" w:hanging="360"/>
      </w:pPr>
    </w:lvl>
    <w:lvl w:ilvl="8" w:tplc="0409001B" w:tentative="1">
      <w:start w:val="1"/>
      <w:numFmt w:val="lowerRoman"/>
      <w:lvlText w:val="%9."/>
      <w:lvlJc w:val="right"/>
      <w:pPr>
        <w:tabs>
          <w:tab w:val="num" w:pos="6437"/>
        </w:tabs>
        <w:ind w:left="6437" w:hanging="180"/>
      </w:pPr>
    </w:lvl>
  </w:abstractNum>
  <w:abstractNum w:abstractNumId="34" w15:restartNumberingAfterBreak="0">
    <w:nsid w:val="0242556F"/>
    <w:multiLevelType w:val="hybridMultilevel"/>
    <w:tmpl w:val="EBE087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026B6F8A"/>
    <w:multiLevelType w:val="hybridMultilevel"/>
    <w:tmpl w:val="BFDE26B0"/>
    <w:lvl w:ilvl="0" w:tplc="215A008C">
      <w:start w:val="1"/>
      <w:numFmt w:val="decimal"/>
      <w:lvlText w:val="%1."/>
      <w:lvlJc w:val="left"/>
      <w:pPr>
        <w:tabs>
          <w:tab w:val="num" w:pos="912"/>
        </w:tabs>
        <w:ind w:left="912" w:hanging="432"/>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0F">
      <w:start w:val="1"/>
      <w:numFmt w:val="decimal"/>
      <w:lvlText w:val="%3."/>
      <w:lvlJc w:val="left"/>
      <w:pPr>
        <w:tabs>
          <w:tab w:val="num" w:pos="2388"/>
        </w:tabs>
        <w:ind w:left="2388" w:hanging="36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36" w15:restartNumberingAfterBreak="0">
    <w:nsid w:val="027867E3"/>
    <w:multiLevelType w:val="multilevel"/>
    <w:tmpl w:val="A0DEE2D0"/>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1011" w:hanging="675"/>
      </w:pPr>
      <w:rPr>
        <w:rFonts w:hint="default"/>
      </w:rPr>
    </w:lvl>
    <w:lvl w:ilvl="2">
      <w:start w:val="1"/>
      <w:numFmt w:val="decimal"/>
      <w:isLgl/>
      <w:lvlText w:val="%1.%2.%3"/>
      <w:lvlJc w:val="left"/>
      <w:pPr>
        <w:ind w:left="139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424" w:hanging="1080"/>
      </w:pPr>
      <w:rPr>
        <w:rFonts w:hint="default"/>
      </w:rPr>
    </w:lvl>
    <w:lvl w:ilvl="5">
      <w:start w:val="1"/>
      <w:numFmt w:val="decimal"/>
      <w:isLgl/>
      <w:lvlText w:val="%1.%2.%3.%4.%5.%6"/>
      <w:lvlJc w:val="left"/>
      <w:pPr>
        <w:ind w:left="2760" w:hanging="1080"/>
      </w:pPr>
      <w:rPr>
        <w:rFonts w:hint="default"/>
      </w:rPr>
    </w:lvl>
    <w:lvl w:ilvl="6">
      <w:start w:val="1"/>
      <w:numFmt w:val="decimal"/>
      <w:isLgl/>
      <w:lvlText w:val="%1.%2.%3.%4.%5.%6.%7"/>
      <w:lvlJc w:val="left"/>
      <w:pPr>
        <w:ind w:left="3456" w:hanging="1440"/>
      </w:pPr>
      <w:rPr>
        <w:rFonts w:hint="default"/>
      </w:rPr>
    </w:lvl>
    <w:lvl w:ilvl="7">
      <w:start w:val="1"/>
      <w:numFmt w:val="decimal"/>
      <w:isLgl/>
      <w:lvlText w:val="%1.%2.%3.%4.%5.%6.%7.%8"/>
      <w:lvlJc w:val="left"/>
      <w:pPr>
        <w:ind w:left="3792" w:hanging="1440"/>
      </w:pPr>
      <w:rPr>
        <w:rFonts w:hint="default"/>
      </w:rPr>
    </w:lvl>
    <w:lvl w:ilvl="8">
      <w:start w:val="1"/>
      <w:numFmt w:val="decimal"/>
      <w:isLgl/>
      <w:lvlText w:val="%1.%2.%3.%4.%5.%6.%7.%8.%9"/>
      <w:lvlJc w:val="left"/>
      <w:pPr>
        <w:ind w:left="4488" w:hanging="1800"/>
      </w:pPr>
      <w:rPr>
        <w:rFonts w:hint="default"/>
      </w:rPr>
    </w:lvl>
  </w:abstractNum>
  <w:abstractNum w:abstractNumId="37" w15:restartNumberingAfterBreak="0">
    <w:nsid w:val="029707B1"/>
    <w:multiLevelType w:val="hybridMultilevel"/>
    <w:tmpl w:val="68A03572"/>
    <w:lvl w:ilvl="0" w:tplc="BF244624">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02A51FF1"/>
    <w:multiLevelType w:val="hybridMultilevel"/>
    <w:tmpl w:val="4F06F3B2"/>
    <w:lvl w:ilvl="0" w:tplc="04090001">
      <w:start w:val="1"/>
      <w:numFmt w:val="bullet"/>
      <w:lvlText w:val=""/>
      <w:lvlJc w:val="left"/>
      <w:pPr>
        <w:tabs>
          <w:tab w:val="num" w:pos="468"/>
        </w:tabs>
        <w:ind w:left="468"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02DB28A3"/>
    <w:multiLevelType w:val="hybridMultilevel"/>
    <w:tmpl w:val="82543648"/>
    <w:lvl w:ilvl="0" w:tplc="04090001">
      <w:start w:val="1"/>
      <w:numFmt w:val="bullet"/>
      <w:lvlText w:val=""/>
      <w:lvlJc w:val="left"/>
      <w:pPr>
        <w:tabs>
          <w:tab w:val="num" w:pos="1170"/>
        </w:tabs>
        <w:ind w:left="1170" w:hanging="360"/>
      </w:pPr>
      <w:rPr>
        <w:rFonts w:ascii="Symbol" w:hAnsi="Symbol" w:hint="default"/>
        <w:b w:val="0"/>
        <w:i w:val="0"/>
      </w:rPr>
    </w:lvl>
    <w:lvl w:ilvl="1" w:tplc="26E8E588">
      <w:start w:val="1"/>
      <w:numFmt w:val="bullet"/>
      <w:lvlText w:val="o"/>
      <w:lvlJc w:val="left"/>
      <w:pPr>
        <w:tabs>
          <w:tab w:val="num" w:pos="720"/>
        </w:tabs>
        <w:ind w:left="720" w:hanging="360"/>
      </w:pPr>
      <w:rPr>
        <w:rFonts w:ascii="Courier New" w:hAnsi="Courier New" w:cs="Courier New" w:hint="default"/>
      </w:rPr>
    </w:lvl>
    <w:lvl w:ilvl="2" w:tplc="124A1B3A">
      <w:start w:val="1"/>
      <w:numFmt w:val="bullet"/>
      <w:lvlText w:val=""/>
      <w:lvlJc w:val="left"/>
      <w:pPr>
        <w:tabs>
          <w:tab w:val="num" w:pos="1440"/>
        </w:tabs>
        <w:ind w:left="1440" w:hanging="360"/>
      </w:pPr>
      <w:rPr>
        <w:rFonts w:ascii="Wingdings" w:hAnsi="Wingdings" w:hint="default"/>
      </w:rPr>
    </w:lvl>
    <w:lvl w:ilvl="3" w:tplc="DEB0A614" w:tentative="1">
      <w:start w:val="1"/>
      <w:numFmt w:val="bullet"/>
      <w:lvlText w:val=""/>
      <w:lvlJc w:val="left"/>
      <w:pPr>
        <w:tabs>
          <w:tab w:val="num" w:pos="2160"/>
        </w:tabs>
        <w:ind w:left="2160" w:hanging="360"/>
      </w:pPr>
      <w:rPr>
        <w:rFonts w:ascii="Symbol" w:hAnsi="Symbol" w:hint="default"/>
      </w:rPr>
    </w:lvl>
    <w:lvl w:ilvl="4" w:tplc="D7080DD6" w:tentative="1">
      <w:start w:val="1"/>
      <w:numFmt w:val="bullet"/>
      <w:lvlText w:val="o"/>
      <w:lvlJc w:val="left"/>
      <w:pPr>
        <w:tabs>
          <w:tab w:val="num" w:pos="2880"/>
        </w:tabs>
        <w:ind w:left="2880" w:hanging="360"/>
      </w:pPr>
      <w:rPr>
        <w:rFonts w:ascii="Courier New" w:hAnsi="Courier New" w:cs="Courier New" w:hint="default"/>
      </w:rPr>
    </w:lvl>
    <w:lvl w:ilvl="5" w:tplc="1A0C80E4" w:tentative="1">
      <w:start w:val="1"/>
      <w:numFmt w:val="bullet"/>
      <w:lvlText w:val=""/>
      <w:lvlJc w:val="left"/>
      <w:pPr>
        <w:tabs>
          <w:tab w:val="num" w:pos="3600"/>
        </w:tabs>
        <w:ind w:left="3600" w:hanging="360"/>
      </w:pPr>
      <w:rPr>
        <w:rFonts w:ascii="Wingdings" w:hAnsi="Wingdings" w:hint="default"/>
      </w:rPr>
    </w:lvl>
    <w:lvl w:ilvl="6" w:tplc="4288DCF6" w:tentative="1">
      <w:start w:val="1"/>
      <w:numFmt w:val="bullet"/>
      <w:lvlText w:val=""/>
      <w:lvlJc w:val="left"/>
      <w:pPr>
        <w:tabs>
          <w:tab w:val="num" w:pos="4320"/>
        </w:tabs>
        <w:ind w:left="4320" w:hanging="360"/>
      </w:pPr>
      <w:rPr>
        <w:rFonts w:ascii="Symbol" w:hAnsi="Symbol" w:hint="default"/>
      </w:rPr>
    </w:lvl>
    <w:lvl w:ilvl="7" w:tplc="8A02018A" w:tentative="1">
      <w:start w:val="1"/>
      <w:numFmt w:val="bullet"/>
      <w:lvlText w:val="o"/>
      <w:lvlJc w:val="left"/>
      <w:pPr>
        <w:tabs>
          <w:tab w:val="num" w:pos="5040"/>
        </w:tabs>
        <w:ind w:left="5040" w:hanging="360"/>
      </w:pPr>
      <w:rPr>
        <w:rFonts w:ascii="Courier New" w:hAnsi="Courier New" w:cs="Courier New" w:hint="default"/>
      </w:rPr>
    </w:lvl>
    <w:lvl w:ilvl="8" w:tplc="8A5081D8" w:tentative="1">
      <w:start w:val="1"/>
      <w:numFmt w:val="bullet"/>
      <w:lvlText w:val=""/>
      <w:lvlJc w:val="left"/>
      <w:pPr>
        <w:tabs>
          <w:tab w:val="num" w:pos="5760"/>
        </w:tabs>
        <w:ind w:left="5760" w:hanging="360"/>
      </w:pPr>
      <w:rPr>
        <w:rFonts w:ascii="Wingdings" w:hAnsi="Wingdings" w:hint="default"/>
      </w:rPr>
    </w:lvl>
  </w:abstractNum>
  <w:abstractNum w:abstractNumId="40" w15:restartNumberingAfterBreak="0">
    <w:nsid w:val="02E70D72"/>
    <w:multiLevelType w:val="hybridMultilevel"/>
    <w:tmpl w:val="3940B0C4"/>
    <w:lvl w:ilvl="0" w:tplc="04090001">
      <w:start w:val="1"/>
      <w:numFmt w:val="bullet"/>
      <w:lvlText w:val=""/>
      <w:lvlJc w:val="left"/>
      <w:pPr>
        <w:tabs>
          <w:tab w:val="num" w:pos="792"/>
        </w:tabs>
        <w:ind w:left="792"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02EF3B54"/>
    <w:multiLevelType w:val="hybridMultilevel"/>
    <w:tmpl w:val="7A72FFE0"/>
    <w:lvl w:ilvl="0" w:tplc="04090001">
      <w:start w:val="1"/>
      <w:numFmt w:val="bullet"/>
      <w:lvlText w:val=""/>
      <w:lvlJc w:val="left"/>
      <w:pPr>
        <w:tabs>
          <w:tab w:val="num" w:pos="612"/>
        </w:tabs>
        <w:ind w:left="612"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03156F70"/>
    <w:multiLevelType w:val="hybridMultilevel"/>
    <w:tmpl w:val="DEDC38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03296814"/>
    <w:multiLevelType w:val="hybridMultilevel"/>
    <w:tmpl w:val="1F185D9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032B426C"/>
    <w:multiLevelType w:val="hybridMultilevel"/>
    <w:tmpl w:val="4D2863C2"/>
    <w:lvl w:ilvl="0" w:tplc="0409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032E3663"/>
    <w:multiLevelType w:val="hybridMultilevel"/>
    <w:tmpl w:val="488A6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03614489"/>
    <w:multiLevelType w:val="hybridMultilevel"/>
    <w:tmpl w:val="86C47C86"/>
    <w:lvl w:ilvl="0" w:tplc="A266CA14">
      <w:start w:val="1"/>
      <w:numFmt w:val="decimal"/>
      <w:lvlText w:val="%1."/>
      <w:lvlJc w:val="left"/>
      <w:pPr>
        <w:tabs>
          <w:tab w:val="num" w:pos="360"/>
        </w:tabs>
        <w:ind w:left="360" w:hanging="360"/>
      </w:pPr>
      <w:rPr>
        <w:rFonts w:hint="default"/>
        <w:b/>
      </w:rPr>
    </w:lvl>
    <w:lvl w:ilvl="1" w:tplc="9DF8AFB6">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03701289"/>
    <w:multiLevelType w:val="hybridMultilevel"/>
    <w:tmpl w:val="87DC6D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039236FA"/>
    <w:multiLevelType w:val="hybridMultilevel"/>
    <w:tmpl w:val="B502A1DC"/>
    <w:lvl w:ilvl="0" w:tplc="04090001">
      <w:start w:val="1"/>
      <w:numFmt w:val="bullet"/>
      <w:lvlText w:val=""/>
      <w:lvlJc w:val="left"/>
      <w:pPr>
        <w:tabs>
          <w:tab w:val="num" w:pos="668"/>
        </w:tabs>
        <w:ind w:left="668" w:hanging="360"/>
      </w:pPr>
      <w:rPr>
        <w:rFonts w:ascii="Symbol" w:hAnsi="Symbol" w:hint="default"/>
      </w:rPr>
    </w:lvl>
    <w:lvl w:ilvl="1" w:tplc="ECC49F10">
      <w:start w:val="1"/>
      <w:numFmt w:val="decimal"/>
      <w:lvlText w:val="%2."/>
      <w:lvlJc w:val="left"/>
      <w:pPr>
        <w:tabs>
          <w:tab w:val="num" w:pos="1560"/>
        </w:tabs>
        <w:ind w:left="1560" w:hanging="432"/>
      </w:pPr>
      <w:rPr>
        <w:rFonts w:hint="default"/>
      </w:rPr>
    </w:lvl>
    <w:lvl w:ilvl="2" w:tplc="0409000F">
      <w:start w:val="1"/>
      <w:numFmt w:val="decimal"/>
      <w:lvlText w:val="%3."/>
      <w:lvlJc w:val="left"/>
      <w:pPr>
        <w:tabs>
          <w:tab w:val="num" w:pos="2388"/>
        </w:tabs>
        <w:ind w:left="2388" w:hanging="36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49" w15:restartNumberingAfterBreak="0">
    <w:nsid w:val="03A6226C"/>
    <w:multiLevelType w:val="hybridMultilevel"/>
    <w:tmpl w:val="7304E45C"/>
    <w:lvl w:ilvl="0" w:tplc="FFFFFFFF">
      <w:start w:val="1"/>
      <w:numFmt w:val="bullet"/>
      <w:lvlText w:val=""/>
      <w:lvlJc w:val="left"/>
      <w:pPr>
        <w:ind w:left="1080" w:hanging="360"/>
      </w:pPr>
      <w:rPr>
        <w:rFonts w:ascii="Symbol" w:hAnsi="Symbol" w:hint="default"/>
        <w:color w:val="auto"/>
        <w:sz w:val="18"/>
        <w:szCs w:val="18"/>
      </w:rPr>
    </w:lvl>
    <w:lvl w:ilvl="1" w:tplc="04090019">
      <w:start w:val="1"/>
      <w:numFmt w:val="lowerLetter"/>
      <w:lvlText w:val="%2."/>
      <w:lvlJc w:val="left"/>
      <w:pPr>
        <w:ind w:left="1800" w:hanging="360"/>
      </w:pPr>
    </w:lvl>
    <w:lvl w:ilvl="2" w:tplc="35EC064E">
      <w:start w:val="1"/>
      <w:numFmt w:val="decimal"/>
      <w:lvlText w:val="%3."/>
      <w:lvlJc w:val="left"/>
      <w:pPr>
        <w:ind w:left="2520" w:hanging="180"/>
      </w:pPr>
      <w:rPr>
        <w:rFonts w:ascii="Times New Roman" w:hAnsi="Times New Roman" w:hint="default"/>
        <w:sz w:val="24"/>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03A91EAB"/>
    <w:multiLevelType w:val="hybridMultilevel"/>
    <w:tmpl w:val="6EDA19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3BA23B2"/>
    <w:multiLevelType w:val="hybridMultilevel"/>
    <w:tmpl w:val="212C08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03FE516E"/>
    <w:multiLevelType w:val="multilevel"/>
    <w:tmpl w:val="E4FEA5E2"/>
    <w:lvl w:ilvl="0">
      <w:start w:val="1"/>
      <w:numFmt w:val="decimal"/>
      <w:lvlText w:val="%1."/>
      <w:lvlJc w:val="left"/>
      <w:pPr>
        <w:tabs>
          <w:tab w:val="num" w:pos="360"/>
        </w:tabs>
        <w:ind w:left="360" w:hanging="360"/>
      </w:pPr>
      <w:rPr>
        <w:rFonts w:hint="default"/>
        <w:b w:val="0"/>
        <w:i w:val="0"/>
        <w:color w:val="auto"/>
      </w:r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3" w15:restartNumberingAfterBreak="0">
    <w:nsid w:val="04561511"/>
    <w:multiLevelType w:val="hybridMultilevel"/>
    <w:tmpl w:val="DB98E1A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60"/>
        </w:tabs>
        <w:ind w:left="1460" w:hanging="360"/>
      </w:pPr>
    </w:lvl>
    <w:lvl w:ilvl="2" w:tplc="0409001B" w:tentative="1">
      <w:start w:val="1"/>
      <w:numFmt w:val="lowerRoman"/>
      <w:lvlText w:val="%3."/>
      <w:lvlJc w:val="right"/>
      <w:pPr>
        <w:tabs>
          <w:tab w:val="num" w:pos="2180"/>
        </w:tabs>
        <w:ind w:left="2180" w:hanging="180"/>
      </w:pPr>
    </w:lvl>
    <w:lvl w:ilvl="3" w:tplc="0409000F" w:tentative="1">
      <w:start w:val="1"/>
      <w:numFmt w:val="decimal"/>
      <w:lvlText w:val="%4."/>
      <w:lvlJc w:val="left"/>
      <w:pPr>
        <w:tabs>
          <w:tab w:val="num" w:pos="2900"/>
        </w:tabs>
        <w:ind w:left="2900" w:hanging="360"/>
      </w:pPr>
    </w:lvl>
    <w:lvl w:ilvl="4" w:tplc="04090019" w:tentative="1">
      <w:start w:val="1"/>
      <w:numFmt w:val="lowerLetter"/>
      <w:lvlText w:val="%5."/>
      <w:lvlJc w:val="left"/>
      <w:pPr>
        <w:tabs>
          <w:tab w:val="num" w:pos="3620"/>
        </w:tabs>
        <w:ind w:left="3620" w:hanging="360"/>
      </w:pPr>
    </w:lvl>
    <w:lvl w:ilvl="5" w:tplc="0409001B" w:tentative="1">
      <w:start w:val="1"/>
      <w:numFmt w:val="lowerRoman"/>
      <w:lvlText w:val="%6."/>
      <w:lvlJc w:val="right"/>
      <w:pPr>
        <w:tabs>
          <w:tab w:val="num" w:pos="4340"/>
        </w:tabs>
        <w:ind w:left="4340" w:hanging="180"/>
      </w:pPr>
    </w:lvl>
    <w:lvl w:ilvl="6" w:tplc="0409000F" w:tentative="1">
      <w:start w:val="1"/>
      <w:numFmt w:val="decimal"/>
      <w:lvlText w:val="%7."/>
      <w:lvlJc w:val="left"/>
      <w:pPr>
        <w:tabs>
          <w:tab w:val="num" w:pos="5060"/>
        </w:tabs>
        <w:ind w:left="5060" w:hanging="360"/>
      </w:pPr>
    </w:lvl>
    <w:lvl w:ilvl="7" w:tplc="04090019" w:tentative="1">
      <w:start w:val="1"/>
      <w:numFmt w:val="lowerLetter"/>
      <w:lvlText w:val="%8."/>
      <w:lvlJc w:val="left"/>
      <w:pPr>
        <w:tabs>
          <w:tab w:val="num" w:pos="5780"/>
        </w:tabs>
        <w:ind w:left="5780" w:hanging="360"/>
      </w:pPr>
    </w:lvl>
    <w:lvl w:ilvl="8" w:tplc="0409001B" w:tentative="1">
      <w:start w:val="1"/>
      <w:numFmt w:val="lowerRoman"/>
      <w:lvlText w:val="%9."/>
      <w:lvlJc w:val="right"/>
      <w:pPr>
        <w:tabs>
          <w:tab w:val="num" w:pos="6500"/>
        </w:tabs>
        <w:ind w:left="6500" w:hanging="180"/>
      </w:pPr>
    </w:lvl>
  </w:abstractNum>
  <w:abstractNum w:abstractNumId="54" w15:restartNumberingAfterBreak="0">
    <w:nsid w:val="04DF0357"/>
    <w:multiLevelType w:val="hybridMultilevel"/>
    <w:tmpl w:val="AE4C26F0"/>
    <w:lvl w:ilvl="0" w:tplc="04090001">
      <w:start w:val="1"/>
      <w:numFmt w:val="bullet"/>
      <w:lvlText w:val=""/>
      <w:lvlJc w:val="left"/>
      <w:pPr>
        <w:tabs>
          <w:tab w:val="num" w:pos="792"/>
        </w:tabs>
        <w:ind w:left="792" w:hanging="360"/>
      </w:pPr>
      <w:rPr>
        <w:rFonts w:ascii="Symbol" w:hAnsi="Symbol" w:hint="default"/>
      </w:rPr>
    </w:lvl>
    <w:lvl w:ilvl="1" w:tplc="5BD4709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0517666E"/>
    <w:multiLevelType w:val="hybridMultilevel"/>
    <w:tmpl w:val="5B064A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054438C3"/>
    <w:multiLevelType w:val="hybridMultilevel"/>
    <w:tmpl w:val="8EA4A2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057A3EFF"/>
    <w:multiLevelType w:val="hybridMultilevel"/>
    <w:tmpl w:val="C024D6A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05A40FD4"/>
    <w:multiLevelType w:val="hybridMultilevel"/>
    <w:tmpl w:val="E7066CF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91"/>
        </w:tabs>
        <w:ind w:left="1491" w:hanging="360"/>
      </w:pPr>
    </w:lvl>
    <w:lvl w:ilvl="2" w:tplc="0409001B" w:tentative="1">
      <w:start w:val="1"/>
      <w:numFmt w:val="lowerRoman"/>
      <w:lvlText w:val="%3."/>
      <w:lvlJc w:val="right"/>
      <w:pPr>
        <w:tabs>
          <w:tab w:val="num" w:pos="2211"/>
        </w:tabs>
        <w:ind w:left="2211" w:hanging="180"/>
      </w:pPr>
    </w:lvl>
    <w:lvl w:ilvl="3" w:tplc="0409000F" w:tentative="1">
      <w:start w:val="1"/>
      <w:numFmt w:val="decimal"/>
      <w:lvlText w:val="%4."/>
      <w:lvlJc w:val="left"/>
      <w:pPr>
        <w:tabs>
          <w:tab w:val="num" w:pos="2931"/>
        </w:tabs>
        <w:ind w:left="2931" w:hanging="360"/>
      </w:pPr>
    </w:lvl>
    <w:lvl w:ilvl="4" w:tplc="04090019" w:tentative="1">
      <w:start w:val="1"/>
      <w:numFmt w:val="lowerLetter"/>
      <w:lvlText w:val="%5."/>
      <w:lvlJc w:val="left"/>
      <w:pPr>
        <w:tabs>
          <w:tab w:val="num" w:pos="3651"/>
        </w:tabs>
        <w:ind w:left="3651" w:hanging="360"/>
      </w:pPr>
    </w:lvl>
    <w:lvl w:ilvl="5" w:tplc="0409001B" w:tentative="1">
      <w:start w:val="1"/>
      <w:numFmt w:val="lowerRoman"/>
      <w:lvlText w:val="%6."/>
      <w:lvlJc w:val="right"/>
      <w:pPr>
        <w:tabs>
          <w:tab w:val="num" w:pos="4371"/>
        </w:tabs>
        <w:ind w:left="4371" w:hanging="180"/>
      </w:pPr>
    </w:lvl>
    <w:lvl w:ilvl="6" w:tplc="0409000F" w:tentative="1">
      <w:start w:val="1"/>
      <w:numFmt w:val="decimal"/>
      <w:lvlText w:val="%7."/>
      <w:lvlJc w:val="left"/>
      <w:pPr>
        <w:tabs>
          <w:tab w:val="num" w:pos="5091"/>
        </w:tabs>
        <w:ind w:left="5091" w:hanging="360"/>
      </w:pPr>
    </w:lvl>
    <w:lvl w:ilvl="7" w:tplc="04090019" w:tentative="1">
      <w:start w:val="1"/>
      <w:numFmt w:val="lowerLetter"/>
      <w:lvlText w:val="%8."/>
      <w:lvlJc w:val="left"/>
      <w:pPr>
        <w:tabs>
          <w:tab w:val="num" w:pos="5811"/>
        </w:tabs>
        <w:ind w:left="5811" w:hanging="360"/>
      </w:pPr>
    </w:lvl>
    <w:lvl w:ilvl="8" w:tplc="0409001B" w:tentative="1">
      <w:start w:val="1"/>
      <w:numFmt w:val="lowerRoman"/>
      <w:lvlText w:val="%9."/>
      <w:lvlJc w:val="right"/>
      <w:pPr>
        <w:tabs>
          <w:tab w:val="num" w:pos="6531"/>
        </w:tabs>
        <w:ind w:left="6531" w:hanging="180"/>
      </w:pPr>
    </w:lvl>
  </w:abstractNum>
  <w:abstractNum w:abstractNumId="59" w15:restartNumberingAfterBreak="0">
    <w:nsid w:val="05B77ADA"/>
    <w:multiLevelType w:val="hybridMultilevel"/>
    <w:tmpl w:val="2778AA8E"/>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60" w15:restartNumberingAfterBreak="0">
    <w:nsid w:val="05E2502E"/>
    <w:multiLevelType w:val="hybridMultilevel"/>
    <w:tmpl w:val="9A4CC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05F07FB0"/>
    <w:multiLevelType w:val="hybridMultilevel"/>
    <w:tmpl w:val="36303584"/>
    <w:lvl w:ilvl="0" w:tplc="1480C3E2">
      <w:start w:val="1"/>
      <w:numFmt w:val="lowerLetter"/>
      <w:lvlText w:val="%1."/>
      <w:lvlJc w:val="left"/>
      <w:pPr>
        <w:tabs>
          <w:tab w:val="num" w:pos="1440"/>
        </w:tabs>
        <w:ind w:left="1440" w:hanging="360"/>
      </w:pPr>
      <w:rPr>
        <w:rFonts w:hint="default"/>
        <w:b w:val="0"/>
        <w:i w:val="0"/>
        <w:sz w:val="22"/>
        <w:szCs w:val="22"/>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060F2CB9"/>
    <w:multiLevelType w:val="hybridMultilevel"/>
    <w:tmpl w:val="63343A2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06157479"/>
    <w:multiLevelType w:val="hybridMultilevel"/>
    <w:tmpl w:val="72768200"/>
    <w:lvl w:ilvl="0" w:tplc="0409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06325909"/>
    <w:multiLevelType w:val="hybridMultilevel"/>
    <w:tmpl w:val="D7C65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063A1050"/>
    <w:multiLevelType w:val="hybridMultilevel"/>
    <w:tmpl w:val="99B07A2C"/>
    <w:lvl w:ilvl="0" w:tplc="04090001">
      <w:start w:val="1"/>
      <w:numFmt w:val="bullet"/>
      <w:lvlText w:val=""/>
      <w:lvlJc w:val="left"/>
      <w:pPr>
        <w:tabs>
          <w:tab w:val="num" w:pos="792"/>
        </w:tabs>
        <w:ind w:left="792" w:hanging="360"/>
      </w:pPr>
      <w:rPr>
        <w:rFonts w:ascii="Symbol" w:hAnsi="Symbol" w:hint="default"/>
      </w:rPr>
    </w:lvl>
    <w:lvl w:ilvl="1" w:tplc="FCD03C1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065F117D"/>
    <w:multiLevelType w:val="hybridMultilevel"/>
    <w:tmpl w:val="276833BE"/>
    <w:lvl w:ilvl="0" w:tplc="215A008C">
      <w:start w:val="1"/>
      <w:numFmt w:val="decimal"/>
      <w:lvlText w:val="%1."/>
      <w:lvlJc w:val="left"/>
      <w:pPr>
        <w:tabs>
          <w:tab w:val="num" w:pos="929"/>
        </w:tabs>
        <w:ind w:left="929" w:hanging="432"/>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67" w15:restartNumberingAfterBreak="0">
    <w:nsid w:val="066C071F"/>
    <w:multiLevelType w:val="hybridMultilevel"/>
    <w:tmpl w:val="9E1C0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06935DC2"/>
    <w:multiLevelType w:val="hybridMultilevel"/>
    <w:tmpl w:val="5984744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069E0750"/>
    <w:multiLevelType w:val="hybridMultilevel"/>
    <w:tmpl w:val="8B86F4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0" w15:restartNumberingAfterBreak="0">
    <w:nsid w:val="06B870B0"/>
    <w:multiLevelType w:val="hybridMultilevel"/>
    <w:tmpl w:val="CD36401E"/>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71" w15:restartNumberingAfterBreak="0">
    <w:nsid w:val="06CD18CE"/>
    <w:multiLevelType w:val="multilevel"/>
    <w:tmpl w:val="1FA0ADF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505"/>
        </w:tabs>
        <w:ind w:left="1505" w:hanging="360"/>
      </w:pPr>
      <w:rPr>
        <w:rFonts w:hint="default"/>
      </w:rPr>
    </w:lvl>
    <w:lvl w:ilvl="2">
      <w:start w:val="1"/>
      <w:numFmt w:val="lowerRoman"/>
      <w:lvlText w:val="%3."/>
      <w:lvlJc w:val="right"/>
      <w:pPr>
        <w:tabs>
          <w:tab w:val="num" w:pos="2225"/>
        </w:tabs>
        <w:ind w:left="2225" w:hanging="180"/>
      </w:pPr>
    </w:lvl>
    <w:lvl w:ilvl="3">
      <w:start w:val="1"/>
      <w:numFmt w:val="decimal"/>
      <w:lvlText w:val="%4."/>
      <w:lvlJc w:val="left"/>
      <w:pPr>
        <w:tabs>
          <w:tab w:val="num" w:pos="2945"/>
        </w:tabs>
        <w:ind w:left="2945" w:hanging="360"/>
      </w:pPr>
    </w:lvl>
    <w:lvl w:ilvl="4">
      <w:start w:val="1"/>
      <w:numFmt w:val="lowerLetter"/>
      <w:lvlText w:val="%5."/>
      <w:lvlJc w:val="left"/>
      <w:pPr>
        <w:tabs>
          <w:tab w:val="num" w:pos="3665"/>
        </w:tabs>
        <w:ind w:left="3665" w:hanging="360"/>
      </w:pPr>
    </w:lvl>
    <w:lvl w:ilvl="5">
      <w:start w:val="1"/>
      <w:numFmt w:val="lowerRoman"/>
      <w:lvlText w:val="%6."/>
      <w:lvlJc w:val="right"/>
      <w:pPr>
        <w:tabs>
          <w:tab w:val="num" w:pos="4385"/>
        </w:tabs>
        <w:ind w:left="4385" w:hanging="180"/>
      </w:pPr>
    </w:lvl>
    <w:lvl w:ilvl="6">
      <w:start w:val="1"/>
      <w:numFmt w:val="decimal"/>
      <w:lvlText w:val="%7."/>
      <w:lvlJc w:val="left"/>
      <w:pPr>
        <w:tabs>
          <w:tab w:val="num" w:pos="5105"/>
        </w:tabs>
        <w:ind w:left="5105" w:hanging="360"/>
      </w:pPr>
    </w:lvl>
    <w:lvl w:ilvl="7">
      <w:start w:val="1"/>
      <w:numFmt w:val="lowerLetter"/>
      <w:lvlText w:val="%8."/>
      <w:lvlJc w:val="left"/>
      <w:pPr>
        <w:tabs>
          <w:tab w:val="num" w:pos="5825"/>
        </w:tabs>
        <w:ind w:left="5825" w:hanging="360"/>
      </w:pPr>
    </w:lvl>
    <w:lvl w:ilvl="8">
      <w:start w:val="1"/>
      <w:numFmt w:val="lowerRoman"/>
      <w:lvlText w:val="%9."/>
      <w:lvlJc w:val="right"/>
      <w:pPr>
        <w:tabs>
          <w:tab w:val="num" w:pos="6545"/>
        </w:tabs>
        <w:ind w:left="6545" w:hanging="180"/>
      </w:pPr>
    </w:lvl>
  </w:abstractNum>
  <w:abstractNum w:abstractNumId="72" w15:restartNumberingAfterBreak="0">
    <w:nsid w:val="06D54C3B"/>
    <w:multiLevelType w:val="hybridMultilevel"/>
    <w:tmpl w:val="69C8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06EE7DCF"/>
    <w:multiLevelType w:val="hybridMultilevel"/>
    <w:tmpl w:val="7FE2880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07207989"/>
    <w:multiLevelType w:val="hybridMultilevel"/>
    <w:tmpl w:val="CA9069E4"/>
    <w:lvl w:ilvl="0" w:tplc="04090001">
      <w:start w:val="1"/>
      <w:numFmt w:val="bullet"/>
      <w:lvlText w:val=""/>
      <w:lvlJc w:val="left"/>
      <w:pPr>
        <w:tabs>
          <w:tab w:val="num" w:pos="864"/>
        </w:tabs>
        <w:ind w:left="864"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07352E15"/>
    <w:multiLevelType w:val="hybridMultilevel"/>
    <w:tmpl w:val="120220C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075D1919"/>
    <w:multiLevelType w:val="hybridMultilevel"/>
    <w:tmpl w:val="0B3A2144"/>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7" w15:restartNumberingAfterBreak="0">
    <w:nsid w:val="07740D20"/>
    <w:multiLevelType w:val="hybridMultilevel"/>
    <w:tmpl w:val="5330AA1E"/>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8" w15:restartNumberingAfterBreak="0">
    <w:nsid w:val="078119AC"/>
    <w:multiLevelType w:val="hybridMultilevel"/>
    <w:tmpl w:val="1CC078A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078479E4"/>
    <w:multiLevelType w:val="multilevel"/>
    <w:tmpl w:val="0040081C"/>
    <w:styleLink w:val="StyleBulleted"/>
    <w:lvl w:ilvl="0">
      <w:start w:val="1"/>
      <w:numFmt w:val="bullet"/>
      <w:lvlText w:val=""/>
      <w:lvlJc w:val="left"/>
      <w:pPr>
        <w:tabs>
          <w:tab w:val="num" w:pos="108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07EE570D"/>
    <w:multiLevelType w:val="hybridMultilevel"/>
    <w:tmpl w:val="9CDC5028"/>
    <w:lvl w:ilvl="0" w:tplc="04090001">
      <w:start w:val="1"/>
      <w:numFmt w:val="bullet"/>
      <w:lvlText w:val=""/>
      <w:lvlJc w:val="left"/>
      <w:pPr>
        <w:tabs>
          <w:tab w:val="num" w:pos="2221"/>
        </w:tabs>
        <w:ind w:left="2221" w:hanging="360"/>
      </w:pPr>
      <w:rPr>
        <w:rFonts w:ascii="Symbol" w:hAnsi="Symbol" w:hint="default"/>
      </w:rPr>
    </w:lvl>
    <w:lvl w:ilvl="1" w:tplc="04090003" w:tentative="1">
      <w:start w:val="1"/>
      <w:numFmt w:val="bullet"/>
      <w:lvlText w:val="o"/>
      <w:lvlJc w:val="left"/>
      <w:pPr>
        <w:tabs>
          <w:tab w:val="num" w:pos="2941"/>
        </w:tabs>
        <w:ind w:left="2941" w:hanging="360"/>
      </w:pPr>
      <w:rPr>
        <w:rFonts w:ascii="Courier New" w:hAnsi="Courier New" w:hint="default"/>
      </w:rPr>
    </w:lvl>
    <w:lvl w:ilvl="2" w:tplc="04090005" w:tentative="1">
      <w:start w:val="1"/>
      <w:numFmt w:val="bullet"/>
      <w:lvlText w:val=""/>
      <w:lvlJc w:val="left"/>
      <w:pPr>
        <w:tabs>
          <w:tab w:val="num" w:pos="3661"/>
        </w:tabs>
        <w:ind w:left="3661" w:hanging="360"/>
      </w:pPr>
      <w:rPr>
        <w:rFonts w:ascii="Wingdings" w:hAnsi="Wingdings" w:hint="default"/>
      </w:rPr>
    </w:lvl>
    <w:lvl w:ilvl="3" w:tplc="04090001" w:tentative="1">
      <w:start w:val="1"/>
      <w:numFmt w:val="bullet"/>
      <w:lvlText w:val=""/>
      <w:lvlJc w:val="left"/>
      <w:pPr>
        <w:tabs>
          <w:tab w:val="num" w:pos="4381"/>
        </w:tabs>
        <w:ind w:left="4381" w:hanging="360"/>
      </w:pPr>
      <w:rPr>
        <w:rFonts w:ascii="Symbol" w:hAnsi="Symbol" w:hint="default"/>
      </w:rPr>
    </w:lvl>
    <w:lvl w:ilvl="4" w:tplc="04090003" w:tentative="1">
      <w:start w:val="1"/>
      <w:numFmt w:val="bullet"/>
      <w:lvlText w:val="o"/>
      <w:lvlJc w:val="left"/>
      <w:pPr>
        <w:tabs>
          <w:tab w:val="num" w:pos="5101"/>
        </w:tabs>
        <w:ind w:left="5101" w:hanging="360"/>
      </w:pPr>
      <w:rPr>
        <w:rFonts w:ascii="Courier New" w:hAnsi="Courier New" w:hint="default"/>
      </w:rPr>
    </w:lvl>
    <w:lvl w:ilvl="5" w:tplc="04090005" w:tentative="1">
      <w:start w:val="1"/>
      <w:numFmt w:val="bullet"/>
      <w:lvlText w:val=""/>
      <w:lvlJc w:val="left"/>
      <w:pPr>
        <w:tabs>
          <w:tab w:val="num" w:pos="5821"/>
        </w:tabs>
        <w:ind w:left="5821" w:hanging="360"/>
      </w:pPr>
      <w:rPr>
        <w:rFonts w:ascii="Wingdings" w:hAnsi="Wingdings" w:hint="default"/>
      </w:rPr>
    </w:lvl>
    <w:lvl w:ilvl="6" w:tplc="04090001" w:tentative="1">
      <w:start w:val="1"/>
      <w:numFmt w:val="bullet"/>
      <w:lvlText w:val=""/>
      <w:lvlJc w:val="left"/>
      <w:pPr>
        <w:tabs>
          <w:tab w:val="num" w:pos="6541"/>
        </w:tabs>
        <w:ind w:left="6541" w:hanging="360"/>
      </w:pPr>
      <w:rPr>
        <w:rFonts w:ascii="Symbol" w:hAnsi="Symbol" w:hint="default"/>
      </w:rPr>
    </w:lvl>
    <w:lvl w:ilvl="7" w:tplc="04090003" w:tentative="1">
      <w:start w:val="1"/>
      <w:numFmt w:val="bullet"/>
      <w:lvlText w:val="o"/>
      <w:lvlJc w:val="left"/>
      <w:pPr>
        <w:tabs>
          <w:tab w:val="num" w:pos="7261"/>
        </w:tabs>
        <w:ind w:left="7261" w:hanging="360"/>
      </w:pPr>
      <w:rPr>
        <w:rFonts w:ascii="Courier New" w:hAnsi="Courier New" w:hint="default"/>
      </w:rPr>
    </w:lvl>
    <w:lvl w:ilvl="8" w:tplc="04090005" w:tentative="1">
      <w:start w:val="1"/>
      <w:numFmt w:val="bullet"/>
      <w:lvlText w:val=""/>
      <w:lvlJc w:val="left"/>
      <w:pPr>
        <w:tabs>
          <w:tab w:val="num" w:pos="7981"/>
        </w:tabs>
        <w:ind w:left="7981" w:hanging="360"/>
      </w:pPr>
      <w:rPr>
        <w:rFonts w:ascii="Wingdings" w:hAnsi="Wingdings" w:hint="default"/>
      </w:rPr>
    </w:lvl>
  </w:abstractNum>
  <w:abstractNum w:abstractNumId="81" w15:restartNumberingAfterBreak="0">
    <w:nsid w:val="07F44E44"/>
    <w:multiLevelType w:val="hybridMultilevel"/>
    <w:tmpl w:val="BC1038A8"/>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0835171A"/>
    <w:multiLevelType w:val="hybridMultilevel"/>
    <w:tmpl w:val="0C86BBA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83" w15:restartNumberingAfterBreak="0">
    <w:nsid w:val="086531D2"/>
    <w:multiLevelType w:val="hybridMultilevel"/>
    <w:tmpl w:val="E440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086839B5"/>
    <w:multiLevelType w:val="hybridMultilevel"/>
    <w:tmpl w:val="18DA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08695561"/>
    <w:multiLevelType w:val="hybridMultilevel"/>
    <w:tmpl w:val="CF2679AE"/>
    <w:lvl w:ilvl="0" w:tplc="04090001">
      <w:start w:val="1"/>
      <w:numFmt w:val="bullet"/>
      <w:lvlText w:val=""/>
      <w:lvlJc w:val="left"/>
      <w:pPr>
        <w:tabs>
          <w:tab w:val="num" w:pos="468"/>
        </w:tabs>
        <w:ind w:left="468"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6" w15:restartNumberingAfterBreak="0">
    <w:nsid w:val="088D40F0"/>
    <w:multiLevelType w:val="multilevel"/>
    <w:tmpl w:val="56F6B5B0"/>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7" w15:restartNumberingAfterBreak="0">
    <w:nsid w:val="08AC57F8"/>
    <w:multiLevelType w:val="hybridMultilevel"/>
    <w:tmpl w:val="419459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08FB3ED2"/>
    <w:multiLevelType w:val="hybridMultilevel"/>
    <w:tmpl w:val="6516847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093727AB"/>
    <w:multiLevelType w:val="hybridMultilevel"/>
    <w:tmpl w:val="27B4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0955263D"/>
    <w:multiLevelType w:val="hybridMultilevel"/>
    <w:tmpl w:val="356A69A0"/>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09937B9C"/>
    <w:multiLevelType w:val="hybridMultilevel"/>
    <w:tmpl w:val="C396CD6A"/>
    <w:lvl w:ilvl="0" w:tplc="ECC49F10">
      <w:start w:val="1"/>
      <w:numFmt w:val="bullet"/>
      <w:lvlText w:val=""/>
      <w:lvlJc w:val="left"/>
      <w:pPr>
        <w:tabs>
          <w:tab w:val="num" w:pos="720"/>
        </w:tabs>
        <w:ind w:left="720" w:hanging="360"/>
      </w:pPr>
      <w:rPr>
        <w:rFonts w:ascii="Symbol" w:hAnsi="Symbol" w:hint="default"/>
      </w:rPr>
    </w:lvl>
    <w:lvl w:ilvl="1" w:tplc="5BD4709C"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92" w15:restartNumberingAfterBreak="0">
    <w:nsid w:val="099556DD"/>
    <w:multiLevelType w:val="hybridMultilevel"/>
    <w:tmpl w:val="322E86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099837EB"/>
    <w:multiLevelType w:val="hybridMultilevel"/>
    <w:tmpl w:val="2C5E935C"/>
    <w:lvl w:ilvl="0" w:tplc="04090001">
      <w:start w:val="1"/>
      <w:numFmt w:val="bullet"/>
      <w:lvlText w:val=""/>
      <w:lvlJc w:val="left"/>
      <w:pPr>
        <w:tabs>
          <w:tab w:val="num" w:pos="792"/>
        </w:tabs>
        <w:ind w:left="792"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0A00500B"/>
    <w:multiLevelType w:val="hybridMultilevel"/>
    <w:tmpl w:val="D5F493AC"/>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5" w15:restartNumberingAfterBreak="0">
    <w:nsid w:val="0A1A344F"/>
    <w:multiLevelType w:val="hybridMultilevel"/>
    <w:tmpl w:val="D040E36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0A297F02"/>
    <w:multiLevelType w:val="hybridMultilevel"/>
    <w:tmpl w:val="9EA0E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0A2D1F79"/>
    <w:multiLevelType w:val="hybridMultilevel"/>
    <w:tmpl w:val="984048F6"/>
    <w:lvl w:ilvl="0" w:tplc="99CE1B42">
      <w:start w:val="1"/>
      <w:numFmt w:val="bullet"/>
      <w:lvlText w:val=""/>
      <w:lvlJc w:val="left"/>
      <w:pPr>
        <w:tabs>
          <w:tab w:val="num" w:pos="720"/>
        </w:tabs>
        <w:ind w:left="720" w:hanging="360"/>
      </w:pPr>
      <w:rPr>
        <w:rFonts w:ascii="Symbol" w:hAnsi="Symbol" w:hint="default"/>
      </w:rPr>
    </w:lvl>
    <w:lvl w:ilvl="1" w:tplc="9C2A9AE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0A6F0686"/>
    <w:multiLevelType w:val="hybridMultilevel"/>
    <w:tmpl w:val="A0C638E8"/>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0A7A1A83"/>
    <w:multiLevelType w:val="hybridMultilevel"/>
    <w:tmpl w:val="82AEB7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0" w15:restartNumberingAfterBreak="0">
    <w:nsid w:val="0AA45A32"/>
    <w:multiLevelType w:val="hybridMultilevel"/>
    <w:tmpl w:val="EF90EBA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60"/>
        </w:tabs>
        <w:ind w:left="1460" w:hanging="360"/>
      </w:pPr>
    </w:lvl>
    <w:lvl w:ilvl="2" w:tplc="0409001B" w:tentative="1">
      <w:start w:val="1"/>
      <w:numFmt w:val="lowerRoman"/>
      <w:lvlText w:val="%3."/>
      <w:lvlJc w:val="right"/>
      <w:pPr>
        <w:tabs>
          <w:tab w:val="num" w:pos="2180"/>
        </w:tabs>
        <w:ind w:left="2180" w:hanging="180"/>
      </w:pPr>
    </w:lvl>
    <w:lvl w:ilvl="3" w:tplc="0409000F" w:tentative="1">
      <w:start w:val="1"/>
      <w:numFmt w:val="decimal"/>
      <w:lvlText w:val="%4."/>
      <w:lvlJc w:val="left"/>
      <w:pPr>
        <w:tabs>
          <w:tab w:val="num" w:pos="2900"/>
        </w:tabs>
        <w:ind w:left="2900" w:hanging="360"/>
      </w:pPr>
    </w:lvl>
    <w:lvl w:ilvl="4" w:tplc="04090019" w:tentative="1">
      <w:start w:val="1"/>
      <w:numFmt w:val="lowerLetter"/>
      <w:lvlText w:val="%5."/>
      <w:lvlJc w:val="left"/>
      <w:pPr>
        <w:tabs>
          <w:tab w:val="num" w:pos="3620"/>
        </w:tabs>
        <w:ind w:left="3620" w:hanging="360"/>
      </w:pPr>
    </w:lvl>
    <w:lvl w:ilvl="5" w:tplc="0409001B" w:tentative="1">
      <w:start w:val="1"/>
      <w:numFmt w:val="lowerRoman"/>
      <w:lvlText w:val="%6."/>
      <w:lvlJc w:val="right"/>
      <w:pPr>
        <w:tabs>
          <w:tab w:val="num" w:pos="4340"/>
        </w:tabs>
        <w:ind w:left="4340" w:hanging="180"/>
      </w:pPr>
    </w:lvl>
    <w:lvl w:ilvl="6" w:tplc="0409000F" w:tentative="1">
      <w:start w:val="1"/>
      <w:numFmt w:val="decimal"/>
      <w:lvlText w:val="%7."/>
      <w:lvlJc w:val="left"/>
      <w:pPr>
        <w:tabs>
          <w:tab w:val="num" w:pos="5060"/>
        </w:tabs>
        <w:ind w:left="5060" w:hanging="360"/>
      </w:pPr>
    </w:lvl>
    <w:lvl w:ilvl="7" w:tplc="04090019" w:tentative="1">
      <w:start w:val="1"/>
      <w:numFmt w:val="lowerLetter"/>
      <w:lvlText w:val="%8."/>
      <w:lvlJc w:val="left"/>
      <w:pPr>
        <w:tabs>
          <w:tab w:val="num" w:pos="5780"/>
        </w:tabs>
        <w:ind w:left="5780" w:hanging="360"/>
      </w:pPr>
    </w:lvl>
    <w:lvl w:ilvl="8" w:tplc="0409001B" w:tentative="1">
      <w:start w:val="1"/>
      <w:numFmt w:val="lowerRoman"/>
      <w:lvlText w:val="%9."/>
      <w:lvlJc w:val="right"/>
      <w:pPr>
        <w:tabs>
          <w:tab w:val="num" w:pos="6500"/>
        </w:tabs>
        <w:ind w:left="6500" w:hanging="180"/>
      </w:pPr>
    </w:lvl>
  </w:abstractNum>
  <w:abstractNum w:abstractNumId="101" w15:restartNumberingAfterBreak="0">
    <w:nsid w:val="0AAE764D"/>
    <w:multiLevelType w:val="hybridMultilevel"/>
    <w:tmpl w:val="1BC49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0AD41A2B"/>
    <w:multiLevelType w:val="hybridMultilevel"/>
    <w:tmpl w:val="4F96A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0AD70F59"/>
    <w:multiLevelType w:val="hybridMultilevel"/>
    <w:tmpl w:val="93628EC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104" w15:restartNumberingAfterBreak="0">
    <w:nsid w:val="0AE65E3A"/>
    <w:multiLevelType w:val="hybridMultilevel"/>
    <w:tmpl w:val="01345E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0AF2264D"/>
    <w:multiLevelType w:val="hybridMultilevel"/>
    <w:tmpl w:val="192ADB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106" w15:restartNumberingAfterBreak="0">
    <w:nsid w:val="0AF92891"/>
    <w:multiLevelType w:val="hybridMultilevel"/>
    <w:tmpl w:val="FA4240E2"/>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60"/>
        </w:tabs>
        <w:ind w:left="1460" w:hanging="360"/>
      </w:pPr>
    </w:lvl>
    <w:lvl w:ilvl="2" w:tplc="0409001B" w:tentative="1">
      <w:start w:val="1"/>
      <w:numFmt w:val="lowerRoman"/>
      <w:lvlText w:val="%3."/>
      <w:lvlJc w:val="right"/>
      <w:pPr>
        <w:tabs>
          <w:tab w:val="num" w:pos="2180"/>
        </w:tabs>
        <w:ind w:left="2180" w:hanging="180"/>
      </w:pPr>
    </w:lvl>
    <w:lvl w:ilvl="3" w:tplc="0409000F" w:tentative="1">
      <w:start w:val="1"/>
      <w:numFmt w:val="decimal"/>
      <w:lvlText w:val="%4."/>
      <w:lvlJc w:val="left"/>
      <w:pPr>
        <w:tabs>
          <w:tab w:val="num" w:pos="2900"/>
        </w:tabs>
        <w:ind w:left="2900" w:hanging="360"/>
      </w:pPr>
    </w:lvl>
    <w:lvl w:ilvl="4" w:tplc="04090019" w:tentative="1">
      <w:start w:val="1"/>
      <w:numFmt w:val="lowerLetter"/>
      <w:lvlText w:val="%5."/>
      <w:lvlJc w:val="left"/>
      <w:pPr>
        <w:tabs>
          <w:tab w:val="num" w:pos="3620"/>
        </w:tabs>
        <w:ind w:left="3620" w:hanging="360"/>
      </w:pPr>
    </w:lvl>
    <w:lvl w:ilvl="5" w:tplc="0409001B" w:tentative="1">
      <w:start w:val="1"/>
      <w:numFmt w:val="lowerRoman"/>
      <w:lvlText w:val="%6."/>
      <w:lvlJc w:val="right"/>
      <w:pPr>
        <w:tabs>
          <w:tab w:val="num" w:pos="4340"/>
        </w:tabs>
        <w:ind w:left="4340" w:hanging="180"/>
      </w:pPr>
    </w:lvl>
    <w:lvl w:ilvl="6" w:tplc="0409000F" w:tentative="1">
      <w:start w:val="1"/>
      <w:numFmt w:val="decimal"/>
      <w:lvlText w:val="%7."/>
      <w:lvlJc w:val="left"/>
      <w:pPr>
        <w:tabs>
          <w:tab w:val="num" w:pos="5060"/>
        </w:tabs>
        <w:ind w:left="5060" w:hanging="360"/>
      </w:pPr>
    </w:lvl>
    <w:lvl w:ilvl="7" w:tplc="04090019" w:tentative="1">
      <w:start w:val="1"/>
      <w:numFmt w:val="lowerLetter"/>
      <w:lvlText w:val="%8."/>
      <w:lvlJc w:val="left"/>
      <w:pPr>
        <w:tabs>
          <w:tab w:val="num" w:pos="5780"/>
        </w:tabs>
        <w:ind w:left="5780" w:hanging="360"/>
      </w:pPr>
    </w:lvl>
    <w:lvl w:ilvl="8" w:tplc="0409001B" w:tentative="1">
      <w:start w:val="1"/>
      <w:numFmt w:val="lowerRoman"/>
      <w:lvlText w:val="%9."/>
      <w:lvlJc w:val="right"/>
      <w:pPr>
        <w:tabs>
          <w:tab w:val="num" w:pos="6500"/>
        </w:tabs>
        <w:ind w:left="6500" w:hanging="180"/>
      </w:pPr>
    </w:lvl>
  </w:abstractNum>
  <w:abstractNum w:abstractNumId="107" w15:restartNumberingAfterBreak="0">
    <w:nsid w:val="0B283A1C"/>
    <w:multiLevelType w:val="hybridMultilevel"/>
    <w:tmpl w:val="BB262AF4"/>
    <w:lvl w:ilvl="0" w:tplc="04090019">
      <w:start w:val="1"/>
      <w:numFmt w:val="lowerLetter"/>
      <w:lvlText w:val="%1."/>
      <w:lvlJc w:val="left"/>
      <w:pPr>
        <w:tabs>
          <w:tab w:val="num" w:pos="720"/>
        </w:tabs>
        <w:ind w:left="720" w:hanging="360"/>
      </w:pPr>
    </w:lvl>
    <w:lvl w:ilvl="1" w:tplc="B67EA620">
      <w:start w:val="2"/>
      <w:numFmt w:val="decimal"/>
      <w:lvlText w:val="%2."/>
      <w:lvlJc w:val="left"/>
      <w:pPr>
        <w:tabs>
          <w:tab w:val="num" w:pos="936"/>
        </w:tabs>
        <w:ind w:left="936" w:hanging="432"/>
      </w:pPr>
      <w:rPr>
        <w:rFonts w:hint="default"/>
      </w:rPr>
    </w:lvl>
    <w:lvl w:ilvl="2" w:tplc="776A7A9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4579E0"/>
    <w:multiLevelType w:val="hybridMultilevel"/>
    <w:tmpl w:val="D57A5F26"/>
    <w:lvl w:ilvl="0" w:tplc="9AD66AF2">
      <w:start w:val="1"/>
      <w:numFmt w:val="decimal"/>
      <w:lvlText w:val="%1."/>
      <w:lvlJc w:val="left"/>
      <w:pPr>
        <w:tabs>
          <w:tab w:val="num" w:pos="432"/>
        </w:tabs>
        <w:ind w:left="432" w:hanging="432"/>
      </w:pPr>
      <w:rPr>
        <w:rFonts w:hint="default"/>
      </w:rPr>
    </w:lvl>
    <w:lvl w:ilvl="1" w:tplc="D9FC2024">
      <w:start w:val="1"/>
      <w:numFmt w:val="bullet"/>
      <w:lvlText w:val=""/>
      <w:lvlJc w:val="left"/>
      <w:pPr>
        <w:tabs>
          <w:tab w:val="num" w:pos="936"/>
        </w:tabs>
        <w:ind w:left="936" w:hanging="360"/>
      </w:pPr>
      <w:rPr>
        <w:rFonts w:ascii="Symbol" w:hAnsi="Symbol" w:hint="default"/>
        <w:sz w:val="24"/>
      </w:r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109" w15:restartNumberingAfterBreak="0">
    <w:nsid w:val="0B590828"/>
    <w:multiLevelType w:val="hybridMultilevel"/>
    <w:tmpl w:val="14848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0B6B299B"/>
    <w:multiLevelType w:val="hybridMultilevel"/>
    <w:tmpl w:val="B65C8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0BAD0F7A"/>
    <w:multiLevelType w:val="hybridMultilevel"/>
    <w:tmpl w:val="38384558"/>
    <w:lvl w:ilvl="0" w:tplc="BF244624">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0BCF2FF0"/>
    <w:multiLevelType w:val="hybridMultilevel"/>
    <w:tmpl w:val="98766C1A"/>
    <w:lvl w:ilvl="0" w:tplc="6CBA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0BFF6DF8"/>
    <w:multiLevelType w:val="hybridMultilevel"/>
    <w:tmpl w:val="34481C14"/>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114" w15:restartNumberingAfterBreak="0">
    <w:nsid w:val="0C026CA2"/>
    <w:multiLevelType w:val="hybridMultilevel"/>
    <w:tmpl w:val="B23ADEF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0C2C22BF"/>
    <w:multiLevelType w:val="hybridMultilevel"/>
    <w:tmpl w:val="6FCC431A"/>
    <w:lvl w:ilvl="0" w:tplc="0409000F">
      <w:start w:val="1"/>
      <w:numFmt w:val="bullet"/>
      <w:lvlText w:val=""/>
      <w:lvlJc w:val="left"/>
      <w:pPr>
        <w:tabs>
          <w:tab w:val="num" w:pos="1860"/>
        </w:tabs>
        <w:ind w:left="18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0C6B26D1"/>
    <w:multiLevelType w:val="multilevel"/>
    <w:tmpl w:val="D12C376A"/>
    <w:lvl w:ilvl="0">
      <w:start w:val="1"/>
      <w:numFmt w:val="decimal"/>
      <w:lvlText w:val="%1."/>
      <w:lvlJc w:val="left"/>
      <w:pPr>
        <w:tabs>
          <w:tab w:val="num" w:pos="360"/>
        </w:tabs>
        <w:ind w:left="360" w:hanging="360"/>
      </w:pPr>
      <w:rPr>
        <w:rFonts w:hint="default"/>
        <w:b w:val="0"/>
        <w:i w:val="0"/>
      </w:rPr>
    </w:lvl>
    <w:lvl w:ilvl="1">
      <w:start w:val="6"/>
      <w:numFmt w:val="decimal"/>
      <w:isLgl/>
      <w:lvlText w:val="%1.%2"/>
      <w:lvlJc w:val="left"/>
      <w:pPr>
        <w:ind w:left="495" w:hanging="495"/>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7" w15:restartNumberingAfterBreak="0">
    <w:nsid w:val="0C7E7152"/>
    <w:multiLevelType w:val="hybridMultilevel"/>
    <w:tmpl w:val="8626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0C985F1D"/>
    <w:multiLevelType w:val="hybridMultilevel"/>
    <w:tmpl w:val="C71C1698"/>
    <w:lvl w:ilvl="0" w:tplc="04090001">
      <w:start w:val="1"/>
      <w:numFmt w:val="bullet"/>
      <w:lvlText w:val=""/>
      <w:lvlJc w:val="left"/>
      <w:pPr>
        <w:tabs>
          <w:tab w:val="num" w:pos="792"/>
        </w:tabs>
        <w:ind w:left="792"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15:restartNumberingAfterBreak="0">
    <w:nsid w:val="0CA36BB5"/>
    <w:multiLevelType w:val="hybridMultilevel"/>
    <w:tmpl w:val="ED1CFDB0"/>
    <w:lvl w:ilvl="0" w:tplc="04090001">
      <w:start w:val="1"/>
      <w:numFmt w:val="bullet"/>
      <w:lvlText w:val=""/>
      <w:lvlJc w:val="left"/>
      <w:pPr>
        <w:tabs>
          <w:tab w:val="num" w:pos="720"/>
        </w:tabs>
        <w:ind w:left="720" w:hanging="360"/>
      </w:pPr>
      <w:rPr>
        <w:rFonts w:ascii="Symbol" w:hAnsi="Symbol" w:hint="default"/>
      </w:rPr>
    </w:lvl>
    <w:lvl w:ilvl="1" w:tplc="F6C6B818">
      <w:start w:val="1"/>
      <w:numFmt w:val="bullet"/>
      <w:lvlText w:val=""/>
      <w:lvlJc w:val="left"/>
      <w:pPr>
        <w:tabs>
          <w:tab w:val="num" w:pos="1440"/>
        </w:tabs>
        <w:ind w:left="1440" w:hanging="360"/>
      </w:pPr>
      <w:rPr>
        <w:rFonts w:ascii="Wingdings" w:hAnsi="Wingdings" w:hint="default"/>
        <w:color w:val="3366FF"/>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15:restartNumberingAfterBreak="0">
    <w:nsid w:val="0CB47EBD"/>
    <w:multiLevelType w:val="hybridMultilevel"/>
    <w:tmpl w:val="FC60A1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0CEA10E3"/>
    <w:multiLevelType w:val="hybridMultilevel"/>
    <w:tmpl w:val="1576A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0CFE2C29"/>
    <w:multiLevelType w:val="hybridMultilevel"/>
    <w:tmpl w:val="069CD84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0D081AB1"/>
    <w:multiLevelType w:val="hybridMultilevel"/>
    <w:tmpl w:val="7390BA1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15:restartNumberingAfterBreak="0">
    <w:nsid w:val="0D116915"/>
    <w:multiLevelType w:val="hybridMultilevel"/>
    <w:tmpl w:val="1FDEFB36"/>
    <w:lvl w:ilvl="0" w:tplc="04090001">
      <w:start w:val="1"/>
      <w:numFmt w:val="bullet"/>
      <w:lvlText w:val=""/>
      <w:lvlJc w:val="left"/>
      <w:pPr>
        <w:tabs>
          <w:tab w:val="num" w:pos="468"/>
        </w:tabs>
        <w:ind w:left="468" w:hanging="360"/>
      </w:pPr>
      <w:rPr>
        <w:rFonts w:ascii="Symbol" w:hAnsi="Symbol" w:hint="default"/>
      </w:rPr>
    </w:lvl>
    <w:lvl w:ilvl="1" w:tplc="0409000F">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15:restartNumberingAfterBreak="0">
    <w:nsid w:val="0D2B62B6"/>
    <w:multiLevelType w:val="hybridMultilevel"/>
    <w:tmpl w:val="631A6C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0D344633"/>
    <w:multiLevelType w:val="hybridMultilevel"/>
    <w:tmpl w:val="C0FE6B90"/>
    <w:lvl w:ilvl="0" w:tplc="04090001">
      <w:start w:val="1"/>
      <w:numFmt w:val="bullet"/>
      <w:lvlText w:val=""/>
      <w:lvlJc w:val="left"/>
      <w:pPr>
        <w:tabs>
          <w:tab w:val="num" w:pos="360"/>
        </w:tabs>
        <w:ind w:left="360" w:hanging="360"/>
      </w:pPr>
      <w:rPr>
        <w:rFonts w:ascii="Symbol" w:hAnsi="Symbol" w:hint="default"/>
      </w:rPr>
    </w:lvl>
    <w:lvl w:ilvl="1" w:tplc="ECC49F10">
      <w:start w:val="1"/>
      <w:numFmt w:val="decimal"/>
      <w:lvlText w:val="%2."/>
      <w:lvlJc w:val="left"/>
      <w:pPr>
        <w:tabs>
          <w:tab w:val="num" w:pos="1560"/>
        </w:tabs>
        <w:ind w:left="1560" w:hanging="432"/>
      </w:pPr>
      <w:rPr>
        <w:rFonts w:hint="default"/>
      </w:rPr>
    </w:lvl>
    <w:lvl w:ilvl="2" w:tplc="0409000F">
      <w:start w:val="1"/>
      <w:numFmt w:val="decimal"/>
      <w:lvlText w:val="%3."/>
      <w:lvlJc w:val="left"/>
      <w:pPr>
        <w:tabs>
          <w:tab w:val="num" w:pos="2388"/>
        </w:tabs>
        <w:ind w:left="2388" w:hanging="36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127" w15:restartNumberingAfterBreak="0">
    <w:nsid w:val="0D3E3AF9"/>
    <w:multiLevelType w:val="hybridMultilevel"/>
    <w:tmpl w:val="4BBA6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0D483428"/>
    <w:multiLevelType w:val="hybridMultilevel"/>
    <w:tmpl w:val="36523418"/>
    <w:lvl w:ilvl="0" w:tplc="F820764C">
      <w:start w:val="1"/>
      <w:numFmt w:val="bullet"/>
      <w:lvlText w:val=""/>
      <w:lvlJc w:val="left"/>
      <w:pPr>
        <w:tabs>
          <w:tab w:val="num" w:pos="1224"/>
        </w:tabs>
        <w:ind w:left="864" w:firstLine="0"/>
      </w:pPr>
      <w:rPr>
        <w:rFonts w:ascii="Symbol" w:hAnsi="Symbol" w:hint="default"/>
        <w:sz w:val="20"/>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29" w15:restartNumberingAfterBreak="0">
    <w:nsid w:val="0D506015"/>
    <w:multiLevelType w:val="hybridMultilevel"/>
    <w:tmpl w:val="8492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0D7C03E4"/>
    <w:multiLevelType w:val="hybridMultilevel"/>
    <w:tmpl w:val="F74CD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0DA6455A"/>
    <w:multiLevelType w:val="hybridMultilevel"/>
    <w:tmpl w:val="8E889B8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15:restartNumberingAfterBreak="0">
    <w:nsid w:val="0DCE50A6"/>
    <w:multiLevelType w:val="hybridMultilevel"/>
    <w:tmpl w:val="7360A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0E3C3DAB"/>
    <w:multiLevelType w:val="hybridMultilevel"/>
    <w:tmpl w:val="46D23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0E5762BF"/>
    <w:multiLevelType w:val="hybridMultilevel"/>
    <w:tmpl w:val="2A1E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0EA61EE5"/>
    <w:multiLevelType w:val="hybridMultilevel"/>
    <w:tmpl w:val="D06C3E30"/>
    <w:lvl w:ilvl="0" w:tplc="04090001">
      <w:start w:val="1"/>
      <w:numFmt w:val="bullet"/>
      <w:lvlText w:val=""/>
      <w:lvlJc w:val="left"/>
      <w:pPr>
        <w:ind w:left="810" w:hanging="360"/>
      </w:pPr>
      <w:rPr>
        <w:rFonts w:ascii="Symbol" w:hAnsi="Symbol" w:hint="default"/>
        <w:b w:val="0"/>
        <w:color w:val="auto"/>
        <w:sz w:val="22"/>
        <w:szCs w:val="22"/>
      </w:rPr>
    </w:lvl>
    <w:lvl w:ilvl="1" w:tplc="5136E3E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0EAA3F18"/>
    <w:multiLevelType w:val="hybridMultilevel"/>
    <w:tmpl w:val="95D232F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15:restartNumberingAfterBreak="0">
    <w:nsid w:val="0EC95555"/>
    <w:multiLevelType w:val="hybridMultilevel"/>
    <w:tmpl w:val="E4C87E6A"/>
    <w:lvl w:ilvl="0" w:tplc="04090001">
      <w:start w:val="1"/>
      <w:numFmt w:val="bullet"/>
      <w:lvlText w:val=""/>
      <w:lvlJc w:val="left"/>
      <w:pPr>
        <w:tabs>
          <w:tab w:val="num" w:pos="792"/>
        </w:tabs>
        <w:ind w:left="792" w:hanging="360"/>
      </w:pPr>
      <w:rPr>
        <w:rFonts w:ascii="Symbol" w:hAnsi="Symbol" w:hint="default"/>
      </w:r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8" w15:restartNumberingAfterBreak="0">
    <w:nsid w:val="0ECB276F"/>
    <w:multiLevelType w:val="hybridMultilevel"/>
    <w:tmpl w:val="51EAFCFE"/>
    <w:lvl w:ilvl="0" w:tplc="215A008C">
      <w:start w:val="1"/>
      <w:numFmt w:val="decimal"/>
      <w:lvlText w:val="%1."/>
      <w:lvlJc w:val="left"/>
      <w:pPr>
        <w:tabs>
          <w:tab w:val="num" w:pos="1224"/>
        </w:tabs>
        <w:ind w:left="1224" w:hanging="432"/>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9" w15:restartNumberingAfterBreak="0">
    <w:nsid w:val="0ED52306"/>
    <w:multiLevelType w:val="hybridMultilevel"/>
    <w:tmpl w:val="8EBE8920"/>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140" w15:restartNumberingAfterBreak="0">
    <w:nsid w:val="0F015C77"/>
    <w:multiLevelType w:val="hybridMultilevel"/>
    <w:tmpl w:val="F126EE7C"/>
    <w:lvl w:ilvl="0" w:tplc="04090001">
      <w:start w:val="1"/>
      <w:numFmt w:val="bullet"/>
      <w:lvlText w:val=""/>
      <w:lvlJc w:val="left"/>
      <w:pPr>
        <w:tabs>
          <w:tab w:val="num" w:pos="792"/>
        </w:tabs>
        <w:ind w:left="792" w:hanging="360"/>
      </w:pPr>
      <w:rPr>
        <w:rFonts w:ascii="Symbol" w:hAnsi="Symbol" w:hint="default"/>
      </w:r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1" w15:restartNumberingAfterBreak="0">
    <w:nsid w:val="0F084B4B"/>
    <w:multiLevelType w:val="multilevel"/>
    <w:tmpl w:val="EDE63EE2"/>
    <w:lvl w:ilvl="0">
      <w:start w:val="1"/>
      <w:numFmt w:val="decimal"/>
      <w:lvlText w:val="%1."/>
      <w:lvlJc w:val="left"/>
      <w:pPr>
        <w:tabs>
          <w:tab w:val="num" w:pos="360"/>
        </w:tabs>
        <w:ind w:left="360" w:hanging="360"/>
      </w:pPr>
      <w:rPr>
        <w:rFonts w:hint="default"/>
      </w:rPr>
    </w:lvl>
    <w:lvl w:ilvl="1">
      <w:start w:val="5"/>
      <w:numFmt w:val="decimal"/>
      <w:isLgl/>
      <w:lvlText w:val="%1.%2"/>
      <w:lvlJc w:val="left"/>
      <w:pPr>
        <w:ind w:left="435" w:hanging="435"/>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2" w15:restartNumberingAfterBreak="0">
    <w:nsid w:val="0F5146C0"/>
    <w:multiLevelType w:val="hybridMultilevel"/>
    <w:tmpl w:val="1876C43E"/>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15:restartNumberingAfterBreak="0">
    <w:nsid w:val="0F5725AB"/>
    <w:multiLevelType w:val="hybridMultilevel"/>
    <w:tmpl w:val="75A6D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0F585FC7"/>
    <w:multiLevelType w:val="hybridMultilevel"/>
    <w:tmpl w:val="DB60A5CA"/>
    <w:lvl w:ilvl="0" w:tplc="B4D86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0F655436"/>
    <w:multiLevelType w:val="hybridMultilevel"/>
    <w:tmpl w:val="BE460D7C"/>
    <w:lvl w:ilvl="0" w:tplc="04090001">
      <w:start w:val="1"/>
      <w:numFmt w:val="bullet"/>
      <w:lvlText w:val=""/>
      <w:lvlJc w:val="left"/>
      <w:pPr>
        <w:tabs>
          <w:tab w:val="num" w:pos="468"/>
        </w:tabs>
        <w:ind w:left="468" w:hanging="360"/>
      </w:pPr>
      <w:rPr>
        <w:rFonts w:ascii="Symbol" w:hAnsi="Symbol" w:hint="default"/>
      </w:rPr>
    </w:lvl>
    <w:lvl w:ilvl="1" w:tplc="5BD4709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15:restartNumberingAfterBreak="0">
    <w:nsid w:val="0F927D47"/>
    <w:multiLevelType w:val="hybridMultilevel"/>
    <w:tmpl w:val="E5FCA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0FC65A0A"/>
    <w:multiLevelType w:val="hybridMultilevel"/>
    <w:tmpl w:val="4D8A1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8" w15:restartNumberingAfterBreak="0">
    <w:nsid w:val="0FE1583A"/>
    <w:multiLevelType w:val="hybridMultilevel"/>
    <w:tmpl w:val="EE6E8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0FF42632"/>
    <w:multiLevelType w:val="hybridMultilevel"/>
    <w:tmpl w:val="1DF4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10025132"/>
    <w:multiLevelType w:val="hybridMultilevel"/>
    <w:tmpl w:val="856263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15:restartNumberingAfterBreak="0">
    <w:nsid w:val="1005405C"/>
    <w:multiLevelType w:val="hybridMultilevel"/>
    <w:tmpl w:val="A5CE8080"/>
    <w:lvl w:ilvl="0" w:tplc="A3FC74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15:restartNumberingAfterBreak="0">
    <w:nsid w:val="1033299D"/>
    <w:multiLevelType w:val="hybridMultilevel"/>
    <w:tmpl w:val="A44EB304"/>
    <w:lvl w:ilvl="0" w:tplc="BF244624">
      <w:start w:val="1"/>
      <w:numFmt w:val="decimal"/>
      <w:lvlText w:val="%1."/>
      <w:lvlJc w:val="left"/>
      <w:pPr>
        <w:tabs>
          <w:tab w:val="num" w:pos="540"/>
        </w:tabs>
        <w:ind w:left="54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15:restartNumberingAfterBreak="0">
    <w:nsid w:val="103A270B"/>
    <w:multiLevelType w:val="hybridMultilevel"/>
    <w:tmpl w:val="0BD64BE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15:restartNumberingAfterBreak="0">
    <w:nsid w:val="103A2883"/>
    <w:multiLevelType w:val="hybridMultilevel"/>
    <w:tmpl w:val="CE3416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107F7AE1"/>
    <w:multiLevelType w:val="hybridMultilevel"/>
    <w:tmpl w:val="C8F01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10AD6DF0"/>
    <w:multiLevelType w:val="hybridMultilevel"/>
    <w:tmpl w:val="C0120C2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7" w15:restartNumberingAfterBreak="0">
    <w:nsid w:val="10BF1200"/>
    <w:multiLevelType w:val="hybridMultilevel"/>
    <w:tmpl w:val="65A867D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8" w15:restartNumberingAfterBreak="0">
    <w:nsid w:val="10FB3281"/>
    <w:multiLevelType w:val="hybridMultilevel"/>
    <w:tmpl w:val="834EB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9" w15:restartNumberingAfterBreak="0">
    <w:nsid w:val="110B0273"/>
    <w:multiLevelType w:val="hybridMultilevel"/>
    <w:tmpl w:val="D94021E4"/>
    <w:lvl w:ilvl="0" w:tplc="590C7EEE">
      <w:start w:val="1"/>
      <w:numFmt w:val="decimal"/>
      <w:lvlText w:val="%1."/>
      <w:lvlJc w:val="left"/>
      <w:pPr>
        <w:tabs>
          <w:tab w:val="num" w:pos="360"/>
        </w:tabs>
        <w:ind w:left="360" w:hanging="360"/>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15:restartNumberingAfterBreak="0">
    <w:nsid w:val="11BA4AAF"/>
    <w:multiLevelType w:val="hybridMultilevel"/>
    <w:tmpl w:val="D046AB30"/>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15:restartNumberingAfterBreak="0">
    <w:nsid w:val="11C554FC"/>
    <w:multiLevelType w:val="hybridMultilevel"/>
    <w:tmpl w:val="1DCED188"/>
    <w:lvl w:ilvl="0" w:tplc="16DAF9FE">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2" w15:restartNumberingAfterBreak="0">
    <w:nsid w:val="11CD250B"/>
    <w:multiLevelType w:val="hybridMultilevel"/>
    <w:tmpl w:val="B73E5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11DA06FA"/>
    <w:multiLevelType w:val="hybridMultilevel"/>
    <w:tmpl w:val="8E8AD2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21B3EAF"/>
    <w:multiLevelType w:val="hybridMultilevel"/>
    <w:tmpl w:val="641E5C6A"/>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15:restartNumberingAfterBreak="0">
    <w:nsid w:val="12487DDB"/>
    <w:multiLevelType w:val="hybridMultilevel"/>
    <w:tmpl w:val="B88EC7A6"/>
    <w:lvl w:ilvl="0" w:tplc="A990742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126C7CFD"/>
    <w:multiLevelType w:val="hybridMultilevel"/>
    <w:tmpl w:val="B24A566A"/>
    <w:lvl w:ilvl="0" w:tplc="04090001">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12AC05B3"/>
    <w:multiLevelType w:val="hybridMultilevel"/>
    <w:tmpl w:val="3EBE499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15:restartNumberingAfterBreak="0">
    <w:nsid w:val="12D7085F"/>
    <w:multiLevelType w:val="hybridMultilevel"/>
    <w:tmpl w:val="A072A90A"/>
    <w:lvl w:ilvl="0" w:tplc="FFFFFFFF">
      <w:start w:val="1"/>
      <w:numFmt w:val="lowerLetter"/>
      <w:lvlText w:val="%1."/>
      <w:lvlJc w:val="left"/>
      <w:pPr>
        <w:tabs>
          <w:tab w:val="num" w:pos="1440"/>
        </w:tabs>
        <w:ind w:left="1440" w:hanging="360"/>
      </w:pPr>
      <w:rPr>
        <w:rFonts w:hint="default"/>
        <w:b w:val="0"/>
        <w:i w:val="0"/>
        <w:sz w:val="22"/>
        <w:szCs w:val="22"/>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69" w15:restartNumberingAfterBreak="0">
    <w:nsid w:val="12EB028F"/>
    <w:multiLevelType w:val="hybridMultilevel"/>
    <w:tmpl w:val="5970B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12F042E3"/>
    <w:multiLevelType w:val="hybridMultilevel"/>
    <w:tmpl w:val="5C30F5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134A1F5E"/>
    <w:multiLevelType w:val="hybridMultilevel"/>
    <w:tmpl w:val="418CEC1C"/>
    <w:lvl w:ilvl="0" w:tplc="04090001">
      <w:start w:val="1"/>
      <w:numFmt w:val="bullet"/>
      <w:lvlText w:val=""/>
      <w:lvlJc w:val="left"/>
      <w:pPr>
        <w:tabs>
          <w:tab w:val="num" w:pos="720"/>
        </w:tabs>
        <w:ind w:left="720" w:hanging="360"/>
      </w:pPr>
      <w:rPr>
        <w:rFonts w:ascii="Symbol" w:hAnsi="Symbol" w:hint="default"/>
        <w:b w:val="0"/>
        <w:i w:val="0"/>
        <w:color w:val="auto"/>
      </w:rPr>
    </w:lvl>
    <w:lvl w:ilvl="1" w:tplc="FFFFFFFF">
      <w:start w:val="1"/>
      <w:numFmt w:val="lowerLetter"/>
      <w:lvlText w:val="%2."/>
      <w:lvlJc w:val="left"/>
      <w:pPr>
        <w:ind w:left="1800" w:hanging="360"/>
      </w:pPr>
      <w:rPr>
        <w:rFonts w:hint="default"/>
        <w:b w:val="0"/>
        <w:i w:val="0"/>
        <w:sz w:val="22"/>
        <w:szCs w:val="22"/>
      </w:rPr>
    </w:lvl>
    <w:lvl w:ilvl="2" w:tplc="9C781FBE">
      <w:numFmt w:val="bullet"/>
      <w:lvlText w:val="•"/>
      <w:lvlJc w:val="left"/>
      <w:pPr>
        <w:ind w:left="3210" w:hanging="870"/>
      </w:pPr>
      <w:rPr>
        <w:rFonts w:ascii="Times New Roman" w:eastAsia="Times New Roman" w:hAnsi="Times New Roman" w:cs="Times New Roman"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2" w15:restartNumberingAfterBreak="0">
    <w:nsid w:val="13B650CC"/>
    <w:multiLevelType w:val="hybridMultilevel"/>
    <w:tmpl w:val="DE587D86"/>
    <w:lvl w:ilvl="0" w:tplc="FFFFFFFF">
      <w:start w:val="1"/>
      <w:numFmt w:val="lowerLetter"/>
      <w:lvlText w:val="%1."/>
      <w:lvlJc w:val="left"/>
      <w:pPr>
        <w:ind w:left="720" w:hanging="36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13C34CDA"/>
    <w:multiLevelType w:val="hybridMultilevel"/>
    <w:tmpl w:val="3AC629C6"/>
    <w:lvl w:ilvl="0" w:tplc="BF244624">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4" w15:restartNumberingAfterBreak="0">
    <w:nsid w:val="13D57CA2"/>
    <w:multiLevelType w:val="hybridMultilevel"/>
    <w:tmpl w:val="4A94721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15:restartNumberingAfterBreak="0">
    <w:nsid w:val="13F25032"/>
    <w:multiLevelType w:val="hybridMultilevel"/>
    <w:tmpl w:val="8A86DD7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6" w15:restartNumberingAfterBreak="0">
    <w:nsid w:val="14110418"/>
    <w:multiLevelType w:val="hybridMultilevel"/>
    <w:tmpl w:val="A152536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15:restartNumberingAfterBreak="0">
    <w:nsid w:val="14373A94"/>
    <w:multiLevelType w:val="hybridMultilevel"/>
    <w:tmpl w:val="E7AC4262"/>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8" w15:restartNumberingAfterBreak="0">
    <w:nsid w:val="1459592E"/>
    <w:multiLevelType w:val="hybridMultilevel"/>
    <w:tmpl w:val="25F4748C"/>
    <w:lvl w:ilvl="0" w:tplc="8C8423A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15:restartNumberingAfterBreak="0">
    <w:nsid w:val="14677128"/>
    <w:multiLevelType w:val="hybridMultilevel"/>
    <w:tmpl w:val="81588D10"/>
    <w:lvl w:ilvl="0" w:tplc="215A008C">
      <w:start w:val="1"/>
      <w:numFmt w:val="decimal"/>
      <w:lvlText w:val="%1."/>
      <w:lvlJc w:val="left"/>
      <w:pPr>
        <w:tabs>
          <w:tab w:val="num" w:pos="792"/>
        </w:tabs>
        <w:ind w:left="792" w:hanging="432"/>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80" w15:restartNumberingAfterBreak="0">
    <w:nsid w:val="15052237"/>
    <w:multiLevelType w:val="hybridMultilevel"/>
    <w:tmpl w:val="AF609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150931BB"/>
    <w:multiLevelType w:val="hybridMultilevel"/>
    <w:tmpl w:val="0C36C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154D5B2E"/>
    <w:multiLevelType w:val="hybridMultilevel"/>
    <w:tmpl w:val="38384558"/>
    <w:lvl w:ilvl="0" w:tplc="BF244624">
      <w:start w:val="1"/>
      <w:numFmt w:val="decimal"/>
      <w:lvlText w:val="%1."/>
      <w:lvlJc w:val="left"/>
      <w:pPr>
        <w:tabs>
          <w:tab w:val="num" w:pos="720"/>
        </w:tabs>
        <w:ind w:left="720" w:hanging="360"/>
      </w:pPr>
      <w:rPr>
        <w:rFonts w:hint="default"/>
        <w:b w:val="0"/>
        <w:i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3" w15:restartNumberingAfterBreak="0">
    <w:nsid w:val="15592023"/>
    <w:multiLevelType w:val="hybridMultilevel"/>
    <w:tmpl w:val="3FE6C3B2"/>
    <w:lvl w:ilvl="0" w:tplc="04090003">
      <w:start w:val="1"/>
      <w:numFmt w:val="bullet"/>
      <w:lvlText w:val="o"/>
      <w:lvlJc w:val="left"/>
      <w:pPr>
        <w:ind w:left="1627" w:hanging="360"/>
      </w:pPr>
      <w:rPr>
        <w:rFonts w:ascii="Courier New" w:hAnsi="Courier New" w:cs="Courier New"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84" w15:restartNumberingAfterBreak="0">
    <w:nsid w:val="157566F5"/>
    <w:multiLevelType w:val="singleLevel"/>
    <w:tmpl w:val="0409000F"/>
    <w:lvl w:ilvl="0">
      <w:start w:val="1"/>
      <w:numFmt w:val="decimal"/>
      <w:lvlText w:val="%1."/>
      <w:lvlJc w:val="left"/>
      <w:pPr>
        <w:ind w:left="720" w:hanging="360"/>
      </w:pPr>
    </w:lvl>
  </w:abstractNum>
  <w:abstractNum w:abstractNumId="185" w15:restartNumberingAfterBreak="0">
    <w:nsid w:val="1581304C"/>
    <w:multiLevelType w:val="hybridMultilevel"/>
    <w:tmpl w:val="0FA8DC94"/>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15:restartNumberingAfterBreak="0">
    <w:nsid w:val="165610EF"/>
    <w:multiLevelType w:val="hybridMultilevel"/>
    <w:tmpl w:val="C9E0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1662635C"/>
    <w:multiLevelType w:val="hybridMultilevel"/>
    <w:tmpl w:val="30EE760E"/>
    <w:lvl w:ilvl="0" w:tplc="FFFFFFFF">
      <w:start w:val="1"/>
      <w:numFmt w:val="lowerLetter"/>
      <w:lvlText w:val="%1."/>
      <w:lvlJc w:val="left"/>
      <w:pPr>
        <w:ind w:left="1080" w:hanging="360"/>
      </w:pPr>
      <w:rPr>
        <w:rFonts w:hint="default"/>
        <w:b w:val="0"/>
        <w:i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15:restartNumberingAfterBreak="0">
    <w:nsid w:val="16865170"/>
    <w:multiLevelType w:val="hybridMultilevel"/>
    <w:tmpl w:val="5172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16F024BF"/>
    <w:multiLevelType w:val="hybridMultilevel"/>
    <w:tmpl w:val="72E4381C"/>
    <w:lvl w:ilvl="0" w:tplc="ECC49F10">
      <w:start w:val="1"/>
      <w:numFmt w:val="lowerLetter"/>
      <w:lvlText w:val="%1."/>
      <w:lvlJc w:val="left"/>
      <w:pPr>
        <w:tabs>
          <w:tab w:val="num" w:pos="792"/>
        </w:tabs>
        <w:ind w:left="792"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0" w15:restartNumberingAfterBreak="0">
    <w:nsid w:val="171C3EE5"/>
    <w:multiLevelType w:val="hybridMultilevel"/>
    <w:tmpl w:val="137E3A98"/>
    <w:lvl w:ilvl="0" w:tplc="E098C4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176A65E9"/>
    <w:multiLevelType w:val="multilevel"/>
    <w:tmpl w:val="8450809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15:restartNumberingAfterBreak="0">
    <w:nsid w:val="177A5A97"/>
    <w:multiLevelType w:val="hybridMultilevel"/>
    <w:tmpl w:val="6A8ABDE8"/>
    <w:lvl w:ilvl="0" w:tplc="04090019">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397"/>
        </w:tabs>
        <w:ind w:left="1397" w:hanging="360"/>
      </w:pPr>
    </w:lvl>
    <w:lvl w:ilvl="2" w:tplc="0409001B" w:tentative="1">
      <w:start w:val="1"/>
      <w:numFmt w:val="lowerRoman"/>
      <w:lvlText w:val="%3."/>
      <w:lvlJc w:val="right"/>
      <w:pPr>
        <w:tabs>
          <w:tab w:val="num" w:pos="2117"/>
        </w:tabs>
        <w:ind w:left="2117" w:hanging="180"/>
      </w:pPr>
    </w:lvl>
    <w:lvl w:ilvl="3" w:tplc="0409000F" w:tentative="1">
      <w:start w:val="1"/>
      <w:numFmt w:val="decimal"/>
      <w:lvlText w:val="%4."/>
      <w:lvlJc w:val="left"/>
      <w:pPr>
        <w:tabs>
          <w:tab w:val="num" w:pos="2837"/>
        </w:tabs>
        <w:ind w:left="2837" w:hanging="360"/>
      </w:pPr>
    </w:lvl>
    <w:lvl w:ilvl="4" w:tplc="04090019" w:tentative="1">
      <w:start w:val="1"/>
      <w:numFmt w:val="lowerLetter"/>
      <w:lvlText w:val="%5."/>
      <w:lvlJc w:val="left"/>
      <w:pPr>
        <w:tabs>
          <w:tab w:val="num" w:pos="3557"/>
        </w:tabs>
        <w:ind w:left="3557" w:hanging="360"/>
      </w:pPr>
    </w:lvl>
    <w:lvl w:ilvl="5" w:tplc="0409001B" w:tentative="1">
      <w:start w:val="1"/>
      <w:numFmt w:val="lowerRoman"/>
      <w:lvlText w:val="%6."/>
      <w:lvlJc w:val="right"/>
      <w:pPr>
        <w:tabs>
          <w:tab w:val="num" w:pos="4277"/>
        </w:tabs>
        <w:ind w:left="4277" w:hanging="180"/>
      </w:pPr>
    </w:lvl>
    <w:lvl w:ilvl="6" w:tplc="0409000F" w:tentative="1">
      <w:start w:val="1"/>
      <w:numFmt w:val="decimal"/>
      <w:lvlText w:val="%7."/>
      <w:lvlJc w:val="left"/>
      <w:pPr>
        <w:tabs>
          <w:tab w:val="num" w:pos="4997"/>
        </w:tabs>
        <w:ind w:left="4997" w:hanging="360"/>
      </w:pPr>
    </w:lvl>
    <w:lvl w:ilvl="7" w:tplc="04090019" w:tentative="1">
      <w:start w:val="1"/>
      <w:numFmt w:val="lowerLetter"/>
      <w:lvlText w:val="%8."/>
      <w:lvlJc w:val="left"/>
      <w:pPr>
        <w:tabs>
          <w:tab w:val="num" w:pos="5717"/>
        </w:tabs>
        <w:ind w:left="5717" w:hanging="360"/>
      </w:pPr>
    </w:lvl>
    <w:lvl w:ilvl="8" w:tplc="0409001B" w:tentative="1">
      <w:start w:val="1"/>
      <w:numFmt w:val="lowerRoman"/>
      <w:lvlText w:val="%9."/>
      <w:lvlJc w:val="right"/>
      <w:pPr>
        <w:tabs>
          <w:tab w:val="num" w:pos="6437"/>
        </w:tabs>
        <w:ind w:left="6437" w:hanging="180"/>
      </w:pPr>
    </w:lvl>
  </w:abstractNum>
  <w:abstractNum w:abstractNumId="193" w15:restartNumberingAfterBreak="0">
    <w:nsid w:val="17944B6F"/>
    <w:multiLevelType w:val="hybridMultilevel"/>
    <w:tmpl w:val="6C321E0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4" w15:restartNumberingAfterBreak="0">
    <w:nsid w:val="17B53D7C"/>
    <w:multiLevelType w:val="hybridMultilevel"/>
    <w:tmpl w:val="203C1E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5" w15:restartNumberingAfterBreak="0">
    <w:nsid w:val="185707B0"/>
    <w:multiLevelType w:val="hybridMultilevel"/>
    <w:tmpl w:val="B8A404A4"/>
    <w:lvl w:ilvl="0" w:tplc="215A008C">
      <w:start w:val="1"/>
      <w:numFmt w:val="decimal"/>
      <w:lvlText w:val="%1."/>
      <w:lvlJc w:val="left"/>
      <w:pPr>
        <w:tabs>
          <w:tab w:val="num" w:pos="1224"/>
        </w:tabs>
        <w:ind w:left="1224" w:hanging="432"/>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6" w15:restartNumberingAfterBreak="0">
    <w:nsid w:val="1864670F"/>
    <w:multiLevelType w:val="hybridMultilevel"/>
    <w:tmpl w:val="CDF61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18745675"/>
    <w:multiLevelType w:val="hybridMultilevel"/>
    <w:tmpl w:val="378C5592"/>
    <w:lvl w:ilvl="0" w:tplc="215A008C">
      <w:start w:val="1"/>
      <w:numFmt w:val="bullet"/>
      <w:lvlText w:val=""/>
      <w:lvlJc w:val="left"/>
      <w:pPr>
        <w:tabs>
          <w:tab w:val="num" w:pos="1080"/>
        </w:tabs>
        <w:ind w:left="1080" w:hanging="360"/>
      </w:pPr>
      <w:rPr>
        <w:rFonts w:ascii="Symbol" w:hAnsi="Symbol" w:hint="default"/>
      </w:rPr>
    </w:lvl>
    <w:lvl w:ilvl="1" w:tplc="0409000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98" w15:restartNumberingAfterBreak="0">
    <w:nsid w:val="188B46F9"/>
    <w:multiLevelType w:val="hybridMultilevel"/>
    <w:tmpl w:val="66E49D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1894153E"/>
    <w:multiLevelType w:val="hybridMultilevel"/>
    <w:tmpl w:val="49CEF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18A10841"/>
    <w:multiLevelType w:val="hybridMultilevel"/>
    <w:tmpl w:val="F02A37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18C612AB"/>
    <w:multiLevelType w:val="hybridMultilevel"/>
    <w:tmpl w:val="A9302E8C"/>
    <w:lvl w:ilvl="0" w:tplc="FFFFFFFF">
      <w:start w:val="1"/>
      <w:numFmt w:val="bullet"/>
      <w:lvlText w:val=""/>
      <w:lvlJc w:val="left"/>
      <w:pPr>
        <w:tabs>
          <w:tab w:val="num" w:pos="432"/>
        </w:tabs>
        <w:ind w:left="432" w:hanging="432"/>
      </w:pPr>
      <w:rPr>
        <w:rFonts w:ascii="Symbol" w:hAnsi="Symbol" w:hint="default"/>
        <w:color w:val="auto"/>
        <w:sz w:val="18"/>
        <w:szCs w:val="18"/>
      </w:rPr>
    </w:lvl>
    <w:lvl w:ilvl="1" w:tplc="04090003">
      <w:start w:val="1"/>
      <w:numFmt w:val="bullet"/>
      <w:lvlText w:val="o"/>
      <w:lvlJc w:val="left"/>
      <w:pPr>
        <w:tabs>
          <w:tab w:val="num" w:pos="1800"/>
        </w:tabs>
        <w:ind w:left="1800" w:hanging="360"/>
      </w:pPr>
      <w:rPr>
        <w:rFonts w:ascii="Courier New" w:hAnsi="Courier New" w:hint="default"/>
        <w:color w:val="auto"/>
        <w:sz w:val="22"/>
        <w:szCs w:val="22"/>
      </w:rPr>
    </w:lvl>
    <w:lvl w:ilvl="2" w:tplc="04090005">
      <w:start w:val="1"/>
      <w:numFmt w:val="bullet"/>
      <w:lvlText w:val=""/>
      <w:lvlJc w:val="left"/>
      <w:pPr>
        <w:tabs>
          <w:tab w:val="num" w:pos="1080"/>
        </w:tabs>
        <w:ind w:left="1080" w:hanging="360"/>
      </w:pPr>
      <w:rPr>
        <w:rFonts w:ascii="Wingdings" w:hAnsi="Wingdings" w:hint="default"/>
      </w:rPr>
    </w:lvl>
    <w:lvl w:ilvl="3" w:tplc="04090003">
      <w:start w:val="1"/>
      <w:numFmt w:val="bullet"/>
      <w:lvlText w:val="o"/>
      <w:lvlJc w:val="left"/>
      <w:pPr>
        <w:tabs>
          <w:tab w:val="num" w:pos="1800"/>
        </w:tabs>
        <w:ind w:left="1800" w:hanging="360"/>
      </w:pPr>
      <w:rPr>
        <w:rFonts w:ascii="Courier New" w:hAnsi="Courier New" w:cs="Courier New"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2" w15:restartNumberingAfterBreak="0">
    <w:nsid w:val="18DF686D"/>
    <w:multiLevelType w:val="hybridMultilevel"/>
    <w:tmpl w:val="C4825DE6"/>
    <w:lvl w:ilvl="0" w:tplc="9AD66AF2">
      <w:start w:val="1"/>
      <w:numFmt w:val="decimal"/>
      <w:lvlText w:val="%1."/>
      <w:lvlJc w:val="left"/>
      <w:pPr>
        <w:tabs>
          <w:tab w:val="num" w:pos="936"/>
        </w:tabs>
        <w:ind w:left="936" w:hanging="432"/>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15:restartNumberingAfterBreak="0">
    <w:nsid w:val="19562CCE"/>
    <w:multiLevelType w:val="hybridMultilevel"/>
    <w:tmpl w:val="27A2E4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4" w15:restartNumberingAfterBreak="0">
    <w:nsid w:val="19934703"/>
    <w:multiLevelType w:val="hybridMultilevel"/>
    <w:tmpl w:val="633A343C"/>
    <w:lvl w:ilvl="0" w:tplc="70A282A4">
      <w:start w:val="1"/>
      <w:numFmt w:val="decimal"/>
      <w:pStyle w:val="StyleHeading2Left0Firstline0"/>
      <w:lvlText w:val="%1."/>
      <w:lvlJc w:val="left"/>
      <w:pPr>
        <w:tabs>
          <w:tab w:val="num" w:pos="360"/>
        </w:tabs>
        <w:ind w:left="360" w:hanging="360"/>
      </w:pPr>
      <w:rPr>
        <w:rFonts w:hint="default"/>
        <w:b/>
        <w:i w:val="0"/>
        <w:color w:val="auto"/>
      </w:rPr>
    </w:lvl>
    <w:lvl w:ilvl="1" w:tplc="FA789250">
      <w:start w:val="1"/>
      <w:numFmt w:val="lowerLetter"/>
      <w:lvlText w:val="%2."/>
      <w:lvlJc w:val="left"/>
      <w:pPr>
        <w:tabs>
          <w:tab w:val="num" w:pos="1800"/>
        </w:tabs>
        <w:ind w:left="1800" w:hanging="360"/>
      </w:pPr>
      <w:rPr>
        <w:rFonts w:hint="default"/>
        <w:b/>
        <w:i w:val="0"/>
        <w:color w:val="auto"/>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5" w15:restartNumberingAfterBreak="0">
    <w:nsid w:val="19980AC0"/>
    <w:multiLevelType w:val="hybridMultilevel"/>
    <w:tmpl w:val="23641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19EF08DA"/>
    <w:multiLevelType w:val="hybridMultilevel"/>
    <w:tmpl w:val="8742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1A2D6362"/>
    <w:multiLevelType w:val="hybridMultilevel"/>
    <w:tmpl w:val="C8ECA9F4"/>
    <w:lvl w:ilvl="0" w:tplc="AD38CCD2">
      <w:start w:val="1"/>
      <w:numFmt w:val="decimal"/>
      <w:lvlText w:val="%1."/>
      <w:lvlJc w:val="left"/>
      <w:pPr>
        <w:ind w:left="810" w:hanging="360"/>
      </w:pPr>
      <w:rPr>
        <w:rFonts w:ascii="Book Antiqua" w:hAnsi="Book Antiqua"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1A42101C"/>
    <w:multiLevelType w:val="hybridMultilevel"/>
    <w:tmpl w:val="79F068D8"/>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1A4D3CA6"/>
    <w:multiLevelType w:val="hybridMultilevel"/>
    <w:tmpl w:val="F3327CF2"/>
    <w:lvl w:ilvl="0" w:tplc="1480C3E2">
      <w:start w:val="1"/>
      <w:numFmt w:val="lowerLetter"/>
      <w:lvlText w:val="%1."/>
      <w:lvlJc w:val="left"/>
      <w:pPr>
        <w:ind w:left="1080" w:hanging="360"/>
      </w:pPr>
      <w:rPr>
        <w:rFonts w:hint="default"/>
        <w:b w:val="0"/>
        <w:i w:val="0"/>
        <w:sz w:val="22"/>
        <w:szCs w:val="22"/>
      </w:rPr>
    </w:lvl>
    <w:lvl w:ilvl="1" w:tplc="04090019" w:tentative="1">
      <w:start w:val="1"/>
      <w:numFmt w:val="lowerLetter"/>
      <w:lvlText w:val="%2."/>
      <w:lvlJc w:val="left"/>
      <w:pPr>
        <w:ind w:left="1800" w:hanging="360"/>
      </w:pPr>
    </w:lvl>
    <w:lvl w:ilvl="2" w:tplc="1480C3E2">
      <w:start w:val="1"/>
      <w:numFmt w:val="lowerLetter"/>
      <w:lvlText w:val="%3."/>
      <w:lvlJc w:val="left"/>
      <w:pPr>
        <w:ind w:left="2520" w:hanging="180"/>
      </w:pPr>
      <w:rPr>
        <w:rFonts w:hint="default"/>
        <w:b w:val="0"/>
        <w:i w:val="0"/>
        <w:sz w:val="22"/>
        <w:szCs w:val="22"/>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15:restartNumberingAfterBreak="0">
    <w:nsid w:val="1A58619A"/>
    <w:multiLevelType w:val="hybridMultilevel"/>
    <w:tmpl w:val="58F8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1AD34442"/>
    <w:multiLevelType w:val="hybridMultilevel"/>
    <w:tmpl w:val="CDA2768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212" w15:restartNumberingAfterBreak="0">
    <w:nsid w:val="1AF01A6B"/>
    <w:multiLevelType w:val="hybridMultilevel"/>
    <w:tmpl w:val="71623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1B0E2C4F"/>
    <w:multiLevelType w:val="hybridMultilevel"/>
    <w:tmpl w:val="1BD05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1B2C22F3"/>
    <w:multiLevelType w:val="hybridMultilevel"/>
    <w:tmpl w:val="FF48FD3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5" w15:restartNumberingAfterBreak="0">
    <w:nsid w:val="1B3A3324"/>
    <w:multiLevelType w:val="hybridMultilevel"/>
    <w:tmpl w:val="3A4ABD1E"/>
    <w:lvl w:ilvl="0" w:tplc="04090001">
      <w:start w:val="1"/>
      <w:numFmt w:val="bullet"/>
      <w:lvlText w:val=""/>
      <w:lvlJc w:val="left"/>
      <w:pPr>
        <w:tabs>
          <w:tab w:val="num" w:pos="828"/>
        </w:tabs>
        <w:ind w:left="828" w:hanging="360"/>
      </w:pPr>
      <w:rPr>
        <w:rFonts w:ascii="Symbol" w:hAnsi="Symbol" w:hint="default"/>
      </w:rPr>
    </w:lvl>
    <w:lvl w:ilvl="1" w:tplc="04090003" w:tentative="1">
      <w:start w:val="1"/>
      <w:numFmt w:val="bullet"/>
      <w:lvlText w:val="o"/>
      <w:lvlJc w:val="left"/>
      <w:pPr>
        <w:tabs>
          <w:tab w:val="num" w:pos="1548"/>
        </w:tabs>
        <w:ind w:left="1548" w:hanging="360"/>
      </w:pPr>
      <w:rPr>
        <w:rFonts w:ascii="Courier New" w:hAnsi="Courier New" w:cs="Courier New" w:hint="default"/>
      </w:rPr>
    </w:lvl>
    <w:lvl w:ilvl="2" w:tplc="04090005" w:tentative="1">
      <w:start w:val="1"/>
      <w:numFmt w:val="bullet"/>
      <w:lvlText w:val=""/>
      <w:lvlJc w:val="left"/>
      <w:pPr>
        <w:tabs>
          <w:tab w:val="num" w:pos="2268"/>
        </w:tabs>
        <w:ind w:left="2268" w:hanging="360"/>
      </w:pPr>
      <w:rPr>
        <w:rFonts w:ascii="Wingdings" w:hAnsi="Wingdings" w:hint="default"/>
      </w:rPr>
    </w:lvl>
    <w:lvl w:ilvl="3" w:tplc="04090001" w:tentative="1">
      <w:start w:val="1"/>
      <w:numFmt w:val="bullet"/>
      <w:lvlText w:val=""/>
      <w:lvlJc w:val="left"/>
      <w:pPr>
        <w:tabs>
          <w:tab w:val="num" w:pos="2988"/>
        </w:tabs>
        <w:ind w:left="2988" w:hanging="360"/>
      </w:pPr>
      <w:rPr>
        <w:rFonts w:ascii="Symbol" w:hAnsi="Symbol" w:hint="default"/>
      </w:rPr>
    </w:lvl>
    <w:lvl w:ilvl="4" w:tplc="04090003" w:tentative="1">
      <w:start w:val="1"/>
      <w:numFmt w:val="bullet"/>
      <w:lvlText w:val="o"/>
      <w:lvlJc w:val="left"/>
      <w:pPr>
        <w:tabs>
          <w:tab w:val="num" w:pos="3708"/>
        </w:tabs>
        <w:ind w:left="3708" w:hanging="360"/>
      </w:pPr>
      <w:rPr>
        <w:rFonts w:ascii="Courier New" w:hAnsi="Courier New" w:cs="Courier New" w:hint="default"/>
      </w:rPr>
    </w:lvl>
    <w:lvl w:ilvl="5" w:tplc="04090005" w:tentative="1">
      <w:start w:val="1"/>
      <w:numFmt w:val="bullet"/>
      <w:lvlText w:val=""/>
      <w:lvlJc w:val="left"/>
      <w:pPr>
        <w:tabs>
          <w:tab w:val="num" w:pos="4428"/>
        </w:tabs>
        <w:ind w:left="4428" w:hanging="360"/>
      </w:pPr>
      <w:rPr>
        <w:rFonts w:ascii="Wingdings" w:hAnsi="Wingdings" w:hint="default"/>
      </w:rPr>
    </w:lvl>
    <w:lvl w:ilvl="6" w:tplc="04090001" w:tentative="1">
      <w:start w:val="1"/>
      <w:numFmt w:val="bullet"/>
      <w:lvlText w:val=""/>
      <w:lvlJc w:val="left"/>
      <w:pPr>
        <w:tabs>
          <w:tab w:val="num" w:pos="5148"/>
        </w:tabs>
        <w:ind w:left="5148" w:hanging="360"/>
      </w:pPr>
      <w:rPr>
        <w:rFonts w:ascii="Symbol" w:hAnsi="Symbol" w:hint="default"/>
      </w:rPr>
    </w:lvl>
    <w:lvl w:ilvl="7" w:tplc="04090003" w:tentative="1">
      <w:start w:val="1"/>
      <w:numFmt w:val="bullet"/>
      <w:lvlText w:val="o"/>
      <w:lvlJc w:val="left"/>
      <w:pPr>
        <w:tabs>
          <w:tab w:val="num" w:pos="5868"/>
        </w:tabs>
        <w:ind w:left="5868" w:hanging="360"/>
      </w:pPr>
      <w:rPr>
        <w:rFonts w:ascii="Courier New" w:hAnsi="Courier New" w:cs="Courier New" w:hint="default"/>
      </w:rPr>
    </w:lvl>
    <w:lvl w:ilvl="8" w:tplc="04090005" w:tentative="1">
      <w:start w:val="1"/>
      <w:numFmt w:val="bullet"/>
      <w:lvlText w:val=""/>
      <w:lvlJc w:val="left"/>
      <w:pPr>
        <w:tabs>
          <w:tab w:val="num" w:pos="6588"/>
        </w:tabs>
        <w:ind w:left="6588" w:hanging="360"/>
      </w:pPr>
      <w:rPr>
        <w:rFonts w:ascii="Wingdings" w:hAnsi="Wingdings" w:hint="default"/>
      </w:rPr>
    </w:lvl>
  </w:abstractNum>
  <w:abstractNum w:abstractNumId="216" w15:restartNumberingAfterBreak="0">
    <w:nsid w:val="1B3F06E2"/>
    <w:multiLevelType w:val="hybridMultilevel"/>
    <w:tmpl w:val="E698FE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1B7646CA"/>
    <w:multiLevelType w:val="hybridMultilevel"/>
    <w:tmpl w:val="0C4C302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8" w15:restartNumberingAfterBreak="0">
    <w:nsid w:val="1B9E2A80"/>
    <w:multiLevelType w:val="hybridMultilevel"/>
    <w:tmpl w:val="68D080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19" w15:restartNumberingAfterBreak="0">
    <w:nsid w:val="1BD034E6"/>
    <w:multiLevelType w:val="hybridMultilevel"/>
    <w:tmpl w:val="4956CEF6"/>
    <w:lvl w:ilvl="0" w:tplc="3040558A">
      <w:start w:val="1"/>
      <w:numFmt w:val="decimal"/>
      <w:lvlText w:val="%1."/>
      <w:lvlJc w:val="left"/>
      <w:pPr>
        <w:tabs>
          <w:tab w:val="num" w:pos="360"/>
        </w:tabs>
        <w:ind w:left="360" w:hanging="360"/>
      </w:pPr>
      <w:rPr>
        <w:rFonts w:hint="default"/>
      </w:rPr>
    </w:lvl>
    <w:lvl w:ilvl="1" w:tplc="2182C004" w:tentative="1">
      <w:start w:val="1"/>
      <w:numFmt w:val="lowerLetter"/>
      <w:lvlText w:val="%2."/>
      <w:lvlJc w:val="left"/>
      <w:pPr>
        <w:tabs>
          <w:tab w:val="num" w:pos="1440"/>
        </w:tabs>
        <w:ind w:left="1440" w:hanging="360"/>
      </w:pPr>
    </w:lvl>
    <w:lvl w:ilvl="2" w:tplc="DB0E4884" w:tentative="1">
      <w:start w:val="1"/>
      <w:numFmt w:val="lowerRoman"/>
      <w:lvlText w:val="%3."/>
      <w:lvlJc w:val="right"/>
      <w:pPr>
        <w:tabs>
          <w:tab w:val="num" w:pos="2160"/>
        </w:tabs>
        <w:ind w:left="2160" w:hanging="180"/>
      </w:pPr>
    </w:lvl>
    <w:lvl w:ilvl="3" w:tplc="48BE1D08" w:tentative="1">
      <w:start w:val="1"/>
      <w:numFmt w:val="decimal"/>
      <w:lvlText w:val="%4."/>
      <w:lvlJc w:val="left"/>
      <w:pPr>
        <w:tabs>
          <w:tab w:val="num" w:pos="2880"/>
        </w:tabs>
        <w:ind w:left="2880" w:hanging="360"/>
      </w:pPr>
    </w:lvl>
    <w:lvl w:ilvl="4" w:tplc="21A65D0E" w:tentative="1">
      <w:start w:val="1"/>
      <w:numFmt w:val="lowerLetter"/>
      <w:lvlText w:val="%5."/>
      <w:lvlJc w:val="left"/>
      <w:pPr>
        <w:tabs>
          <w:tab w:val="num" w:pos="3600"/>
        </w:tabs>
        <w:ind w:left="3600" w:hanging="360"/>
      </w:pPr>
    </w:lvl>
    <w:lvl w:ilvl="5" w:tplc="4530C69A" w:tentative="1">
      <w:start w:val="1"/>
      <w:numFmt w:val="lowerRoman"/>
      <w:lvlText w:val="%6."/>
      <w:lvlJc w:val="right"/>
      <w:pPr>
        <w:tabs>
          <w:tab w:val="num" w:pos="4320"/>
        </w:tabs>
        <w:ind w:left="4320" w:hanging="180"/>
      </w:pPr>
    </w:lvl>
    <w:lvl w:ilvl="6" w:tplc="B49C376C" w:tentative="1">
      <w:start w:val="1"/>
      <w:numFmt w:val="decimal"/>
      <w:lvlText w:val="%7."/>
      <w:lvlJc w:val="left"/>
      <w:pPr>
        <w:tabs>
          <w:tab w:val="num" w:pos="5040"/>
        </w:tabs>
        <w:ind w:left="5040" w:hanging="360"/>
      </w:pPr>
    </w:lvl>
    <w:lvl w:ilvl="7" w:tplc="71EAAF74" w:tentative="1">
      <w:start w:val="1"/>
      <w:numFmt w:val="lowerLetter"/>
      <w:lvlText w:val="%8."/>
      <w:lvlJc w:val="left"/>
      <w:pPr>
        <w:tabs>
          <w:tab w:val="num" w:pos="5760"/>
        </w:tabs>
        <w:ind w:left="5760" w:hanging="360"/>
      </w:pPr>
    </w:lvl>
    <w:lvl w:ilvl="8" w:tplc="7D3607C8" w:tentative="1">
      <w:start w:val="1"/>
      <w:numFmt w:val="lowerRoman"/>
      <w:lvlText w:val="%9."/>
      <w:lvlJc w:val="right"/>
      <w:pPr>
        <w:tabs>
          <w:tab w:val="num" w:pos="6480"/>
        </w:tabs>
        <w:ind w:left="6480" w:hanging="180"/>
      </w:pPr>
    </w:lvl>
  </w:abstractNum>
  <w:abstractNum w:abstractNumId="220" w15:restartNumberingAfterBreak="0">
    <w:nsid w:val="1BD91A8C"/>
    <w:multiLevelType w:val="hybridMultilevel"/>
    <w:tmpl w:val="5C6AC4FA"/>
    <w:lvl w:ilvl="0" w:tplc="6F3021D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1" w15:restartNumberingAfterBreak="0">
    <w:nsid w:val="1BDB63AF"/>
    <w:multiLevelType w:val="hybridMultilevel"/>
    <w:tmpl w:val="07746E4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2" w15:restartNumberingAfterBreak="0">
    <w:nsid w:val="1C4F48E0"/>
    <w:multiLevelType w:val="hybridMultilevel"/>
    <w:tmpl w:val="FB8CC0F2"/>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3" w15:restartNumberingAfterBreak="0">
    <w:nsid w:val="1C563970"/>
    <w:multiLevelType w:val="hybridMultilevel"/>
    <w:tmpl w:val="6834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1C6636DB"/>
    <w:multiLevelType w:val="hybridMultilevel"/>
    <w:tmpl w:val="6694B79A"/>
    <w:lvl w:ilvl="0" w:tplc="04090001">
      <w:start w:val="1"/>
      <w:numFmt w:val="bullet"/>
      <w:lvlText w:val=""/>
      <w:lvlJc w:val="left"/>
      <w:pPr>
        <w:tabs>
          <w:tab w:val="num" w:pos="792"/>
        </w:tabs>
        <w:ind w:left="792" w:hanging="360"/>
      </w:pPr>
      <w:rPr>
        <w:rFonts w:ascii="Symbol" w:hAnsi="Symbol" w:hint="default"/>
      </w:r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25" w15:restartNumberingAfterBreak="0">
    <w:nsid w:val="1C7C036E"/>
    <w:multiLevelType w:val="hybridMultilevel"/>
    <w:tmpl w:val="2A4639C2"/>
    <w:lvl w:ilvl="0" w:tplc="04090001">
      <w:start w:val="1"/>
      <w:numFmt w:val="bullet"/>
      <w:lvlText w:val=""/>
      <w:lvlJc w:val="left"/>
      <w:pPr>
        <w:tabs>
          <w:tab w:val="num" w:pos="360"/>
        </w:tabs>
        <w:ind w:left="360" w:hanging="360"/>
      </w:pPr>
      <w:rPr>
        <w:rFonts w:ascii="Symbol" w:hAnsi="Symbol" w:hint="default"/>
      </w:rPr>
    </w:lvl>
    <w:lvl w:ilvl="1" w:tplc="0409000F">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6" w15:restartNumberingAfterBreak="0">
    <w:nsid w:val="1C8F4AD3"/>
    <w:multiLevelType w:val="hybridMultilevel"/>
    <w:tmpl w:val="956A8EE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7" w15:restartNumberingAfterBreak="0">
    <w:nsid w:val="1CAF1585"/>
    <w:multiLevelType w:val="hybridMultilevel"/>
    <w:tmpl w:val="75360138"/>
    <w:lvl w:ilvl="0" w:tplc="04090001">
      <w:start w:val="1"/>
      <w:numFmt w:val="bullet"/>
      <w:lvlText w:val=""/>
      <w:lvlJc w:val="left"/>
      <w:pPr>
        <w:tabs>
          <w:tab w:val="num" w:pos="864"/>
        </w:tabs>
        <w:ind w:left="864"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8" w15:restartNumberingAfterBreak="0">
    <w:nsid w:val="1CD84BFB"/>
    <w:multiLevelType w:val="hybridMultilevel"/>
    <w:tmpl w:val="0AD4CC9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29" w15:restartNumberingAfterBreak="0">
    <w:nsid w:val="1CDF60D7"/>
    <w:multiLevelType w:val="hybridMultilevel"/>
    <w:tmpl w:val="E17E254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0" w15:restartNumberingAfterBreak="0">
    <w:nsid w:val="1D0F7372"/>
    <w:multiLevelType w:val="hybridMultilevel"/>
    <w:tmpl w:val="66485E0C"/>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1" w15:restartNumberingAfterBreak="0">
    <w:nsid w:val="1D201DB5"/>
    <w:multiLevelType w:val="hybridMultilevel"/>
    <w:tmpl w:val="B69615BA"/>
    <w:lvl w:ilvl="0" w:tplc="04090001">
      <w:start w:val="1"/>
      <w:numFmt w:val="bullet"/>
      <w:lvlText w:val=""/>
      <w:lvlJc w:val="left"/>
      <w:pPr>
        <w:tabs>
          <w:tab w:val="num" w:pos="612"/>
        </w:tabs>
        <w:ind w:left="612"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1D311796"/>
    <w:multiLevelType w:val="hybridMultilevel"/>
    <w:tmpl w:val="2BBC1D8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3" w15:restartNumberingAfterBreak="0">
    <w:nsid w:val="1D503E43"/>
    <w:multiLevelType w:val="hybridMultilevel"/>
    <w:tmpl w:val="97B2F940"/>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4" w15:restartNumberingAfterBreak="0">
    <w:nsid w:val="1DF32380"/>
    <w:multiLevelType w:val="hybridMultilevel"/>
    <w:tmpl w:val="2B44374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5" w15:restartNumberingAfterBreak="0">
    <w:nsid w:val="1E234C1E"/>
    <w:multiLevelType w:val="hybridMultilevel"/>
    <w:tmpl w:val="CCAA28F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6" w15:restartNumberingAfterBreak="0">
    <w:nsid w:val="1E2948BC"/>
    <w:multiLevelType w:val="hybridMultilevel"/>
    <w:tmpl w:val="19926B5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7" w15:restartNumberingAfterBreak="0">
    <w:nsid w:val="1E3C1B63"/>
    <w:multiLevelType w:val="hybridMultilevel"/>
    <w:tmpl w:val="9A264F2A"/>
    <w:lvl w:ilvl="0" w:tplc="04090001">
      <w:start w:val="1"/>
      <w:numFmt w:val="bullet"/>
      <w:lvlText w:val=""/>
      <w:lvlJc w:val="left"/>
      <w:pPr>
        <w:tabs>
          <w:tab w:val="num" w:pos="720"/>
        </w:tabs>
        <w:ind w:left="720" w:hanging="360"/>
      </w:pPr>
      <w:rPr>
        <w:rFonts w:ascii="Symbol" w:hAnsi="Symbol" w:hint="default"/>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8" w15:restartNumberingAfterBreak="0">
    <w:nsid w:val="1E4F0618"/>
    <w:multiLevelType w:val="hybridMultilevel"/>
    <w:tmpl w:val="E7C65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1E98535E"/>
    <w:multiLevelType w:val="hybridMultilevel"/>
    <w:tmpl w:val="006A1964"/>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1EA83A51"/>
    <w:multiLevelType w:val="hybridMultilevel"/>
    <w:tmpl w:val="CC3A5F00"/>
    <w:lvl w:ilvl="0" w:tplc="0409000F">
      <w:start w:val="1"/>
      <w:numFmt w:val="decimal"/>
      <w:lvlText w:val="%1."/>
      <w:lvlJc w:val="left"/>
      <w:pPr>
        <w:tabs>
          <w:tab w:val="num" w:pos="785"/>
        </w:tabs>
        <w:ind w:left="785" w:hanging="360"/>
      </w:pPr>
    </w:lvl>
    <w:lvl w:ilvl="1" w:tplc="D9FC2024">
      <w:start w:val="1"/>
      <w:numFmt w:val="bullet"/>
      <w:lvlText w:val=""/>
      <w:lvlJc w:val="left"/>
      <w:pPr>
        <w:tabs>
          <w:tab w:val="num" w:pos="936"/>
        </w:tabs>
        <w:ind w:left="936" w:hanging="360"/>
      </w:pPr>
      <w:rPr>
        <w:rFonts w:ascii="Symbol" w:hAnsi="Symbol" w:hint="default"/>
        <w:sz w:val="24"/>
      </w:r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41" w15:restartNumberingAfterBreak="0">
    <w:nsid w:val="1F3744A2"/>
    <w:multiLevelType w:val="hybridMultilevel"/>
    <w:tmpl w:val="783C073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2" w15:restartNumberingAfterBreak="0">
    <w:nsid w:val="1F407EB8"/>
    <w:multiLevelType w:val="hybridMultilevel"/>
    <w:tmpl w:val="520AA61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3" w15:restartNumberingAfterBreak="0">
    <w:nsid w:val="1F5C3606"/>
    <w:multiLevelType w:val="hybridMultilevel"/>
    <w:tmpl w:val="98C2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1F6362C4"/>
    <w:multiLevelType w:val="hybridMultilevel"/>
    <w:tmpl w:val="EE943CB2"/>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28"/>
        </w:tabs>
        <w:ind w:left="1428" w:hanging="360"/>
      </w:pPr>
    </w:lvl>
    <w:lvl w:ilvl="2" w:tplc="0409001B" w:tentative="1">
      <w:start w:val="1"/>
      <w:numFmt w:val="lowerRoman"/>
      <w:lvlText w:val="%3."/>
      <w:lvlJc w:val="right"/>
      <w:pPr>
        <w:tabs>
          <w:tab w:val="num" w:pos="2148"/>
        </w:tabs>
        <w:ind w:left="2148" w:hanging="180"/>
      </w:pPr>
    </w:lvl>
    <w:lvl w:ilvl="3" w:tplc="0409000F" w:tentative="1">
      <w:start w:val="1"/>
      <w:numFmt w:val="decimal"/>
      <w:lvlText w:val="%4."/>
      <w:lvlJc w:val="left"/>
      <w:pPr>
        <w:tabs>
          <w:tab w:val="num" w:pos="2868"/>
        </w:tabs>
        <w:ind w:left="2868" w:hanging="360"/>
      </w:pPr>
    </w:lvl>
    <w:lvl w:ilvl="4" w:tplc="04090019" w:tentative="1">
      <w:start w:val="1"/>
      <w:numFmt w:val="lowerLetter"/>
      <w:lvlText w:val="%5."/>
      <w:lvlJc w:val="left"/>
      <w:pPr>
        <w:tabs>
          <w:tab w:val="num" w:pos="3588"/>
        </w:tabs>
        <w:ind w:left="3588" w:hanging="360"/>
      </w:pPr>
    </w:lvl>
    <w:lvl w:ilvl="5" w:tplc="0409001B" w:tentative="1">
      <w:start w:val="1"/>
      <w:numFmt w:val="lowerRoman"/>
      <w:lvlText w:val="%6."/>
      <w:lvlJc w:val="right"/>
      <w:pPr>
        <w:tabs>
          <w:tab w:val="num" w:pos="4308"/>
        </w:tabs>
        <w:ind w:left="4308" w:hanging="180"/>
      </w:pPr>
    </w:lvl>
    <w:lvl w:ilvl="6" w:tplc="0409000F" w:tentative="1">
      <w:start w:val="1"/>
      <w:numFmt w:val="decimal"/>
      <w:lvlText w:val="%7."/>
      <w:lvlJc w:val="left"/>
      <w:pPr>
        <w:tabs>
          <w:tab w:val="num" w:pos="5028"/>
        </w:tabs>
        <w:ind w:left="5028" w:hanging="360"/>
      </w:pPr>
    </w:lvl>
    <w:lvl w:ilvl="7" w:tplc="04090019" w:tentative="1">
      <w:start w:val="1"/>
      <w:numFmt w:val="lowerLetter"/>
      <w:lvlText w:val="%8."/>
      <w:lvlJc w:val="left"/>
      <w:pPr>
        <w:tabs>
          <w:tab w:val="num" w:pos="5748"/>
        </w:tabs>
        <w:ind w:left="5748" w:hanging="360"/>
      </w:pPr>
    </w:lvl>
    <w:lvl w:ilvl="8" w:tplc="0409001B" w:tentative="1">
      <w:start w:val="1"/>
      <w:numFmt w:val="lowerRoman"/>
      <w:lvlText w:val="%9."/>
      <w:lvlJc w:val="right"/>
      <w:pPr>
        <w:tabs>
          <w:tab w:val="num" w:pos="6468"/>
        </w:tabs>
        <w:ind w:left="6468" w:hanging="180"/>
      </w:pPr>
    </w:lvl>
  </w:abstractNum>
  <w:abstractNum w:abstractNumId="245" w15:restartNumberingAfterBreak="0">
    <w:nsid w:val="1FE41C4D"/>
    <w:multiLevelType w:val="hybridMultilevel"/>
    <w:tmpl w:val="6A50E992"/>
    <w:lvl w:ilvl="0" w:tplc="04090001">
      <w:start w:val="1"/>
      <w:numFmt w:val="bullet"/>
      <w:lvlText w:val=""/>
      <w:lvlJc w:val="left"/>
      <w:pPr>
        <w:tabs>
          <w:tab w:val="num" w:pos="612"/>
        </w:tabs>
        <w:ind w:left="612" w:hanging="360"/>
      </w:pPr>
      <w:rPr>
        <w:rFonts w:ascii="Symbol" w:hAnsi="Symbol" w:hint="default"/>
      </w:rPr>
    </w:lvl>
    <w:lvl w:ilvl="1" w:tplc="04090019">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6" w15:restartNumberingAfterBreak="0">
    <w:nsid w:val="202D0CBC"/>
    <w:multiLevelType w:val="hybridMultilevel"/>
    <w:tmpl w:val="6F66339C"/>
    <w:lvl w:ilvl="0" w:tplc="63BEFEAA">
      <w:start w:val="1"/>
      <w:numFmt w:val="decimal"/>
      <w:lvlText w:val="%1."/>
      <w:lvlJc w:val="left"/>
      <w:pPr>
        <w:tabs>
          <w:tab w:val="num" w:pos="360"/>
        </w:tabs>
        <w:ind w:left="360" w:hanging="360"/>
      </w:pPr>
      <w:rPr>
        <w:rFonts w:hint="default"/>
      </w:rPr>
    </w:lvl>
    <w:lvl w:ilvl="1" w:tplc="89C01D60" w:tentative="1">
      <w:start w:val="1"/>
      <w:numFmt w:val="lowerLetter"/>
      <w:lvlText w:val="%2."/>
      <w:lvlJc w:val="left"/>
      <w:pPr>
        <w:tabs>
          <w:tab w:val="num" w:pos="1440"/>
        </w:tabs>
        <w:ind w:left="1440" w:hanging="360"/>
      </w:pPr>
    </w:lvl>
    <w:lvl w:ilvl="2" w:tplc="30964C72" w:tentative="1">
      <w:start w:val="1"/>
      <w:numFmt w:val="lowerRoman"/>
      <w:lvlText w:val="%3."/>
      <w:lvlJc w:val="right"/>
      <w:pPr>
        <w:tabs>
          <w:tab w:val="num" w:pos="2160"/>
        </w:tabs>
        <w:ind w:left="2160" w:hanging="180"/>
      </w:pPr>
    </w:lvl>
    <w:lvl w:ilvl="3" w:tplc="2BCCB8EA" w:tentative="1">
      <w:start w:val="1"/>
      <w:numFmt w:val="decimal"/>
      <w:lvlText w:val="%4."/>
      <w:lvlJc w:val="left"/>
      <w:pPr>
        <w:tabs>
          <w:tab w:val="num" w:pos="2880"/>
        </w:tabs>
        <w:ind w:left="2880" w:hanging="360"/>
      </w:pPr>
    </w:lvl>
    <w:lvl w:ilvl="4" w:tplc="7B3AD5F6" w:tentative="1">
      <w:start w:val="1"/>
      <w:numFmt w:val="lowerLetter"/>
      <w:lvlText w:val="%5."/>
      <w:lvlJc w:val="left"/>
      <w:pPr>
        <w:tabs>
          <w:tab w:val="num" w:pos="3600"/>
        </w:tabs>
        <w:ind w:left="3600" w:hanging="360"/>
      </w:pPr>
    </w:lvl>
    <w:lvl w:ilvl="5" w:tplc="DB6C4482" w:tentative="1">
      <w:start w:val="1"/>
      <w:numFmt w:val="lowerRoman"/>
      <w:lvlText w:val="%6."/>
      <w:lvlJc w:val="right"/>
      <w:pPr>
        <w:tabs>
          <w:tab w:val="num" w:pos="4320"/>
        </w:tabs>
        <w:ind w:left="4320" w:hanging="180"/>
      </w:pPr>
    </w:lvl>
    <w:lvl w:ilvl="6" w:tplc="A04AC31E" w:tentative="1">
      <w:start w:val="1"/>
      <w:numFmt w:val="decimal"/>
      <w:lvlText w:val="%7."/>
      <w:lvlJc w:val="left"/>
      <w:pPr>
        <w:tabs>
          <w:tab w:val="num" w:pos="5040"/>
        </w:tabs>
        <w:ind w:left="5040" w:hanging="360"/>
      </w:pPr>
    </w:lvl>
    <w:lvl w:ilvl="7" w:tplc="DF80EEB2" w:tentative="1">
      <w:start w:val="1"/>
      <w:numFmt w:val="lowerLetter"/>
      <w:lvlText w:val="%8."/>
      <w:lvlJc w:val="left"/>
      <w:pPr>
        <w:tabs>
          <w:tab w:val="num" w:pos="5760"/>
        </w:tabs>
        <w:ind w:left="5760" w:hanging="360"/>
      </w:pPr>
    </w:lvl>
    <w:lvl w:ilvl="8" w:tplc="C314674A" w:tentative="1">
      <w:start w:val="1"/>
      <w:numFmt w:val="lowerRoman"/>
      <w:lvlText w:val="%9."/>
      <w:lvlJc w:val="right"/>
      <w:pPr>
        <w:tabs>
          <w:tab w:val="num" w:pos="6480"/>
        </w:tabs>
        <w:ind w:left="6480" w:hanging="180"/>
      </w:pPr>
    </w:lvl>
  </w:abstractNum>
  <w:abstractNum w:abstractNumId="247" w15:restartNumberingAfterBreak="0">
    <w:nsid w:val="205F096C"/>
    <w:multiLevelType w:val="hybridMultilevel"/>
    <w:tmpl w:val="39889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15:restartNumberingAfterBreak="0">
    <w:nsid w:val="208A78EA"/>
    <w:multiLevelType w:val="hybridMultilevel"/>
    <w:tmpl w:val="08E80712"/>
    <w:lvl w:ilvl="0" w:tplc="04090001">
      <w:start w:val="1"/>
      <w:numFmt w:val="bullet"/>
      <w:lvlText w:val=""/>
      <w:lvlJc w:val="left"/>
      <w:pPr>
        <w:tabs>
          <w:tab w:val="num" w:pos="468"/>
        </w:tabs>
        <w:ind w:left="468" w:hanging="360"/>
      </w:pPr>
      <w:rPr>
        <w:rFonts w:ascii="Symbol" w:hAnsi="Symbol" w:hint="default"/>
      </w:rPr>
    </w:lvl>
    <w:lvl w:ilvl="1" w:tplc="04090019">
      <w:start w:val="1"/>
      <w:numFmt w:val="decimal"/>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49" w15:restartNumberingAfterBreak="0">
    <w:nsid w:val="208A7F30"/>
    <w:multiLevelType w:val="hybridMultilevel"/>
    <w:tmpl w:val="2F868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20B73863"/>
    <w:multiLevelType w:val="hybridMultilevel"/>
    <w:tmpl w:val="E746ED32"/>
    <w:lvl w:ilvl="0" w:tplc="04090001">
      <w:start w:val="1"/>
      <w:numFmt w:val="bullet"/>
      <w:lvlText w:val=""/>
      <w:lvlJc w:val="left"/>
      <w:pPr>
        <w:tabs>
          <w:tab w:val="num" w:pos="720"/>
        </w:tabs>
        <w:ind w:left="720" w:hanging="360"/>
      </w:pPr>
      <w:rPr>
        <w:rFonts w:ascii="Symbol" w:hAnsi="Symbol" w:hint="default"/>
      </w:rPr>
    </w:lvl>
    <w:lvl w:ilvl="1" w:tplc="04090001">
      <w:start w:val="1"/>
      <w:numFmt w:val="decimal"/>
      <w:lvlText w:val="%2."/>
      <w:lvlJc w:val="left"/>
      <w:pPr>
        <w:tabs>
          <w:tab w:val="num" w:pos="1152"/>
        </w:tabs>
        <w:ind w:left="1152" w:hanging="432"/>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1" w15:restartNumberingAfterBreak="0">
    <w:nsid w:val="20EC3285"/>
    <w:multiLevelType w:val="hybridMultilevel"/>
    <w:tmpl w:val="5576E8D4"/>
    <w:lvl w:ilvl="0" w:tplc="215A008C">
      <w:start w:val="1"/>
      <w:numFmt w:val="bullet"/>
      <w:lvlText w:val=""/>
      <w:lvlJc w:val="left"/>
      <w:pPr>
        <w:tabs>
          <w:tab w:val="num" w:pos="360"/>
        </w:tabs>
        <w:ind w:left="360" w:hanging="360"/>
      </w:pPr>
      <w:rPr>
        <w:rFonts w:ascii="Symbol" w:hAnsi="Symbol" w:hint="default"/>
      </w:rPr>
    </w:lvl>
    <w:lvl w:ilvl="1" w:tplc="0409000F"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2" w15:restartNumberingAfterBreak="0">
    <w:nsid w:val="211E27AD"/>
    <w:multiLevelType w:val="hybridMultilevel"/>
    <w:tmpl w:val="9104E0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936"/>
        </w:tabs>
        <w:ind w:left="936" w:hanging="360"/>
      </w:p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253" w15:restartNumberingAfterBreak="0">
    <w:nsid w:val="211E391B"/>
    <w:multiLevelType w:val="hybridMultilevel"/>
    <w:tmpl w:val="16C849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214B6917"/>
    <w:multiLevelType w:val="hybridMultilevel"/>
    <w:tmpl w:val="DB30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217C45D8"/>
    <w:multiLevelType w:val="hybridMultilevel"/>
    <w:tmpl w:val="63261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21A32AB0"/>
    <w:multiLevelType w:val="hybridMultilevel"/>
    <w:tmpl w:val="D736D2BA"/>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7" w15:restartNumberingAfterBreak="0">
    <w:nsid w:val="21A446BD"/>
    <w:multiLevelType w:val="hybridMultilevel"/>
    <w:tmpl w:val="B8D69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21B60487"/>
    <w:multiLevelType w:val="hybridMultilevel"/>
    <w:tmpl w:val="D8BE9DC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9" w15:restartNumberingAfterBreak="0">
    <w:nsid w:val="21CB2F82"/>
    <w:multiLevelType w:val="hybridMultilevel"/>
    <w:tmpl w:val="7CCE7924"/>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0" w15:restartNumberingAfterBreak="0">
    <w:nsid w:val="223460D1"/>
    <w:multiLevelType w:val="hybridMultilevel"/>
    <w:tmpl w:val="D7464BB6"/>
    <w:lvl w:ilvl="0" w:tplc="0409000F">
      <w:start w:val="1"/>
      <w:numFmt w:val="decimal"/>
      <w:lvlText w:val="%1."/>
      <w:lvlJc w:val="left"/>
      <w:pPr>
        <w:tabs>
          <w:tab w:val="num" w:pos="840"/>
        </w:tabs>
        <w:ind w:left="840" w:hanging="360"/>
      </w:p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261" w15:restartNumberingAfterBreak="0">
    <w:nsid w:val="225E3106"/>
    <w:multiLevelType w:val="hybridMultilevel"/>
    <w:tmpl w:val="F1C00F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2" w15:restartNumberingAfterBreak="0">
    <w:nsid w:val="2295607D"/>
    <w:multiLevelType w:val="hybridMultilevel"/>
    <w:tmpl w:val="DF1820D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3" w15:restartNumberingAfterBreak="0">
    <w:nsid w:val="22990944"/>
    <w:multiLevelType w:val="singleLevel"/>
    <w:tmpl w:val="A3FC7462"/>
    <w:lvl w:ilvl="0">
      <w:start w:val="1"/>
      <w:numFmt w:val="decimal"/>
      <w:lvlText w:val="%1."/>
      <w:lvlJc w:val="left"/>
      <w:pPr>
        <w:tabs>
          <w:tab w:val="num" w:pos="360"/>
        </w:tabs>
        <w:ind w:left="360" w:hanging="360"/>
      </w:pPr>
      <w:rPr>
        <w:rFonts w:hint="default"/>
      </w:rPr>
    </w:lvl>
  </w:abstractNum>
  <w:abstractNum w:abstractNumId="264" w15:restartNumberingAfterBreak="0">
    <w:nsid w:val="22A12FD0"/>
    <w:multiLevelType w:val="hybridMultilevel"/>
    <w:tmpl w:val="BD2A6BD0"/>
    <w:lvl w:ilvl="0" w:tplc="BF244624">
      <w:start w:val="1"/>
      <w:numFmt w:val="decimal"/>
      <w:lvlText w:val="%1."/>
      <w:lvlJc w:val="left"/>
      <w:pPr>
        <w:ind w:left="45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22C75E12"/>
    <w:multiLevelType w:val="hybridMultilevel"/>
    <w:tmpl w:val="2FB499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66" w15:restartNumberingAfterBreak="0">
    <w:nsid w:val="22D464F7"/>
    <w:multiLevelType w:val="hybridMultilevel"/>
    <w:tmpl w:val="5C58236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7" w15:restartNumberingAfterBreak="0">
    <w:nsid w:val="22ED21F1"/>
    <w:multiLevelType w:val="hybridMultilevel"/>
    <w:tmpl w:val="C3F8AD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268" w15:restartNumberingAfterBreak="0">
    <w:nsid w:val="22F01CA4"/>
    <w:multiLevelType w:val="hybridMultilevel"/>
    <w:tmpl w:val="CD224F10"/>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936"/>
        </w:tabs>
        <w:ind w:left="936" w:hanging="360"/>
      </w:p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269" w15:restartNumberingAfterBreak="0">
    <w:nsid w:val="236F0346"/>
    <w:multiLevelType w:val="multilevel"/>
    <w:tmpl w:val="BCD85074"/>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15:restartNumberingAfterBreak="0">
    <w:nsid w:val="23815319"/>
    <w:multiLevelType w:val="hybridMultilevel"/>
    <w:tmpl w:val="52085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2386778C"/>
    <w:multiLevelType w:val="hybridMultilevel"/>
    <w:tmpl w:val="EAF449D6"/>
    <w:lvl w:ilvl="0" w:tplc="04090001">
      <w:start w:val="1"/>
      <w:numFmt w:val="bullet"/>
      <w:lvlText w:val=""/>
      <w:lvlJc w:val="left"/>
      <w:pPr>
        <w:tabs>
          <w:tab w:val="num" w:pos="792"/>
        </w:tabs>
        <w:ind w:left="792" w:hanging="360"/>
      </w:pPr>
      <w:rPr>
        <w:rFonts w:ascii="Symbol" w:hAnsi="Symbol" w:hint="default"/>
      </w:rPr>
    </w:lvl>
    <w:lvl w:ilvl="1" w:tplc="57D052D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2" w15:restartNumberingAfterBreak="0">
    <w:nsid w:val="238849B7"/>
    <w:multiLevelType w:val="hybridMultilevel"/>
    <w:tmpl w:val="4C863242"/>
    <w:lvl w:ilvl="0" w:tplc="0409000F">
      <w:start w:val="1"/>
      <w:numFmt w:val="bullet"/>
      <w:lvlText w:val=""/>
      <w:lvlJc w:val="left"/>
      <w:pPr>
        <w:tabs>
          <w:tab w:val="num" w:pos="1860"/>
        </w:tabs>
        <w:ind w:left="18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3" w15:restartNumberingAfterBreak="0">
    <w:nsid w:val="23901389"/>
    <w:multiLevelType w:val="hybridMultilevel"/>
    <w:tmpl w:val="5EEABA9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4" w15:restartNumberingAfterBreak="0">
    <w:nsid w:val="23911AC3"/>
    <w:multiLevelType w:val="hybridMultilevel"/>
    <w:tmpl w:val="2A3835BE"/>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5" w15:restartNumberingAfterBreak="0">
    <w:nsid w:val="239C5ECB"/>
    <w:multiLevelType w:val="hybridMultilevel"/>
    <w:tmpl w:val="AE98A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6" w15:restartNumberingAfterBreak="0">
    <w:nsid w:val="23BE5A2F"/>
    <w:multiLevelType w:val="hybridMultilevel"/>
    <w:tmpl w:val="FC446FB0"/>
    <w:lvl w:ilvl="0" w:tplc="04090001">
      <w:start w:val="1"/>
      <w:numFmt w:val="bullet"/>
      <w:lvlText w:val=""/>
      <w:lvlJc w:val="left"/>
      <w:pPr>
        <w:ind w:left="1080" w:hanging="360"/>
      </w:pPr>
      <w:rPr>
        <w:rFonts w:ascii="Symbol" w:hAnsi="Symbol" w:hint="default"/>
        <w:sz w:val="24"/>
      </w:rPr>
    </w:lvl>
    <w:lvl w:ilvl="1" w:tplc="04090019">
      <w:start w:val="1"/>
      <w:numFmt w:val="lowerLetter"/>
      <w:lvlText w:val="%2."/>
      <w:lvlJc w:val="left"/>
      <w:pPr>
        <w:ind w:left="1800" w:hanging="360"/>
      </w:pPr>
    </w:lvl>
    <w:lvl w:ilvl="2" w:tplc="35EC064E">
      <w:start w:val="1"/>
      <w:numFmt w:val="decimal"/>
      <w:lvlText w:val="%3."/>
      <w:lvlJc w:val="left"/>
      <w:pPr>
        <w:ind w:left="2520" w:hanging="180"/>
      </w:pPr>
      <w:rPr>
        <w:rFonts w:ascii="Times New Roman" w:hAnsi="Times New Roman" w:hint="default"/>
        <w:sz w:val="24"/>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7" w15:restartNumberingAfterBreak="0">
    <w:nsid w:val="23E36DB4"/>
    <w:multiLevelType w:val="hybridMultilevel"/>
    <w:tmpl w:val="E0721CA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8" w15:restartNumberingAfterBreak="0">
    <w:nsid w:val="24046CBD"/>
    <w:multiLevelType w:val="hybridMultilevel"/>
    <w:tmpl w:val="9512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24435AD7"/>
    <w:multiLevelType w:val="hybridMultilevel"/>
    <w:tmpl w:val="6F404830"/>
    <w:lvl w:ilvl="0" w:tplc="A3FC746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0" w15:restartNumberingAfterBreak="0">
    <w:nsid w:val="244C2A42"/>
    <w:multiLevelType w:val="hybridMultilevel"/>
    <w:tmpl w:val="FFCCE6E4"/>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1" w15:restartNumberingAfterBreak="0">
    <w:nsid w:val="24766E17"/>
    <w:multiLevelType w:val="hybridMultilevel"/>
    <w:tmpl w:val="86EEBD5E"/>
    <w:lvl w:ilvl="0" w:tplc="04090003">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24D66277"/>
    <w:multiLevelType w:val="hybridMultilevel"/>
    <w:tmpl w:val="6C324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15:restartNumberingAfterBreak="0">
    <w:nsid w:val="24D700CB"/>
    <w:multiLevelType w:val="multilevel"/>
    <w:tmpl w:val="1D5EFF7E"/>
    <w:lvl w:ilvl="0">
      <w:start w:val="1"/>
      <w:numFmt w:val="bullet"/>
      <w:lvlText w:val=""/>
      <w:lvlJc w:val="left"/>
      <w:pPr>
        <w:tabs>
          <w:tab w:val="num" w:pos="1080"/>
        </w:tabs>
        <w:ind w:left="1080" w:hanging="360"/>
      </w:pPr>
      <w:rPr>
        <w:rFonts w:ascii="Symbol" w:hAnsi="Symbol" w:hint="default"/>
        <w:b w:val="0"/>
        <w:i w:val="0"/>
      </w:rPr>
    </w:lvl>
    <w:lvl w:ilvl="1">
      <w:start w:val="4"/>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4" w15:restartNumberingAfterBreak="0">
    <w:nsid w:val="24F03281"/>
    <w:multiLevelType w:val="hybridMultilevel"/>
    <w:tmpl w:val="7C7628DE"/>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285" w15:restartNumberingAfterBreak="0">
    <w:nsid w:val="24F04E12"/>
    <w:multiLevelType w:val="hybridMultilevel"/>
    <w:tmpl w:val="01E07170"/>
    <w:lvl w:ilvl="0" w:tplc="7484503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251967ED"/>
    <w:multiLevelType w:val="hybridMultilevel"/>
    <w:tmpl w:val="5AA04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251F61C5"/>
    <w:multiLevelType w:val="multilevel"/>
    <w:tmpl w:val="2F125316"/>
    <w:lvl w:ilvl="0">
      <w:start w:val="1"/>
      <w:numFmt w:val="decimal"/>
      <w:lvlText w:val="%1."/>
      <w:lvlJc w:val="left"/>
      <w:pPr>
        <w:ind w:left="720" w:hanging="360"/>
      </w:pPr>
    </w:lvl>
    <w:lvl w:ilvl="1">
      <w:start w:val="6"/>
      <w:numFmt w:val="decimal"/>
      <w:isLgl/>
      <w:lvlText w:val="%1.%2"/>
      <w:lvlJc w:val="left"/>
      <w:pPr>
        <w:ind w:left="1245" w:hanging="525"/>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8" w15:restartNumberingAfterBreak="0">
    <w:nsid w:val="252544D7"/>
    <w:multiLevelType w:val="hybridMultilevel"/>
    <w:tmpl w:val="6652CB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25265058"/>
    <w:multiLevelType w:val="hybridMultilevel"/>
    <w:tmpl w:val="FBF0EE64"/>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28"/>
        </w:tabs>
        <w:ind w:left="1428" w:hanging="360"/>
      </w:pPr>
    </w:lvl>
    <w:lvl w:ilvl="2" w:tplc="0409001B" w:tentative="1">
      <w:start w:val="1"/>
      <w:numFmt w:val="lowerRoman"/>
      <w:lvlText w:val="%3."/>
      <w:lvlJc w:val="right"/>
      <w:pPr>
        <w:tabs>
          <w:tab w:val="num" w:pos="2148"/>
        </w:tabs>
        <w:ind w:left="2148" w:hanging="180"/>
      </w:pPr>
    </w:lvl>
    <w:lvl w:ilvl="3" w:tplc="0409000F" w:tentative="1">
      <w:start w:val="1"/>
      <w:numFmt w:val="decimal"/>
      <w:lvlText w:val="%4."/>
      <w:lvlJc w:val="left"/>
      <w:pPr>
        <w:tabs>
          <w:tab w:val="num" w:pos="2868"/>
        </w:tabs>
        <w:ind w:left="2868" w:hanging="360"/>
      </w:pPr>
    </w:lvl>
    <w:lvl w:ilvl="4" w:tplc="04090019" w:tentative="1">
      <w:start w:val="1"/>
      <w:numFmt w:val="lowerLetter"/>
      <w:lvlText w:val="%5."/>
      <w:lvlJc w:val="left"/>
      <w:pPr>
        <w:tabs>
          <w:tab w:val="num" w:pos="3588"/>
        </w:tabs>
        <w:ind w:left="3588" w:hanging="360"/>
      </w:pPr>
    </w:lvl>
    <w:lvl w:ilvl="5" w:tplc="0409001B" w:tentative="1">
      <w:start w:val="1"/>
      <w:numFmt w:val="lowerRoman"/>
      <w:lvlText w:val="%6."/>
      <w:lvlJc w:val="right"/>
      <w:pPr>
        <w:tabs>
          <w:tab w:val="num" w:pos="4308"/>
        </w:tabs>
        <w:ind w:left="4308" w:hanging="180"/>
      </w:pPr>
    </w:lvl>
    <w:lvl w:ilvl="6" w:tplc="0409000F" w:tentative="1">
      <w:start w:val="1"/>
      <w:numFmt w:val="decimal"/>
      <w:lvlText w:val="%7."/>
      <w:lvlJc w:val="left"/>
      <w:pPr>
        <w:tabs>
          <w:tab w:val="num" w:pos="5028"/>
        </w:tabs>
        <w:ind w:left="5028" w:hanging="360"/>
      </w:pPr>
    </w:lvl>
    <w:lvl w:ilvl="7" w:tplc="04090019" w:tentative="1">
      <w:start w:val="1"/>
      <w:numFmt w:val="lowerLetter"/>
      <w:lvlText w:val="%8."/>
      <w:lvlJc w:val="left"/>
      <w:pPr>
        <w:tabs>
          <w:tab w:val="num" w:pos="5748"/>
        </w:tabs>
        <w:ind w:left="5748" w:hanging="360"/>
      </w:pPr>
    </w:lvl>
    <w:lvl w:ilvl="8" w:tplc="0409001B" w:tentative="1">
      <w:start w:val="1"/>
      <w:numFmt w:val="lowerRoman"/>
      <w:lvlText w:val="%9."/>
      <w:lvlJc w:val="right"/>
      <w:pPr>
        <w:tabs>
          <w:tab w:val="num" w:pos="6468"/>
        </w:tabs>
        <w:ind w:left="6468" w:hanging="180"/>
      </w:pPr>
    </w:lvl>
  </w:abstractNum>
  <w:abstractNum w:abstractNumId="290" w15:restartNumberingAfterBreak="0">
    <w:nsid w:val="25463AFB"/>
    <w:multiLevelType w:val="multilevel"/>
    <w:tmpl w:val="86F29904"/>
    <w:lvl w:ilvl="0">
      <w:start w:val="1"/>
      <w:numFmt w:val="bullet"/>
      <w:lvlText w:val=""/>
      <w:lvlJc w:val="left"/>
      <w:pPr>
        <w:tabs>
          <w:tab w:val="num" w:pos="1860"/>
        </w:tabs>
        <w:ind w:left="1860" w:hanging="360"/>
      </w:pPr>
      <w:rPr>
        <w:rFonts w:ascii="Symbol" w:hAnsi="Symbol" w:hint="default"/>
      </w:rPr>
    </w:lvl>
    <w:lvl w:ilvl="1">
      <w:start w:val="1"/>
      <w:numFmt w:val="bullet"/>
      <w:lvlText w:val=""/>
      <w:lvlJc w:val="left"/>
      <w:pPr>
        <w:tabs>
          <w:tab w:val="num" w:pos="2580"/>
        </w:tabs>
        <w:ind w:left="2580" w:hanging="360"/>
      </w:pPr>
      <w:rPr>
        <w:rFonts w:ascii="Symbol" w:hAnsi="Symbol" w:hint="default"/>
      </w:rPr>
    </w:lvl>
    <w:lvl w:ilvl="2">
      <w:start w:val="1"/>
      <w:numFmt w:val="bullet"/>
      <w:lvlText w:val=""/>
      <w:lvlJc w:val="left"/>
      <w:pPr>
        <w:tabs>
          <w:tab w:val="num" w:pos="3300"/>
        </w:tabs>
        <w:ind w:left="3300" w:hanging="360"/>
      </w:pPr>
      <w:rPr>
        <w:rFonts w:ascii="Wingdings" w:hAnsi="Wingdings" w:hint="default"/>
      </w:rPr>
    </w:lvl>
    <w:lvl w:ilvl="3">
      <w:start w:val="1"/>
      <w:numFmt w:val="bullet"/>
      <w:lvlText w:val=""/>
      <w:lvlJc w:val="left"/>
      <w:pPr>
        <w:tabs>
          <w:tab w:val="num" w:pos="4020"/>
        </w:tabs>
        <w:ind w:left="4020" w:hanging="360"/>
      </w:pPr>
      <w:rPr>
        <w:rFonts w:ascii="Symbol" w:hAnsi="Symbol" w:hint="default"/>
      </w:rPr>
    </w:lvl>
    <w:lvl w:ilvl="4">
      <w:start w:val="1"/>
      <w:numFmt w:val="bullet"/>
      <w:lvlText w:val="o"/>
      <w:lvlJc w:val="left"/>
      <w:pPr>
        <w:tabs>
          <w:tab w:val="num" w:pos="4740"/>
        </w:tabs>
        <w:ind w:left="4740" w:hanging="360"/>
      </w:pPr>
      <w:rPr>
        <w:rFonts w:ascii="Courier New" w:hAnsi="Courier New" w:hint="default"/>
      </w:rPr>
    </w:lvl>
    <w:lvl w:ilvl="5">
      <w:start w:val="1"/>
      <w:numFmt w:val="bullet"/>
      <w:lvlText w:val=""/>
      <w:lvlJc w:val="left"/>
      <w:pPr>
        <w:tabs>
          <w:tab w:val="num" w:pos="5460"/>
        </w:tabs>
        <w:ind w:left="5460" w:hanging="360"/>
      </w:pPr>
      <w:rPr>
        <w:rFonts w:ascii="Wingdings" w:hAnsi="Wingdings" w:hint="default"/>
      </w:rPr>
    </w:lvl>
    <w:lvl w:ilvl="6">
      <w:start w:val="1"/>
      <w:numFmt w:val="bullet"/>
      <w:lvlText w:val=""/>
      <w:lvlJc w:val="left"/>
      <w:pPr>
        <w:tabs>
          <w:tab w:val="num" w:pos="6180"/>
        </w:tabs>
        <w:ind w:left="6180" w:hanging="360"/>
      </w:pPr>
      <w:rPr>
        <w:rFonts w:ascii="Symbol" w:hAnsi="Symbol" w:hint="default"/>
      </w:rPr>
    </w:lvl>
    <w:lvl w:ilvl="7">
      <w:start w:val="1"/>
      <w:numFmt w:val="bullet"/>
      <w:lvlText w:val="o"/>
      <w:lvlJc w:val="left"/>
      <w:pPr>
        <w:tabs>
          <w:tab w:val="num" w:pos="6900"/>
        </w:tabs>
        <w:ind w:left="6900" w:hanging="360"/>
      </w:pPr>
      <w:rPr>
        <w:rFonts w:ascii="Courier New" w:hAnsi="Courier New" w:hint="default"/>
      </w:rPr>
    </w:lvl>
    <w:lvl w:ilvl="8">
      <w:start w:val="1"/>
      <w:numFmt w:val="bullet"/>
      <w:lvlText w:val=""/>
      <w:lvlJc w:val="left"/>
      <w:pPr>
        <w:tabs>
          <w:tab w:val="num" w:pos="7620"/>
        </w:tabs>
        <w:ind w:left="7620" w:hanging="360"/>
      </w:pPr>
      <w:rPr>
        <w:rFonts w:ascii="Wingdings" w:hAnsi="Wingdings" w:hint="default"/>
      </w:rPr>
    </w:lvl>
  </w:abstractNum>
  <w:abstractNum w:abstractNumId="291" w15:restartNumberingAfterBreak="0">
    <w:nsid w:val="255C7131"/>
    <w:multiLevelType w:val="hybridMultilevel"/>
    <w:tmpl w:val="BA4EB4B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92" w15:restartNumberingAfterBreak="0">
    <w:nsid w:val="256B37A9"/>
    <w:multiLevelType w:val="hybridMultilevel"/>
    <w:tmpl w:val="EACC3F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3" w15:restartNumberingAfterBreak="0">
    <w:nsid w:val="256F43EE"/>
    <w:multiLevelType w:val="multilevel"/>
    <w:tmpl w:val="07C44668"/>
    <w:lvl w:ilvl="0">
      <w:start w:val="1"/>
      <w:numFmt w:val="decimal"/>
      <w:lvlText w:val="%1."/>
      <w:lvlJc w:val="left"/>
      <w:pPr>
        <w:tabs>
          <w:tab w:val="num" w:pos="360"/>
        </w:tabs>
        <w:ind w:left="360" w:hanging="360"/>
      </w:pPr>
      <w:rPr>
        <w:rFonts w:hint="default"/>
        <w:b w:val="0"/>
        <w:i w:val="0"/>
      </w:rPr>
    </w:lvl>
    <w:lvl w:ilvl="1">
      <w:start w:val="1"/>
      <w:numFmt w:val="decimal"/>
      <w:isLgl/>
      <w:lvlText w:val="%1.%2"/>
      <w:lvlJc w:val="left"/>
      <w:pPr>
        <w:ind w:left="525" w:hanging="525"/>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4" w15:restartNumberingAfterBreak="0">
    <w:nsid w:val="257C3F6C"/>
    <w:multiLevelType w:val="hybridMultilevel"/>
    <w:tmpl w:val="C6D45494"/>
    <w:lvl w:ilvl="0" w:tplc="F09C2266">
      <w:start w:val="2"/>
      <w:numFmt w:val="decimal"/>
      <w:lvlText w:val="%1."/>
      <w:lvlJc w:val="left"/>
      <w:pPr>
        <w:ind w:left="720" w:hanging="360"/>
      </w:pPr>
      <w:rPr>
        <w:rFonts w:cs="Times New Roman" w:hint="default"/>
      </w:rPr>
    </w:lvl>
    <w:lvl w:ilvl="1" w:tplc="FE9667C4">
      <w:start w:val="1"/>
      <w:numFmt w:val="lowerLetter"/>
      <w:lvlText w:val="%2."/>
      <w:lvlJc w:val="left"/>
      <w:pPr>
        <w:ind w:left="540" w:hanging="360"/>
      </w:pPr>
      <w:rPr>
        <w:rFonts w:hint="default"/>
      </w:r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5" w15:restartNumberingAfterBreak="0">
    <w:nsid w:val="25BA0587"/>
    <w:multiLevelType w:val="hybridMultilevel"/>
    <w:tmpl w:val="7E203988"/>
    <w:lvl w:ilvl="0" w:tplc="B906C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25D33D89"/>
    <w:multiLevelType w:val="hybridMultilevel"/>
    <w:tmpl w:val="CF4AF9B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7" w15:restartNumberingAfterBreak="0">
    <w:nsid w:val="260B3FE6"/>
    <w:multiLevelType w:val="hybridMultilevel"/>
    <w:tmpl w:val="3E349FC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8" w15:restartNumberingAfterBreak="0">
    <w:nsid w:val="263B6DFC"/>
    <w:multiLevelType w:val="hybridMultilevel"/>
    <w:tmpl w:val="67D27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15:restartNumberingAfterBreak="0">
    <w:nsid w:val="269135FA"/>
    <w:multiLevelType w:val="hybridMultilevel"/>
    <w:tmpl w:val="350A3E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0" w15:restartNumberingAfterBreak="0">
    <w:nsid w:val="269738DB"/>
    <w:multiLevelType w:val="hybridMultilevel"/>
    <w:tmpl w:val="D8C6D3A8"/>
    <w:lvl w:ilvl="0" w:tplc="04090001">
      <w:start w:val="1"/>
      <w:numFmt w:val="bullet"/>
      <w:lvlText w:val=""/>
      <w:lvlJc w:val="left"/>
      <w:pPr>
        <w:tabs>
          <w:tab w:val="num" w:pos="612"/>
        </w:tabs>
        <w:ind w:left="61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1" w15:restartNumberingAfterBreak="0">
    <w:nsid w:val="2699029F"/>
    <w:multiLevelType w:val="hybridMultilevel"/>
    <w:tmpl w:val="7280038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02" w15:restartNumberingAfterBreak="0">
    <w:nsid w:val="26CC1261"/>
    <w:multiLevelType w:val="hybridMultilevel"/>
    <w:tmpl w:val="6BD8CFE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303" w15:restartNumberingAfterBreak="0">
    <w:nsid w:val="26D4576C"/>
    <w:multiLevelType w:val="hybridMultilevel"/>
    <w:tmpl w:val="13AE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26E66E50"/>
    <w:multiLevelType w:val="hybridMultilevel"/>
    <w:tmpl w:val="4F6C42B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5" w15:restartNumberingAfterBreak="0">
    <w:nsid w:val="26FA7ADB"/>
    <w:multiLevelType w:val="hybridMultilevel"/>
    <w:tmpl w:val="0044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272155C4"/>
    <w:multiLevelType w:val="hybridMultilevel"/>
    <w:tmpl w:val="631A6C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7" w15:restartNumberingAfterBreak="0">
    <w:nsid w:val="275D5A7C"/>
    <w:multiLevelType w:val="hybridMultilevel"/>
    <w:tmpl w:val="44E09C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8" w15:restartNumberingAfterBreak="0">
    <w:nsid w:val="27812B94"/>
    <w:multiLevelType w:val="hybridMultilevel"/>
    <w:tmpl w:val="043CDE3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9" w15:restartNumberingAfterBreak="0">
    <w:nsid w:val="27DF530D"/>
    <w:multiLevelType w:val="hybridMultilevel"/>
    <w:tmpl w:val="D3446BBA"/>
    <w:lvl w:ilvl="0" w:tplc="04090001">
      <w:start w:val="1"/>
      <w:numFmt w:val="bullet"/>
      <w:lvlText w:val=""/>
      <w:lvlJc w:val="left"/>
      <w:pPr>
        <w:tabs>
          <w:tab w:val="num" w:pos="612"/>
        </w:tabs>
        <w:ind w:left="612" w:hanging="360"/>
      </w:pPr>
      <w:rPr>
        <w:rFonts w:ascii="Symbol" w:hAnsi="Symbol" w:hint="default"/>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10" w15:restartNumberingAfterBreak="0">
    <w:nsid w:val="27E42001"/>
    <w:multiLevelType w:val="hybridMultilevel"/>
    <w:tmpl w:val="19728A2A"/>
    <w:lvl w:ilvl="0" w:tplc="058AF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28063701"/>
    <w:multiLevelType w:val="multilevel"/>
    <w:tmpl w:val="5E2E8F4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2" w15:restartNumberingAfterBreak="0">
    <w:nsid w:val="2810378D"/>
    <w:multiLevelType w:val="hybridMultilevel"/>
    <w:tmpl w:val="9AFC600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3" w15:restartNumberingAfterBreak="0">
    <w:nsid w:val="28480424"/>
    <w:multiLevelType w:val="hybridMultilevel"/>
    <w:tmpl w:val="2960D0C8"/>
    <w:lvl w:ilvl="0" w:tplc="0409000F">
      <w:start w:val="1"/>
      <w:numFmt w:val="bullet"/>
      <w:lvlText w:val=""/>
      <w:lvlJc w:val="left"/>
      <w:pPr>
        <w:tabs>
          <w:tab w:val="num" w:pos="1860"/>
        </w:tabs>
        <w:ind w:left="18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28C41002"/>
    <w:multiLevelType w:val="hybridMultilevel"/>
    <w:tmpl w:val="A3D24B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10"/>
        </w:tabs>
        <w:ind w:left="1510" w:hanging="360"/>
      </w:pPr>
    </w:lvl>
    <w:lvl w:ilvl="2" w:tplc="0409001B" w:tentative="1">
      <w:start w:val="1"/>
      <w:numFmt w:val="lowerRoman"/>
      <w:lvlText w:val="%3."/>
      <w:lvlJc w:val="right"/>
      <w:pPr>
        <w:tabs>
          <w:tab w:val="num" w:pos="2230"/>
        </w:tabs>
        <w:ind w:left="2230" w:hanging="180"/>
      </w:pPr>
    </w:lvl>
    <w:lvl w:ilvl="3" w:tplc="0409000F" w:tentative="1">
      <w:start w:val="1"/>
      <w:numFmt w:val="decimal"/>
      <w:lvlText w:val="%4."/>
      <w:lvlJc w:val="left"/>
      <w:pPr>
        <w:tabs>
          <w:tab w:val="num" w:pos="2950"/>
        </w:tabs>
        <w:ind w:left="2950" w:hanging="360"/>
      </w:pPr>
    </w:lvl>
    <w:lvl w:ilvl="4" w:tplc="04090019" w:tentative="1">
      <w:start w:val="1"/>
      <w:numFmt w:val="lowerLetter"/>
      <w:lvlText w:val="%5."/>
      <w:lvlJc w:val="left"/>
      <w:pPr>
        <w:tabs>
          <w:tab w:val="num" w:pos="3670"/>
        </w:tabs>
        <w:ind w:left="3670" w:hanging="360"/>
      </w:pPr>
    </w:lvl>
    <w:lvl w:ilvl="5" w:tplc="0409001B" w:tentative="1">
      <w:start w:val="1"/>
      <w:numFmt w:val="lowerRoman"/>
      <w:lvlText w:val="%6."/>
      <w:lvlJc w:val="right"/>
      <w:pPr>
        <w:tabs>
          <w:tab w:val="num" w:pos="4390"/>
        </w:tabs>
        <w:ind w:left="4390" w:hanging="180"/>
      </w:pPr>
    </w:lvl>
    <w:lvl w:ilvl="6" w:tplc="0409000F" w:tentative="1">
      <w:start w:val="1"/>
      <w:numFmt w:val="decimal"/>
      <w:lvlText w:val="%7."/>
      <w:lvlJc w:val="left"/>
      <w:pPr>
        <w:tabs>
          <w:tab w:val="num" w:pos="5110"/>
        </w:tabs>
        <w:ind w:left="5110" w:hanging="360"/>
      </w:pPr>
    </w:lvl>
    <w:lvl w:ilvl="7" w:tplc="04090019" w:tentative="1">
      <w:start w:val="1"/>
      <w:numFmt w:val="lowerLetter"/>
      <w:lvlText w:val="%8."/>
      <w:lvlJc w:val="left"/>
      <w:pPr>
        <w:tabs>
          <w:tab w:val="num" w:pos="5830"/>
        </w:tabs>
        <w:ind w:left="5830" w:hanging="360"/>
      </w:pPr>
    </w:lvl>
    <w:lvl w:ilvl="8" w:tplc="0409001B" w:tentative="1">
      <w:start w:val="1"/>
      <w:numFmt w:val="lowerRoman"/>
      <w:lvlText w:val="%9."/>
      <w:lvlJc w:val="right"/>
      <w:pPr>
        <w:tabs>
          <w:tab w:val="num" w:pos="6550"/>
        </w:tabs>
        <w:ind w:left="6550" w:hanging="180"/>
      </w:pPr>
    </w:lvl>
  </w:abstractNum>
  <w:abstractNum w:abstractNumId="315" w15:restartNumberingAfterBreak="0">
    <w:nsid w:val="28D64F8C"/>
    <w:multiLevelType w:val="hybridMultilevel"/>
    <w:tmpl w:val="49387A56"/>
    <w:lvl w:ilvl="0" w:tplc="AB5EAA02">
      <w:start w:val="1"/>
      <w:numFmt w:val="decimal"/>
      <w:lvlText w:val="%1."/>
      <w:lvlJc w:val="left"/>
      <w:pPr>
        <w:ind w:left="720" w:hanging="360"/>
      </w:pPr>
      <w:rPr>
        <w:rFonts w:ascii="Book Antiqua" w:eastAsia="Calibri" w:hAnsi="Book Antiqua" w:cs="Times New Roman"/>
        <w:sz w:val="24"/>
      </w:rPr>
    </w:lvl>
    <w:lvl w:ilvl="1" w:tplc="04090019" w:tentative="1">
      <w:start w:val="1"/>
      <w:numFmt w:val="lowerLetter"/>
      <w:lvlText w:val="%2."/>
      <w:lvlJc w:val="left"/>
      <w:pPr>
        <w:ind w:left="1440" w:hanging="360"/>
      </w:pPr>
    </w:lvl>
    <w:lvl w:ilvl="2" w:tplc="35EC064E">
      <w:start w:val="1"/>
      <w:numFmt w:val="decimal"/>
      <w:lvlText w:val="%3."/>
      <w:lvlJc w:val="left"/>
      <w:pPr>
        <w:ind w:left="2160" w:hanging="180"/>
      </w:pPr>
      <w:rPr>
        <w:rFonts w:ascii="Times New Roman" w:hAnsi="Times New Roman"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28DC2830"/>
    <w:multiLevelType w:val="hybridMultilevel"/>
    <w:tmpl w:val="34C4A3BE"/>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7" w15:restartNumberingAfterBreak="0">
    <w:nsid w:val="290317A6"/>
    <w:multiLevelType w:val="hybridMultilevel"/>
    <w:tmpl w:val="DD5A856E"/>
    <w:lvl w:ilvl="0" w:tplc="FFFFFFFF">
      <w:start w:val="1"/>
      <w:numFmt w:val="decimal"/>
      <w:lvlText w:val="%1."/>
      <w:lvlJc w:val="left"/>
      <w:pPr>
        <w:tabs>
          <w:tab w:val="num" w:pos="720"/>
        </w:tabs>
        <w:ind w:left="720" w:hanging="360"/>
      </w:pPr>
      <w:rPr>
        <w:rFonts w:hint="default"/>
        <w:b w:val="0"/>
        <w:i w:val="0"/>
        <w:color w:val="auto"/>
      </w:rPr>
    </w:lvl>
    <w:lvl w:ilvl="1" w:tplc="5DBED53C">
      <w:start w:val="1"/>
      <w:numFmt w:val="lowerLetter"/>
      <w:lvlText w:val="%2."/>
      <w:lvlJc w:val="left"/>
      <w:pPr>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18" w15:restartNumberingAfterBreak="0">
    <w:nsid w:val="294A2E5F"/>
    <w:multiLevelType w:val="hybridMultilevel"/>
    <w:tmpl w:val="C0C4A04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9" w15:restartNumberingAfterBreak="0">
    <w:nsid w:val="2963723A"/>
    <w:multiLevelType w:val="hybridMultilevel"/>
    <w:tmpl w:val="E488E002"/>
    <w:lvl w:ilvl="0" w:tplc="0409000F">
      <w:start w:val="1"/>
      <w:numFmt w:val="decimal"/>
      <w:lvlText w:val="%1."/>
      <w:lvlJc w:val="left"/>
      <w:pPr>
        <w:ind w:left="1418" w:hanging="360"/>
      </w:p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320" w15:restartNumberingAfterBreak="0">
    <w:nsid w:val="2987696C"/>
    <w:multiLevelType w:val="hybridMultilevel"/>
    <w:tmpl w:val="222C648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321" w15:restartNumberingAfterBreak="0">
    <w:nsid w:val="29C34694"/>
    <w:multiLevelType w:val="hybridMultilevel"/>
    <w:tmpl w:val="4C22124E"/>
    <w:lvl w:ilvl="0" w:tplc="04090001">
      <w:start w:val="1"/>
      <w:numFmt w:val="bullet"/>
      <w:lvlText w:val=""/>
      <w:lvlJc w:val="left"/>
      <w:pPr>
        <w:tabs>
          <w:tab w:val="num" w:pos="720"/>
        </w:tabs>
        <w:ind w:left="720" w:hanging="360"/>
      </w:pPr>
      <w:rPr>
        <w:rFonts w:ascii="Symbol" w:hAnsi="Symbol" w:hint="default"/>
      </w:rPr>
    </w:lvl>
    <w:lvl w:ilvl="1" w:tplc="81C29180">
      <w:start w:val="1"/>
      <w:numFmt w:val="decimal"/>
      <w:lvlText w:val="%2."/>
      <w:lvlJc w:val="left"/>
      <w:pPr>
        <w:tabs>
          <w:tab w:val="num" w:pos="1485"/>
        </w:tabs>
        <w:ind w:left="1485" w:hanging="40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2" w15:restartNumberingAfterBreak="0">
    <w:nsid w:val="29D045CA"/>
    <w:multiLevelType w:val="hybridMultilevel"/>
    <w:tmpl w:val="52781ECE"/>
    <w:lvl w:ilvl="0" w:tplc="A3FC74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3" w15:restartNumberingAfterBreak="0">
    <w:nsid w:val="29F71D4A"/>
    <w:multiLevelType w:val="hybridMultilevel"/>
    <w:tmpl w:val="A0CA128C"/>
    <w:lvl w:ilvl="0" w:tplc="44446E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4" w15:restartNumberingAfterBreak="0">
    <w:nsid w:val="29F8378F"/>
    <w:multiLevelType w:val="hybridMultilevel"/>
    <w:tmpl w:val="67DC038A"/>
    <w:lvl w:ilvl="0" w:tplc="0409000F">
      <w:start w:val="1"/>
      <w:numFmt w:val="decimal"/>
      <w:lvlText w:val="%1."/>
      <w:lvlJc w:val="left"/>
      <w:pPr>
        <w:ind w:left="720" w:hanging="360"/>
      </w:pPr>
    </w:lvl>
    <w:lvl w:ilvl="1" w:tplc="6610FCA0">
      <w:start w:val="1"/>
      <w:numFmt w:val="decimal"/>
      <w:lvlText w:val="%2."/>
      <w:lvlJc w:val="left"/>
      <w:pPr>
        <w:ind w:left="1440" w:hanging="360"/>
      </w:pPr>
      <w:rPr>
        <w:rFonts w:ascii="Calibri" w:hAnsi="Calibri" w:hint="default"/>
        <w:color w:val="00267F"/>
        <w:sz w:val="20"/>
      </w:rPr>
    </w:lvl>
    <w:lvl w:ilvl="2" w:tplc="35EC064E">
      <w:start w:val="1"/>
      <w:numFmt w:val="decimal"/>
      <w:lvlText w:val="%3."/>
      <w:lvlJc w:val="left"/>
      <w:pPr>
        <w:ind w:left="2340" w:hanging="360"/>
      </w:pPr>
      <w:rPr>
        <w:rFonts w:ascii="Times New Roman" w:hAnsi="Times New Roman"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2A0E1A76"/>
    <w:multiLevelType w:val="hybridMultilevel"/>
    <w:tmpl w:val="AC5AA3DC"/>
    <w:lvl w:ilvl="0" w:tplc="04090001">
      <w:start w:val="1"/>
      <w:numFmt w:val="bullet"/>
      <w:lvlText w:val=""/>
      <w:lvlJc w:val="left"/>
      <w:pPr>
        <w:tabs>
          <w:tab w:val="num" w:pos="776"/>
        </w:tabs>
        <w:ind w:left="776" w:hanging="360"/>
      </w:pPr>
      <w:rPr>
        <w:rFonts w:ascii="Symbol" w:hAnsi="Symbol" w:hint="default"/>
      </w:rPr>
    </w:lvl>
    <w:lvl w:ilvl="1" w:tplc="04090019" w:tentative="1">
      <w:start w:val="1"/>
      <w:numFmt w:val="lowerLetter"/>
      <w:lvlText w:val="%2."/>
      <w:lvlJc w:val="left"/>
      <w:pPr>
        <w:tabs>
          <w:tab w:val="num" w:pos="1496"/>
        </w:tabs>
        <w:ind w:left="1496" w:hanging="360"/>
      </w:pPr>
    </w:lvl>
    <w:lvl w:ilvl="2" w:tplc="0409001B" w:tentative="1">
      <w:start w:val="1"/>
      <w:numFmt w:val="lowerRoman"/>
      <w:lvlText w:val="%3."/>
      <w:lvlJc w:val="right"/>
      <w:pPr>
        <w:tabs>
          <w:tab w:val="num" w:pos="2216"/>
        </w:tabs>
        <w:ind w:left="2216" w:hanging="180"/>
      </w:pPr>
    </w:lvl>
    <w:lvl w:ilvl="3" w:tplc="0409000F" w:tentative="1">
      <w:start w:val="1"/>
      <w:numFmt w:val="decimal"/>
      <w:lvlText w:val="%4."/>
      <w:lvlJc w:val="left"/>
      <w:pPr>
        <w:tabs>
          <w:tab w:val="num" w:pos="2936"/>
        </w:tabs>
        <w:ind w:left="2936" w:hanging="360"/>
      </w:pPr>
    </w:lvl>
    <w:lvl w:ilvl="4" w:tplc="04090019" w:tentative="1">
      <w:start w:val="1"/>
      <w:numFmt w:val="lowerLetter"/>
      <w:lvlText w:val="%5."/>
      <w:lvlJc w:val="left"/>
      <w:pPr>
        <w:tabs>
          <w:tab w:val="num" w:pos="3656"/>
        </w:tabs>
        <w:ind w:left="3656" w:hanging="360"/>
      </w:pPr>
    </w:lvl>
    <w:lvl w:ilvl="5" w:tplc="0409001B" w:tentative="1">
      <w:start w:val="1"/>
      <w:numFmt w:val="lowerRoman"/>
      <w:lvlText w:val="%6."/>
      <w:lvlJc w:val="right"/>
      <w:pPr>
        <w:tabs>
          <w:tab w:val="num" w:pos="4376"/>
        </w:tabs>
        <w:ind w:left="4376" w:hanging="180"/>
      </w:pPr>
    </w:lvl>
    <w:lvl w:ilvl="6" w:tplc="0409000F" w:tentative="1">
      <w:start w:val="1"/>
      <w:numFmt w:val="decimal"/>
      <w:lvlText w:val="%7."/>
      <w:lvlJc w:val="left"/>
      <w:pPr>
        <w:tabs>
          <w:tab w:val="num" w:pos="5096"/>
        </w:tabs>
        <w:ind w:left="5096" w:hanging="360"/>
      </w:pPr>
    </w:lvl>
    <w:lvl w:ilvl="7" w:tplc="04090019" w:tentative="1">
      <w:start w:val="1"/>
      <w:numFmt w:val="lowerLetter"/>
      <w:lvlText w:val="%8."/>
      <w:lvlJc w:val="left"/>
      <w:pPr>
        <w:tabs>
          <w:tab w:val="num" w:pos="5816"/>
        </w:tabs>
        <w:ind w:left="5816" w:hanging="360"/>
      </w:pPr>
    </w:lvl>
    <w:lvl w:ilvl="8" w:tplc="0409001B" w:tentative="1">
      <w:start w:val="1"/>
      <w:numFmt w:val="lowerRoman"/>
      <w:lvlText w:val="%9."/>
      <w:lvlJc w:val="right"/>
      <w:pPr>
        <w:tabs>
          <w:tab w:val="num" w:pos="6536"/>
        </w:tabs>
        <w:ind w:left="6536" w:hanging="180"/>
      </w:pPr>
    </w:lvl>
  </w:abstractNum>
  <w:abstractNum w:abstractNumId="326" w15:restartNumberingAfterBreak="0">
    <w:nsid w:val="2A106A37"/>
    <w:multiLevelType w:val="multilevel"/>
    <w:tmpl w:val="2A3835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15:restartNumberingAfterBreak="0">
    <w:nsid w:val="2A122B52"/>
    <w:multiLevelType w:val="hybridMultilevel"/>
    <w:tmpl w:val="59A2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2A3573EC"/>
    <w:multiLevelType w:val="hybridMultilevel"/>
    <w:tmpl w:val="F01E7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9" w15:restartNumberingAfterBreak="0">
    <w:nsid w:val="2A43042E"/>
    <w:multiLevelType w:val="hybridMultilevel"/>
    <w:tmpl w:val="27CAF974"/>
    <w:lvl w:ilvl="0" w:tplc="6D3CFC80">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0" w15:restartNumberingAfterBreak="0">
    <w:nsid w:val="2A500A1D"/>
    <w:multiLevelType w:val="hybridMultilevel"/>
    <w:tmpl w:val="6B749E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1" w15:restartNumberingAfterBreak="0">
    <w:nsid w:val="2A5B1B54"/>
    <w:multiLevelType w:val="hybridMultilevel"/>
    <w:tmpl w:val="211221CA"/>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2" w15:restartNumberingAfterBreak="0">
    <w:nsid w:val="2A622B69"/>
    <w:multiLevelType w:val="hybridMultilevel"/>
    <w:tmpl w:val="0B7264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33" w15:restartNumberingAfterBreak="0">
    <w:nsid w:val="2A7A56B2"/>
    <w:multiLevelType w:val="hybridMultilevel"/>
    <w:tmpl w:val="6426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2AA4166D"/>
    <w:multiLevelType w:val="hybridMultilevel"/>
    <w:tmpl w:val="296A31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5" w15:restartNumberingAfterBreak="0">
    <w:nsid w:val="2AAF26E2"/>
    <w:multiLevelType w:val="hybridMultilevel"/>
    <w:tmpl w:val="DA22DBB4"/>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6" w15:restartNumberingAfterBreak="0">
    <w:nsid w:val="2AF24ED4"/>
    <w:multiLevelType w:val="hybridMultilevel"/>
    <w:tmpl w:val="B29ED98A"/>
    <w:lvl w:ilvl="0" w:tplc="2098ADEC">
      <w:start w:val="1"/>
      <w:numFmt w:val="bullet"/>
      <w:lvlText w:val=""/>
      <w:lvlJc w:val="left"/>
      <w:pPr>
        <w:tabs>
          <w:tab w:val="num" w:pos="720"/>
        </w:tabs>
        <w:ind w:left="720" w:hanging="360"/>
      </w:pPr>
      <w:rPr>
        <w:rFonts w:ascii="Symbol" w:hAnsi="Symbo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7" w15:restartNumberingAfterBreak="0">
    <w:nsid w:val="2B121BF6"/>
    <w:multiLevelType w:val="hybridMultilevel"/>
    <w:tmpl w:val="C8D665D2"/>
    <w:lvl w:ilvl="0" w:tplc="D3AAC07C">
      <w:start w:val="1"/>
      <w:numFmt w:val="bullet"/>
      <w:lvlText w:val=""/>
      <w:lvlJc w:val="left"/>
      <w:pPr>
        <w:tabs>
          <w:tab w:val="num" w:pos="720"/>
        </w:tabs>
        <w:ind w:left="720" w:hanging="360"/>
      </w:pPr>
      <w:rPr>
        <w:rFonts w:ascii="Symbol" w:hAnsi="Symbo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8" w15:restartNumberingAfterBreak="0">
    <w:nsid w:val="2B2449B3"/>
    <w:multiLevelType w:val="hybridMultilevel"/>
    <w:tmpl w:val="32C658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9" w15:restartNumberingAfterBreak="0">
    <w:nsid w:val="2B370F9C"/>
    <w:multiLevelType w:val="hybridMultilevel"/>
    <w:tmpl w:val="E722B8F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0" w15:restartNumberingAfterBreak="0">
    <w:nsid w:val="2B505E2D"/>
    <w:multiLevelType w:val="hybridMultilevel"/>
    <w:tmpl w:val="B97EAE3C"/>
    <w:lvl w:ilvl="0" w:tplc="04090003">
      <w:start w:val="1"/>
      <w:numFmt w:val="bullet"/>
      <w:lvlText w:val="o"/>
      <w:lvlJc w:val="left"/>
      <w:pPr>
        <w:tabs>
          <w:tab w:val="num" w:pos="1080"/>
        </w:tabs>
        <w:ind w:left="1080" w:hanging="360"/>
      </w:pPr>
      <w:rPr>
        <w:rFonts w:ascii="Courier New" w:hAnsi="Courier New" w:cs="Courier New" w:hint="default"/>
      </w:rPr>
    </w:lvl>
    <w:lvl w:ilvl="1" w:tplc="D09C9336">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1" w15:restartNumberingAfterBreak="0">
    <w:nsid w:val="2C600DBB"/>
    <w:multiLevelType w:val="hybridMultilevel"/>
    <w:tmpl w:val="CA1C2D2A"/>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2" w15:restartNumberingAfterBreak="0">
    <w:nsid w:val="2C7F478D"/>
    <w:multiLevelType w:val="hybridMultilevel"/>
    <w:tmpl w:val="5FE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2CA0287D"/>
    <w:multiLevelType w:val="hybridMultilevel"/>
    <w:tmpl w:val="DCC05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4" w15:restartNumberingAfterBreak="0">
    <w:nsid w:val="2CA454C4"/>
    <w:multiLevelType w:val="multilevel"/>
    <w:tmpl w:val="9C90B0D8"/>
    <w:lvl w:ilvl="0">
      <w:start w:val="1"/>
      <w:numFmt w:val="decimal"/>
      <w:lvlText w:val="%1."/>
      <w:lvlJc w:val="left"/>
      <w:pPr>
        <w:tabs>
          <w:tab w:val="num" w:pos="1800"/>
        </w:tabs>
        <w:ind w:left="1800" w:hanging="360"/>
      </w:pPr>
      <w:rPr>
        <w:rFonts w:hint="default"/>
      </w:rPr>
    </w:lvl>
    <w:lvl w:ilvl="1">
      <w:start w:val="7"/>
      <w:numFmt w:val="decimal"/>
      <w:isLgl/>
      <w:lvlText w:val="%1.%2"/>
      <w:lvlJc w:val="left"/>
      <w:pPr>
        <w:ind w:left="2085" w:hanging="645"/>
      </w:pPr>
      <w:rPr>
        <w:rFonts w:hint="default"/>
      </w:rPr>
    </w:lvl>
    <w:lvl w:ilvl="2">
      <w:start w:val="10"/>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345" w15:restartNumberingAfterBreak="0">
    <w:nsid w:val="2CFD143D"/>
    <w:multiLevelType w:val="hybridMultilevel"/>
    <w:tmpl w:val="FF3E88DC"/>
    <w:lvl w:ilvl="0" w:tplc="20A022E4">
      <w:start w:val="1"/>
      <w:numFmt w:val="lowerLetter"/>
      <w:lvlText w:val="%1."/>
      <w:lvlJc w:val="left"/>
      <w:pPr>
        <w:ind w:left="1980" w:hanging="360"/>
      </w:pPr>
      <w:rPr>
        <w:rFonts w:cs="Times New Roman" w:hint="default"/>
      </w:rPr>
    </w:lvl>
    <w:lvl w:ilvl="1" w:tplc="04090019" w:tentative="1">
      <w:start w:val="1"/>
      <w:numFmt w:val="lowerLetter"/>
      <w:lvlText w:val="%2."/>
      <w:lvlJc w:val="left"/>
      <w:pPr>
        <w:ind w:left="2700" w:hanging="360"/>
      </w:pPr>
      <w:rPr>
        <w:rFonts w:cs="Times New Roman"/>
      </w:rPr>
    </w:lvl>
    <w:lvl w:ilvl="2" w:tplc="0409001B" w:tentative="1">
      <w:start w:val="1"/>
      <w:numFmt w:val="lowerRoman"/>
      <w:lvlText w:val="%3."/>
      <w:lvlJc w:val="right"/>
      <w:pPr>
        <w:ind w:left="3420" w:hanging="180"/>
      </w:pPr>
      <w:rPr>
        <w:rFonts w:cs="Times New Roman"/>
      </w:rPr>
    </w:lvl>
    <w:lvl w:ilvl="3" w:tplc="0409000F" w:tentative="1">
      <w:start w:val="1"/>
      <w:numFmt w:val="decimal"/>
      <w:lvlText w:val="%4."/>
      <w:lvlJc w:val="left"/>
      <w:pPr>
        <w:ind w:left="4140" w:hanging="360"/>
      </w:pPr>
      <w:rPr>
        <w:rFonts w:cs="Times New Roman"/>
      </w:rPr>
    </w:lvl>
    <w:lvl w:ilvl="4" w:tplc="04090019" w:tentative="1">
      <w:start w:val="1"/>
      <w:numFmt w:val="lowerLetter"/>
      <w:lvlText w:val="%5."/>
      <w:lvlJc w:val="left"/>
      <w:pPr>
        <w:ind w:left="4860" w:hanging="360"/>
      </w:pPr>
      <w:rPr>
        <w:rFonts w:cs="Times New Roman"/>
      </w:rPr>
    </w:lvl>
    <w:lvl w:ilvl="5" w:tplc="0409001B" w:tentative="1">
      <w:start w:val="1"/>
      <w:numFmt w:val="lowerRoman"/>
      <w:lvlText w:val="%6."/>
      <w:lvlJc w:val="right"/>
      <w:pPr>
        <w:ind w:left="5580" w:hanging="180"/>
      </w:pPr>
      <w:rPr>
        <w:rFonts w:cs="Times New Roman"/>
      </w:rPr>
    </w:lvl>
    <w:lvl w:ilvl="6" w:tplc="0409000F" w:tentative="1">
      <w:start w:val="1"/>
      <w:numFmt w:val="decimal"/>
      <w:lvlText w:val="%7."/>
      <w:lvlJc w:val="left"/>
      <w:pPr>
        <w:ind w:left="6300" w:hanging="360"/>
      </w:pPr>
      <w:rPr>
        <w:rFonts w:cs="Times New Roman"/>
      </w:rPr>
    </w:lvl>
    <w:lvl w:ilvl="7" w:tplc="04090019" w:tentative="1">
      <w:start w:val="1"/>
      <w:numFmt w:val="lowerLetter"/>
      <w:lvlText w:val="%8."/>
      <w:lvlJc w:val="left"/>
      <w:pPr>
        <w:ind w:left="7020" w:hanging="360"/>
      </w:pPr>
      <w:rPr>
        <w:rFonts w:cs="Times New Roman"/>
      </w:rPr>
    </w:lvl>
    <w:lvl w:ilvl="8" w:tplc="0409001B" w:tentative="1">
      <w:start w:val="1"/>
      <w:numFmt w:val="lowerRoman"/>
      <w:lvlText w:val="%9."/>
      <w:lvlJc w:val="right"/>
      <w:pPr>
        <w:ind w:left="7740" w:hanging="180"/>
      </w:pPr>
      <w:rPr>
        <w:rFonts w:cs="Times New Roman"/>
      </w:rPr>
    </w:lvl>
  </w:abstractNum>
  <w:abstractNum w:abstractNumId="346" w15:restartNumberingAfterBreak="0">
    <w:nsid w:val="2D096C14"/>
    <w:multiLevelType w:val="hybridMultilevel"/>
    <w:tmpl w:val="992EF288"/>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47" w15:restartNumberingAfterBreak="0">
    <w:nsid w:val="2D15309E"/>
    <w:multiLevelType w:val="hybridMultilevel"/>
    <w:tmpl w:val="86F29904"/>
    <w:lvl w:ilvl="0" w:tplc="0409000F">
      <w:start w:val="1"/>
      <w:numFmt w:val="bullet"/>
      <w:lvlText w:val=""/>
      <w:lvlJc w:val="left"/>
      <w:pPr>
        <w:tabs>
          <w:tab w:val="num" w:pos="1860"/>
        </w:tabs>
        <w:ind w:left="1860" w:hanging="360"/>
      </w:pPr>
      <w:rPr>
        <w:rFonts w:ascii="Symbol" w:hAnsi="Symbol" w:hint="default"/>
      </w:rPr>
    </w:lvl>
    <w:lvl w:ilvl="1" w:tplc="04090001">
      <w:start w:val="1"/>
      <w:numFmt w:val="bullet"/>
      <w:lvlText w:val=""/>
      <w:lvlJc w:val="left"/>
      <w:pPr>
        <w:tabs>
          <w:tab w:val="num" w:pos="2580"/>
        </w:tabs>
        <w:ind w:left="2580" w:hanging="360"/>
      </w:pPr>
      <w:rPr>
        <w:rFonts w:ascii="Symbol" w:hAnsi="Symbol"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348" w15:restartNumberingAfterBreak="0">
    <w:nsid w:val="2D1E0F12"/>
    <w:multiLevelType w:val="hybridMultilevel"/>
    <w:tmpl w:val="9A6EF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2D5541B1"/>
    <w:multiLevelType w:val="hybridMultilevel"/>
    <w:tmpl w:val="B068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2D670AC5"/>
    <w:multiLevelType w:val="hybridMultilevel"/>
    <w:tmpl w:val="B7B2D990"/>
    <w:lvl w:ilvl="0" w:tplc="04090001">
      <w:start w:val="1"/>
      <w:numFmt w:val="bullet"/>
      <w:lvlText w:val=""/>
      <w:lvlJc w:val="left"/>
      <w:pPr>
        <w:tabs>
          <w:tab w:val="num" w:pos="612"/>
        </w:tabs>
        <w:ind w:left="612" w:hanging="360"/>
      </w:pPr>
      <w:rPr>
        <w:rFonts w:ascii="Symbol" w:hAnsi="Symbol" w:hint="default"/>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51" w15:restartNumberingAfterBreak="0">
    <w:nsid w:val="2D8A3217"/>
    <w:multiLevelType w:val="hybridMultilevel"/>
    <w:tmpl w:val="CB5E9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2DAA1FF7"/>
    <w:multiLevelType w:val="hybridMultilevel"/>
    <w:tmpl w:val="DA8E017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3" w15:restartNumberingAfterBreak="0">
    <w:nsid w:val="2DAF4278"/>
    <w:multiLevelType w:val="hybridMultilevel"/>
    <w:tmpl w:val="7A7C67BE"/>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4" w15:restartNumberingAfterBreak="0">
    <w:nsid w:val="2DB108C6"/>
    <w:multiLevelType w:val="hybridMultilevel"/>
    <w:tmpl w:val="AC4EDD3A"/>
    <w:lvl w:ilvl="0" w:tplc="FFFFFFFF">
      <w:start w:val="1"/>
      <w:numFmt w:val="bullet"/>
      <w:lvlText w:val=""/>
      <w:lvlJc w:val="left"/>
      <w:pPr>
        <w:tabs>
          <w:tab w:val="num" w:pos="432"/>
        </w:tabs>
        <w:ind w:left="432" w:hanging="432"/>
      </w:pPr>
      <w:rPr>
        <w:rFonts w:ascii="Symbol" w:hAnsi="Symbol" w:hint="default"/>
        <w:color w:val="auto"/>
        <w:sz w:val="18"/>
        <w:szCs w:val="18"/>
      </w:rPr>
    </w:lvl>
    <w:lvl w:ilvl="1" w:tplc="04090003">
      <w:start w:val="1"/>
      <w:numFmt w:val="bullet"/>
      <w:lvlText w:val="o"/>
      <w:lvlJc w:val="left"/>
      <w:pPr>
        <w:tabs>
          <w:tab w:val="num" w:pos="1800"/>
        </w:tabs>
        <w:ind w:left="1800" w:hanging="360"/>
      </w:pPr>
      <w:rPr>
        <w:rFonts w:ascii="Courier New" w:hAnsi="Courier New" w:hint="default"/>
        <w:color w:val="auto"/>
        <w:sz w:val="22"/>
        <w:szCs w:val="22"/>
      </w:rPr>
    </w:lvl>
    <w:lvl w:ilvl="2" w:tplc="04090005">
      <w:start w:val="1"/>
      <w:numFmt w:val="bullet"/>
      <w:lvlText w:val=""/>
      <w:lvlJc w:val="left"/>
      <w:pPr>
        <w:tabs>
          <w:tab w:val="num" w:pos="1080"/>
        </w:tabs>
        <w:ind w:left="1080" w:hanging="360"/>
      </w:pPr>
      <w:rPr>
        <w:rFonts w:ascii="Wingdings" w:hAnsi="Wingdings" w:hint="default"/>
      </w:rPr>
    </w:lvl>
    <w:lvl w:ilvl="3" w:tplc="04090003">
      <w:start w:val="1"/>
      <w:numFmt w:val="bullet"/>
      <w:lvlText w:val="o"/>
      <w:lvlJc w:val="left"/>
      <w:pPr>
        <w:tabs>
          <w:tab w:val="num" w:pos="1800"/>
        </w:tabs>
        <w:ind w:left="1800" w:hanging="360"/>
      </w:pPr>
      <w:rPr>
        <w:rFonts w:ascii="Courier New" w:hAnsi="Courier New" w:cs="Courier New"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55" w15:restartNumberingAfterBreak="0">
    <w:nsid w:val="2DC945C3"/>
    <w:multiLevelType w:val="hybridMultilevel"/>
    <w:tmpl w:val="2BC6DA9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6" w15:restartNumberingAfterBreak="0">
    <w:nsid w:val="2DCD44E7"/>
    <w:multiLevelType w:val="hybridMultilevel"/>
    <w:tmpl w:val="1B8C48DA"/>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7" w15:restartNumberingAfterBreak="0">
    <w:nsid w:val="2DD160F9"/>
    <w:multiLevelType w:val="hybridMultilevel"/>
    <w:tmpl w:val="FF1C6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8" w15:restartNumberingAfterBreak="0">
    <w:nsid w:val="2DE308E8"/>
    <w:multiLevelType w:val="hybridMultilevel"/>
    <w:tmpl w:val="9CCCAF2A"/>
    <w:lvl w:ilvl="0" w:tplc="04090001">
      <w:start w:val="1"/>
      <w:numFmt w:val="bullet"/>
      <w:lvlText w:val=""/>
      <w:lvlJc w:val="left"/>
      <w:pPr>
        <w:tabs>
          <w:tab w:val="num" w:pos="792"/>
        </w:tabs>
        <w:ind w:left="792"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9" w15:restartNumberingAfterBreak="0">
    <w:nsid w:val="2DE31970"/>
    <w:multiLevelType w:val="hybridMultilevel"/>
    <w:tmpl w:val="039E1884"/>
    <w:lvl w:ilvl="0" w:tplc="04090001">
      <w:start w:val="1"/>
      <w:numFmt w:val="bullet"/>
      <w:lvlText w:val=""/>
      <w:lvlJc w:val="left"/>
      <w:pPr>
        <w:tabs>
          <w:tab w:val="num" w:pos="723"/>
        </w:tabs>
        <w:ind w:left="723" w:hanging="360"/>
      </w:pPr>
      <w:rPr>
        <w:rFonts w:ascii="Symbol" w:hAnsi="Symbol" w:hint="default"/>
      </w:rPr>
    </w:lvl>
    <w:lvl w:ilvl="1" w:tplc="04090003" w:tentative="1">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360" w15:restartNumberingAfterBreak="0">
    <w:nsid w:val="2DEA2AC3"/>
    <w:multiLevelType w:val="hybridMultilevel"/>
    <w:tmpl w:val="7770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2DEB4E69"/>
    <w:multiLevelType w:val="hybridMultilevel"/>
    <w:tmpl w:val="1778C14E"/>
    <w:lvl w:ilvl="0" w:tplc="04090001">
      <w:start w:val="1"/>
      <w:numFmt w:val="bullet"/>
      <w:lvlText w:val=""/>
      <w:lvlJc w:val="left"/>
      <w:pPr>
        <w:tabs>
          <w:tab w:val="num" w:pos="723"/>
        </w:tabs>
        <w:ind w:left="723"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2" w15:restartNumberingAfterBreak="0">
    <w:nsid w:val="2E06451F"/>
    <w:multiLevelType w:val="hybridMultilevel"/>
    <w:tmpl w:val="4AFAD33E"/>
    <w:lvl w:ilvl="0" w:tplc="A3FC7462">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800"/>
        </w:tabs>
        <w:ind w:left="1800" w:hanging="360"/>
      </w:pPr>
      <w:rPr>
        <w:rFonts w:hint="default"/>
        <w:b w:val="0"/>
        <w:i w:val="0"/>
        <w:sz w:val="22"/>
        <w:szCs w:val="22"/>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3" w15:restartNumberingAfterBreak="0">
    <w:nsid w:val="2E1B0C43"/>
    <w:multiLevelType w:val="hybridMultilevel"/>
    <w:tmpl w:val="49387A56"/>
    <w:lvl w:ilvl="0" w:tplc="AB5EAA02">
      <w:start w:val="1"/>
      <w:numFmt w:val="decimal"/>
      <w:lvlText w:val="%1."/>
      <w:lvlJc w:val="left"/>
      <w:pPr>
        <w:ind w:left="720" w:hanging="360"/>
      </w:pPr>
      <w:rPr>
        <w:rFonts w:ascii="Book Antiqua" w:eastAsia="Calibri" w:hAnsi="Book Antiqua" w:cs="Times New Roman"/>
        <w:sz w:val="24"/>
      </w:rPr>
    </w:lvl>
    <w:lvl w:ilvl="1" w:tplc="04090019">
      <w:start w:val="1"/>
      <w:numFmt w:val="lowerLetter"/>
      <w:lvlText w:val="%2."/>
      <w:lvlJc w:val="left"/>
      <w:pPr>
        <w:ind w:left="1440" w:hanging="360"/>
      </w:pPr>
    </w:lvl>
    <w:lvl w:ilvl="2" w:tplc="35EC064E">
      <w:start w:val="1"/>
      <w:numFmt w:val="decimal"/>
      <w:lvlText w:val="%3."/>
      <w:lvlJc w:val="left"/>
      <w:pPr>
        <w:ind w:left="2160" w:hanging="180"/>
      </w:pPr>
      <w:rPr>
        <w:rFonts w:ascii="Times New Roman" w:hAnsi="Times New Roman"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2E203009"/>
    <w:multiLevelType w:val="hybridMultilevel"/>
    <w:tmpl w:val="B3BA5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5" w15:restartNumberingAfterBreak="0">
    <w:nsid w:val="2E470E04"/>
    <w:multiLevelType w:val="hybridMultilevel"/>
    <w:tmpl w:val="B90A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2E5C478C"/>
    <w:multiLevelType w:val="hybridMultilevel"/>
    <w:tmpl w:val="F12EF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7" w15:restartNumberingAfterBreak="0">
    <w:nsid w:val="2E68127C"/>
    <w:multiLevelType w:val="hybridMultilevel"/>
    <w:tmpl w:val="9ACE79C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8" w15:restartNumberingAfterBreak="0">
    <w:nsid w:val="2E8A1C7A"/>
    <w:multiLevelType w:val="hybridMultilevel"/>
    <w:tmpl w:val="6AA818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9" w15:restartNumberingAfterBreak="0">
    <w:nsid w:val="2ED31DAF"/>
    <w:multiLevelType w:val="hybridMultilevel"/>
    <w:tmpl w:val="D8F4822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370" w15:restartNumberingAfterBreak="0">
    <w:nsid w:val="2EEE1A09"/>
    <w:multiLevelType w:val="hybridMultilevel"/>
    <w:tmpl w:val="CA781C7C"/>
    <w:lvl w:ilvl="0" w:tplc="04090001">
      <w:start w:val="1"/>
      <w:numFmt w:val="bullet"/>
      <w:lvlText w:val=""/>
      <w:lvlJc w:val="left"/>
      <w:pPr>
        <w:tabs>
          <w:tab w:val="num" w:pos="792"/>
        </w:tabs>
        <w:ind w:left="792" w:hanging="360"/>
      </w:pPr>
      <w:rPr>
        <w:rFonts w:ascii="Symbol" w:hAnsi="Symbol" w:hint="default"/>
      </w:rPr>
    </w:lvl>
    <w:lvl w:ilvl="1" w:tplc="1D780F58">
      <w:start w:val="1"/>
      <w:numFmt w:val="decimal"/>
      <w:lvlText w:val="%2."/>
      <w:lvlJc w:val="left"/>
      <w:pPr>
        <w:tabs>
          <w:tab w:val="num" w:pos="1512"/>
        </w:tabs>
        <w:ind w:left="1512" w:hanging="432"/>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1" w15:restartNumberingAfterBreak="0">
    <w:nsid w:val="2F3003E4"/>
    <w:multiLevelType w:val="hybridMultilevel"/>
    <w:tmpl w:val="CBF63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2" w15:restartNumberingAfterBreak="0">
    <w:nsid w:val="2F34214A"/>
    <w:multiLevelType w:val="hybridMultilevel"/>
    <w:tmpl w:val="79CAB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3" w15:restartNumberingAfterBreak="0">
    <w:nsid w:val="2F47715A"/>
    <w:multiLevelType w:val="hybridMultilevel"/>
    <w:tmpl w:val="3C0E7796"/>
    <w:lvl w:ilvl="0" w:tplc="04090001">
      <w:start w:val="1"/>
      <w:numFmt w:val="bullet"/>
      <w:lvlText w:val=""/>
      <w:lvlJc w:val="left"/>
      <w:pPr>
        <w:tabs>
          <w:tab w:val="num" w:pos="360"/>
        </w:tabs>
        <w:ind w:left="360" w:hanging="360"/>
      </w:pPr>
      <w:rPr>
        <w:rFonts w:ascii="Symbol" w:hAnsi="Symbol" w:hint="default"/>
      </w:rPr>
    </w:lvl>
    <w:lvl w:ilvl="1" w:tplc="E2E4E808">
      <w:start w:val="1"/>
      <w:numFmt w:val="decimal"/>
      <w:lvlText w:val="%2."/>
      <w:lvlJc w:val="left"/>
      <w:pPr>
        <w:tabs>
          <w:tab w:val="num" w:pos="1560"/>
        </w:tabs>
        <w:ind w:left="1560" w:hanging="36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74" w15:restartNumberingAfterBreak="0">
    <w:nsid w:val="2F6F789C"/>
    <w:multiLevelType w:val="hybridMultilevel"/>
    <w:tmpl w:val="70D4FE5E"/>
    <w:lvl w:ilvl="0" w:tplc="04090001">
      <w:start w:val="1"/>
      <w:numFmt w:val="bullet"/>
      <w:lvlText w:val=""/>
      <w:lvlJc w:val="left"/>
      <w:pPr>
        <w:tabs>
          <w:tab w:val="num" w:pos="720"/>
        </w:tabs>
        <w:ind w:left="720" w:hanging="360"/>
      </w:pPr>
      <w:rPr>
        <w:rFonts w:ascii="Symbol" w:hAnsi="Symbol" w:hint="default"/>
      </w:rPr>
    </w:lvl>
    <w:lvl w:ilvl="1" w:tplc="B1B28578">
      <w:numFmt w:val="bullet"/>
      <w:lvlText w:val="-"/>
      <w:lvlJc w:val="left"/>
      <w:pPr>
        <w:tabs>
          <w:tab w:val="num" w:pos="1080"/>
        </w:tabs>
        <w:ind w:left="1080" w:hanging="360"/>
      </w:pPr>
      <w:rPr>
        <w:rFonts w:ascii="Arial" w:eastAsia="Times New Roman" w:hAnsi="Arial" w:cs="Aria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5" w15:restartNumberingAfterBreak="0">
    <w:nsid w:val="2F9B7F06"/>
    <w:multiLevelType w:val="hybridMultilevel"/>
    <w:tmpl w:val="C708FA4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6" w15:restartNumberingAfterBreak="0">
    <w:nsid w:val="2FAB6F4A"/>
    <w:multiLevelType w:val="hybridMultilevel"/>
    <w:tmpl w:val="B89E3A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2FE809F0"/>
    <w:multiLevelType w:val="hybridMultilevel"/>
    <w:tmpl w:val="EDF8E246"/>
    <w:lvl w:ilvl="0" w:tplc="04090001">
      <w:start w:val="1"/>
      <w:numFmt w:val="bullet"/>
      <w:lvlText w:val=""/>
      <w:lvlJc w:val="left"/>
      <w:pPr>
        <w:tabs>
          <w:tab w:val="num" w:pos="720"/>
        </w:tabs>
        <w:ind w:left="720" w:hanging="360"/>
      </w:pPr>
      <w:rPr>
        <w:rFonts w:ascii="Symbol" w:hAnsi="Symbol" w:hint="default"/>
      </w:rPr>
    </w:lvl>
    <w:lvl w:ilvl="1" w:tplc="57D052D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8" w15:restartNumberingAfterBreak="0">
    <w:nsid w:val="2FF21CE0"/>
    <w:multiLevelType w:val="hybridMultilevel"/>
    <w:tmpl w:val="C534160E"/>
    <w:lvl w:ilvl="0" w:tplc="675E1AC8">
      <w:start w:val="1"/>
      <w:numFmt w:val="bullet"/>
      <w:lvlText w:val=""/>
      <w:lvlJc w:val="left"/>
      <w:pPr>
        <w:tabs>
          <w:tab w:val="num" w:pos="720"/>
        </w:tabs>
        <w:ind w:left="720" w:hanging="360"/>
      </w:pPr>
      <w:rPr>
        <w:rFonts w:ascii="Symbol" w:hAnsi="Symbo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9" w15:restartNumberingAfterBreak="0">
    <w:nsid w:val="303E76B6"/>
    <w:multiLevelType w:val="multilevel"/>
    <w:tmpl w:val="6B54F326"/>
    <w:lvl w:ilvl="0">
      <w:start w:val="1"/>
      <w:numFmt w:val="decimal"/>
      <w:lvlText w:val="%1."/>
      <w:lvlJc w:val="left"/>
      <w:pPr>
        <w:tabs>
          <w:tab w:val="num" w:pos="360"/>
        </w:tabs>
        <w:ind w:left="360" w:hanging="360"/>
      </w:pPr>
      <w:rPr>
        <w:rFonts w:hint="default"/>
      </w:rPr>
    </w:lvl>
    <w:lvl w:ilvl="1">
      <w:start w:val="5"/>
      <w:numFmt w:val="decimal"/>
      <w:isLgl/>
      <w:lvlText w:val="%1.%2"/>
      <w:lvlJc w:val="left"/>
      <w:pPr>
        <w:ind w:left="88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80" w15:restartNumberingAfterBreak="0">
    <w:nsid w:val="304A3730"/>
    <w:multiLevelType w:val="hybridMultilevel"/>
    <w:tmpl w:val="C8CCD3A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1" w15:restartNumberingAfterBreak="0">
    <w:nsid w:val="30706A2A"/>
    <w:multiLevelType w:val="multilevel"/>
    <w:tmpl w:val="4D18EE10"/>
    <w:lvl w:ilvl="0">
      <w:start w:val="1"/>
      <w:numFmt w:val="bullet"/>
      <w:lvlText w:val=""/>
      <w:lvlJc w:val="left"/>
      <w:pPr>
        <w:tabs>
          <w:tab w:val="num" w:pos="1080"/>
        </w:tabs>
        <w:ind w:left="1080" w:hanging="360"/>
      </w:pPr>
      <w:rPr>
        <w:rFonts w:ascii="Symbol" w:hAnsi="Symbol" w:hint="default"/>
        <w:b w:val="0"/>
        <w:i w:val="0"/>
      </w:rPr>
    </w:lvl>
    <w:lvl w:ilvl="1">
      <w:start w:val="4"/>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2" w15:restartNumberingAfterBreak="0">
    <w:nsid w:val="307F24DC"/>
    <w:multiLevelType w:val="singleLevel"/>
    <w:tmpl w:val="89D8B882"/>
    <w:lvl w:ilvl="0">
      <w:start w:val="1"/>
      <w:numFmt w:val="upperLetter"/>
      <w:lvlText w:val="%1."/>
      <w:lvlJc w:val="left"/>
      <w:pPr>
        <w:tabs>
          <w:tab w:val="num" w:pos="360"/>
        </w:tabs>
        <w:ind w:left="360" w:hanging="360"/>
      </w:pPr>
      <w:rPr>
        <w:rFonts w:hint="default"/>
      </w:rPr>
    </w:lvl>
  </w:abstractNum>
  <w:abstractNum w:abstractNumId="383" w15:restartNumberingAfterBreak="0">
    <w:nsid w:val="308E7558"/>
    <w:multiLevelType w:val="hybridMultilevel"/>
    <w:tmpl w:val="1728A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4" w15:restartNumberingAfterBreak="0">
    <w:nsid w:val="30C12066"/>
    <w:multiLevelType w:val="hybridMultilevel"/>
    <w:tmpl w:val="35F6791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5" w15:restartNumberingAfterBreak="0">
    <w:nsid w:val="30C7025E"/>
    <w:multiLevelType w:val="hybridMultilevel"/>
    <w:tmpl w:val="DF5A2002"/>
    <w:lvl w:ilvl="0" w:tplc="04090001">
      <w:start w:val="1"/>
      <w:numFmt w:val="bullet"/>
      <w:lvlText w:val=""/>
      <w:lvlJc w:val="left"/>
      <w:pPr>
        <w:tabs>
          <w:tab w:val="num" w:pos="668"/>
        </w:tabs>
        <w:ind w:left="668"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6" w15:restartNumberingAfterBreak="0">
    <w:nsid w:val="310E10E9"/>
    <w:multiLevelType w:val="hybridMultilevel"/>
    <w:tmpl w:val="FF00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7" w15:restartNumberingAfterBreak="0">
    <w:nsid w:val="315B38F9"/>
    <w:multiLevelType w:val="hybridMultilevel"/>
    <w:tmpl w:val="B56C9BEC"/>
    <w:lvl w:ilvl="0" w:tplc="1D780F58">
      <w:start w:val="1"/>
      <w:numFmt w:val="bullet"/>
      <w:lvlText w:val=""/>
      <w:lvlJc w:val="left"/>
      <w:pPr>
        <w:tabs>
          <w:tab w:val="num" w:pos="1800"/>
        </w:tabs>
        <w:ind w:left="1800" w:hanging="360"/>
      </w:pPr>
      <w:rPr>
        <w:rFonts w:ascii="Symbol" w:hAnsi="Symbol" w:hint="default"/>
      </w:rPr>
    </w:lvl>
    <w:lvl w:ilvl="1" w:tplc="04090019">
      <w:start w:val="1"/>
      <w:numFmt w:val="decimal"/>
      <w:lvlText w:val="%2."/>
      <w:lvlJc w:val="left"/>
      <w:pPr>
        <w:tabs>
          <w:tab w:val="num" w:pos="2520"/>
        </w:tabs>
        <w:ind w:left="2520" w:hanging="360"/>
      </w:p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88" w15:restartNumberingAfterBreak="0">
    <w:nsid w:val="319F5A07"/>
    <w:multiLevelType w:val="hybridMultilevel"/>
    <w:tmpl w:val="2E5CD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31A67CE0"/>
    <w:multiLevelType w:val="hybridMultilevel"/>
    <w:tmpl w:val="C798A0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0" w15:restartNumberingAfterBreak="0">
    <w:nsid w:val="31AA710A"/>
    <w:multiLevelType w:val="multilevel"/>
    <w:tmpl w:val="E920264C"/>
    <w:lvl w:ilvl="0">
      <w:start w:val="1"/>
      <w:numFmt w:val="bullet"/>
      <w:lvlText w:val=""/>
      <w:lvlJc w:val="left"/>
      <w:pPr>
        <w:tabs>
          <w:tab w:val="num" w:pos="864"/>
        </w:tabs>
        <w:ind w:left="864"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15:restartNumberingAfterBreak="0">
    <w:nsid w:val="320C29A0"/>
    <w:multiLevelType w:val="hybridMultilevel"/>
    <w:tmpl w:val="4BB4C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2" w15:restartNumberingAfterBreak="0">
    <w:nsid w:val="321A3C95"/>
    <w:multiLevelType w:val="hybridMultilevel"/>
    <w:tmpl w:val="A492E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3" w15:restartNumberingAfterBreak="0">
    <w:nsid w:val="322E5E1D"/>
    <w:multiLevelType w:val="hybridMultilevel"/>
    <w:tmpl w:val="9898AB9E"/>
    <w:lvl w:ilvl="0" w:tplc="04090001">
      <w:start w:val="1"/>
      <w:numFmt w:val="bullet"/>
      <w:lvlText w:val=""/>
      <w:lvlJc w:val="left"/>
      <w:pPr>
        <w:tabs>
          <w:tab w:val="num" w:pos="668"/>
        </w:tabs>
        <w:ind w:left="668" w:hanging="360"/>
      </w:pPr>
      <w:rPr>
        <w:rFonts w:ascii="Symbol" w:hAnsi="Symbol" w:hint="default"/>
      </w:rPr>
    </w:lvl>
    <w:lvl w:ilvl="1" w:tplc="5BD4709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4" w15:restartNumberingAfterBreak="0">
    <w:nsid w:val="323715D1"/>
    <w:multiLevelType w:val="hybridMultilevel"/>
    <w:tmpl w:val="55564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5" w15:restartNumberingAfterBreak="0">
    <w:nsid w:val="328263BB"/>
    <w:multiLevelType w:val="multilevel"/>
    <w:tmpl w:val="E920264C"/>
    <w:lvl w:ilvl="0">
      <w:start w:val="1"/>
      <w:numFmt w:val="bullet"/>
      <w:lvlText w:val=""/>
      <w:lvlJc w:val="left"/>
      <w:pPr>
        <w:tabs>
          <w:tab w:val="num" w:pos="864"/>
        </w:tabs>
        <w:ind w:left="864"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15:restartNumberingAfterBreak="0">
    <w:nsid w:val="32C55E3F"/>
    <w:multiLevelType w:val="hybridMultilevel"/>
    <w:tmpl w:val="CA3E5A30"/>
    <w:lvl w:ilvl="0" w:tplc="04090001">
      <w:start w:val="1"/>
      <w:numFmt w:val="bullet"/>
      <w:lvlText w:val=""/>
      <w:lvlJc w:val="left"/>
      <w:pPr>
        <w:tabs>
          <w:tab w:val="num" w:pos="612"/>
        </w:tabs>
        <w:ind w:left="612" w:hanging="360"/>
      </w:pPr>
      <w:rPr>
        <w:rFonts w:ascii="Symbol" w:hAnsi="Symbol" w:hint="default"/>
      </w:rPr>
    </w:lvl>
    <w:lvl w:ilvl="1" w:tplc="0409000F"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397" w15:restartNumberingAfterBreak="0">
    <w:nsid w:val="32E06661"/>
    <w:multiLevelType w:val="multilevel"/>
    <w:tmpl w:val="933E1E9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15:restartNumberingAfterBreak="0">
    <w:nsid w:val="32F64FF7"/>
    <w:multiLevelType w:val="hybridMultilevel"/>
    <w:tmpl w:val="0CD8F5C6"/>
    <w:lvl w:ilvl="0" w:tplc="215A008C">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9" w15:restartNumberingAfterBreak="0">
    <w:nsid w:val="33190FA4"/>
    <w:multiLevelType w:val="hybridMultilevel"/>
    <w:tmpl w:val="83D0425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0" w15:restartNumberingAfterBreak="0">
    <w:nsid w:val="3371361E"/>
    <w:multiLevelType w:val="hybridMultilevel"/>
    <w:tmpl w:val="48E869AC"/>
    <w:lvl w:ilvl="0" w:tplc="7C74D326">
      <w:start w:val="1"/>
      <w:numFmt w:val="lowerRoman"/>
      <w:lvlText w:val="%1."/>
      <w:lvlJc w:val="left"/>
      <w:pPr>
        <w:tabs>
          <w:tab w:val="num" w:pos="1008"/>
        </w:tabs>
        <w:ind w:left="1008" w:hanging="288"/>
      </w:pPr>
      <w:rPr>
        <w:rFonts w:ascii="Book Antiqua" w:hAnsi="Book Antiqua"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1" w15:restartNumberingAfterBreak="0">
    <w:nsid w:val="33A211E9"/>
    <w:multiLevelType w:val="hybridMultilevel"/>
    <w:tmpl w:val="AFA2452E"/>
    <w:lvl w:ilvl="0" w:tplc="04090001">
      <w:start w:val="1"/>
      <w:numFmt w:val="bullet"/>
      <w:lvlText w:val=""/>
      <w:lvlJc w:val="left"/>
      <w:pPr>
        <w:tabs>
          <w:tab w:val="num" w:pos="612"/>
        </w:tabs>
        <w:ind w:left="61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2" w15:restartNumberingAfterBreak="0">
    <w:nsid w:val="33AB5C0E"/>
    <w:multiLevelType w:val="hybridMultilevel"/>
    <w:tmpl w:val="EBA4B92A"/>
    <w:lvl w:ilvl="0" w:tplc="F9B88DC2">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3" w15:restartNumberingAfterBreak="0">
    <w:nsid w:val="33D404EC"/>
    <w:multiLevelType w:val="hybridMultilevel"/>
    <w:tmpl w:val="FE14E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4" w15:restartNumberingAfterBreak="0">
    <w:nsid w:val="33DB1B45"/>
    <w:multiLevelType w:val="hybridMultilevel"/>
    <w:tmpl w:val="B2CE3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5" w15:restartNumberingAfterBreak="0">
    <w:nsid w:val="34236CE0"/>
    <w:multiLevelType w:val="hybridMultilevel"/>
    <w:tmpl w:val="5CF6E5A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6" w15:restartNumberingAfterBreak="0">
    <w:nsid w:val="34490847"/>
    <w:multiLevelType w:val="hybridMultilevel"/>
    <w:tmpl w:val="9280A9A0"/>
    <w:lvl w:ilvl="0" w:tplc="04090001">
      <w:start w:val="1"/>
      <w:numFmt w:val="bullet"/>
      <w:lvlText w:val=""/>
      <w:lvlJc w:val="left"/>
      <w:pPr>
        <w:tabs>
          <w:tab w:val="num" w:pos="612"/>
        </w:tabs>
        <w:ind w:left="612"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7" w15:restartNumberingAfterBreak="0">
    <w:nsid w:val="3480503F"/>
    <w:multiLevelType w:val="hybridMultilevel"/>
    <w:tmpl w:val="92FC488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8" w15:restartNumberingAfterBreak="0">
    <w:nsid w:val="34AB36AB"/>
    <w:multiLevelType w:val="hybridMultilevel"/>
    <w:tmpl w:val="1D9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15:restartNumberingAfterBreak="0">
    <w:nsid w:val="34B65F96"/>
    <w:multiLevelType w:val="hybridMultilevel"/>
    <w:tmpl w:val="8364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34D04C5D"/>
    <w:multiLevelType w:val="multilevel"/>
    <w:tmpl w:val="727A5322"/>
    <w:styleLink w:val="StyleBulleted2"/>
    <w:lvl w:ilvl="0">
      <w:start w:val="1"/>
      <w:numFmt w:val="bullet"/>
      <w:lvlText w:val=""/>
      <w:lvlJc w:val="left"/>
      <w:pPr>
        <w:tabs>
          <w:tab w:val="num" w:pos="432"/>
        </w:tabs>
        <w:ind w:left="432" w:hanging="432"/>
      </w:pPr>
      <w:rPr>
        <w:rFonts w:ascii="Symbol" w:hAnsi="Symbol" w:hint="default"/>
        <w:color w:val="auto"/>
        <w:sz w:val="18"/>
        <w:szCs w:val="18"/>
      </w:rPr>
    </w:lvl>
    <w:lvl w:ilvl="1">
      <w:start w:val="1"/>
      <w:numFmt w:val="bullet"/>
      <w:lvlText w:val="o"/>
      <w:lvlJc w:val="left"/>
      <w:pPr>
        <w:tabs>
          <w:tab w:val="num" w:pos="1800"/>
        </w:tabs>
        <w:ind w:left="1800" w:hanging="360"/>
      </w:pPr>
      <w:rPr>
        <w:rFonts w:ascii="Courier New" w:hAnsi="Courier New"/>
        <w:spacing w:val="-3"/>
        <w:sz w:val="22"/>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11" w15:restartNumberingAfterBreak="0">
    <w:nsid w:val="34E045A9"/>
    <w:multiLevelType w:val="hybridMultilevel"/>
    <w:tmpl w:val="57E2FBA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2" w15:restartNumberingAfterBreak="0">
    <w:nsid w:val="35124432"/>
    <w:multiLevelType w:val="hybridMultilevel"/>
    <w:tmpl w:val="F85C7A9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3" w15:restartNumberingAfterBreak="0">
    <w:nsid w:val="351E7AB8"/>
    <w:multiLevelType w:val="hybridMultilevel"/>
    <w:tmpl w:val="CBFAD298"/>
    <w:lvl w:ilvl="0" w:tplc="6610FCA0">
      <w:start w:val="1"/>
      <w:numFmt w:val="decimal"/>
      <w:lvlText w:val="%1."/>
      <w:lvlJc w:val="left"/>
      <w:pPr>
        <w:ind w:left="720" w:hanging="360"/>
      </w:pPr>
      <w:rPr>
        <w:rFonts w:ascii="Calibri" w:hAnsi="Calibri" w:hint="default"/>
        <w:sz w:val="20"/>
      </w:rPr>
    </w:lvl>
    <w:lvl w:ilvl="1" w:tplc="AD38CCD2">
      <w:start w:val="1"/>
      <w:numFmt w:val="decimal"/>
      <w:lvlText w:val="%2."/>
      <w:lvlJc w:val="left"/>
      <w:pPr>
        <w:ind w:left="810" w:hanging="360"/>
      </w:pPr>
      <w:rPr>
        <w:rFonts w:ascii="Book Antiqua" w:hAnsi="Book Antiqua" w:hint="default"/>
        <w:b w:val="0"/>
        <w:color w:val="auto"/>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359E383E"/>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15" w15:restartNumberingAfterBreak="0">
    <w:nsid w:val="35BF0D14"/>
    <w:multiLevelType w:val="hybridMultilevel"/>
    <w:tmpl w:val="C4E2AEC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416" w15:restartNumberingAfterBreak="0">
    <w:nsid w:val="35E60497"/>
    <w:multiLevelType w:val="hybridMultilevel"/>
    <w:tmpl w:val="72B2B2E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7" w15:restartNumberingAfterBreak="0">
    <w:nsid w:val="360F0C20"/>
    <w:multiLevelType w:val="hybridMultilevel"/>
    <w:tmpl w:val="BE36D4D8"/>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8" w15:restartNumberingAfterBreak="0">
    <w:nsid w:val="362C7997"/>
    <w:multiLevelType w:val="hybridMultilevel"/>
    <w:tmpl w:val="CDEEBB2A"/>
    <w:lvl w:ilvl="0" w:tplc="AD38CCD2">
      <w:start w:val="1"/>
      <w:numFmt w:val="decimal"/>
      <w:lvlText w:val="%1."/>
      <w:lvlJc w:val="left"/>
      <w:pPr>
        <w:ind w:left="810" w:hanging="360"/>
      </w:pPr>
      <w:rPr>
        <w:rFonts w:ascii="Book Antiqua" w:hAnsi="Book Antiqua"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15:restartNumberingAfterBreak="0">
    <w:nsid w:val="36300876"/>
    <w:multiLevelType w:val="hybridMultilevel"/>
    <w:tmpl w:val="886AD536"/>
    <w:lvl w:ilvl="0" w:tplc="04090001">
      <w:start w:val="1"/>
      <w:numFmt w:val="bullet"/>
      <w:lvlText w:val=""/>
      <w:lvlJc w:val="left"/>
      <w:pPr>
        <w:tabs>
          <w:tab w:val="num" w:pos="792"/>
        </w:tabs>
        <w:ind w:left="792" w:hanging="360"/>
      </w:pPr>
      <w:rPr>
        <w:rFonts w:ascii="Symbol" w:hAnsi="Symbol" w:hint="default"/>
      </w:r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20" w15:restartNumberingAfterBreak="0">
    <w:nsid w:val="3633799C"/>
    <w:multiLevelType w:val="hybridMultilevel"/>
    <w:tmpl w:val="76807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1" w15:restartNumberingAfterBreak="0">
    <w:nsid w:val="36714AA5"/>
    <w:multiLevelType w:val="hybridMultilevel"/>
    <w:tmpl w:val="ACACC376"/>
    <w:lvl w:ilvl="0" w:tplc="93280CE8">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2" w15:restartNumberingAfterBreak="0">
    <w:nsid w:val="367C6D8F"/>
    <w:multiLevelType w:val="hybridMultilevel"/>
    <w:tmpl w:val="B4D49B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3" w15:restartNumberingAfterBreak="0">
    <w:nsid w:val="36B03D1E"/>
    <w:multiLevelType w:val="hybridMultilevel"/>
    <w:tmpl w:val="CA000944"/>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4" w15:restartNumberingAfterBreak="0">
    <w:nsid w:val="36E2437E"/>
    <w:multiLevelType w:val="hybridMultilevel"/>
    <w:tmpl w:val="BE009B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5" w15:restartNumberingAfterBreak="0">
    <w:nsid w:val="372305D3"/>
    <w:multiLevelType w:val="hybridMultilevel"/>
    <w:tmpl w:val="1338960A"/>
    <w:lvl w:ilvl="0" w:tplc="04090001">
      <w:start w:val="1"/>
      <w:numFmt w:val="bullet"/>
      <w:lvlText w:val=""/>
      <w:lvlJc w:val="left"/>
      <w:pPr>
        <w:tabs>
          <w:tab w:val="num" w:pos="720"/>
        </w:tabs>
        <w:ind w:left="720" w:hanging="360"/>
      </w:pPr>
      <w:rPr>
        <w:rFonts w:ascii="Symbol" w:hAnsi="Symbol" w:hint="default"/>
      </w:rPr>
    </w:lvl>
    <w:lvl w:ilvl="1" w:tplc="0409000F">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6" w15:restartNumberingAfterBreak="0">
    <w:nsid w:val="37296BB9"/>
    <w:multiLevelType w:val="hybridMultilevel"/>
    <w:tmpl w:val="CE5AD7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7" w15:restartNumberingAfterBreak="0">
    <w:nsid w:val="37447D65"/>
    <w:multiLevelType w:val="hybridMultilevel"/>
    <w:tmpl w:val="D37A7BD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8" w15:restartNumberingAfterBreak="0">
    <w:nsid w:val="376270FC"/>
    <w:multiLevelType w:val="hybridMultilevel"/>
    <w:tmpl w:val="921A56CA"/>
    <w:lvl w:ilvl="0" w:tplc="590C7EEE">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7643F00"/>
    <w:multiLevelType w:val="hybridMultilevel"/>
    <w:tmpl w:val="14A8F3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0" w15:restartNumberingAfterBreak="0">
    <w:nsid w:val="37D77F8F"/>
    <w:multiLevelType w:val="hybridMultilevel"/>
    <w:tmpl w:val="D57A5F26"/>
    <w:lvl w:ilvl="0" w:tplc="9AD66AF2">
      <w:start w:val="1"/>
      <w:numFmt w:val="decimal"/>
      <w:lvlText w:val="%1."/>
      <w:lvlJc w:val="left"/>
      <w:pPr>
        <w:tabs>
          <w:tab w:val="num" w:pos="432"/>
        </w:tabs>
        <w:ind w:left="432" w:hanging="432"/>
      </w:pPr>
      <w:rPr>
        <w:rFonts w:hint="default"/>
      </w:rPr>
    </w:lvl>
    <w:lvl w:ilvl="1" w:tplc="D9FC2024">
      <w:start w:val="1"/>
      <w:numFmt w:val="bullet"/>
      <w:lvlText w:val=""/>
      <w:lvlJc w:val="left"/>
      <w:pPr>
        <w:tabs>
          <w:tab w:val="num" w:pos="936"/>
        </w:tabs>
        <w:ind w:left="936" w:hanging="360"/>
      </w:pPr>
      <w:rPr>
        <w:rFonts w:ascii="Symbol" w:hAnsi="Symbol" w:hint="default"/>
        <w:sz w:val="24"/>
      </w:r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431" w15:restartNumberingAfterBreak="0">
    <w:nsid w:val="3805543E"/>
    <w:multiLevelType w:val="hybridMultilevel"/>
    <w:tmpl w:val="6FEEA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2" w15:restartNumberingAfterBreak="0">
    <w:nsid w:val="38321117"/>
    <w:multiLevelType w:val="hybridMultilevel"/>
    <w:tmpl w:val="9A08C6B2"/>
    <w:lvl w:ilvl="0" w:tplc="D9FC2024">
      <w:start w:val="1"/>
      <w:numFmt w:val="bullet"/>
      <w:lvlText w:val=""/>
      <w:lvlJc w:val="left"/>
      <w:pPr>
        <w:tabs>
          <w:tab w:val="num" w:pos="1440"/>
        </w:tabs>
        <w:ind w:left="144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3" w15:restartNumberingAfterBreak="0">
    <w:nsid w:val="383E55AD"/>
    <w:multiLevelType w:val="hybridMultilevel"/>
    <w:tmpl w:val="E39EB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15:restartNumberingAfterBreak="0">
    <w:nsid w:val="385A1D44"/>
    <w:multiLevelType w:val="hybridMultilevel"/>
    <w:tmpl w:val="EB1670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5" w15:restartNumberingAfterBreak="0">
    <w:nsid w:val="385D1007"/>
    <w:multiLevelType w:val="hybridMultilevel"/>
    <w:tmpl w:val="FC341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6" w15:restartNumberingAfterBreak="0">
    <w:nsid w:val="38704EA2"/>
    <w:multiLevelType w:val="hybridMultilevel"/>
    <w:tmpl w:val="B55659A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28"/>
        </w:tabs>
        <w:ind w:left="1428" w:hanging="360"/>
      </w:pPr>
    </w:lvl>
    <w:lvl w:ilvl="2" w:tplc="0409001B" w:tentative="1">
      <w:start w:val="1"/>
      <w:numFmt w:val="lowerRoman"/>
      <w:lvlText w:val="%3."/>
      <w:lvlJc w:val="right"/>
      <w:pPr>
        <w:tabs>
          <w:tab w:val="num" w:pos="2148"/>
        </w:tabs>
        <w:ind w:left="2148" w:hanging="180"/>
      </w:pPr>
    </w:lvl>
    <w:lvl w:ilvl="3" w:tplc="0409000F" w:tentative="1">
      <w:start w:val="1"/>
      <w:numFmt w:val="decimal"/>
      <w:lvlText w:val="%4."/>
      <w:lvlJc w:val="left"/>
      <w:pPr>
        <w:tabs>
          <w:tab w:val="num" w:pos="2868"/>
        </w:tabs>
        <w:ind w:left="2868" w:hanging="360"/>
      </w:pPr>
    </w:lvl>
    <w:lvl w:ilvl="4" w:tplc="04090019" w:tentative="1">
      <w:start w:val="1"/>
      <w:numFmt w:val="lowerLetter"/>
      <w:lvlText w:val="%5."/>
      <w:lvlJc w:val="left"/>
      <w:pPr>
        <w:tabs>
          <w:tab w:val="num" w:pos="3588"/>
        </w:tabs>
        <w:ind w:left="3588" w:hanging="360"/>
      </w:pPr>
    </w:lvl>
    <w:lvl w:ilvl="5" w:tplc="0409001B" w:tentative="1">
      <w:start w:val="1"/>
      <w:numFmt w:val="lowerRoman"/>
      <w:lvlText w:val="%6."/>
      <w:lvlJc w:val="right"/>
      <w:pPr>
        <w:tabs>
          <w:tab w:val="num" w:pos="4308"/>
        </w:tabs>
        <w:ind w:left="4308" w:hanging="180"/>
      </w:pPr>
    </w:lvl>
    <w:lvl w:ilvl="6" w:tplc="0409000F" w:tentative="1">
      <w:start w:val="1"/>
      <w:numFmt w:val="decimal"/>
      <w:lvlText w:val="%7."/>
      <w:lvlJc w:val="left"/>
      <w:pPr>
        <w:tabs>
          <w:tab w:val="num" w:pos="5028"/>
        </w:tabs>
        <w:ind w:left="5028" w:hanging="360"/>
      </w:pPr>
    </w:lvl>
    <w:lvl w:ilvl="7" w:tplc="04090019" w:tentative="1">
      <w:start w:val="1"/>
      <w:numFmt w:val="lowerLetter"/>
      <w:lvlText w:val="%8."/>
      <w:lvlJc w:val="left"/>
      <w:pPr>
        <w:tabs>
          <w:tab w:val="num" w:pos="5748"/>
        </w:tabs>
        <w:ind w:left="5748" w:hanging="360"/>
      </w:pPr>
    </w:lvl>
    <w:lvl w:ilvl="8" w:tplc="0409001B" w:tentative="1">
      <w:start w:val="1"/>
      <w:numFmt w:val="lowerRoman"/>
      <w:lvlText w:val="%9."/>
      <w:lvlJc w:val="right"/>
      <w:pPr>
        <w:tabs>
          <w:tab w:val="num" w:pos="6468"/>
        </w:tabs>
        <w:ind w:left="6468" w:hanging="180"/>
      </w:pPr>
    </w:lvl>
  </w:abstractNum>
  <w:abstractNum w:abstractNumId="437" w15:restartNumberingAfterBreak="0">
    <w:nsid w:val="38CC1E45"/>
    <w:multiLevelType w:val="hybridMultilevel"/>
    <w:tmpl w:val="DAF44B8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62"/>
        </w:tabs>
        <w:ind w:left="1462" w:hanging="360"/>
      </w:pPr>
    </w:lvl>
    <w:lvl w:ilvl="2" w:tplc="0409001B" w:tentative="1">
      <w:start w:val="1"/>
      <w:numFmt w:val="lowerRoman"/>
      <w:lvlText w:val="%3."/>
      <w:lvlJc w:val="right"/>
      <w:pPr>
        <w:tabs>
          <w:tab w:val="num" w:pos="2182"/>
        </w:tabs>
        <w:ind w:left="2182" w:hanging="180"/>
      </w:pPr>
    </w:lvl>
    <w:lvl w:ilvl="3" w:tplc="0409000F" w:tentative="1">
      <w:start w:val="1"/>
      <w:numFmt w:val="decimal"/>
      <w:lvlText w:val="%4."/>
      <w:lvlJc w:val="left"/>
      <w:pPr>
        <w:tabs>
          <w:tab w:val="num" w:pos="2902"/>
        </w:tabs>
        <w:ind w:left="2902" w:hanging="360"/>
      </w:pPr>
    </w:lvl>
    <w:lvl w:ilvl="4" w:tplc="04090019" w:tentative="1">
      <w:start w:val="1"/>
      <w:numFmt w:val="lowerLetter"/>
      <w:lvlText w:val="%5."/>
      <w:lvlJc w:val="left"/>
      <w:pPr>
        <w:tabs>
          <w:tab w:val="num" w:pos="3622"/>
        </w:tabs>
        <w:ind w:left="3622" w:hanging="360"/>
      </w:pPr>
    </w:lvl>
    <w:lvl w:ilvl="5" w:tplc="0409001B" w:tentative="1">
      <w:start w:val="1"/>
      <w:numFmt w:val="lowerRoman"/>
      <w:lvlText w:val="%6."/>
      <w:lvlJc w:val="right"/>
      <w:pPr>
        <w:tabs>
          <w:tab w:val="num" w:pos="4342"/>
        </w:tabs>
        <w:ind w:left="4342" w:hanging="180"/>
      </w:pPr>
    </w:lvl>
    <w:lvl w:ilvl="6" w:tplc="0409000F" w:tentative="1">
      <w:start w:val="1"/>
      <w:numFmt w:val="decimal"/>
      <w:lvlText w:val="%7."/>
      <w:lvlJc w:val="left"/>
      <w:pPr>
        <w:tabs>
          <w:tab w:val="num" w:pos="5062"/>
        </w:tabs>
        <w:ind w:left="5062" w:hanging="360"/>
      </w:pPr>
    </w:lvl>
    <w:lvl w:ilvl="7" w:tplc="04090019" w:tentative="1">
      <w:start w:val="1"/>
      <w:numFmt w:val="lowerLetter"/>
      <w:lvlText w:val="%8."/>
      <w:lvlJc w:val="left"/>
      <w:pPr>
        <w:tabs>
          <w:tab w:val="num" w:pos="5782"/>
        </w:tabs>
        <w:ind w:left="5782" w:hanging="360"/>
      </w:pPr>
    </w:lvl>
    <w:lvl w:ilvl="8" w:tplc="0409001B" w:tentative="1">
      <w:start w:val="1"/>
      <w:numFmt w:val="lowerRoman"/>
      <w:lvlText w:val="%9."/>
      <w:lvlJc w:val="right"/>
      <w:pPr>
        <w:tabs>
          <w:tab w:val="num" w:pos="6502"/>
        </w:tabs>
        <w:ind w:left="6502" w:hanging="180"/>
      </w:pPr>
    </w:lvl>
  </w:abstractNum>
  <w:abstractNum w:abstractNumId="438" w15:restartNumberingAfterBreak="0">
    <w:nsid w:val="38FD6F76"/>
    <w:multiLevelType w:val="hybridMultilevel"/>
    <w:tmpl w:val="C8CCCCE0"/>
    <w:lvl w:ilvl="0" w:tplc="04090001">
      <w:start w:val="1"/>
      <w:numFmt w:val="bullet"/>
      <w:lvlText w:val=""/>
      <w:lvlJc w:val="left"/>
      <w:pPr>
        <w:ind w:left="810" w:hanging="360"/>
      </w:pPr>
      <w:rPr>
        <w:rFonts w:ascii="Symbol" w:hAnsi="Symbol" w:hint="default"/>
        <w:b w:val="0"/>
        <w:color w:val="auto"/>
        <w:sz w:val="22"/>
        <w:szCs w:val="22"/>
      </w:rPr>
    </w:lvl>
    <w:lvl w:ilvl="1" w:tplc="5136E3E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15:restartNumberingAfterBreak="0">
    <w:nsid w:val="392B6ACE"/>
    <w:multiLevelType w:val="hybridMultilevel"/>
    <w:tmpl w:val="D9CE3E0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0" w15:restartNumberingAfterBreak="0">
    <w:nsid w:val="395370FD"/>
    <w:multiLevelType w:val="hybridMultilevel"/>
    <w:tmpl w:val="BBE029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1" w15:restartNumberingAfterBreak="0">
    <w:nsid w:val="3988446C"/>
    <w:multiLevelType w:val="hybridMultilevel"/>
    <w:tmpl w:val="3AA2D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2" w15:restartNumberingAfterBreak="0">
    <w:nsid w:val="39C446D8"/>
    <w:multiLevelType w:val="hybridMultilevel"/>
    <w:tmpl w:val="170EF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3" w15:restartNumberingAfterBreak="0">
    <w:nsid w:val="39C9100D"/>
    <w:multiLevelType w:val="hybridMultilevel"/>
    <w:tmpl w:val="CF3A9D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4" w15:restartNumberingAfterBreak="0">
    <w:nsid w:val="39FA6140"/>
    <w:multiLevelType w:val="hybridMultilevel"/>
    <w:tmpl w:val="29029B0A"/>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45" w15:restartNumberingAfterBreak="0">
    <w:nsid w:val="39FC3CA5"/>
    <w:multiLevelType w:val="hybridMultilevel"/>
    <w:tmpl w:val="70B699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6" w15:restartNumberingAfterBreak="0">
    <w:nsid w:val="39FF3C8E"/>
    <w:multiLevelType w:val="hybridMultilevel"/>
    <w:tmpl w:val="CD18C43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447" w15:restartNumberingAfterBreak="0">
    <w:nsid w:val="3A1032FE"/>
    <w:multiLevelType w:val="hybridMultilevel"/>
    <w:tmpl w:val="FE885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8" w15:restartNumberingAfterBreak="0">
    <w:nsid w:val="3A1D28F3"/>
    <w:multiLevelType w:val="hybridMultilevel"/>
    <w:tmpl w:val="4B6017C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9" w15:restartNumberingAfterBreak="0">
    <w:nsid w:val="3A447887"/>
    <w:multiLevelType w:val="hybridMultilevel"/>
    <w:tmpl w:val="1FA0ADF2"/>
    <w:lvl w:ilvl="0" w:tplc="04090001">
      <w:start w:val="1"/>
      <w:numFmt w:val="bullet"/>
      <w:lvlText w:val=""/>
      <w:lvlJc w:val="left"/>
      <w:pPr>
        <w:tabs>
          <w:tab w:val="num" w:pos="720"/>
        </w:tabs>
        <w:ind w:left="720" w:hanging="360"/>
      </w:pPr>
      <w:rPr>
        <w:rFonts w:ascii="Symbol" w:hAnsi="Symbol" w:hint="default"/>
      </w:rPr>
    </w:lvl>
    <w:lvl w:ilvl="1" w:tplc="E2E4E808">
      <w:start w:val="1"/>
      <w:numFmt w:val="decimal"/>
      <w:lvlText w:val="%2."/>
      <w:lvlJc w:val="left"/>
      <w:pPr>
        <w:tabs>
          <w:tab w:val="num" w:pos="1505"/>
        </w:tabs>
        <w:ind w:left="1505" w:hanging="360"/>
      </w:pPr>
      <w:rPr>
        <w:rFonts w:hint="default"/>
      </w:r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450" w15:restartNumberingAfterBreak="0">
    <w:nsid w:val="3A4C315D"/>
    <w:multiLevelType w:val="hybridMultilevel"/>
    <w:tmpl w:val="CD80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3A4E0D9C"/>
    <w:multiLevelType w:val="hybridMultilevel"/>
    <w:tmpl w:val="9F8C2C3E"/>
    <w:lvl w:ilvl="0" w:tplc="BF1C235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2" w15:restartNumberingAfterBreak="0">
    <w:nsid w:val="3A76760A"/>
    <w:multiLevelType w:val="hybridMultilevel"/>
    <w:tmpl w:val="5FE66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3" w15:restartNumberingAfterBreak="0">
    <w:nsid w:val="3A811722"/>
    <w:multiLevelType w:val="hybridMultilevel"/>
    <w:tmpl w:val="FC4CA55C"/>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4" w15:restartNumberingAfterBreak="0">
    <w:nsid w:val="3A8A7541"/>
    <w:multiLevelType w:val="hybridMultilevel"/>
    <w:tmpl w:val="38384558"/>
    <w:lvl w:ilvl="0" w:tplc="BF244624">
      <w:start w:val="1"/>
      <w:numFmt w:val="decimal"/>
      <w:lvlText w:val="%1."/>
      <w:lvlJc w:val="left"/>
      <w:pPr>
        <w:tabs>
          <w:tab w:val="num" w:pos="360"/>
        </w:tabs>
        <w:ind w:left="36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5" w15:restartNumberingAfterBreak="0">
    <w:nsid w:val="3AA05E6B"/>
    <w:multiLevelType w:val="hybridMultilevel"/>
    <w:tmpl w:val="086EA0EC"/>
    <w:lvl w:ilvl="0" w:tplc="F66C514E">
      <w:start w:val="1"/>
      <w:numFmt w:val="decimal"/>
      <w:pStyle w:val="StyleAfter6pt1"/>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6" w15:restartNumberingAfterBreak="0">
    <w:nsid w:val="3AAF03D0"/>
    <w:multiLevelType w:val="hybridMultilevel"/>
    <w:tmpl w:val="C37AD72C"/>
    <w:lvl w:ilvl="0" w:tplc="04090001">
      <w:start w:val="1"/>
      <w:numFmt w:val="bullet"/>
      <w:lvlText w:val=""/>
      <w:lvlJc w:val="left"/>
      <w:pPr>
        <w:tabs>
          <w:tab w:val="num" w:pos="612"/>
        </w:tabs>
        <w:ind w:left="612" w:hanging="360"/>
      </w:pPr>
      <w:rPr>
        <w:rFonts w:ascii="Symbol" w:hAnsi="Symbol" w:hint="default"/>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457" w15:restartNumberingAfterBreak="0">
    <w:nsid w:val="3AAF12BB"/>
    <w:multiLevelType w:val="hybridMultilevel"/>
    <w:tmpl w:val="ADA8A0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58" w15:restartNumberingAfterBreak="0">
    <w:nsid w:val="3B1F53B1"/>
    <w:multiLevelType w:val="hybridMultilevel"/>
    <w:tmpl w:val="DC1C9F2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9" w15:restartNumberingAfterBreak="0">
    <w:nsid w:val="3B8649B3"/>
    <w:multiLevelType w:val="hybridMultilevel"/>
    <w:tmpl w:val="5DF4D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0" w15:restartNumberingAfterBreak="0">
    <w:nsid w:val="3B8E69E9"/>
    <w:multiLevelType w:val="hybridMultilevel"/>
    <w:tmpl w:val="D47E62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1" w15:restartNumberingAfterBreak="0">
    <w:nsid w:val="3BA55649"/>
    <w:multiLevelType w:val="hybridMultilevel"/>
    <w:tmpl w:val="02BC5A7A"/>
    <w:lvl w:ilvl="0" w:tplc="8DEE797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2" w15:restartNumberingAfterBreak="0">
    <w:nsid w:val="3BCE09DB"/>
    <w:multiLevelType w:val="hybridMultilevel"/>
    <w:tmpl w:val="8F841E62"/>
    <w:lvl w:ilvl="0" w:tplc="0DBE8830">
      <w:start w:val="1"/>
      <w:numFmt w:val="bullet"/>
      <w:lvlText w:val=""/>
      <w:lvlJc w:val="left"/>
      <w:pPr>
        <w:tabs>
          <w:tab w:val="num" w:pos="720"/>
        </w:tabs>
        <w:ind w:left="720" w:hanging="360"/>
      </w:pPr>
      <w:rPr>
        <w:rFonts w:ascii="Symbol" w:hAnsi="Symbol" w:hint="default"/>
        <w:sz w:val="24"/>
      </w:rPr>
    </w:lvl>
    <w:lvl w:ilvl="1" w:tplc="E2E4E808">
      <w:start w:val="1"/>
      <w:numFmt w:val="decimal"/>
      <w:lvlText w:val="%2."/>
      <w:lvlJc w:val="left"/>
      <w:pPr>
        <w:tabs>
          <w:tab w:val="num" w:pos="1505"/>
        </w:tabs>
        <w:ind w:left="1505" w:hanging="360"/>
      </w:pPr>
      <w:rPr>
        <w:rFonts w:hint="default"/>
      </w:r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463" w15:restartNumberingAfterBreak="0">
    <w:nsid w:val="3BD94162"/>
    <w:multiLevelType w:val="hybridMultilevel"/>
    <w:tmpl w:val="3C864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4" w15:restartNumberingAfterBreak="0">
    <w:nsid w:val="3C34482E"/>
    <w:multiLevelType w:val="hybridMultilevel"/>
    <w:tmpl w:val="74EE3058"/>
    <w:lvl w:ilvl="0" w:tplc="09D0D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3C3F065E"/>
    <w:multiLevelType w:val="hybridMultilevel"/>
    <w:tmpl w:val="AE403E74"/>
    <w:lvl w:ilvl="0" w:tplc="7C74D326">
      <w:start w:val="1"/>
      <w:numFmt w:val="lowerRoman"/>
      <w:lvlText w:val="%1."/>
      <w:lvlJc w:val="left"/>
      <w:pPr>
        <w:tabs>
          <w:tab w:val="num" w:pos="1008"/>
        </w:tabs>
        <w:ind w:left="1008" w:hanging="288"/>
      </w:pPr>
      <w:rPr>
        <w:rFonts w:ascii="Book Antiqua" w:hAnsi="Book Antiqua"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6" w15:restartNumberingAfterBreak="0">
    <w:nsid w:val="3C862778"/>
    <w:multiLevelType w:val="hybridMultilevel"/>
    <w:tmpl w:val="C5B2E8B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67" w15:restartNumberingAfterBreak="0">
    <w:nsid w:val="3C8A4C56"/>
    <w:multiLevelType w:val="hybridMultilevel"/>
    <w:tmpl w:val="8C26F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8" w15:restartNumberingAfterBreak="0">
    <w:nsid w:val="3C9B52E1"/>
    <w:multiLevelType w:val="hybridMultilevel"/>
    <w:tmpl w:val="8DC4004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9" w15:restartNumberingAfterBreak="0">
    <w:nsid w:val="3CA65DE5"/>
    <w:multiLevelType w:val="hybridMultilevel"/>
    <w:tmpl w:val="A7887BC8"/>
    <w:lvl w:ilvl="0" w:tplc="04090001">
      <w:start w:val="1"/>
      <w:numFmt w:val="bullet"/>
      <w:lvlText w:val=""/>
      <w:lvlJc w:val="left"/>
      <w:pPr>
        <w:tabs>
          <w:tab w:val="num" w:pos="792"/>
        </w:tabs>
        <w:ind w:left="792" w:hanging="360"/>
      </w:pPr>
      <w:rPr>
        <w:rFonts w:ascii="Symbol" w:hAnsi="Symbol" w:hint="default"/>
      </w:rPr>
    </w:lvl>
    <w:lvl w:ilvl="1" w:tplc="D9FC2024"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0" w15:restartNumberingAfterBreak="0">
    <w:nsid w:val="3CAB351C"/>
    <w:multiLevelType w:val="multilevel"/>
    <w:tmpl w:val="3FE008E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15:restartNumberingAfterBreak="0">
    <w:nsid w:val="3D495F74"/>
    <w:multiLevelType w:val="hybridMultilevel"/>
    <w:tmpl w:val="2A962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2" w15:restartNumberingAfterBreak="0">
    <w:nsid w:val="3D4B1A59"/>
    <w:multiLevelType w:val="hybridMultilevel"/>
    <w:tmpl w:val="700E23F8"/>
    <w:lvl w:ilvl="0" w:tplc="7C74D326">
      <w:start w:val="1"/>
      <w:numFmt w:val="lowerRoman"/>
      <w:lvlText w:val="%1."/>
      <w:lvlJc w:val="left"/>
      <w:pPr>
        <w:tabs>
          <w:tab w:val="num" w:pos="1008"/>
        </w:tabs>
        <w:ind w:left="1008" w:hanging="288"/>
      </w:pPr>
      <w:rPr>
        <w:rFonts w:ascii="Book Antiqua" w:hAnsi="Book Antiqua" w:hint="default"/>
        <w:b w:val="0"/>
        <w:i w:val="0"/>
        <w:sz w:val="22"/>
        <w:szCs w:val="22"/>
      </w:rPr>
    </w:lvl>
    <w:lvl w:ilvl="1" w:tplc="94CE4DD8">
      <w:start w:val="1"/>
      <w:numFmt w:val="decimal"/>
      <w:lvlText w:val="%2."/>
      <w:lvlJc w:val="left"/>
      <w:pPr>
        <w:ind w:left="1440" w:hanging="360"/>
      </w:pPr>
      <w:rPr>
        <w:rFonts w:hint="default"/>
      </w:rPr>
    </w:lvl>
    <w:lvl w:ilvl="2" w:tplc="5652FDB2">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3" w15:restartNumberingAfterBreak="0">
    <w:nsid w:val="3D5F2C4F"/>
    <w:multiLevelType w:val="hybridMultilevel"/>
    <w:tmpl w:val="236EBB62"/>
    <w:lvl w:ilvl="0" w:tplc="04090001">
      <w:start w:val="1"/>
      <w:numFmt w:val="bullet"/>
      <w:lvlText w:val=""/>
      <w:lvlJc w:val="left"/>
      <w:pPr>
        <w:tabs>
          <w:tab w:val="num" w:pos="723"/>
        </w:tabs>
        <w:ind w:left="723"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4" w15:restartNumberingAfterBreak="0">
    <w:nsid w:val="3D826649"/>
    <w:multiLevelType w:val="hybridMultilevel"/>
    <w:tmpl w:val="54A8433A"/>
    <w:lvl w:ilvl="0" w:tplc="04090001">
      <w:start w:val="1"/>
      <w:numFmt w:val="bullet"/>
      <w:lvlText w:val=""/>
      <w:lvlJc w:val="left"/>
      <w:pPr>
        <w:tabs>
          <w:tab w:val="num" w:pos="792"/>
        </w:tabs>
        <w:ind w:left="792" w:hanging="360"/>
      </w:pPr>
      <w:rPr>
        <w:rFonts w:ascii="Symbol" w:hAnsi="Symbol" w:hint="default"/>
      </w:rPr>
    </w:lvl>
    <w:lvl w:ilvl="1" w:tplc="04090001">
      <w:start w:val="1"/>
      <w:numFmt w:val="bullet"/>
      <w:lvlText w:val=""/>
      <w:lvlJc w:val="left"/>
      <w:pPr>
        <w:tabs>
          <w:tab w:val="num" w:pos="1512"/>
        </w:tabs>
        <w:ind w:left="1512" w:hanging="360"/>
      </w:pPr>
      <w:rPr>
        <w:rFonts w:ascii="Symbol" w:hAnsi="Symbol"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75" w15:restartNumberingAfterBreak="0">
    <w:nsid w:val="3DA23D48"/>
    <w:multiLevelType w:val="hybridMultilevel"/>
    <w:tmpl w:val="528E6A1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76" w15:restartNumberingAfterBreak="0">
    <w:nsid w:val="3DAB07CF"/>
    <w:multiLevelType w:val="multilevel"/>
    <w:tmpl w:val="64521102"/>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7" w15:restartNumberingAfterBreak="0">
    <w:nsid w:val="3DB804BF"/>
    <w:multiLevelType w:val="multilevel"/>
    <w:tmpl w:val="9C90B0D8"/>
    <w:lvl w:ilvl="0">
      <w:start w:val="1"/>
      <w:numFmt w:val="decimal"/>
      <w:lvlText w:val="%1."/>
      <w:lvlJc w:val="left"/>
      <w:pPr>
        <w:tabs>
          <w:tab w:val="num" w:pos="1800"/>
        </w:tabs>
        <w:ind w:left="1800" w:hanging="360"/>
      </w:pPr>
      <w:rPr>
        <w:rFonts w:hint="default"/>
      </w:rPr>
    </w:lvl>
    <w:lvl w:ilvl="1">
      <w:start w:val="7"/>
      <w:numFmt w:val="decimal"/>
      <w:isLgl/>
      <w:lvlText w:val="%1.%2"/>
      <w:lvlJc w:val="left"/>
      <w:pPr>
        <w:ind w:left="2085" w:hanging="645"/>
      </w:pPr>
      <w:rPr>
        <w:rFonts w:hint="default"/>
      </w:rPr>
    </w:lvl>
    <w:lvl w:ilvl="2">
      <w:start w:val="10"/>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478" w15:restartNumberingAfterBreak="0">
    <w:nsid w:val="3DC4419B"/>
    <w:multiLevelType w:val="hybridMultilevel"/>
    <w:tmpl w:val="36BADCA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9" w15:restartNumberingAfterBreak="0">
    <w:nsid w:val="3DEF37D9"/>
    <w:multiLevelType w:val="hybridMultilevel"/>
    <w:tmpl w:val="875C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15:restartNumberingAfterBreak="0">
    <w:nsid w:val="3E481D5E"/>
    <w:multiLevelType w:val="hybridMultilevel"/>
    <w:tmpl w:val="26921E1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481" w15:restartNumberingAfterBreak="0">
    <w:nsid w:val="3E521262"/>
    <w:multiLevelType w:val="hybridMultilevel"/>
    <w:tmpl w:val="EE8E87B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2" w15:restartNumberingAfterBreak="0">
    <w:nsid w:val="3E85395C"/>
    <w:multiLevelType w:val="hybridMultilevel"/>
    <w:tmpl w:val="90B270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483" w15:restartNumberingAfterBreak="0">
    <w:nsid w:val="3E963A92"/>
    <w:multiLevelType w:val="hybridMultilevel"/>
    <w:tmpl w:val="7D4897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84" w15:restartNumberingAfterBreak="0">
    <w:nsid w:val="3EA45033"/>
    <w:multiLevelType w:val="hybridMultilevel"/>
    <w:tmpl w:val="05A27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5" w15:restartNumberingAfterBreak="0">
    <w:nsid w:val="3EB60304"/>
    <w:multiLevelType w:val="hybridMultilevel"/>
    <w:tmpl w:val="184C99D8"/>
    <w:lvl w:ilvl="0" w:tplc="AD38CCD2">
      <w:start w:val="1"/>
      <w:numFmt w:val="decimal"/>
      <w:lvlText w:val="%1."/>
      <w:lvlJc w:val="left"/>
      <w:pPr>
        <w:ind w:left="810" w:hanging="360"/>
      </w:pPr>
      <w:rPr>
        <w:rFonts w:ascii="Book Antiqua" w:hAnsi="Book Antiqua" w:hint="default"/>
        <w:b w:val="0"/>
        <w:color w:val="auto"/>
        <w:sz w:val="22"/>
        <w:szCs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15:restartNumberingAfterBreak="0">
    <w:nsid w:val="3EBE3F01"/>
    <w:multiLevelType w:val="hybridMultilevel"/>
    <w:tmpl w:val="E3B66D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487" w15:restartNumberingAfterBreak="0">
    <w:nsid w:val="3EC71EFB"/>
    <w:multiLevelType w:val="multilevel"/>
    <w:tmpl w:val="5D2A867A"/>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8" w15:restartNumberingAfterBreak="0">
    <w:nsid w:val="3EFE68DE"/>
    <w:multiLevelType w:val="hybridMultilevel"/>
    <w:tmpl w:val="A938696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9" w15:restartNumberingAfterBreak="0">
    <w:nsid w:val="3F5D0CF7"/>
    <w:multiLevelType w:val="hybridMultilevel"/>
    <w:tmpl w:val="3D649152"/>
    <w:lvl w:ilvl="0" w:tplc="04090001">
      <w:start w:val="1"/>
      <w:numFmt w:val="bullet"/>
      <w:lvlText w:val=""/>
      <w:lvlJc w:val="left"/>
      <w:pPr>
        <w:tabs>
          <w:tab w:val="num" w:pos="668"/>
        </w:tabs>
        <w:ind w:left="668"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0" w15:restartNumberingAfterBreak="0">
    <w:nsid w:val="3F5F50E8"/>
    <w:multiLevelType w:val="hybridMultilevel"/>
    <w:tmpl w:val="31E0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1" w15:restartNumberingAfterBreak="0">
    <w:nsid w:val="3F6B1D7C"/>
    <w:multiLevelType w:val="hybridMultilevel"/>
    <w:tmpl w:val="91BE99D0"/>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2" w15:restartNumberingAfterBreak="0">
    <w:nsid w:val="3F6B3288"/>
    <w:multiLevelType w:val="hybridMultilevel"/>
    <w:tmpl w:val="B512F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15:restartNumberingAfterBreak="0">
    <w:nsid w:val="3F7406B0"/>
    <w:multiLevelType w:val="hybridMultilevel"/>
    <w:tmpl w:val="5A6083C0"/>
    <w:lvl w:ilvl="0" w:tplc="04090019">
      <w:start w:val="1"/>
      <w:numFmt w:val="lowerLetter"/>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494" w15:restartNumberingAfterBreak="0">
    <w:nsid w:val="3F777BAE"/>
    <w:multiLevelType w:val="hybridMultilevel"/>
    <w:tmpl w:val="4C688B0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5" w15:restartNumberingAfterBreak="0">
    <w:nsid w:val="3FB952F0"/>
    <w:multiLevelType w:val="hybridMultilevel"/>
    <w:tmpl w:val="090A22D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6" w15:restartNumberingAfterBreak="0">
    <w:nsid w:val="3FBD6E31"/>
    <w:multiLevelType w:val="hybridMultilevel"/>
    <w:tmpl w:val="AFF28E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7" w15:restartNumberingAfterBreak="0">
    <w:nsid w:val="3FCC3442"/>
    <w:multiLevelType w:val="hybridMultilevel"/>
    <w:tmpl w:val="FC0C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15:restartNumberingAfterBreak="0">
    <w:nsid w:val="3FF55584"/>
    <w:multiLevelType w:val="hybridMultilevel"/>
    <w:tmpl w:val="CFFEC3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9" w15:restartNumberingAfterBreak="0">
    <w:nsid w:val="3FFC6838"/>
    <w:multiLevelType w:val="hybridMultilevel"/>
    <w:tmpl w:val="ECB2F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0" w15:restartNumberingAfterBreak="0">
    <w:nsid w:val="400A7387"/>
    <w:multiLevelType w:val="hybridMultilevel"/>
    <w:tmpl w:val="B974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1" w15:restartNumberingAfterBreak="0">
    <w:nsid w:val="40456817"/>
    <w:multiLevelType w:val="hybridMultilevel"/>
    <w:tmpl w:val="EFC60BF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02" w15:restartNumberingAfterBreak="0">
    <w:nsid w:val="40467418"/>
    <w:multiLevelType w:val="hybridMultilevel"/>
    <w:tmpl w:val="F9BAF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3" w15:restartNumberingAfterBreak="0">
    <w:nsid w:val="405374B1"/>
    <w:multiLevelType w:val="hybridMultilevel"/>
    <w:tmpl w:val="49826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4" w15:restartNumberingAfterBreak="0">
    <w:nsid w:val="40746FA6"/>
    <w:multiLevelType w:val="hybridMultilevel"/>
    <w:tmpl w:val="2960B8D0"/>
    <w:lvl w:ilvl="0" w:tplc="04090001">
      <w:start w:val="1"/>
      <w:numFmt w:val="bullet"/>
      <w:lvlText w:val=""/>
      <w:lvlJc w:val="left"/>
      <w:pPr>
        <w:tabs>
          <w:tab w:val="num" w:pos="468"/>
        </w:tabs>
        <w:ind w:left="468" w:hanging="360"/>
      </w:pPr>
      <w:rPr>
        <w:rFonts w:ascii="Symbol" w:hAnsi="Symbol" w:hint="default"/>
      </w:rPr>
    </w:lvl>
    <w:lvl w:ilvl="1" w:tplc="0409000F"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505" w15:restartNumberingAfterBreak="0">
    <w:nsid w:val="40CE6993"/>
    <w:multiLevelType w:val="hybridMultilevel"/>
    <w:tmpl w:val="0BF41076"/>
    <w:lvl w:ilvl="0" w:tplc="D3AAC07C">
      <w:start w:val="1"/>
      <w:numFmt w:val="bullet"/>
      <w:lvlText w:val=""/>
      <w:lvlJc w:val="left"/>
      <w:pPr>
        <w:tabs>
          <w:tab w:val="num" w:pos="720"/>
        </w:tabs>
        <w:ind w:left="720" w:hanging="360"/>
      </w:pPr>
      <w:rPr>
        <w:rFonts w:ascii="Symbol" w:hAnsi="Symbo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6" w15:restartNumberingAfterBreak="0">
    <w:nsid w:val="40E3734E"/>
    <w:multiLevelType w:val="hybridMultilevel"/>
    <w:tmpl w:val="9F80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15:restartNumberingAfterBreak="0">
    <w:nsid w:val="40E67EF2"/>
    <w:multiLevelType w:val="hybridMultilevel"/>
    <w:tmpl w:val="CFFEC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8" w15:restartNumberingAfterBreak="0">
    <w:nsid w:val="40F70455"/>
    <w:multiLevelType w:val="hybridMultilevel"/>
    <w:tmpl w:val="C550351E"/>
    <w:lvl w:ilvl="0" w:tplc="04090001">
      <w:start w:val="1"/>
      <w:numFmt w:val="bullet"/>
      <w:lvlText w:val=""/>
      <w:lvlJc w:val="left"/>
      <w:pPr>
        <w:tabs>
          <w:tab w:val="num" w:pos="723"/>
        </w:tabs>
        <w:ind w:left="723"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09" w15:restartNumberingAfterBreak="0">
    <w:nsid w:val="41021CF5"/>
    <w:multiLevelType w:val="hybridMultilevel"/>
    <w:tmpl w:val="59C8CE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0" w15:restartNumberingAfterBreak="0">
    <w:nsid w:val="410E7BA5"/>
    <w:multiLevelType w:val="hybridMultilevel"/>
    <w:tmpl w:val="9EA234E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11" w15:restartNumberingAfterBreak="0">
    <w:nsid w:val="41132C03"/>
    <w:multiLevelType w:val="hybridMultilevel"/>
    <w:tmpl w:val="DB5295F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2" w15:restartNumberingAfterBreak="0">
    <w:nsid w:val="412610D2"/>
    <w:multiLevelType w:val="hybridMultilevel"/>
    <w:tmpl w:val="EED4C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41800898"/>
    <w:multiLevelType w:val="hybridMultilevel"/>
    <w:tmpl w:val="9BB6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15:restartNumberingAfterBreak="0">
    <w:nsid w:val="418E2B65"/>
    <w:multiLevelType w:val="hybridMultilevel"/>
    <w:tmpl w:val="D8D6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5" w15:restartNumberingAfterBreak="0">
    <w:nsid w:val="41A5241E"/>
    <w:multiLevelType w:val="hybridMultilevel"/>
    <w:tmpl w:val="99BC60D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6" w15:restartNumberingAfterBreak="0">
    <w:nsid w:val="41B919BC"/>
    <w:multiLevelType w:val="hybridMultilevel"/>
    <w:tmpl w:val="29EEF738"/>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7" w15:restartNumberingAfterBreak="0">
    <w:nsid w:val="41C14746"/>
    <w:multiLevelType w:val="hybridMultilevel"/>
    <w:tmpl w:val="91947FA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8" w15:restartNumberingAfterBreak="0">
    <w:nsid w:val="41FB7294"/>
    <w:multiLevelType w:val="hybridMultilevel"/>
    <w:tmpl w:val="C78828C2"/>
    <w:lvl w:ilvl="0" w:tplc="E2E4E808">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9" w15:restartNumberingAfterBreak="0">
    <w:nsid w:val="4248154D"/>
    <w:multiLevelType w:val="hybridMultilevel"/>
    <w:tmpl w:val="C3448722"/>
    <w:lvl w:ilvl="0" w:tplc="04090001">
      <w:start w:val="1"/>
      <w:numFmt w:val="bullet"/>
      <w:lvlText w:val=""/>
      <w:lvlJc w:val="left"/>
      <w:pPr>
        <w:tabs>
          <w:tab w:val="num" w:pos="612"/>
        </w:tabs>
        <w:ind w:left="61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0" w15:restartNumberingAfterBreak="0">
    <w:nsid w:val="425F0413"/>
    <w:multiLevelType w:val="multilevel"/>
    <w:tmpl w:val="F21CC89E"/>
    <w:lvl w:ilvl="0">
      <w:start w:val="7"/>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21" w15:restartNumberingAfterBreak="0">
    <w:nsid w:val="42A20971"/>
    <w:multiLevelType w:val="hybridMultilevel"/>
    <w:tmpl w:val="A5543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2" w15:restartNumberingAfterBreak="0">
    <w:nsid w:val="42A32BFD"/>
    <w:multiLevelType w:val="hybridMultilevel"/>
    <w:tmpl w:val="8A82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15:restartNumberingAfterBreak="0">
    <w:nsid w:val="43154477"/>
    <w:multiLevelType w:val="hybridMultilevel"/>
    <w:tmpl w:val="8AE87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4" w15:restartNumberingAfterBreak="0">
    <w:nsid w:val="437C4162"/>
    <w:multiLevelType w:val="hybridMultilevel"/>
    <w:tmpl w:val="FFCCE3B6"/>
    <w:lvl w:ilvl="0" w:tplc="04090001">
      <w:start w:val="1"/>
      <w:numFmt w:val="bullet"/>
      <w:lvlText w:val=""/>
      <w:lvlJc w:val="left"/>
      <w:pPr>
        <w:tabs>
          <w:tab w:val="num" w:pos="360"/>
        </w:tabs>
        <w:ind w:left="360" w:hanging="360"/>
      </w:pPr>
      <w:rPr>
        <w:rFonts w:ascii="Symbol" w:hAnsi="Symbol" w:hint="default"/>
      </w:rPr>
    </w:lvl>
    <w:lvl w:ilvl="1" w:tplc="E2E4E808">
      <w:start w:val="1"/>
      <w:numFmt w:val="decimal"/>
      <w:lvlText w:val="%2."/>
      <w:lvlJc w:val="left"/>
      <w:pPr>
        <w:tabs>
          <w:tab w:val="num" w:pos="1560"/>
        </w:tabs>
        <w:ind w:left="1560" w:hanging="36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525" w15:restartNumberingAfterBreak="0">
    <w:nsid w:val="43F43234"/>
    <w:multiLevelType w:val="hybridMultilevel"/>
    <w:tmpl w:val="67D8364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6" w15:restartNumberingAfterBreak="0">
    <w:nsid w:val="43FB3E5F"/>
    <w:multiLevelType w:val="multilevel"/>
    <w:tmpl w:val="31D8731A"/>
    <w:lvl w:ilvl="0">
      <w:start w:val="1"/>
      <w:numFmt w:val="lowerLetter"/>
      <w:lvlText w:val="%1."/>
      <w:lvlJc w:val="left"/>
      <w:pPr>
        <w:tabs>
          <w:tab w:val="num" w:pos="720"/>
        </w:tabs>
        <w:ind w:left="720" w:hanging="360"/>
      </w:pPr>
    </w:lvl>
    <w:lvl w:ilvl="1">
      <w:start w:val="2"/>
      <w:numFmt w:val="decimal"/>
      <w:lvlText w:val="%2."/>
      <w:lvlJc w:val="left"/>
      <w:pPr>
        <w:tabs>
          <w:tab w:val="num" w:pos="936"/>
        </w:tabs>
        <w:ind w:left="936" w:hanging="432"/>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15:restartNumberingAfterBreak="0">
    <w:nsid w:val="43FF54C3"/>
    <w:multiLevelType w:val="hybridMultilevel"/>
    <w:tmpl w:val="F1749A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8" w15:restartNumberingAfterBreak="0">
    <w:nsid w:val="44360E37"/>
    <w:multiLevelType w:val="hybridMultilevel"/>
    <w:tmpl w:val="F0B864A4"/>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9" w15:restartNumberingAfterBreak="0">
    <w:nsid w:val="444132DE"/>
    <w:multiLevelType w:val="hybridMultilevel"/>
    <w:tmpl w:val="48F2CF0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530" w15:restartNumberingAfterBreak="0">
    <w:nsid w:val="44467866"/>
    <w:multiLevelType w:val="hybridMultilevel"/>
    <w:tmpl w:val="7480E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44925594"/>
    <w:multiLevelType w:val="hybridMultilevel"/>
    <w:tmpl w:val="95E61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2" w15:restartNumberingAfterBreak="0">
    <w:nsid w:val="449A0DBF"/>
    <w:multiLevelType w:val="hybridMultilevel"/>
    <w:tmpl w:val="1FA6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3" w15:restartNumberingAfterBreak="0">
    <w:nsid w:val="44CC100D"/>
    <w:multiLevelType w:val="hybridMultilevel"/>
    <w:tmpl w:val="975E7A4E"/>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4" w15:restartNumberingAfterBreak="0">
    <w:nsid w:val="44CC78A4"/>
    <w:multiLevelType w:val="hybridMultilevel"/>
    <w:tmpl w:val="631A6C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5" w15:restartNumberingAfterBreak="0">
    <w:nsid w:val="44DC6685"/>
    <w:multiLevelType w:val="hybridMultilevel"/>
    <w:tmpl w:val="6FF80A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6" w15:restartNumberingAfterBreak="0">
    <w:nsid w:val="44E538E2"/>
    <w:multiLevelType w:val="hybridMultilevel"/>
    <w:tmpl w:val="D29E7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7" w15:restartNumberingAfterBreak="0">
    <w:nsid w:val="45045D6C"/>
    <w:multiLevelType w:val="hybridMultilevel"/>
    <w:tmpl w:val="68BC92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38" w15:restartNumberingAfterBreak="0">
    <w:nsid w:val="450F1111"/>
    <w:multiLevelType w:val="hybridMultilevel"/>
    <w:tmpl w:val="DE92002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9" w15:restartNumberingAfterBreak="0">
    <w:nsid w:val="452F5A2B"/>
    <w:multiLevelType w:val="hybridMultilevel"/>
    <w:tmpl w:val="BCB4FAB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0" w15:restartNumberingAfterBreak="0">
    <w:nsid w:val="45807CA8"/>
    <w:multiLevelType w:val="hybridMultilevel"/>
    <w:tmpl w:val="FA1A4246"/>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1" w15:restartNumberingAfterBreak="0">
    <w:nsid w:val="45DB1482"/>
    <w:multiLevelType w:val="hybridMultilevel"/>
    <w:tmpl w:val="EB4EA326"/>
    <w:lvl w:ilvl="0" w:tplc="7C74D326">
      <w:start w:val="1"/>
      <w:numFmt w:val="lowerRoman"/>
      <w:lvlText w:val="%1."/>
      <w:lvlJc w:val="left"/>
      <w:pPr>
        <w:tabs>
          <w:tab w:val="num" w:pos="1008"/>
        </w:tabs>
        <w:ind w:left="1008" w:hanging="288"/>
      </w:pPr>
      <w:rPr>
        <w:rFonts w:ascii="Book Antiqua" w:hAnsi="Book Antiqua"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45DE23F2"/>
    <w:multiLevelType w:val="hybridMultilevel"/>
    <w:tmpl w:val="503677BC"/>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3" w15:restartNumberingAfterBreak="0">
    <w:nsid w:val="45E346A5"/>
    <w:multiLevelType w:val="hybridMultilevel"/>
    <w:tmpl w:val="FBD24C84"/>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4" w15:restartNumberingAfterBreak="0">
    <w:nsid w:val="45E40DC2"/>
    <w:multiLevelType w:val="multilevel"/>
    <w:tmpl w:val="41884946"/>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495" w:hanging="495"/>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45" w15:restartNumberingAfterBreak="0">
    <w:nsid w:val="46267175"/>
    <w:multiLevelType w:val="hybridMultilevel"/>
    <w:tmpl w:val="D19606B2"/>
    <w:lvl w:ilvl="0" w:tplc="94CE4DD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463B0CF3"/>
    <w:multiLevelType w:val="hybridMultilevel"/>
    <w:tmpl w:val="4280A3A8"/>
    <w:lvl w:ilvl="0" w:tplc="A60A5F72">
      <w:start w:val="1"/>
      <w:numFmt w:val="decimal"/>
      <w:lvlText w:val="%1."/>
      <w:lvlJc w:val="left"/>
      <w:pPr>
        <w:tabs>
          <w:tab w:val="num" w:pos="936"/>
        </w:tabs>
        <w:ind w:left="936" w:hanging="432"/>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7" w15:restartNumberingAfterBreak="0">
    <w:nsid w:val="465979FA"/>
    <w:multiLevelType w:val="hybridMultilevel"/>
    <w:tmpl w:val="6DA8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15:restartNumberingAfterBreak="0">
    <w:nsid w:val="468B7A00"/>
    <w:multiLevelType w:val="hybridMultilevel"/>
    <w:tmpl w:val="4A54F6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9" w15:restartNumberingAfterBreak="0">
    <w:nsid w:val="46944F75"/>
    <w:multiLevelType w:val="hybridMultilevel"/>
    <w:tmpl w:val="E30E351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50" w15:restartNumberingAfterBreak="0">
    <w:nsid w:val="469468B4"/>
    <w:multiLevelType w:val="hybridMultilevel"/>
    <w:tmpl w:val="14FE9266"/>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551" w15:restartNumberingAfterBreak="0">
    <w:nsid w:val="46C23F7D"/>
    <w:multiLevelType w:val="hybridMultilevel"/>
    <w:tmpl w:val="B7A0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47107FD5"/>
    <w:multiLevelType w:val="hybridMultilevel"/>
    <w:tmpl w:val="75D8526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3" w15:restartNumberingAfterBreak="0">
    <w:nsid w:val="474D0783"/>
    <w:multiLevelType w:val="hybridMultilevel"/>
    <w:tmpl w:val="4280A3A8"/>
    <w:lvl w:ilvl="0" w:tplc="A60A5F72">
      <w:start w:val="1"/>
      <w:numFmt w:val="decimal"/>
      <w:lvlText w:val="%1."/>
      <w:lvlJc w:val="left"/>
      <w:pPr>
        <w:tabs>
          <w:tab w:val="num" w:pos="936"/>
        </w:tabs>
        <w:ind w:left="936" w:hanging="432"/>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4" w15:restartNumberingAfterBreak="0">
    <w:nsid w:val="477B7BB6"/>
    <w:multiLevelType w:val="hybridMultilevel"/>
    <w:tmpl w:val="A6C4251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55" w15:restartNumberingAfterBreak="0">
    <w:nsid w:val="47B52DFA"/>
    <w:multiLevelType w:val="hybridMultilevel"/>
    <w:tmpl w:val="91EEBE8E"/>
    <w:lvl w:ilvl="0" w:tplc="04090001">
      <w:start w:val="1"/>
      <w:numFmt w:val="bullet"/>
      <w:lvlText w:val=""/>
      <w:lvlJc w:val="left"/>
      <w:pPr>
        <w:tabs>
          <w:tab w:val="num" w:pos="828"/>
        </w:tabs>
        <w:ind w:left="828" w:hanging="360"/>
      </w:pPr>
      <w:rPr>
        <w:rFonts w:ascii="Symbol" w:hAnsi="Symbol" w:hint="default"/>
      </w:rPr>
    </w:lvl>
    <w:lvl w:ilvl="1" w:tplc="04090003" w:tentative="1">
      <w:start w:val="1"/>
      <w:numFmt w:val="bullet"/>
      <w:lvlText w:val="o"/>
      <w:lvlJc w:val="left"/>
      <w:pPr>
        <w:tabs>
          <w:tab w:val="num" w:pos="1548"/>
        </w:tabs>
        <w:ind w:left="1548" w:hanging="360"/>
      </w:pPr>
      <w:rPr>
        <w:rFonts w:ascii="Courier New" w:hAnsi="Courier New" w:cs="Courier New" w:hint="default"/>
      </w:rPr>
    </w:lvl>
    <w:lvl w:ilvl="2" w:tplc="04090005" w:tentative="1">
      <w:start w:val="1"/>
      <w:numFmt w:val="bullet"/>
      <w:lvlText w:val=""/>
      <w:lvlJc w:val="left"/>
      <w:pPr>
        <w:tabs>
          <w:tab w:val="num" w:pos="2268"/>
        </w:tabs>
        <w:ind w:left="2268" w:hanging="360"/>
      </w:pPr>
      <w:rPr>
        <w:rFonts w:ascii="Wingdings" w:hAnsi="Wingdings" w:hint="default"/>
      </w:rPr>
    </w:lvl>
    <w:lvl w:ilvl="3" w:tplc="04090001" w:tentative="1">
      <w:start w:val="1"/>
      <w:numFmt w:val="bullet"/>
      <w:lvlText w:val=""/>
      <w:lvlJc w:val="left"/>
      <w:pPr>
        <w:tabs>
          <w:tab w:val="num" w:pos="2988"/>
        </w:tabs>
        <w:ind w:left="2988" w:hanging="360"/>
      </w:pPr>
      <w:rPr>
        <w:rFonts w:ascii="Symbol" w:hAnsi="Symbol" w:hint="default"/>
      </w:rPr>
    </w:lvl>
    <w:lvl w:ilvl="4" w:tplc="04090003" w:tentative="1">
      <w:start w:val="1"/>
      <w:numFmt w:val="bullet"/>
      <w:lvlText w:val="o"/>
      <w:lvlJc w:val="left"/>
      <w:pPr>
        <w:tabs>
          <w:tab w:val="num" w:pos="3708"/>
        </w:tabs>
        <w:ind w:left="3708" w:hanging="360"/>
      </w:pPr>
      <w:rPr>
        <w:rFonts w:ascii="Courier New" w:hAnsi="Courier New" w:cs="Courier New" w:hint="default"/>
      </w:rPr>
    </w:lvl>
    <w:lvl w:ilvl="5" w:tplc="04090005" w:tentative="1">
      <w:start w:val="1"/>
      <w:numFmt w:val="bullet"/>
      <w:lvlText w:val=""/>
      <w:lvlJc w:val="left"/>
      <w:pPr>
        <w:tabs>
          <w:tab w:val="num" w:pos="4428"/>
        </w:tabs>
        <w:ind w:left="4428" w:hanging="360"/>
      </w:pPr>
      <w:rPr>
        <w:rFonts w:ascii="Wingdings" w:hAnsi="Wingdings" w:hint="default"/>
      </w:rPr>
    </w:lvl>
    <w:lvl w:ilvl="6" w:tplc="04090001" w:tentative="1">
      <w:start w:val="1"/>
      <w:numFmt w:val="bullet"/>
      <w:lvlText w:val=""/>
      <w:lvlJc w:val="left"/>
      <w:pPr>
        <w:tabs>
          <w:tab w:val="num" w:pos="5148"/>
        </w:tabs>
        <w:ind w:left="5148" w:hanging="360"/>
      </w:pPr>
      <w:rPr>
        <w:rFonts w:ascii="Symbol" w:hAnsi="Symbol" w:hint="default"/>
      </w:rPr>
    </w:lvl>
    <w:lvl w:ilvl="7" w:tplc="04090003" w:tentative="1">
      <w:start w:val="1"/>
      <w:numFmt w:val="bullet"/>
      <w:lvlText w:val="o"/>
      <w:lvlJc w:val="left"/>
      <w:pPr>
        <w:tabs>
          <w:tab w:val="num" w:pos="5868"/>
        </w:tabs>
        <w:ind w:left="5868" w:hanging="360"/>
      </w:pPr>
      <w:rPr>
        <w:rFonts w:ascii="Courier New" w:hAnsi="Courier New" w:cs="Courier New" w:hint="default"/>
      </w:rPr>
    </w:lvl>
    <w:lvl w:ilvl="8" w:tplc="04090005" w:tentative="1">
      <w:start w:val="1"/>
      <w:numFmt w:val="bullet"/>
      <w:lvlText w:val=""/>
      <w:lvlJc w:val="left"/>
      <w:pPr>
        <w:tabs>
          <w:tab w:val="num" w:pos="6588"/>
        </w:tabs>
        <w:ind w:left="6588" w:hanging="360"/>
      </w:pPr>
      <w:rPr>
        <w:rFonts w:ascii="Wingdings" w:hAnsi="Wingdings" w:hint="default"/>
      </w:rPr>
    </w:lvl>
  </w:abstractNum>
  <w:abstractNum w:abstractNumId="556" w15:restartNumberingAfterBreak="0">
    <w:nsid w:val="47D73CC1"/>
    <w:multiLevelType w:val="hybridMultilevel"/>
    <w:tmpl w:val="5AA04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7" w15:restartNumberingAfterBreak="0">
    <w:nsid w:val="47E8450A"/>
    <w:multiLevelType w:val="hybridMultilevel"/>
    <w:tmpl w:val="9AEE4C6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58" w15:restartNumberingAfterBreak="0">
    <w:nsid w:val="47F134E5"/>
    <w:multiLevelType w:val="hybridMultilevel"/>
    <w:tmpl w:val="E99CA1F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3D94B9B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9" w15:restartNumberingAfterBreak="0">
    <w:nsid w:val="48286A01"/>
    <w:multiLevelType w:val="hybridMultilevel"/>
    <w:tmpl w:val="F6B4004E"/>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0" w15:restartNumberingAfterBreak="0">
    <w:nsid w:val="48580EFE"/>
    <w:multiLevelType w:val="hybridMultilevel"/>
    <w:tmpl w:val="9F4E1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1" w15:restartNumberingAfterBreak="0">
    <w:nsid w:val="487275EF"/>
    <w:multiLevelType w:val="hybridMultilevel"/>
    <w:tmpl w:val="C0C4A04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2" w15:restartNumberingAfterBreak="0">
    <w:nsid w:val="48854CC4"/>
    <w:multiLevelType w:val="hybridMultilevel"/>
    <w:tmpl w:val="8C36561E"/>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563" w15:restartNumberingAfterBreak="0">
    <w:nsid w:val="48940FEF"/>
    <w:multiLevelType w:val="hybridMultilevel"/>
    <w:tmpl w:val="E9A62C4C"/>
    <w:lvl w:ilvl="0" w:tplc="0409000F">
      <w:start w:val="1"/>
      <w:numFmt w:val="bullet"/>
      <w:lvlText w:val=""/>
      <w:lvlJc w:val="left"/>
      <w:pPr>
        <w:tabs>
          <w:tab w:val="num" w:pos="792"/>
        </w:tabs>
        <w:ind w:left="432" w:firstLine="0"/>
      </w:pPr>
      <w:rPr>
        <w:rFonts w:ascii="Symbol" w:hAnsi="Symbol" w:hint="default"/>
        <w:sz w:val="20"/>
      </w:rPr>
    </w:lvl>
    <w:lvl w:ilvl="1" w:tplc="04090001"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64" w15:restartNumberingAfterBreak="0">
    <w:nsid w:val="48970E97"/>
    <w:multiLevelType w:val="hybridMultilevel"/>
    <w:tmpl w:val="C998409E"/>
    <w:lvl w:ilvl="0" w:tplc="04090001">
      <w:start w:val="1"/>
      <w:numFmt w:val="bullet"/>
      <w:lvlText w:val=""/>
      <w:lvlJc w:val="left"/>
      <w:pPr>
        <w:tabs>
          <w:tab w:val="num" w:pos="799"/>
        </w:tabs>
        <w:ind w:left="799" w:hanging="360"/>
      </w:pPr>
      <w:rPr>
        <w:rFonts w:ascii="Symbol" w:hAnsi="Symbol" w:hint="default"/>
      </w:rPr>
    </w:lvl>
    <w:lvl w:ilvl="1" w:tplc="04090003" w:tentative="1">
      <w:start w:val="1"/>
      <w:numFmt w:val="bullet"/>
      <w:lvlText w:val="o"/>
      <w:lvlJc w:val="left"/>
      <w:pPr>
        <w:tabs>
          <w:tab w:val="num" w:pos="1519"/>
        </w:tabs>
        <w:ind w:left="1519" w:hanging="360"/>
      </w:pPr>
      <w:rPr>
        <w:rFonts w:ascii="Courier New" w:hAnsi="Courier New" w:cs="Courier New" w:hint="default"/>
      </w:rPr>
    </w:lvl>
    <w:lvl w:ilvl="2" w:tplc="04090005" w:tentative="1">
      <w:start w:val="1"/>
      <w:numFmt w:val="bullet"/>
      <w:lvlText w:val=""/>
      <w:lvlJc w:val="left"/>
      <w:pPr>
        <w:tabs>
          <w:tab w:val="num" w:pos="2239"/>
        </w:tabs>
        <w:ind w:left="2239" w:hanging="360"/>
      </w:pPr>
      <w:rPr>
        <w:rFonts w:ascii="Wingdings" w:hAnsi="Wingdings" w:hint="default"/>
      </w:rPr>
    </w:lvl>
    <w:lvl w:ilvl="3" w:tplc="04090001" w:tentative="1">
      <w:start w:val="1"/>
      <w:numFmt w:val="bullet"/>
      <w:lvlText w:val=""/>
      <w:lvlJc w:val="left"/>
      <w:pPr>
        <w:tabs>
          <w:tab w:val="num" w:pos="2959"/>
        </w:tabs>
        <w:ind w:left="2959" w:hanging="360"/>
      </w:pPr>
      <w:rPr>
        <w:rFonts w:ascii="Symbol" w:hAnsi="Symbol" w:hint="default"/>
      </w:rPr>
    </w:lvl>
    <w:lvl w:ilvl="4" w:tplc="04090003" w:tentative="1">
      <w:start w:val="1"/>
      <w:numFmt w:val="bullet"/>
      <w:lvlText w:val="o"/>
      <w:lvlJc w:val="left"/>
      <w:pPr>
        <w:tabs>
          <w:tab w:val="num" w:pos="3679"/>
        </w:tabs>
        <w:ind w:left="3679" w:hanging="360"/>
      </w:pPr>
      <w:rPr>
        <w:rFonts w:ascii="Courier New" w:hAnsi="Courier New" w:cs="Courier New" w:hint="default"/>
      </w:rPr>
    </w:lvl>
    <w:lvl w:ilvl="5" w:tplc="04090005" w:tentative="1">
      <w:start w:val="1"/>
      <w:numFmt w:val="bullet"/>
      <w:lvlText w:val=""/>
      <w:lvlJc w:val="left"/>
      <w:pPr>
        <w:tabs>
          <w:tab w:val="num" w:pos="4399"/>
        </w:tabs>
        <w:ind w:left="4399" w:hanging="360"/>
      </w:pPr>
      <w:rPr>
        <w:rFonts w:ascii="Wingdings" w:hAnsi="Wingdings" w:hint="default"/>
      </w:rPr>
    </w:lvl>
    <w:lvl w:ilvl="6" w:tplc="04090001" w:tentative="1">
      <w:start w:val="1"/>
      <w:numFmt w:val="bullet"/>
      <w:lvlText w:val=""/>
      <w:lvlJc w:val="left"/>
      <w:pPr>
        <w:tabs>
          <w:tab w:val="num" w:pos="5119"/>
        </w:tabs>
        <w:ind w:left="5119" w:hanging="360"/>
      </w:pPr>
      <w:rPr>
        <w:rFonts w:ascii="Symbol" w:hAnsi="Symbol" w:hint="default"/>
      </w:rPr>
    </w:lvl>
    <w:lvl w:ilvl="7" w:tplc="04090003" w:tentative="1">
      <w:start w:val="1"/>
      <w:numFmt w:val="bullet"/>
      <w:lvlText w:val="o"/>
      <w:lvlJc w:val="left"/>
      <w:pPr>
        <w:tabs>
          <w:tab w:val="num" w:pos="5839"/>
        </w:tabs>
        <w:ind w:left="5839" w:hanging="360"/>
      </w:pPr>
      <w:rPr>
        <w:rFonts w:ascii="Courier New" w:hAnsi="Courier New" w:cs="Courier New" w:hint="default"/>
      </w:rPr>
    </w:lvl>
    <w:lvl w:ilvl="8" w:tplc="04090005" w:tentative="1">
      <w:start w:val="1"/>
      <w:numFmt w:val="bullet"/>
      <w:lvlText w:val=""/>
      <w:lvlJc w:val="left"/>
      <w:pPr>
        <w:tabs>
          <w:tab w:val="num" w:pos="6559"/>
        </w:tabs>
        <w:ind w:left="6559" w:hanging="360"/>
      </w:pPr>
      <w:rPr>
        <w:rFonts w:ascii="Wingdings" w:hAnsi="Wingdings" w:hint="default"/>
      </w:rPr>
    </w:lvl>
  </w:abstractNum>
  <w:abstractNum w:abstractNumId="565" w15:restartNumberingAfterBreak="0">
    <w:nsid w:val="48A81F21"/>
    <w:multiLevelType w:val="hybridMultilevel"/>
    <w:tmpl w:val="E0E2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6" w15:restartNumberingAfterBreak="0">
    <w:nsid w:val="48B87E4B"/>
    <w:multiLevelType w:val="hybridMultilevel"/>
    <w:tmpl w:val="A5AE9A9C"/>
    <w:lvl w:ilvl="0" w:tplc="04090001">
      <w:start w:val="1"/>
      <w:numFmt w:val="bullet"/>
      <w:lvlText w:val=""/>
      <w:lvlJc w:val="left"/>
      <w:pPr>
        <w:tabs>
          <w:tab w:val="num" w:pos="468"/>
        </w:tabs>
        <w:ind w:left="468" w:hanging="360"/>
      </w:pPr>
      <w:rPr>
        <w:rFonts w:ascii="Symbol" w:hAnsi="Symbol" w:hint="default"/>
      </w:rPr>
    </w:lvl>
    <w:lvl w:ilvl="1" w:tplc="04090003" w:tentative="1">
      <w:start w:val="1"/>
      <w:numFmt w:val="bullet"/>
      <w:lvlText w:val="o"/>
      <w:lvlJc w:val="left"/>
      <w:pPr>
        <w:tabs>
          <w:tab w:val="num" w:pos="1188"/>
        </w:tabs>
        <w:ind w:left="1188" w:hanging="360"/>
      </w:pPr>
      <w:rPr>
        <w:rFonts w:ascii="Courier New" w:hAnsi="Courier New" w:cs="Courier New" w:hint="default"/>
      </w:rPr>
    </w:lvl>
    <w:lvl w:ilvl="2" w:tplc="04090005" w:tentative="1">
      <w:start w:val="1"/>
      <w:numFmt w:val="bullet"/>
      <w:lvlText w:val=""/>
      <w:lvlJc w:val="left"/>
      <w:pPr>
        <w:tabs>
          <w:tab w:val="num" w:pos="1908"/>
        </w:tabs>
        <w:ind w:left="1908" w:hanging="360"/>
      </w:pPr>
      <w:rPr>
        <w:rFonts w:ascii="Wingdings" w:hAnsi="Wingdings" w:hint="default"/>
      </w:rPr>
    </w:lvl>
    <w:lvl w:ilvl="3" w:tplc="04090001" w:tentative="1">
      <w:start w:val="1"/>
      <w:numFmt w:val="bullet"/>
      <w:lvlText w:val=""/>
      <w:lvlJc w:val="left"/>
      <w:pPr>
        <w:tabs>
          <w:tab w:val="num" w:pos="2628"/>
        </w:tabs>
        <w:ind w:left="2628" w:hanging="360"/>
      </w:pPr>
      <w:rPr>
        <w:rFonts w:ascii="Symbol" w:hAnsi="Symbol" w:hint="default"/>
      </w:rPr>
    </w:lvl>
    <w:lvl w:ilvl="4" w:tplc="04090003" w:tentative="1">
      <w:start w:val="1"/>
      <w:numFmt w:val="bullet"/>
      <w:lvlText w:val="o"/>
      <w:lvlJc w:val="left"/>
      <w:pPr>
        <w:tabs>
          <w:tab w:val="num" w:pos="3348"/>
        </w:tabs>
        <w:ind w:left="3348" w:hanging="360"/>
      </w:pPr>
      <w:rPr>
        <w:rFonts w:ascii="Courier New" w:hAnsi="Courier New" w:cs="Courier New" w:hint="default"/>
      </w:rPr>
    </w:lvl>
    <w:lvl w:ilvl="5" w:tplc="04090005" w:tentative="1">
      <w:start w:val="1"/>
      <w:numFmt w:val="bullet"/>
      <w:lvlText w:val=""/>
      <w:lvlJc w:val="left"/>
      <w:pPr>
        <w:tabs>
          <w:tab w:val="num" w:pos="4068"/>
        </w:tabs>
        <w:ind w:left="4068" w:hanging="360"/>
      </w:pPr>
      <w:rPr>
        <w:rFonts w:ascii="Wingdings" w:hAnsi="Wingdings" w:hint="default"/>
      </w:rPr>
    </w:lvl>
    <w:lvl w:ilvl="6" w:tplc="04090001" w:tentative="1">
      <w:start w:val="1"/>
      <w:numFmt w:val="bullet"/>
      <w:lvlText w:val=""/>
      <w:lvlJc w:val="left"/>
      <w:pPr>
        <w:tabs>
          <w:tab w:val="num" w:pos="4788"/>
        </w:tabs>
        <w:ind w:left="4788" w:hanging="360"/>
      </w:pPr>
      <w:rPr>
        <w:rFonts w:ascii="Symbol" w:hAnsi="Symbol" w:hint="default"/>
      </w:rPr>
    </w:lvl>
    <w:lvl w:ilvl="7" w:tplc="04090003" w:tentative="1">
      <w:start w:val="1"/>
      <w:numFmt w:val="bullet"/>
      <w:lvlText w:val="o"/>
      <w:lvlJc w:val="left"/>
      <w:pPr>
        <w:tabs>
          <w:tab w:val="num" w:pos="5508"/>
        </w:tabs>
        <w:ind w:left="5508" w:hanging="360"/>
      </w:pPr>
      <w:rPr>
        <w:rFonts w:ascii="Courier New" w:hAnsi="Courier New" w:cs="Courier New" w:hint="default"/>
      </w:rPr>
    </w:lvl>
    <w:lvl w:ilvl="8" w:tplc="04090005" w:tentative="1">
      <w:start w:val="1"/>
      <w:numFmt w:val="bullet"/>
      <w:lvlText w:val=""/>
      <w:lvlJc w:val="left"/>
      <w:pPr>
        <w:tabs>
          <w:tab w:val="num" w:pos="6228"/>
        </w:tabs>
        <w:ind w:left="6228" w:hanging="360"/>
      </w:pPr>
      <w:rPr>
        <w:rFonts w:ascii="Wingdings" w:hAnsi="Wingdings" w:hint="default"/>
      </w:rPr>
    </w:lvl>
  </w:abstractNum>
  <w:abstractNum w:abstractNumId="567" w15:restartNumberingAfterBreak="0">
    <w:nsid w:val="48FE0B2F"/>
    <w:multiLevelType w:val="hybridMultilevel"/>
    <w:tmpl w:val="17FED0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496A1927"/>
    <w:multiLevelType w:val="hybridMultilevel"/>
    <w:tmpl w:val="6BC85182"/>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4972678E"/>
    <w:multiLevelType w:val="hybridMultilevel"/>
    <w:tmpl w:val="07745286"/>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0" w15:restartNumberingAfterBreak="0">
    <w:nsid w:val="49737D04"/>
    <w:multiLevelType w:val="hybridMultilevel"/>
    <w:tmpl w:val="D94021E4"/>
    <w:lvl w:ilvl="0" w:tplc="590C7EEE">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71" w15:restartNumberingAfterBreak="0">
    <w:nsid w:val="49894AD0"/>
    <w:multiLevelType w:val="multilevel"/>
    <w:tmpl w:val="CD049356"/>
    <w:lvl w:ilvl="0">
      <w:start w:val="1"/>
      <w:numFmt w:val="decimal"/>
      <w:lvlText w:val="%1."/>
      <w:lvlJc w:val="left"/>
      <w:pPr>
        <w:tabs>
          <w:tab w:val="num" w:pos="720"/>
        </w:tabs>
        <w:ind w:left="720" w:hanging="360"/>
      </w:pPr>
      <w:rPr>
        <w:rFonts w:hint="default"/>
        <w:b w:val="0"/>
        <w:i w:val="0"/>
      </w:rPr>
    </w:lvl>
    <w:lvl w:ilvl="1">
      <w:start w:val="4"/>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2" w15:restartNumberingAfterBreak="0">
    <w:nsid w:val="498F44AB"/>
    <w:multiLevelType w:val="hybridMultilevel"/>
    <w:tmpl w:val="22A6A206"/>
    <w:lvl w:ilvl="0" w:tplc="04090017">
      <w:start w:val="1"/>
      <w:numFmt w:val="lowerLetter"/>
      <w:lvlText w:val="%1)"/>
      <w:lvlJc w:val="left"/>
      <w:pPr>
        <w:ind w:left="1080" w:hanging="360"/>
      </w:pPr>
    </w:lvl>
    <w:lvl w:ilvl="1" w:tplc="04090019">
      <w:start w:val="1"/>
      <w:numFmt w:val="lowerLetter"/>
      <w:lvlText w:val="%2."/>
      <w:lvlJc w:val="left"/>
      <w:pPr>
        <w:ind w:left="37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3" w15:restartNumberingAfterBreak="0">
    <w:nsid w:val="49A0392C"/>
    <w:multiLevelType w:val="hybridMultilevel"/>
    <w:tmpl w:val="9754F3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4" w15:restartNumberingAfterBreak="0">
    <w:nsid w:val="49B6076D"/>
    <w:multiLevelType w:val="hybridMultilevel"/>
    <w:tmpl w:val="3FE008E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5" w15:restartNumberingAfterBreak="0">
    <w:nsid w:val="49BE34BC"/>
    <w:multiLevelType w:val="hybridMultilevel"/>
    <w:tmpl w:val="BFFA773A"/>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6" w15:restartNumberingAfterBreak="0">
    <w:nsid w:val="49C72CD8"/>
    <w:multiLevelType w:val="hybridMultilevel"/>
    <w:tmpl w:val="1E866FFA"/>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7" w15:restartNumberingAfterBreak="0">
    <w:nsid w:val="49D361EC"/>
    <w:multiLevelType w:val="hybridMultilevel"/>
    <w:tmpl w:val="B48020B4"/>
    <w:lvl w:ilvl="0" w:tplc="04090001">
      <w:start w:val="1"/>
      <w:numFmt w:val="bullet"/>
      <w:lvlText w:val=""/>
      <w:lvlJc w:val="left"/>
      <w:pPr>
        <w:tabs>
          <w:tab w:val="num" w:pos="668"/>
        </w:tabs>
        <w:ind w:left="668"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8" w15:restartNumberingAfterBreak="0">
    <w:nsid w:val="4A1C5709"/>
    <w:multiLevelType w:val="hybridMultilevel"/>
    <w:tmpl w:val="5BB8F636"/>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9" w15:restartNumberingAfterBreak="0">
    <w:nsid w:val="4A2A68DA"/>
    <w:multiLevelType w:val="hybridMultilevel"/>
    <w:tmpl w:val="8B3E711E"/>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0" w15:restartNumberingAfterBreak="0">
    <w:nsid w:val="4A335ADB"/>
    <w:multiLevelType w:val="hybridMultilevel"/>
    <w:tmpl w:val="B23AF7AE"/>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1" w15:restartNumberingAfterBreak="0">
    <w:nsid w:val="4A3F1612"/>
    <w:multiLevelType w:val="hybridMultilevel"/>
    <w:tmpl w:val="A84C096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2" w15:restartNumberingAfterBreak="0">
    <w:nsid w:val="4A456E9F"/>
    <w:multiLevelType w:val="hybridMultilevel"/>
    <w:tmpl w:val="115A2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3" w15:restartNumberingAfterBreak="0">
    <w:nsid w:val="4A822B7D"/>
    <w:multiLevelType w:val="hybridMultilevel"/>
    <w:tmpl w:val="A44EB304"/>
    <w:lvl w:ilvl="0" w:tplc="BF244624">
      <w:start w:val="1"/>
      <w:numFmt w:val="decimal"/>
      <w:lvlText w:val="%1."/>
      <w:lvlJc w:val="left"/>
      <w:pPr>
        <w:tabs>
          <w:tab w:val="num" w:pos="540"/>
        </w:tabs>
        <w:ind w:left="54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4" w15:restartNumberingAfterBreak="0">
    <w:nsid w:val="4A94452D"/>
    <w:multiLevelType w:val="hybridMultilevel"/>
    <w:tmpl w:val="324AC32E"/>
    <w:lvl w:ilvl="0" w:tplc="04090001">
      <w:start w:val="1"/>
      <w:numFmt w:val="bullet"/>
      <w:lvlText w:val=""/>
      <w:lvlJc w:val="left"/>
      <w:pPr>
        <w:tabs>
          <w:tab w:val="num" w:pos="720"/>
        </w:tabs>
        <w:ind w:left="720" w:hanging="360"/>
      </w:pPr>
      <w:rPr>
        <w:rFonts w:ascii="Symbol" w:hAnsi="Symbol" w:hint="default"/>
      </w:rPr>
    </w:lvl>
    <w:lvl w:ilvl="1" w:tplc="04090001">
      <w:start w:val="1"/>
      <w:numFmt w:val="decimal"/>
      <w:lvlText w:val="%2."/>
      <w:lvlJc w:val="left"/>
      <w:pPr>
        <w:tabs>
          <w:tab w:val="num" w:pos="1152"/>
        </w:tabs>
        <w:ind w:left="1152" w:hanging="432"/>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5" w15:restartNumberingAfterBreak="0">
    <w:nsid w:val="4ABA7744"/>
    <w:multiLevelType w:val="hybridMultilevel"/>
    <w:tmpl w:val="6CD25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6" w15:restartNumberingAfterBreak="0">
    <w:nsid w:val="4AD05525"/>
    <w:multiLevelType w:val="hybridMultilevel"/>
    <w:tmpl w:val="5FC0B480"/>
    <w:lvl w:ilvl="0" w:tplc="04090001">
      <w:start w:val="1"/>
      <w:numFmt w:val="bullet"/>
      <w:lvlText w:val=""/>
      <w:lvlJc w:val="left"/>
      <w:pPr>
        <w:tabs>
          <w:tab w:val="num" w:pos="468"/>
        </w:tabs>
        <w:ind w:left="468" w:hanging="360"/>
      </w:pPr>
      <w:rPr>
        <w:rFonts w:ascii="Symbol" w:hAnsi="Symbol" w:hint="default"/>
      </w:rPr>
    </w:lvl>
    <w:lvl w:ilvl="1" w:tplc="04090019">
      <w:start w:val="1"/>
      <w:numFmt w:val="decimal"/>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587" w15:restartNumberingAfterBreak="0">
    <w:nsid w:val="4AF96D5D"/>
    <w:multiLevelType w:val="hybridMultilevel"/>
    <w:tmpl w:val="A096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8" w15:restartNumberingAfterBreak="0">
    <w:nsid w:val="4B0F5429"/>
    <w:multiLevelType w:val="hybridMultilevel"/>
    <w:tmpl w:val="EEE462F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9" w15:restartNumberingAfterBreak="0">
    <w:nsid w:val="4B3C060A"/>
    <w:multiLevelType w:val="hybridMultilevel"/>
    <w:tmpl w:val="A21A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0" w15:restartNumberingAfterBreak="0">
    <w:nsid w:val="4B3D2182"/>
    <w:multiLevelType w:val="hybridMultilevel"/>
    <w:tmpl w:val="59AEEA9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91" w15:restartNumberingAfterBreak="0">
    <w:nsid w:val="4B4F5F62"/>
    <w:multiLevelType w:val="hybridMultilevel"/>
    <w:tmpl w:val="F1C4B10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2" w15:restartNumberingAfterBreak="0">
    <w:nsid w:val="4B507AD0"/>
    <w:multiLevelType w:val="hybridMultilevel"/>
    <w:tmpl w:val="A7641D5E"/>
    <w:lvl w:ilvl="0" w:tplc="04090001">
      <w:start w:val="1"/>
      <w:numFmt w:val="bullet"/>
      <w:lvlText w:val=""/>
      <w:lvlJc w:val="left"/>
      <w:pPr>
        <w:tabs>
          <w:tab w:val="num" w:pos="720"/>
        </w:tabs>
        <w:ind w:left="720"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3" w15:restartNumberingAfterBreak="0">
    <w:nsid w:val="4B57071C"/>
    <w:multiLevelType w:val="hybridMultilevel"/>
    <w:tmpl w:val="D96A6EB2"/>
    <w:lvl w:ilvl="0" w:tplc="FFFFFFFF">
      <w:start w:val="1"/>
      <w:numFmt w:val="lowerLetter"/>
      <w:lvlText w:val="%1."/>
      <w:lvlJc w:val="left"/>
      <w:pPr>
        <w:ind w:left="1080" w:hanging="360"/>
      </w:pPr>
      <w:rPr>
        <w:rFonts w:hint="default"/>
        <w:b w:val="0"/>
        <w:i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4" w15:restartNumberingAfterBreak="0">
    <w:nsid w:val="4B5C5AE8"/>
    <w:multiLevelType w:val="hybridMultilevel"/>
    <w:tmpl w:val="62EED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5" w15:restartNumberingAfterBreak="0">
    <w:nsid w:val="4B6233C2"/>
    <w:multiLevelType w:val="hybridMultilevel"/>
    <w:tmpl w:val="9EB891E2"/>
    <w:lvl w:ilvl="0" w:tplc="FFFFFFFF">
      <w:start w:val="1"/>
      <w:numFmt w:val="lowerRoman"/>
      <w:lvlText w:val="%1."/>
      <w:lvlJc w:val="left"/>
      <w:pPr>
        <w:tabs>
          <w:tab w:val="num" w:pos="1008"/>
        </w:tabs>
        <w:ind w:left="1008" w:hanging="288"/>
      </w:pPr>
      <w:rPr>
        <w:rFonts w:ascii="Arial" w:hAnsi="Arial" w:hint="default"/>
        <w:b w:val="0"/>
        <w:i w:val="0"/>
        <w:sz w:val="22"/>
        <w:szCs w:val="22"/>
      </w:rPr>
    </w:lvl>
    <w:lvl w:ilvl="1" w:tplc="FFFFFFFF">
      <w:start w:val="1"/>
      <w:numFmt w:val="lowerLetter"/>
      <w:lvlText w:val="%2."/>
      <w:lvlJc w:val="left"/>
      <w:pPr>
        <w:tabs>
          <w:tab w:val="num" w:pos="540"/>
        </w:tabs>
        <w:ind w:left="540" w:hanging="360"/>
      </w:pPr>
      <w:rPr>
        <w:rFonts w:hint="default"/>
        <w:b w:val="0"/>
        <w:i w:val="0"/>
        <w:sz w:val="22"/>
        <w:szCs w:val="22"/>
      </w:rPr>
    </w:lvl>
    <w:lvl w:ilvl="2" w:tplc="FFFFFFFF">
      <w:start w:val="1"/>
      <w:numFmt w:val="lowerRoman"/>
      <w:lvlText w:val="%3."/>
      <w:lvlJc w:val="right"/>
      <w:pPr>
        <w:tabs>
          <w:tab w:val="num" w:pos="1260"/>
        </w:tabs>
        <w:ind w:left="1260" w:hanging="180"/>
      </w:pPr>
    </w:lvl>
    <w:lvl w:ilvl="3" w:tplc="FFFFFFFF" w:tentative="1">
      <w:start w:val="1"/>
      <w:numFmt w:val="decimal"/>
      <w:lvlText w:val="%4."/>
      <w:lvlJc w:val="left"/>
      <w:pPr>
        <w:tabs>
          <w:tab w:val="num" w:pos="1980"/>
        </w:tabs>
        <w:ind w:left="1980" w:hanging="360"/>
      </w:pPr>
    </w:lvl>
    <w:lvl w:ilvl="4" w:tplc="FFFFFFFF" w:tentative="1">
      <w:start w:val="1"/>
      <w:numFmt w:val="lowerLetter"/>
      <w:lvlText w:val="%5."/>
      <w:lvlJc w:val="left"/>
      <w:pPr>
        <w:tabs>
          <w:tab w:val="num" w:pos="2700"/>
        </w:tabs>
        <w:ind w:left="2700" w:hanging="360"/>
      </w:pPr>
    </w:lvl>
    <w:lvl w:ilvl="5" w:tplc="FFFFFFFF" w:tentative="1">
      <w:start w:val="1"/>
      <w:numFmt w:val="lowerRoman"/>
      <w:lvlText w:val="%6."/>
      <w:lvlJc w:val="right"/>
      <w:pPr>
        <w:tabs>
          <w:tab w:val="num" w:pos="3420"/>
        </w:tabs>
        <w:ind w:left="3420" w:hanging="180"/>
      </w:pPr>
    </w:lvl>
    <w:lvl w:ilvl="6" w:tplc="FFFFFFFF" w:tentative="1">
      <w:start w:val="1"/>
      <w:numFmt w:val="decimal"/>
      <w:lvlText w:val="%7."/>
      <w:lvlJc w:val="left"/>
      <w:pPr>
        <w:tabs>
          <w:tab w:val="num" w:pos="4140"/>
        </w:tabs>
        <w:ind w:left="4140" w:hanging="360"/>
      </w:pPr>
    </w:lvl>
    <w:lvl w:ilvl="7" w:tplc="FFFFFFFF" w:tentative="1">
      <w:start w:val="1"/>
      <w:numFmt w:val="lowerLetter"/>
      <w:lvlText w:val="%8."/>
      <w:lvlJc w:val="left"/>
      <w:pPr>
        <w:tabs>
          <w:tab w:val="num" w:pos="4860"/>
        </w:tabs>
        <w:ind w:left="4860" w:hanging="360"/>
      </w:pPr>
    </w:lvl>
    <w:lvl w:ilvl="8" w:tplc="FFFFFFFF" w:tentative="1">
      <w:start w:val="1"/>
      <w:numFmt w:val="lowerRoman"/>
      <w:lvlText w:val="%9."/>
      <w:lvlJc w:val="right"/>
      <w:pPr>
        <w:tabs>
          <w:tab w:val="num" w:pos="5580"/>
        </w:tabs>
        <w:ind w:left="5580" w:hanging="180"/>
      </w:pPr>
    </w:lvl>
  </w:abstractNum>
  <w:abstractNum w:abstractNumId="596" w15:restartNumberingAfterBreak="0">
    <w:nsid w:val="4B9716DB"/>
    <w:multiLevelType w:val="hybridMultilevel"/>
    <w:tmpl w:val="26E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7" w15:restartNumberingAfterBreak="0">
    <w:nsid w:val="4BC634A5"/>
    <w:multiLevelType w:val="hybridMultilevel"/>
    <w:tmpl w:val="A3161A62"/>
    <w:lvl w:ilvl="0" w:tplc="04090001">
      <w:start w:val="1"/>
      <w:numFmt w:val="bullet"/>
      <w:lvlText w:val=""/>
      <w:lvlJc w:val="left"/>
      <w:pPr>
        <w:tabs>
          <w:tab w:val="num" w:pos="468"/>
        </w:tabs>
        <w:ind w:left="468"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8" w15:restartNumberingAfterBreak="0">
    <w:nsid w:val="4BC7447C"/>
    <w:multiLevelType w:val="hybridMultilevel"/>
    <w:tmpl w:val="FBAA693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9" w15:restartNumberingAfterBreak="0">
    <w:nsid w:val="4C174FCD"/>
    <w:multiLevelType w:val="hybridMultilevel"/>
    <w:tmpl w:val="15FEF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0" w15:restartNumberingAfterBreak="0">
    <w:nsid w:val="4C2E5119"/>
    <w:multiLevelType w:val="hybridMultilevel"/>
    <w:tmpl w:val="FDB82DE2"/>
    <w:lvl w:ilvl="0" w:tplc="04090001">
      <w:start w:val="1"/>
      <w:numFmt w:val="bullet"/>
      <w:lvlText w:val=""/>
      <w:lvlJc w:val="left"/>
      <w:pPr>
        <w:tabs>
          <w:tab w:val="num" w:pos="723"/>
        </w:tabs>
        <w:ind w:left="723"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1" w15:restartNumberingAfterBreak="0">
    <w:nsid w:val="4C360519"/>
    <w:multiLevelType w:val="hybridMultilevel"/>
    <w:tmpl w:val="7CE4D4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02" w15:restartNumberingAfterBreak="0">
    <w:nsid w:val="4C383727"/>
    <w:multiLevelType w:val="multilevel"/>
    <w:tmpl w:val="F57AF4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03" w15:restartNumberingAfterBreak="0">
    <w:nsid w:val="4C40665C"/>
    <w:multiLevelType w:val="hybridMultilevel"/>
    <w:tmpl w:val="46766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4" w15:restartNumberingAfterBreak="0">
    <w:nsid w:val="4C423309"/>
    <w:multiLevelType w:val="hybridMultilevel"/>
    <w:tmpl w:val="5C2A09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5" w15:restartNumberingAfterBreak="0">
    <w:nsid w:val="4C4377B2"/>
    <w:multiLevelType w:val="hybridMultilevel"/>
    <w:tmpl w:val="86525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6" w15:restartNumberingAfterBreak="0">
    <w:nsid w:val="4C6C15D5"/>
    <w:multiLevelType w:val="hybridMultilevel"/>
    <w:tmpl w:val="7AEC0DD8"/>
    <w:lvl w:ilvl="0" w:tplc="A132882A">
      <w:start w:val="1"/>
      <w:numFmt w:val="bullet"/>
      <w:lvlText w:val=""/>
      <w:lvlJc w:val="left"/>
      <w:pPr>
        <w:tabs>
          <w:tab w:val="num" w:pos="720"/>
        </w:tabs>
        <w:ind w:left="720" w:hanging="360"/>
      </w:pPr>
      <w:rPr>
        <w:rFonts w:ascii="Symbol" w:hAnsi="Symbo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7" w15:restartNumberingAfterBreak="0">
    <w:nsid w:val="4C970FC6"/>
    <w:multiLevelType w:val="hybridMultilevel"/>
    <w:tmpl w:val="6136CD74"/>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8" w15:restartNumberingAfterBreak="0">
    <w:nsid w:val="4CB57734"/>
    <w:multiLevelType w:val="hybridMultilevel"/>
    <w:tmpl w:val="9B382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9" w15:restartNumberingAfterBreak="0">
    <w:nsid w:val="4CCC0110"/>
    <w:multiLevelType w:val="hybridMultilevel"/>
    <w:tmpl w:val="7894304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10" w15:restartNumberingAfterBreak="0">
    <w:nsid w:val="4D0328DA"/>
    <w:multiLevelType w:val="hybridMultilevel"/>
    <w:tmpl w:val="EB0238A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1" w15:restartNumberingAfterBreak="0">
    <w:nsid w:val="4D655906"/>
    <w:multiLevelType w:val="hybridMultilevel"/>
    <w:tmpl w:val="FE6AF2FE"/>
    <w:lvl w:ilvl="0" w:tplc="04090001">
      <w:start w:val="1"/>
      <w:numFmt w:val="bullet"/>
      <w:lvlText w:val=""/>
      <w:lvlJc w:val="left"/>
      <w:pPr>
        <w:tabs>
          <w:tab w:val="num" w:pos="720"/>
        </w:tabs>
        <w:ind w:left="720" w:hanging="360"/>
      </w:pPr>
      <w:rPr>
        <w:rFonts w:ascii="Symbol" w:hAnsi="Symbol" w:hint="default"/>
      </w:rPr>
    </w:lvl>
    <w:lvl w:ilvl="1" w:tplc="ECC49F10">
      <w:start w:val="1"/>
      <w:numFmt w:val="decimal"/>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2" w15:restartNumberingAfterBreak="0">
    <w:nsid w:val="4D9461AC"/>
    <w:multiLevelType w:val="hybridMultilevel"/>
    <w:tmpl w:val="793E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3" w15:restartNumberingAfterBreak="0">
    <w:nsid w:val="4E2F17D7"/>
    <w:multiLevelType w:val="hybridMultilevel"/>
    <w:tmpl w:val="94DA1A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4" w15:restartNumberingAfterBreak="0">
    <w:nsid w:val="4E5B39C9"/>
    <w:multiLevelType w:val="hybridMultilevel"/>
    <w:tmpl w:val="11D2E318"/>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615" w15:restartNumberingAfterBreak="0">
    <w:nsid w:val="4EA9746C"/>
    <w:multiLevelType w:val="hybridMultilevel"/>
    <w:tmpl w:val="2A5A478E"/>
    <w:lvl w:ilvl="0" w:tplc="04090001">
      <w:start w:val="1"/>
      <w:numFmt w:val="bullet"/>
      <w:lvlText w:val=""/>
      <w:lvlJc w:val="left"/>
      <w:pPr>
        <w:tabs>
          <w:tab w:val="num" w:pos="468"/>
        </w:tabs>
        <w:ind w:left="468"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6" w15:restartNumberingAfterBreak="0">
    <w:nsid w:val="4ECB0F5A"/>
    <w:multiLevelType w:val="hybridMultilevel"/>
    <w:tmpl w:val="4404C5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617" w15:restartNumberingAfterBreak="0">
    <w:nsid w:val="4ED32E3A"/>
    <w:multiLevelType w:val="hybridMultilevel"/>
    <w:tmpl w:val="2902BCD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8" w15:restartNumberingAfterBreak="0">
    <w:nsid w:val="4EF70F67"/>
    <w:multiLevelType w:val="hybridMultilevel"/>
    <w:tmpl w:val="18B2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9" w15:restartNumberingAfterBreak="0">
    <w:nsid w:val="4F011054"/>
    <w:multiLevelType w:val="hybridMultilevel"/>
    <w:tmpl w:val="DD5A856E"/>
    <w:lvl w:ilvl="0" w:tplc="FFFFFFFF">
      <w:start w:val="1"/>
      <w:numFmt w:val="decimal"/>
      <w:lvlText w:val="%1."/>
      <w:lvlJc w:val="left"/>
      <w:pPr>
        <w:tabs>
          <w:tab w:val="num" w:pos="360"/>
        </w:tabs>
        <w:ind w:left="360" w:hanging="360"/>
      </w:pPr>
      <w:rPr>
        <w:rFonts w:hint="default"/>
        <w:b w:val="0"/>
        <w:i w:val="0"/>
        <w:color w:val="auto"/>
      </w:rPr>
    </w:lvl>
    <w:lvl w:ilvl="1" w:tplc="5DBED53C">
      <w:start w:val="1"/>
      <w:numFmt w:val="lowerLetter"/>
      <w:lvlText w:val="%2."/>
      <w:lvlJc w:val="left"/>
      <w:pPr>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20" w15:restartNumberingAfterBreak="0">
    <w:nsid w:val="4F30392C"/>
    <w:multiLevelType w:val="hybridMultilevel"/>
    <w:tmpl w:val="DF127300"/>
    <w:lvl w:ilvl="0" w:tplc="04090001">
      <w:start w:val="1"/>
      <w:numFmt w:val="bullet"/>
      <w:lvlText w:val=""/>
      <w:lvlJc w:val="left"/>
      <w:pPr>
        <w:tabs>
          <w:tab w:val="num" w:pos="792"/>
        </w:tabs>
        <w:ind w:left="792" w:hanging="360"/>
      </w:pPr>
      <w:rPr>
        <w:rFonts w:ascii="Symbol" w:hAnsi="Symbol" w:hint="default"/>
      </w:rPr>
    </w:lvl>
    <w:lvl w:ilvl="1" w:tplc="E2E4E80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1" w15:restartNumberingAfterBreak="0">
    <w:nsid w:val="4F8E4787"/>
    <w:multiLevelType w:val="hybridMultilevel"/>
    <w:tmpl w:val="9F04F17A"/>
    <w:lvl w:ilvl="0" w:tplc="04090001">
      <w:start w:val="1"/>
      <w:numFmt w:val="bullet"/>
      <w:lvlText w:val=""/>
      <w:lvlJc w:val="left"/>
      <w:pPr>
        <w:tabs>
          <w:tab w:val="num" w:pos="723"/>
        </w:tabs>
        <w:ind w:left="723" w:hanging="360"/>
      </w:pPr>
      <w:rPr>
        <w:rFonts w:ascii="Symbol" w:hAnsi="Symbol" w:hint="default"/>
      </w:rPr>
    </w:lvl>
    <w:lvl w:ilvl="1" w:tplc="04090019" w:tentative="1">
      <w:start w:val="1"/>
      <w:numFmt w:val="lowerLetter"/>
      <w:lvlText w:val="%2."/>
      <w:lvlJc w:val="left"/>
      <w:pPr>
        <w:tabs>
          <w:tab w:val="num" w:pos="1491"/>
        </w:tabs>
        <w:ind w:left="1491" w:hanging="360"/>
      </w:pPr>
    </w:lvl>
    <w:lvl w:ilvl="2" w:tplc="0409001B" w:tentative="1">
      <w:start w:val="1"/>
      <w:numFmt w:val="lowerRoman"/>
      <w:lvlText w:val="%3."/>
      <w:lvlJc w:val="right"/>
      <w:pPr>
        <w:tabs>
          <w:tab w:val="num" w:pos="2211"/>
        </w:tabs>
        <w:ind w:left="2211" w:hanging="180"/>
      </w:pPr>
    </w:lvl>
    <w:lvl w:ilvl="3" w:tplc="0409000F" w:tentative="1">
      <w:start w:val="1"/>
      <w:numFmt w:val="decimal"/>
      <w:lvlText w:val="%4."/>
      <w:lvlJc w:val="left"/>
      <w:pPr>
        <w:tabs>
          <w:tab w:val="num" w:pos="2931"/>
        </w:tabs>
        <w:ind w:left="2931" w:hanging="360"/>
      </w:pPr>
    </w:lvl>
    <w:lvl w:ilvl="4" w:tplc="04090019" w:tentative="1">
      <w:start w:val="1"/>
      <w:numFmt w:val="lowerLetter"/>
      <w:lvlText w:val="%5."/>
      <w:lvlJc w:val="left"/>
      <w:pPr>
        <w:tabs>
          <w:tab w:val="num" w:pos="3651"/>
        </w:tabs>
        <w:ind w:left="3651" w:hanging="360"/>
      </w:pPr>
    </w:lvl>
    <w:lvl w:ilvl="5" w:tplc="0409001B" w:tentative="1">
      <w:start w:val="1"/>
      <w:numFmt w:val="lowerRoman"/>
      <w:lvlText w:val="%6."/>
      <w:lvlJc w:val="right"/>
      <w:pPr>
        <w:tabs>
          <w:tab w:val="num" w:pos="4371"/>
        </w:tabs>
        <w:ind w:left="4371" w:hanging="180"/>
      </w:pPr>
    </w:lvl>
    <w:lvl w:ilvl="6" w:tplc="0409000F" w:tentative="1">
      <w:start w:val="1"/>
      <w:numFmt w:val="decimal"/>
      <w:lvlText w:val="%7."/>
      <w:lvlJc w:val="left"/>
      <w:pPr>
        <w:tabs>
          <w:tab w:val="num" w:pos="5091"/>
        </w:tabs>
        <w:ind w:left="5091" w:hanging="360"/>
      </w:pPr>
    </w:lvl>
    <w:lvl w:ilvl="7" w:tplc="04090019" w:tentative="1">
      <w:start w:val="1"/>
      <w:numFmt w:val="lowerLetter"/>
      <w:lvlText w:val="%8."/>
      <w:lvlJc w:val="left"/>
      <w:pPr>
        <w:tabs>
          <w:tab w:val="num" w:pos="5811"/>
        </w:tabs>
        <w:ind w:left="5811" w:hanging="360"/>
      </w:pPr>
    </w:lvl>
    <w:lvl w:ilvl="8" w:tplc="0409001B" w:tentative="1">
      <w:start w:val="1"/>
      <w:numFmt w:val="lowerRoman"/>
      <w:lvlText w:val="%9."/>
      <w:lvlJc w:val="right"/>
      <w:pPr>
        <w:tabs>
          <w:tab w:val="num" w:pos="6531"/>
        </w:tabs>
        <w:ind w:left="6531" w:hanging="180"/>
      </w:pPr>
    </w:lvl>
  </w:abstractNum>
  <w:abstractNum w:abstractNumId="622" w15:restartNumberingAfterBreak="0">
    <w:nsid w:val="4F8F6B40"/>
    <w:multiLevelType w:val="hybridMultilevel"/>
    <w:tmpl w:val="85E05144"/>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3" w15:restartNumberingAfterBreak="0">
    <w:nsid w:val="4FAD6BEB"/>
    <w:multiLevelType w:val="hybridMultilevel"/>
    <w:tmpl w:val="D6B696B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24" w15:restartNumberingAfterBreak="0">
    <w:nsid w:val="4FD614A6"/>
    <w:multiLevelType w:val="hybridMultilevel"/>
    <w:tmpl w:val="97089A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5" w15:restartNumberingAfterBreak="0">
    <w:nsid w:val="4FFE15E6"/>
    <w:multiLevelType w:val="hybridMultilevel"/>
    <w:tmpl w:val="7700A564"/>
    <w:lvl w:ilvl="0" w:tplc="6040DF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6" w15:restartNumberingAfterBreak="0">
    <w:nsid w:val="50052835"/>
    <w:multiLevelType w:val="multilevel"/>
    <w:tmpl w:val="AD6A4D64"/>
    <w:lvl w:ilvl="0">
      <w:start w:val="1"/>
      <w:numFmt w:val="decimal"/>
      <w:lvlText w:val="%1."/>
      <w:lvlJc w:val="left"/>
      <w:pPr>
        <w:tabs>
          <w:tab w:val="num" w:pos="360"/>
        </w:tabs>
        <w:ind w:left="360" w:hanging="360"/>
      </w:pPr>
      <w:rPr>
        <w:rFonts w:hint="default"/>
        <w:b w:val="0"/>
        <w:i w:val="0"/>
        <w:color w:val="auto"/>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27" w15:restartNumberingAfterBreak="0">
    <w:nsid w:val="506B4F7C"/>
    <w:multiLevelType w:val="hybridMultilevel"/>
    <w:tmpl w:val="208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8" w15:restartNumberingAfterBreak="0">
    <w:nsid w:val="50700CBF"/>
    <w:multiLevelType w:val="hybridMultilevel"/>
    <w:tmpl w:val="4280A3A8"/>
    <w:lvl w:ilvl="0" w:tplc="A60A5F72">
      <w:start w:val="1"/>
      <w:numFmt w:val="decimal"/>
      <w:lvlText w:val="%1."/>
      <w:lvlJc w:val="left"/>
      <w:pPr>
        <w:tabs>
          <w:tab w:val="num" w:pos="936"/>
        </w:tabs>
        <w:ind w:left="936" w:hanging="432"/>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9" w15:restartNumberingAfterBreak="0">
    <w:nsid w:val="509A57BC"/>
    <w:multiLevelType w:val="hybridMultilevel"/>
    <w:tmpl w:val="48E869AC"/>
    <w:lvl w:ilvl="0" w:tplc="7C74D326">
      <w:start w:val="1"/>
      <w:numFmt w:val="lowerRoman"/>
      <w:lvlText w:val="%1."/>
      <w:lvlJc w:val="left"/>
      <w:pPr>
        <w:tabs>
          <w:tab w:val="num" w:pos="1008"/>
        </w:tabs>
        <w:ind w:left="1008" w:hanging="288"/>
      </w:pPr>
      <w:rPr>
        <w:rFonts w:ascii="Book Antiqua" w:hAnsi="Book Antiqua"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0" w15:restartNumberingAfterBreak="0">
    <w:nsid w:val="50CB3524"/>
    <w:multiLevelType w:val="multilevel"/>
    <w:tmpl w:val="D558364A"/>
    <w:lvl w:ilvl="0">
      <w:start w:val="1"/>
      <w:numFmt w:val="decimal"/>
      <w:lvlText w:val="%1."/>
      <w:lvlJc w:val="left"/>
      <w:pPr>
        <w:ind w:left="720" w:hanging="360"/>
      </w:pPr>
    </w:lvl>
    <w:lvl w:ilvl="1">
      <w:start w:val="5"/>
      <w:numFmt w:val="decimal"/>
      <w:isLgl/>
      <w:lvlText w:val="%1.%2"/>
      <w:lvlJc w:val="left"/>
      <w:pPr>
        <w:ind w:left="975" w:hanging="435"/>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631" w15:restartNumberingAfterBreak="0">
    <w:nsid w:val="50EF2A5A"/>
    <w:multiLevelType w:val="hybridMultilevel"/>
    <w:tmpl w:val="D42C44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28"/>
        </w:tabs>
        <w:ind w:left="1428" w:hanging="360"/>
      </w:pPr>
    </w:lvl>
    <w:lvl w:ilvl="2" w:tplc="0409001B" w:tentative="1">
      <w:start w:val="1"/>
      <w:numFmt w:val="lowerRoman"/>
      <w:lvlText w:val="%3."/>
      <w:lvlJc w:val="right"/>
      <w:pPr>
        <w:tabs>
          <w:tab w:val="num" w:pos="2148"/>
        </w:tabs>
        <w:ind w:left="2148" w:hanging="180"/>
      </w:pPr>
    </w:lvl>
    <w:lvl w:ilvl="3" w:tplc="0409000F" w:tentative="1">
      <w:start w:val="1"/>
      <w:numFmt w:val="decimal"/>
      <w:lvlText w:val="%4."/>
      <w:lvlJc w:val="left"/>
      <w:pPr>
        <w:tabs>
          <w:tab w:val="num" w:pos="2868"/>
        </w:tabs>
        <w:ind w:left="2868" w:hanging="360"/>
      </w:pPr>
    </w:lvl>
    <w:lvl w:ilvl="4" w:tplc="04090019" w:tentative="1">
      <w:start w:val="1"/>
      <w:numFmt w:val="lowerLetter"/>
      <w:lvlText w:val="%5."/>
      <w:lvlJc w:val="left"/>
      <w:pPr>
        <w:tabs>
          <w:tab w:val="num" w:pos="3588"/>
        </w:tabs>
        <w:ind w:left="3588" w:hanging="360"/>
      </w:pPr>
    </w:lvl>
    <w:lvl w:ilvl="5" w:tplc="0409001B" w:tentative="1">
      <w:start w:val="1"/>
      <w:numFmt w:val="lowerRoman"/>
      <w:lvlText w:val="%6."/>
      <w:lvlJc w:val="right"/>
      <w:pPr>
        <w:tabs>
          <w:tab w:val="num" w:pos="4308"/>
        </w:tabs>
        <w:ind w:left="4308" w:hanging="180"/>
      </w:pPr>
    </w:lvl>
    <w:lvl w:ilvl="6" w:tplc="0409000F" w:tentative="1">
      <w:start w:val="1"/>
      <w:numFmt w:val="decimal"/>
      <w:lvlText w:val="%7."/>
      <w:lvlJc w:val="left"/>
      <w:pPr>
        <w:tabs>
          <w:tab w:val="num" w:pos="5028"/>
        </w:tabs>
        <w:ind w:left="5028" w:hanging="360"/>
      </w:pPr>
    </w:lvl>
    <w:lvl w:ilvl="7" w:tplc="04090019" w:tentative="1">
      <w:start w:val="1"/>
      <w:numFmt w:val="lowerLetter"/>
      <w:lvlText w:val="%8."/>
      <w:lvlJc w:val="left"/>
      <w:pPr>
        <w:tabs>
          <w:tab w:val="num" w:pos="5748"/>
        </w:tabs>
        <w:ind w:left="5748" w:hanging="360"/>
      </w:pPr>
    </w:lvl>
    <w:lvl w:ilvl="8" w:tplc="0409001B" w:tentative="1">
      <w:start w:val="1"/>
      <w:numFmt w:val="lowerRoman"/>
      <w:lvlText w:val="%9."/>
      <w:lvlJc w:val="right"/>
      <w:pPr>
        <w:tabs>
          <w:tab w:val="num" w:pos="6468"/>
        </w:tabs>
        <w:ind w:left="6468" w:hanging="180"/>
      </w:pPr>
    </w:lvl>
  </w:abstractNum>
  <w:abstractNum w:abstractNumId="632" w15:restartNumberingAfterBreak="0">
    <w:nsid w:val="50FF1D2B"/>
    <w:multiLevelType w:val="hybridMultilevel"/>
    <w:tmpl w:val="BFFA4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3" w15:restartNumberingAfterBreak="0">
    <w:nsid w:val="51142E84"/>
    <w:multiLevelType w:val="hybridMultilevel"/>
    <w:tmpl w:val="5CE6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4" w15:restartNumberingAfterBreak="0">
    <w:nsid w:val="51364F77"/>
    <w:multiLevelType w:val="hybridMultilevel"/>
    <w:tmpl w:val="B77CA968"/>
    <w:lvl w:ilvl="0" w:tplc="35EC064E">
      <w:start w:val="1"/>
      <w:numFmt w:val="decimal"/>
      <w:lvlText w:val="%1."/>
      <w:lvlJc w:val="left"/>
      <w:pPr>
        <w:ind w:left="2160" w:hanging="18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5" w15:restartNumberingAfterBreak="0">
    <w:nsid w:val="515023FB"/>
    <w:multiLevelType w:val="hybridMultilevel"/>
    <w:tmpl w:val="F4EEFAE4"/>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036"/>
        </w:tabs>
        <w:ind w:left="1036" w:hanging="360"/>
      </w:pPr>
    </w:lvl>
    <w:lvl w:ilvl="2" w:tplc="0409001B" w:tentative="1">
      <w:start w:val="1"/>
      <w:numFmt w:val="lowerRoman"/>
      <w:lvlText w:val="%3."/>
      <w:lvlJc w:val="right"/>
      <w:pPr>
        <w:tabs>
          <w:tab w:val="num" w:pos="1756"/>
        </w:tabs>
        <w:ind w:left="1756" w:hanging="180"/>
      </w:pPr>
    </w:lvl>
    <w:lvl w:ilvl="3" w:tplc="0409000F" w:tentative="1">
      <w:start w:val="1"/>
      <w:numFmt w:val="decimal"/>
      <w:lvlText w:val="%4."/>
      <w:lvlJc w:val="left"/>
      <w:pPr>
        <w:tabs>
          <w:tab w:val="num" w:pos="2476"/>
        </w:tabs>
        <w:ind w:left="2476" w:hanging="360"/>
      </w:pPr>
    </w:lvl>
    <w:lvl w:ilvl="4" w:tplc="04090019" w:tentative="1">
      <w:start w:val="1"/>
      <w:numFmt w:val="lowerLetter"/>
      <w:lvlText w:val="%5."/>
      <w:lvlJc w:val="left"/>
      <w:pPr>
        <w:tabs>
          <w:tab w:val="num" w:pos="3196"/>
        </w:tabs>
        <w:ind w:left="3196" w:hanging="360"/>
      </w:pPr>
    </w:lvl>
    <w:lvl w:ilvl="5" w:tplc="0409001B" w:tentative="1">
      <w:start w:val="1"/>
      <w:numFmt w:val="lowerRoman"/>
      <w:lvlText w:val="%6."/>
      <w:lvlJc w:val="right"/>
      <w:pPr>
        <w:tabs>
          <w:tab w:val="num" w:pos="3916"/>
        </w:tabs>
        <w:ind w:left="3916" w:hanging="180"/>
      </w:pPr>
    </w:lvl>
    <w:lvl w:ilvl="6" w:tplc="0409000F" w:tentative="1">
      <w:start w:val="1"/>
      <w:numFmt w:val="decimal"/>
      <w:lvlText w:val="%7."/>
      <w:lvlJc w:val="left"/>
      <w:pPr>
        <w:tabs>
          <w:tab w:val="num" w:pos="4636"/>
        </w:tabs>
        <w:ind w:left="4636" w:hanging="360"/>
      </w:pPr>
    </w:lvl>
    <w:lvl w:ilvl="7" w:tplc="04090019" w:tentative="1">
      <w:start w:val="1"/>
      <w:numFmt w:val="lowerLetter"/>
      <w:lvlText w:val="%8."/>
      <w:lvlJc w:val="left"/>
      <w:pPr>
        <w:tabs>
          <w:tab w:val="num" w:pos="5356"/>
        </w:tabs>
        <w:ind w:left="5356" w:hanging="360"/>
      </w:pPr>
    </w:lvl>
    <w:lvl w:ilvl="8" w:tplc="0409001B" w:tentative="1">
      <w:start w:val="1"/>
      <w:numFmt w:val="lowerRoman"/>
      <w:lvlText w:val="%9."/>
      <w:lvlJc w:val="right"/>
      <w:pPr>
        <w:tabs>
          <w:tab w:val="num" w:pos="6076"/>
        </w:tabs>
        <w:ind w:left="6076" w:hanging="180"/>
      </w:pPr>
    </w:lvl>
  </w:abstractNum>
  <w:abstractNum w:abstractNumId="636" w15:restartNumberingAfterBreak="0">
    <w:nsid w:val="51700A53"/>
    <w:multiLevelType w:val="multilevel"/>
    <w:tmpl w:val="74F6663E"/>
    <w:lvl w:ilvl="0">
      <w:start w:val="1"/>
      <w:numFmt w:val="decimal"/>
      <w:lvlText w:val="%1."/>
      <w:lvlJc w:val="left"/>
      <w:pPr>
        <w:tabs>
          <w:tab w:val="num" w:pos="360"/>
        </w:tabs>
        <w:ind w:left="360" w:hanging="360"/>
      </w:pPr>
      <w:rPr>
        <w:rFonts w:hint="default"/>
      </w:rPr>
    </w:lvl>
    <w:lvl w:ilvl="1">
      <w:start w:val="9"/>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37" w15:restartNumberingAfterBreak="0">
    <w:nsid w:val="517A0A8C"/>
    <w:multiLevelType w:val="hybridMultilevel"/>
    <w:tmpl w:val="C396CD6A"/>
    <w:lvl w:ilvl="0" w:tplc="215A008C">
      <w:start w:val="1"/>
      <w:numFmt w:val="decimal"/>
      <w:lvlText w:val="%1."/>
      <w:lvlJc w:val="left"/>
      <w:pPr>
        <w:tabs>
          <w:tab w:val="num" w:pos="792"/>
        </w:tabs>
        <w:ind w:left="792" w:hanging="432"/>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638" w15:restartNumberingAfterBreak="0">
    <w:nsid w:val="518652C2"/>
    <w:multiLevelType w:val="hybridMultilevel"/>
    <w:tmpl w:val="9544F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9" w15:restartNumberingAfterBreak="0">
    <w:nsid w:val="51876D71"/>
    <w:multiLevelType w:val="hybridMultilevel"/>
    <w:tmpl w:val="A8E61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0" w15:restartNumberingAfterBreak="0">
    <w:nsid w:val="51B43BE3"/>
    <w:multiLevelType w:val="hybridMultilevel"/>
    <w:tmpl w:val="78E0CF1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41" w15:restartNumberingAfterBreak="0">
    <w:nsid w:val="51C713A0"/>
    <w:multiLevelType w:val="hybridMultilevel"/>
    <w:tmpl w:val="163EA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2" w15:restartNumberingAfterBreak="0">
    <w:nsid w:val="51F27DFC"/>
    <w:multiLevelType w:val="hybridMultilevel"/>
    <w:tmpl w:val="FBD007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3" w15:restartNumberingAfterBreak="0">
    <w:nsid w:val="521D662C"/>
    <w:multiLevelType w:val="hybridMultilevel"/>
    <w:tmpl w:val="ED348270"/>
    <w:lvl w:ilvl="0" w:tplc="991E78CC">
      <w:start w:val="1"/>
      <w:numFmt w:val="decimal"/>
      <w:lvlText w:val="%1."/>
      <w:lvlJc w:val="left"/>
      <w:pPr>
        <w:tabs>
          <w:tab w:val="num" w:pos="360"/>
        </w:tabs>
        <w:ind w:left="360" w:hanging="360"/>
      </w:pPr>
      <w:rPr>
        <w:rFonts w:hint="default"/>
      </w:rPr>
    </w:lvl>
    <w:lvl w:ilvl="1" w:tplc="1C2C3B9C" w:tentative="1">
      <w:start w:val="1"/>
      <w:numFmt w:val="lowerLetter"/>
      <w:lvlText w:val="%2."/>
      <w:lvlJc w:val="left"/>
      <w:pPr>
        <w:tabs>
          <w:tab w:val="num" w:pos="1440"/>
        </w:tabs>
        <w:ind w:left="1440" w:hanging="360"/>
      </w:pPr>
    </w:lvl>
    <w:lvl w:ilvl="2" w:tplc="44CC9AB0" w:tentative="1">
      <w:start w:val="1"/>
      <w:numFmt w:val="lowerRoman"/>
      <w:lvlText w:val="%3."/>
      <w:lvlJc w:val="right"/>
      <w:pPr>
        <w:tabs>
          <w:tab w:val="num" w:pos="2160"/>
        </w:tabs>
        <w:ind w:left="2160" w:hanging="180"/>
      </w:pPr>
    </w:lvl>
    <w:lvl w:ilvl="3" w:tplc="00B6AF46" w:tentative="1">
      <w:start w:val="1"/>
      <w:numFmt w:val="decimal"/>
      <w:lvlText w:val="%4."/>
      <w:lvlJc w:val="left"/>
      <w:pPr>
        <w:tabs>
          <w:tab w:val="num" w:pos="2880"/>
        </w:tabs>
        <w:ind w:left="2880" w:hanging="360"/>
      </w:pPr>
    </w:lvl>
    <w:lvl w:ilvl="4" w:tplc="7F5A0250" w:tentative="1">
      <w:start w:val="1"/>
      <w:numFmt w:val="lowerLetter"/>
      <w:lvlText w:val="%5."/>
      <w:lvlJc w:val="left"/>
      <w:pPr>
        <w:tabs>
          <w:tab w:val="num" w:pos="3600"/>
        </w:tabs>
        <w:ind w:left="3600" w:hanging="360"/>
      </w:pPr>
    </w:lvl>
    <w:lvl w:ilvl="5" w:tplc="00A06FCC" w:tentative="1">
      <w:start w:val="1"/>
      <w:numFmt w:val="lowerRoman"/>
      <w:lvlText w:val="%6."/>
      <w:lvlJc w:val="right"/>
      <w:pPr>
        <w:tabs>
          <w:tab w:val="num" w:pos="4320"/>
        </w:tabs>
        <w:ind w:left="4320" w:hanging="180"/>
      </w:pPr>
    </w:lvl>
    <w:lvl w:ilvl="6" w:tplc="79729F90" w:tentative="1">
      <w:start w:val="1"/>
      <w:numFmt w:val="decimal"/>
      <w:lvlText w:val="%7."/>
      <w:lvlJc w:val="left"/>
      <w:pPr>
        <w:tabs>
          <w:tab w:val="num" w:pos="5040"/>
        </w:tabs>
        <w:ind w:left="5040" w:hanging="360"/>
      </w:pPr>
    </w:lvl>
    <w:lvl w:ilvl="7" w:tplc="DA5C9EAC" w:tentative="1">
      <w:start w:val="1"/>
      <w:numFmt w:val="lowerLetter"/>
      <w:lvlText w:val="%8."/>
      <w:lvlJc w:val="left"/>
      <w:pPr>
        <w:tabs>
          <w:tab w:val="num" w:pos="5760"/>
        </w:tabs>
        <w:ind w:left="5760" w:hanging="360"/>
      </w:pPr>
    </w:lvl>
    <w:lvl w:ilvl="8" w:tplc="D22C62AE" w:tentative="1">
      <w:start w:val="1"/>
      <w:numFmt w:val="lowerRoman"/>
      <w:lvlText w:val="%9."/>
      <w:lvlJc w:val="right"/>
      <w:pPr>
        <w:tabs>
          <w:tab w:val="num" w:pos="6480"/>
        </w:tabs>
        <w:ind w:left="6480" w:hanging="180"/>
      </w:pPr>
    </w:lvl>
  </w:abstractNum>
  <w:abstractNum w:abstractNumId="644" w15:restartNumberingAfterBreak="0">
    <w:nsid w:val="52320E9C"/>
    <w:multiLevelType w:val="hybridMultilevel"/>
    <w:tmpl w:val="34E458C2"/>
    <w:lvl w:ilvl="0" w:tplc="9D74E054">
      <w:start w:val="1"/>
      <w:numFmt w:val="bullet"/>
      <w:lvlText w:val=""/>
      <w:lvlJc w:val="left"/>
      <w:pPr>
        <w:tabs>
          <w:tab w:val="num" w:pos="792"/>
        </w:tabs>
        <w:ind w:left="792"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5" w15:restartNumberingAfterBreak="0">
    <w:nsid w:val="52374CB0"/>
    <w:multiLevelType w:val="hybridMultilevel"/>
    <w:tmpl w:val="775EF65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6" w15:restartNumberingAfterBreak="0">
    <w:nsid w:val="5280408D"/>
    <w:multiLevelType w:val="hybridMultilevel"/>
    <w:tmpl w:val="285E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7" w15:restartNumberingAfterBreak="0">
    <w:nsid w:val="52AE2246"/>
    <w:multiLevelType w:val="hybridMultilevel"/>
    <w:tmpl w:val="F514954C"/>
    <w:lvl w:ilvl="0" w:tplc="5BD4709C">
      <w:start w:val="1"/>
      <w:numFmt w:val="decimal"/>
      <w:lvlText w:val="%1."/>
      <w:lvlJc w:val="left"/>
      <w:pPr>
        <w:tabs>
          <w:tab w:val="num" w:pos="668"/>
        </w:tabs>
        <w:ind w:left="668" w:hanging="360"/>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8" w15:restartNumberingAfterBreak="0">
    <w:nsid w:val="52AF446D"/>
    <w:multiLevelType w:val="hybridMultilevel"/>
    <w:tmpl w:val="D26AAB52"/>
    <w:lvl w:ilvl="0" w:tplc="04090001">
      <w:start w:val="1"/>
      <w:numFmt w:val="bullet"/>
      <w:lvlText w:val=""/>
      <w:lvlJc w:val="left"/>
      <w:pPr>
        <w:tabs>
          <w:tab w:val="num" w:pos="857"/>
        </w:tabs>
        <w:ind w:left="857" w:hanging="360"/>
      </w:pPr>
      <w:rPr>
        <w:rFonts w:ascii="Symbol" w:hAnsi="Symbol" w:hint="default"/>
      </w:rPr>
    </w:lvl>
    <w:lvl w:ilvl="1" w:tplc="04090003" w:tentative="1">
      <w:start w:val="1"/>
      <w:numFmt w:val="lowerLetter"/>
      <w:lvlText w:val="%2."/>
      <w:lvlJc w:val="left"/>
      <w:pPr>
        <w:tabs>
          <w:tab w:val="num" w:pos="1457"/>
        </w:tabs>
        <w:ind w:left="1457" w:hanging="360"/>
      </w:pPr>
    </w:lvl>
    <w:lvl w:ilvl="2" w:tplc="04090005" w:tentative="1">
      <w:start w:val="1"/>
      <w:numFmt w:val="lowerRoman"/>
      <w:lvlText w:val="%3."/>
      <w:lvlJc w:val="right"/>
      <w:pPr>
        <w:tabs>
          <w:tab w:val="num" w:pos="2177"/>
        </w:tabs>
        <w:ind w:left="2177" w:hanging="180"/>
      </w:pPr>
    </w:lvl>
    <w:lvl w:ilvl="3" w:tplc="04090001" w:tentative="1">
      <w:start w:val="1"/>
      <w:numFmt w:val="decimal"/>
      <w:lvlText w:val="%4."/>
      <w:lvlJc w:val="left"/>
      <w:pPr>
        <w:tabs>
          <w:tab w:val="num" w:pos="2897"/>
        </w:tabs>
        <w:ind w:left="2897" w:hanging="360"/>
      </w:pPr>
    </w:lvl>
    <w:lvl w:ilvl="4" w:tplc="04090003" w:tentative="1">
      <w:start w:val="1"/>
      <w:numFmt w:val="lowerLetter"/>
      <w:lvlText w:val="%5."/>
      <w:lvlJc w:val="left"/>
      <w:pPr>
        <w:tabs>
          <w:tab w:val="num" w:pos="3617"/>
        </w:tabs>
        <w:ind w:left="3617" w:hanging="360"/>
      </w:pPr>
    </w:lvl>
    <w:lvl w:ilvl="5" w:tplc="04090005" w:tentative="1">
      <w:start w:val="1"/>
      <w:numFmt w:val="lowerRoman"/>
      <w:lvlText w:val="%6."/>
      <w:lvlJc w:val="right"/>
      <w:pPr>
        <w:tabs>
          <w:tab w:val="num" w:pos="4337"/>
        </w:tabs>
        <w:ind w:left="4337" w:hanging="180"/>
      </w:pPr>
    </w:lvl>
    <w:lvl w:ilvl="6" w:tplc="04090001" w:tentative="1">
      <w:start w:val="1"/>
      <w:numFmt w:val="decimal"/>
      <w:lvlText w:val="%7."/>
      <w:lvlJc w:val="left"/>
      <w:pPr>
        <w:tabs>
          <w:tab w:val="num" w:pos="5057"/>
        </w:tabs>
        <w:ind w:left="5057" w:hanging="360"/>
      </w:pPr>
    </w:lvl>
    <w:lvl w:ilvl="7" w:tplc="04090003" w:tentative="1">
      <w:start w:val="1"/>
      <w:numFmt w:val="lowerLetter"/>
      <w:lvlText w:val="%8."/>
      <w:lvlJc w:val="left"/>
      <w:pPr>
        <w:tabs>
          <w:tab w:val="num" w:pos="5777"/>
        </w:tabs>
        <w:ind w:left="5777" w:hanging="360"/>
      </w:pPr>
    </w:lvl>
    <w:lvl w:ilvl="8" w:tplc="04090005" w:tentative="1">
      <w:start w:val="1"/>
      <w:numFmt w:val="lowerRoman"/>
      <w:lvlText w:val="%9."/>
      <w:lvlJc w:val="right"/>
      <w:pPr>
        <w:tabs>
          <w:tab w:val="num" w:pos="6497"/>
        </w:tabs>
        <w:ind w:left="6497" w:hanging="180"/>
      </w:pPr>
    </w:lvl>
  </w:abstractNum>
  <w:abstractNum w:abstractNumId="649" w15:restartNumberingAfterBreak="0">
    <w:nsid w:val="52F70D3C"/>
    <w:multiLevelType w:val="hybridMultilevel"/>
    <w:tmpl w:val="F68296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0" w15:restartNumberingAfterBreak="0">
    <w:nsid w:val="53412172"/>
    <w:multiLevelType w:val="hybridMultilevel"/>
    <w:tmpl w:val="E2DA4456"/>
    <w:lvl w:ilvl="0" w:tplc="04090001">
      <w:start w:val="1"/>
      <w:numFmt w:val="bullet"/>
      <w:lvlText w:val=""/>
      <w:lvlJc w:val="left"/>
      <w:pPr>
        <w:tabs>
          <w:tab w:val="num" w:pos="468"/>
        </w:tabs>
        <w:ind w:left="468" w:hanging="360"/>
      </w:pPr>
      <w:rPr>
        <w:rFonts w:ascii="Symbol" w:hAnsi="Symbol" w:hint="default"/>
      </w:rPr>
    </w:lvl>
    <w:lvl w:ilvl="1" w:tplc="5BD4709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1" w15:restartNumberingAfterBreak="0">
    <w:nsid w:val="536A4AF0"/>
    <w:multiLevelType w:val="hybridMultilevel"/>
    <w:tmpl w:val="7C0A0FD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2" w15:restartNumberingAfterBreak="0">
    <w:nsid w:val="536B0362"/>
    <w:multiLevelType w:val="hybridMultilevel"/>
    <w:tmpl w:val="B52CD4A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653" w15:restartNumberingAfterBreak="0">
    <w:nsid w:val="537A2DD0"/>
    <w:multiLevelType w:val="hybridMultilevel"/>
    <w:tmpl w:val="4280A3A8"/>
    <w:lvl w:ilvl="0" w:tplc="A60A5F72">
      <w:start w:val="1"/>
      <w:numFmt w:val="decimal"/>
      <w:lvlText w:val="%1."/>
      <w:lvlJc w:val="left"/>
      <w:pPr>
        <w:tabs>
          <w:tab w:val="num" w:pos="936"/>
        </w:tabs>
        <w:ind w:left="936" w:hanging="432"/>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4" w15:restartNumberingAfterBreak="0">
    <w:nsid w:val="539C3E5F"/>
    <w:multiLevelType w:val="hybridMultilevel"/>
    <w:tmpl w:val="2782FF3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5" w15:restartNumberingAfterBreak="0">
    <w:nsid w:val="53C03B44"/>
    <w:multiLevelType w:val="hybridMultilevel"/>
    <w:tmpl w:val="BCDE31B6"/>
    <w:lvl w:ilvl="0" w:tplc="FFFFFFFF">
      <w:start w:val="1"/>
      <w:numFmt w:val="bullet"/>
      <w:lvlText w:val=""/>
      <w:lvlJc w:val="left"/>
      <w:pPr>
        <w:ind w:left="2160" w:hanging="360"/>
      </w:pPr>
      <w:rPr>
        <w:rFonts w:ascii="Symbol" w:hAnsi="Symbol" w:hint="default"/>
        <w:color w:val="auto"/>
        <w:sz w:val="18"/>
        <w:szCs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6" w15:restartNumberingAfterBreak="0">
    <w:nsid w:val="53CE4E05"/>
    <w:multiLevelType w:val="hybridMultilevel"/>
    <w:tmpl w:val="B0B0F442"/>
    <w:lvl w:ilvl="0" w:tplc="04090001">
      <w:start w:val="1"/>
      <w:numFmt w:val="bullet"/>
      <w:lvlText w:val=""/>
      <w:lvlJc w:val="left"/>
      <w:pPr>
        <w:tabs>
          <w:tab w:val="num" w:pos="792"/>
        </w:tabs>
        <w:ind w:left="792" w:hanging="360"/>
      </w:pPr>
      <w:rPr>
        <w:rFonts w:ascii="Symbol" w:hAnsi="Symbol" w:hint="default"/>
      </w:r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657" w15:restartNumberingAfterBreak="0">
    <w:nsid w:val="53E70278"/>
    <w:multiLevelType w:val="hybridMultilevel"/>
    <w:tmpl w:val="30243FE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8" w15:restartNumberingAfterBreak="0">
    <w:nsid w:val="54076239"/>
    <w:multiLevelType w:val="hybridMultilevel"/>
    <w:tmpl w:val="00FAE844"/>
    <w:lvl w:ilvl="0" w:tplc="FFFFFFFF">
      <w:start w:val="1"/>
      <w:numFmt w:val="decimal"/>
      <w:lvlText w:val="%1."/>
      <w:lvlJc w:val="left"/>
      <w:pPr>
        <w:tabs>
          <w:tab w:val="num" w:pos="450"/>
        </w:tabs>
        <w:ind w:left="450" w:hanging="360"/>
      </w:pPr>
      <w:rPr>
        <w:rFonts w:hint="default"/>
        <w:b w:val="0"/>
        <w:i w:val="0"/>
      </w:rPr>
    </w:lvl>
    <w:lvl w:ilvl="1" w:tplc="04090003">
      <w:start w:val="1"/>
      <w:numFmt w:val="lowerLetter"/>
      <w:lvlText w:val="%2."/>
      <w:lvlJc w:val="left"/>
      <w:pPr>
        <w:tabs>
          <w:tab w:val="num" w:pos="1440"/>
        </w:tabs>
        <w:ind w:left="1440" w:hanging="360"/>
      </w:pPr>
    </w:lvl>
    <w:lvl w:ilvl="2" w:tplc="1EF03DDC">
      <w:start w:val="1"/>
      <w:numFmt w:val="decimal"/>
      <w:lvlText w:val="(%3)"/>
      <w:lvlJc w:val="left"/>
      <w:pPr>
        <w:ind w:left="2340" w:hanging="36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59" w15:restartNumberingAfterBreak="0">
    <w:nsid w:val="541D22B6"/>
    <w:multiLevelType w:val="hybridMultilevel"/>
    <w:tmpl w:val="2BC0F1AC"/>
    <w:lvl w:ilvl="0" w:tplc="F1DC2C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0" w15:restartNumberingAfterBreak="0">
    <w:nsid w:val="550E38D0"/>
    <w:multiLevelType w:val="hybridMultilevel"/>
    <w:tmpl w:val="86389B56"/>
    <w:lvl w:ilvl="0" w:tplc="04090001">
      <w:start w:val="1"/>
      <w:numFmt w:val="bullet"/>
      <w:lvlText w:val=""/>
      <w:lvlJc w:val="left"/>
      <w:pPr>
        <w:tabs>
          <w:tab w:val="num" w:pos="612"/>
        </w:tabs>
        <w:ind w:left="61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61" w15:restartNumberingAfterBreak="0">
    <w:nsid w:val="55381A51"/>
    <w:multiLevelType w:val="hybridMultilevel"/>
    <w:tmpl w:val="8DE05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2" w15:restartNumberingAfterBreak="0">
    <w:nsid w:val="55706C11"/>
    <w:multiLevelType w:val="hybridMultilevel"/>
    <w:tmpl w:val="B100D80E"/>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663" w15:restartNumberingAfterBreak="0">
    <w:nsid w:val="55765BB2"/>
    <w:multiLevelType w:val="hybridMultilevel"/>
    <w:tmpl w:val="1402178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4" w15:restartNumberingAfterBreak="0">
    <w:nsid w:val="55781658"/>
    <w:multiLevelType w:val="hybridMultilevel"/>
    <w:tmpl w:val="B764EAD4"/>
    <w:lvl w:ilvl="0" w:tplc="04090001">
      <w:start w:val="1"/>
      <w:numFmt w:val="bullet"/>
      <w:lvlText w:val=""/>
      <w:lvlJc w:val="left"/>
      <w:pPr>
        <w:tabs>
          <w:tab w:val="num" w:pos="1170"/>
        </w:tabs>
        <w:ind w:left="1170" w:hanging="360"/>
      </w:pPr>
      <w:rPr>
        <w:rFonts w:ascii="Symbol" w:hAnsi="Symbol" w:hint="default"/>
        <w:b w:val="0"/>
        <w:i w:val="0"/>
      </w:rPr>
    </w:lvl>
    <w:lvl w:ilvl="1" w:tplc="26E8E588">
      <w:start w:val="1"/>
      <w:numFmt w:val="bullet"/>
      <w:lvlText w:val="o"/>
      <w:lvlJc w:val="left"/>
      <w:pPr>
        <w:tabs>
          <w:tab w:val="num" w:pos="720"/>
        </w:tabs>
        <w:ind w:left="720" w:hanging="360"/>
      </w:pPr>
      <w:rPr>
        <w:rFonts w:ascii="Courier New" w:hAnsi="Courier New" w:cs="Courier New" w:hint="default"/>
      </w:rPr>
    </w:lvl>
    <w:lvl w:ilvl="2" w:tplc="124A1B3A">
      <w:start w:val="1"/>
      <w:numFmt w:val="bullet"/>
      <w:lvlText w:val=""/>
      <w:lvlJc w:val="left"/>
      <w:pPr>
        <w:tabs>
          <w:tab w:val="num" w:pos="1440"/>
        </w:tabs>
        <w:ind w:left="1440" w:hanging="360"/>
      </w:pPr>
      <w:rPr>
        <w:rFonts w:ascii="Wingdings" w:hAnsi="Wingdings" w:hint="default"/>
      </w:rPr>
    </w:lvl>
    <w:lvl w:ilvl="3" w:tplc="DEB0A614" w:tentative="1">
      <w:start w:val="1"/>
      <w:numFmt w:val="bullet"/>
      <w:lvlText w:val=""/>
      <w:lvlJc w:val="left"/>
      <w:pPr>
        <w:tabs>
          <w:tab w:val="num" w:pos="2160"/>
        </w:tabs>
        <w:ind w:left="2160" w:hanging="360"/>
      </w:pPr>
      <w:rPr>
        <w:rFonts w:ascii="Symbol" w:hAnsi="Symbol" w:hint="default"/>
      </w:rPr>
    </w:lvl>
    <w:lvl w:ilvl="4" w:tplc="D7080DD6" w:tentative="1">
      <w:start w:val="1"/>
      <w:numFmt w:val="bullet"/>
      <w:lvlText w:val="o"/>
      <w:lvlJc w:val="left"/>
      <w:pPr>
        <w:tabs>
          <w:tab w:val="num" w:pos="2880"/>
        </w:tabs>
        <w:ind w:left="2880" w:hanging="360"/>
      </w:pPr>
      <w:rPr>
        <w:rFonts w:ascii="Courier New" w:hAnsi="Courier New" w:cs="Courier New" w:hint="default"/>
      </w:rPr>
    </w:lvl>
    <w:lvl w:ilvl="5" w:tplc="1A0C80E4" w:tentative="1">
      <w:start w:val="1"/>
      <w:numFmt w:val="bullet"/>
      <w:lvlText w:val=""/>
      <w:lvlJc w:val="left"/>
      <w:pPr>
        <w:tabs>
          <w:tab w:val="num" w:pos="3600"/>
        </w:tabs>
        <w:ind w:left="3600" w:hanging="360"/>
      </w:pPr>
      <w:rPr>
        <w:rFonts w:ascii="Wingdings" w:hAnsi="Wingdings" w:hint="default"/>
      </w:rPr>
    </w:lvl>
    <w:lvl w:ilvl="6" w:tplc="4288DCF6" w:tentative="1">
      <w:start w:val="1"/>
      <w:numFmt w:val="bullet"/>
      <w:lvlText w:val=""/>
      <w:lvlJc w:val="left"/>
      <w:pPr>
        <w:tabs>
          <w:tab w:val="num" w:pos="4320"/>
        </w:tabs>
        <w:ind w:left="4320" w:hanging="360"/>
      </w:pPr>
      <w:rPr>
        <w:rFonts w:ascii="Symbol" w:hAnsi="Symbol" w:hint="default"/>
      </w:rPr>
    </w:lvl>
    <w:lvl w:ilvl="7" w:tplc="8A02018A" w:tentative="1">
      <w:start w:val="1"/>
      <w:numFmt w:val="bullet"/>
      <w:lvlText w:val="o"/>
      <w:lvlJc w:val="left"/>
      <w:pPr>
        <w:tabs>
          <w:tab w:val="num" w:pos="5040"/>
        </w:tabs>
        <w:ind w:left="5040" w:hanging="360"/>
      </w:pPr>
      <w:rPr>
        <w:rFonts w:ascii="Courier New" w:hAnsi="Courier New" w:cs="Courier New" w:hint="default"/>
      </w:rPr>
    </w:lvl>
    <w:lvl w:ilvl="8" w:tplc="8A5081D8" w:tentative="1">
      <w:start w:val="1"/>
      <w:numFmt w:val="bullet"/>
      <w:lvlText w:val=""/>
      <w:lvlJc w:val="left"/>
      <w:pPr>
        <w:tabs>
          <w:tab w:val="num" w:pos="5760"/>
        </w:tabs>
        <w:ind w:left="5760" w:hanging="360"/>
      </w:pPr>
      <w:rPr>
        <w:rFonts w:ascii="Wingdings" w:hAnsi="Wingdings" w:hint="default"/>
      </w:rPr>
    </w:lvl>
  </w:abstractNum>
  <w:abstractNum w:abstractNumId="665" w15:restartNumberingAfterBreak="0">
    <w:nsid w:val="559332B9"/>
    <w:multiLevelType w:val="hybridMultilevel"/>
    <w:tmpl w:val="C02A7E6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6" w15:restartNumberingAfterBreak="0">
    <w:nsid w:val="55A90452"/>
    <w:multiLevelType w:val="hybridMultilevel"/>
    <w:tmpl w:val="D146101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67" w15:restartNumberingAfterBreak="0">
    <w:nsid w:val="55AC6622"/>
    <w:multiLevelType w:val="hybridMultilevel"/>
    <w:tmpl w:val="4120D928"/>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68" w15:restartNumberingAfterBreak="0">
    <w:nsid w:val="55BC6472"/>
    <w:multiLevelType w:val="hybridMultilevel"/>
    <w:tmpl w:val="FBCC703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9" w15:restartNumberingAfterBreak="0">
    <w:nsid w:val="55C126F7"/>
    <w:multiLevelType w:val="hybridMultilevel"/>
    <w:tmpl w:val="37563EAA"/>
    <w:lvl w:ilvl="0" w:tplc="04090001">
      <w:start w:val="1"/>
      <w:numFmt w:val="bullet"/>
      <w:lvlText w:val=""/>
      <w:lvlJc w:val="left"/>
      <w:pPr>
        <w:tabs>
          <w:tab w:val="num" w:pos="720"/>
        </w:tabs>
        <w:ind w:left="720" w:hanging="360"/>
      </w:pPr>
      <w:rPr>
        <w:rFonts w:ascii="Symbol" w:hAnsi="Symbol" w:hint="default"/>
      </w:rPr>
    </w:lvl>
    <w:lvl w:ilvl="1" w:tplc="5BD4709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0" w15:restartNumberingAfterBreak="0">
    <w:nsid w:val="55FE2FEB"/>
    <w:multiLevelType w:val="hybridMultilevel"/>
    <w:tmpl w:val="04404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1" w15:restartNumberingAfterBreak="0">
    <w:nsid w:val="560E2B15"/>
    <w:multiLevelType w:val="hybridMultilevel"/>
    <w:tmpl w:val="E1CC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2" w15:restartNumberingAfterBreak="0">
    <w:nsid w:val="563202DF"/>
    <w:multiLevelType w:val="hybridMultilevel"/>
    <w:tmpl w:val="686A45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3" w15:restartNumberingAfterBreak="0">
    <w:nsid w:val="56751CE0"/>
    <w:multiLevelType w:val="hybridMultilevel"/>
    <w:tmpl w:val="061CD7D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4" w15:restartNumberingAfterBreak="0">
    <w:nsid w:val="56C91BDA"/>
    <w:multiLevelType w:val="hybridMultilevel"/>
    <w:tmpl w:val="6C18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5" w15:restartNumberingAfterBreak="0">
    <w:nsid w:val="56D97C09"/>
    <w:multiLevelType w:val="hybridMultilevel"/>
    <w:tmpl w:val="8632C41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6EA0BFB"/>
    <w:multiLevelType w:val="hybridMultilevel"/>
    <w:tmpl w:val="82D0E75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77" w15:restartNumberingAfterBreak="0">
    <w:nsid w:val="56F71CDD"/>
    <w:multiLevelType w:val="hybridMultilevel"/>
    <w:tmpl w:val="377E69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8" w15:restartNumberingAfterBreak="0">
    <w:nsid w:val="57191F2F"/>
    <w:multiLevelType w:val="hybridMultilevel"/>
    <w:tmpl w:val="4D8ED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9" w15:restartNumberingAfterBreak="0">
    <w:nsid w:val="572C04D2"/>
    <w:multiLevelType w:val="hybridMultilevel"/>
    <w:tmpl w:val="593497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80" w15:restartNumberingAfterBreak="0">
    <w:nsid w:val="572E37BE"/>
    <w:multiLevelType w:val="hybridMultilevel"/>
    <w:tmpl w:val="A56241AC"/>
    <w:lvl w:ilvl="0" w:tplc="E74AC110">
      <w:start w:val="1"/>
      <w:numFmt w:val="decimal"/>
      <w:lvlText w:val="%1."/>
      <w:lvlJc w:val="left"/>
      <w:pPr>
        <w:tabs>
          <w:tab w:val="num" w:pos="1008"/>
        </w:tabs>
        <w:ind w:left="1008" w:hanging="288"/>
      </w:pPr>
      <w:rPr>
        <w:rFonts w:hint="default"/>
        <w:b w:val="0"/>
        <w:i w:val="0"/>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1" w15:restartNumberingAfterBreak="0">
    <w:nsid w:val="572F6CA4"/>
    <w:multiLevelType w:val="multilevel"/>
    <w:tmpl w:val="50BCCA02"/>
    <w:lvl w:ilvl="0">
      <w:start w:val="1"/>
      <w:numFmt w:val="decimal"/>
      <w:lvlText w:val="%1."/>
      <w:lvlJc w:val="left"/>
      <w:pPr>
        <w:tabs>
          <w:tab w:val="num" w:pos="1710"/>
        </w:tabs>
        <w:ind w:left="1710" w:hanging="360"/>
      </w:pPr>
      <w:rPr>
        <w:rFonts w:hint="default"/>
      </w:rPr>
    </w:lvl>
    <w:lvl w:ilvl="1">
      <w:start w:val="9"/>
      <w:numFmt w:val="decimal"/>
      <w:isLgl/>
      <w:lvlText w:val="%1.%2"/>
      <w:lvlJc w:val="left"/>
      <w:pPr>
        <w:ind w:left="495" w:hanging="49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2" w15:restartNumberingAfterBreak="0">
    <w:nsid w:val="5752251F"/>
    <w:multiLevelType w:val="hybridMultilevel"/>
    <w:tmpl w:val="8CF896C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83" w15:restartNumberingAfterBreak="0">
    <w:nsid w:val="575D5C06"/>
    <w:multiLevelType w:val="hybridMultilevel"/>
    <w:tmpl w:val="274CEB3E"/>
    <w:lvl w:ilvl="0" w:tplc="5FE07FD6">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4" w15:restartNumberingAfterBreak="0">
    <w:nsid w:val="57744805"/>
    <w:multiLevelType w:val="hybridMultilevel"/>
    <w:tmpl w:val="4314E44A"/>
    <w:lvl w:ilvl="0" w:tplc="04090001">
      <w:start w:val="1"/>
      <w:numFmt w:val="bullet"/>
      <w:lvlText w:val=""/>
      <w:lvlJc w:val="left"/>
      <w:pPr>
        <w:tabs>
          <w:tab w:val="num" w:pos="360"/>
        </w:tabs>
        <w:ind w:left="360" w:hanging="360"/>
      </w:pPr>
      <w:rPr>
        <w:rFonts w:ascii="Symbol" w:hAnsi="Symbol" w:hint="default"/>
      </w:rPr>
    </w:lvl>
    <w:lvl w:ilvl="1" w:tplc="5BD4709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5" w15:restartNumberingAfterBreak="0">
    <w:nsid w:val="57936509"/>
    <w:multiLevelType w:val="hybridMultilevel"/>
    <w:tmpl w:val="8BDAD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6" w15:restartNumberingAfterBreak="0">
    <w:nsid w:val="57CB4885"/>
    <w:multiLevelType w:val="hybridMultilevel"/>
    <w:tmpl w:val="BEAC6C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87" w15:restartNumberingAfterBreak="0">
    <w:nsid w:val="57D24E6C"/>
    <w:multiLevelType w:val="hybridMultilevel"/>
    <w:tmpl w:val="70888F30"/>
    <w:lvl w:ilvl="0" w:tplc="F4284114">
      <w:start w:val="1"/>
      <w:numFmt w:val="decimal"/>
      <w:lvlText w:val="%1."/>
      <w:lvlJc w:val="left"/>
      <w:pPr>
        <w:tabs>
          <w:tab w:val="num" w:pos="1170"/>
        </w:tabs>
        <w:ind w:left="1170" w:hanging="360"/>
      </w:pPr>
      <w:rPr>
        <w:rFonts w:hint="default"/>
        <w:b w:val="0"/>
        <w:i w:val="0"/>
      </w:rPr>
    </w:lvl>
    <w:lvl w:ilvl="1" w:tplc="26E8E588">
      <w:start w:val="1"/>
      <w:numFmt w:val="bullet"/>
      <w:lvlText w:val="o"/>
      <w:lvlJc w:val="left"/>
      <w:pPr>
        <w:tabs>
          <w:tab w:val="num" w:pos="720"/>
        </w:tabs>
        <w:ind w:left="720" w:hanging="360"/>
      </w:pPr>
      <w:rPr>
        <w:rFonts w:ascii="Courier New" w:hAnsi="Courier New" w:cs="Courier New" w:hint="default"/>
      </w:rPr>
    </w:lvl>
    <w:lvl w:ilvl="2" w:tplc="124A1B3A">
      <w:start w:val="1"/>
      <w:numFmt w:val="bullet"/>
      <w:lvlText w:val=""/>
      <w:lvlJc w:val="left"/>
      <w:pPr>
        <w:tabs>
          <w:tab w:val="num" w:pos="1440"/>
        </w:tabs>
        <w:ind w:left="1440" w:hanging="360"/>
      </w:pPr>
      <w:rPr>
        <w:rFonts w:ascii="Wingdings" w:hAnsi="Wingdings" w:hint="default"/>
      </w:rPr>
    </w:lvl>
    <w:lvl w:ilvl="3" w:tplc="DEB0A614" w:tentative="1">
      <w:start w:val="1"/>
      <w:numFmt w:val="bullet"/>
      <w:lvlText w:val=""/>
      <w:lvlJc w:val="left"/>
      <w:pPr>
        <w:tabs>
          <w:tab w:val="num" w:pos="2160"/>
        </w:tabs>
        <w:ind w:left="2160" w:hanging="360"/>
      </w:pPr>
      <w:rPr>
        <w:rFonts w:ascii="Symbol" w:hAnsi="Symbol" w:hint="default"/>
      </w:rPr>
    </w:lvl>
    <w:lvl w:ilvl="4" w:tplc="D7080DD6" w:tentative="1">
      <w:start w:val="1"/>
      <w:numFmt w:val="bullet"/>
      <w:lvlText w:val="o"/>
      <w:lvlJc w:val="left"/>
      <w:pPr>
        <w:tabs>
          <w:tab w:val="num" w:pos="2880"/>
        </w:tabs>
        <w:ind w:left="2880" w:hanging="360"/>
      </w:pPr>
      <w:rPr>
        <w:rFonts w:ascii="Courier New" w:hAnsi="Courier New" w:cs="Courier New" w:hint="default"/>
      </w:rPr>
    </w:lvl>
    <w:lvl w:ilvl="5" w:tplc="1A0C80E4" w:tentative="1">
      <w:start w:val="1"/>
      <w:numFmt w:val="bullet"/>
      <w:lvlText w:val=""/>
      <w:lvlJc w:val="left"/>
      <w:pPr>
        <w:tabs>
          <w:tab w:val="num" w:pos="3600"/>
        </w:tabs>
        <w:ind w:left="3600" w:hanging="360"/>
      </w:pPr>
      <w:rPr>
        <w:rFonts w:ascii="Wingdings" w:hAnsi="Wingdings" w:hint="default"/>
      </w:rPr>
    </w:lvl>
    <w:lvl w:ilvl="6" w:tplc="4288DCF6" w:tentative="1">
      <w:start w:val="1"/>
      <w:numFmt w:val="bullet"/>
      <w:lvlText w:val=""/>
      <w:lvlJc w:val="left"/>
      <w:pPr>
        <w:tabs>
          <w:tab w:val="num" w:pos="4320"/>
        </w:tabs>
        <w:ind w:left="4320" w:hanging="360"/>
      </w:pPr>
      <w:rPr>
        <w:rFonts w:ascii="Symbol" w:hAnsi="Symbol" w:hint="default"/>
      </w:rPr>
    </w:lvl>
    <w:lvl w:ilvl="7" w:tplc="8A02018A" w:tentative="1">
      <w:start w:val="1"/>
      <w:numFmt w:val="bullet"/>
      <w:lvlText w:val="o"/>
      <w:lvlJc w:val="left"/>
      <w:pPr>
        <w:tabs>
          <w:tab w:val="num" w:pos="5040"/>
        </w:tabs>
        <w:ind w:left="5040" w:hanging="360"/>
      </w:pPr>
      <w:rPr>
        <w:rFonts w:ascii="Courier New" w:hAnsi="Courier New" w:cs="Courier New" w:hint="default"/>
      </w:rPr>
    </w:lvl>
    <w:lvl w:ilvl="8" w:tplc="8A5081D8" w:tentative="1">
      <w:start w:val="1"/>
      <w:numFmt w:val="bullet"/>
      <w:lvlText w:val=""/>
      <w:lvlJc w:val="left"/>
      <w:pPr>
        <w:tabs>
          <w:tab w:val="num" w:pos="5760"/>
        </w:tabs>
        <w:ind w:left="5760" w:hanging="360"/>
      </w:pPr>
      <w:rPr>
        <w:rFonts w:ascii="Wingdings" w:hAnsi="Wingdings" w:hint="default"/>
      </w:rPr>
    </w:lvl>
  </w:abstractNum>
  <w:abstractNum w:abstractNumId="688" w15:restartNumberingAfterBreak="0">
    <w:nsid w:val="58002D6D"/>
    <w:multiLevelType w:val="hybridMultilevel"/>
    <w:tmpl w:val="FA6E13B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9" w15:restartNumberingAfterBreak="0">
    <w:nsid w:val="58307DC3"/>
    <w:multiLevelType w:val="hybridMultilevel"/>
    <w:tmpl w:val="E822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0" w15:restartNumberingAfterBreak="0">
    <w:nsid w:val="5856263D"/>
    <w:multiLevelType w:val="hybridMultilevel"/>
    <w:tmpl w:val="E4DA4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1" w15:restartNumberingAfterBreak="0">
    <w:nsid w:val="585F6DA4"/>
    <w:multiLevelType w:val="hybridMultilevel"/>
    <w:tmpl w:val="EF8A4004"/>
    <w:lvl w:ilvl="0" w:tplc="35EC064E">
      <w:start w:val="1"/>
      <w:numFmt w:val="decimal"/>
      <w:lvlText w:val="%1."/>
      <w:lvlJc w:val="left"/>
      <w:pPr>
        <w:ind w:left="180" w:hanging="180"/>
      </w:pPr>
      <w:rPr>
        <w:rFonts w:ascii="Times New Roman" w:hAnsi="Times New Roman" w:hint="default"/>
        <w:sz w:val="24"/>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692" w15:restartNumberingAfterBreak="0">
    <w:nsid w:val="5881122A"/>
    <w:multiLevelType w:val="hybridMultilevel"/>
    <w:tmpl w:val="2550ED3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93" w15:restartNumberingAfterBreak="0">
    <w:nsid w:val="58B42A2F"/>
    <w:multiLevelType w:val="hybridMultilevel"/>
    <w:tmpl w:val="1D162A3E"/>
    <w:lvl w:ilvl="0" w:tplc="A7784AB6">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4" w15:restartNumberingAfterBreak="0">
    <w:nsid w:val="58D40922"/>
    <w:multiLevelType w:val="hybridMultilevel"/>
    <w:tmpl w:val="3F9EF580"/>
    <w:lvl w:ilvl="0" w:tplc="FFFFFFFF">
      <w:start w:val="1"/>
      <w:numFmt w:val="lowerLetter"/>
      <w:lvlText w:val="%1."/>
      <w:lvlJc w:val="left"/>
      <w:pPr>
        <w:ind w:left="720" w:hanging="36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5" w15:restartNumberingAfterBreak="0">
    <w:nsid w:val="5919552D"/>
    <w:multiLevelType w:val="hybridMultilevel"/>
    <w:tmpl w:val="E920264C"/>
    <w:lvl w:ilvl="0" w:tplc="04090001">
      <w:start w:val="1"/>
      <w:numFmt w:val="bullet"/>
      <w:lvlText w:val=""/>
      <w:lvlJc w:val="left"/>
      <w:pPr>
        <w:tabs>
          <w:tab w:val="num" w:pos="864"/>
        </w:tabs>
        <w:ind w:left="864" w:hanging="360"/>
      </w:pPr>
      <w:rPr>
        <w:rFonts w:ascii="Symbol" w:hAnsi="Symbol" w:hint="default"/>
      </w:rPr>
    </w:lvl>
    <w:lvl w:ilvl="1" w:tplc="776A7A9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6" w15:restartNumberingAfterBreak="0">
    <w:nsid w:val="593A501E"/>
    <w:multiLevelType w:val="hybridMultilevel"/>
    <w:tmpl w:val="9F3EB31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97" w15:restartNumberingAfterBreak="0">
    <w:nsid w:val="59A00C8F"/>
    <w:multiLevelType w:val="hybridMultilevel"/>
    <w:tmpl w:val="1376F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8" w15:restartNumberingAfterBreak="0">
    <w:nsid w:val="59BD6C52"/>
    <w:multiLevelType w:val="hybridMultilevel"/>
    <w:tmpl w:val="BD90E130"/>
    <w:lvl w:ilvl="0" w:tplc="9AD66AF2">
      <w:start w:val="1"/>
      <w:numFmt w:val="decimal"/>
      <w:lvlText w:val="%1."/>
      <w:lvlJc w:val="left"/>
      <w:pPr>
        <w:tabs>
          <w:tab w:val="num" w:pos="936"/>
        </w:tabs>
        <w:ind w:left="936" w:hanging="432"/>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9" w15:restartNumberingAfterBreak="0">
    <w:nsid w:val="59D050A9"/>
    <w:multiLevelType w:val="hybridMultilevel"/>
    <w:tmpl w:val="4BDEDBD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700" w15:restartNumberingAfterBreak="0">
    <w:nsid w:val="59F85941"/>
    <w:multiLevelType w:val="hybridMultilevel"/>
    <w:tmpl w:val="DB1098E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01" w15:restartNumberingAfterBreak="0">
    <w:nsid w:val="59FD0D4E"/>
    <w:multiLevelType w:val="hybridMultilevel"/>
    <w:tmpl w:val="46D4C7D0"/>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02" w15:restartNumberingAfterBreak="0">
    <w:nsid w:val="5A316215"/>
    <w:multiLevelType w:val="hybridMultilevel"/>
    <w:tmpl w:val="1752E8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57"/>
        </w:tabs>
        <w:ind w:left="1457" w:hanging="360"/>
      </w:pPr>
    </w:lvl>
    <w:lvl w:ilvl="2" w:tplc="04090005" w:tentative="1">
      <w:start w:val="1"/>
      <w:numFmt w:val="lowerRoman"/>
      <w:lvlText w:val="%3."/>
      <w:lvlJc w:val="right"/>
      <w:pPr>
        <w:tabs>
          <w:tab w:val="num" w:pos="2177"/>
        </w:tabs>
        <w:ind w:left="2177" w:hanging="180"/>
      </w:pPr>
    </w:lvl>
    <w:lvl w:ilvl="3" w:tplc="04090001" w:tentative="1">
      <w:start w:val="1"/>
      <w:numFmt w:val="decimal"/>
      <w:lvlText w:val="%4."/>
      <w:lvlJc w:val="left"/>
      <w:pPr>
        <w:tabs>
          <w:tab w:val="num" w:pos="2897"/>
        </w:tabs>
        <w:ind w:left="2897" w:hanging="360"/>
      </w:pPr>
    </w:lvl>
    <w:lvl w:ilvl="4" w:tplc="04090003" w:tentative="1">
      <w:start w:val="1"/>
      <w:numFmt w:val="lowerLetter"/>
      <w:lvlText w:val="%5."/>
      <w:lvlJc w:val="left"/>
      <w:pPr>
        <w:tabs>
          <w:tab w:val="num" w:pos="3617"/>
        </w:tabs>
        <w:ind w:left="3617" w:hanging="360"/>
      </w:pPr>
    </w:lvl>
    <w:lvl w:ilvl="5" w:tplc="04090005" w:tentative="1">
      <w:start w:val="1"/>
      <w:numFmt w:val="lowerRoman"/>
      <w:lvlText w:val="%6."/>
      <w:lvlJc w:val="right"/>
      <w:pPr>
        <w:tabs>
          <w:tab w:val="num" w:pos="4337"/>
        </w:tabs>
        <w:ind w:left="4337" w:hanging="180"/>
      </w:pPr>
    </w:lvl>
    <w:lvl w:ilvl="6" w:tplc="04090001" w:tentative="1">
      <w:start w:val="1"/>
      <w:numFmt w:val="decimal"/>
      <w:lvlText w:val="%7."/>
      <w:lvlJc w:val="left"/>
      <w:pPr>
        <w:tabs>
          <w:tab w:val="num" w:pos="5057"/>
        </w:tabs>
        <w:ind w:left="5057" w:hanging="360"/>
      </w:pPr>
    </w:lvl>
    <w:lvl w:ilvl="7" w:tplc="04090003" w:tentative="1">
      <w:start w:val="1"/>
      <w:numFmt w:val="lowerLetter"/>
      <w:lvlText w:val="%8."/>
      <w:lvlJc w:val="left"/>
      <w:pPr>
        <w:tabs>
          <w:tab w:val="num" w:pos="5777"/>
        </w:tabs>
        <w:ind w:left="5777" w:hanging="360"/>
      </w:pPr>
    </w:lvl>
    <w:lvl w:ilvl="8" w:tplc="04090005" w:tentative="1">
      <w:start w:val="1"/>
      <w:numFmt w:val="lowerRoman"/>
      <w:lvlText w:val="%9."/>
      <w:lvlJc w:val="right"/>
      <w:pPr>
        <w:tabs>
          <w:tab w:val="num" w:pos="6497"/>
        </w:tabs>
        <w:ind w:left="6497" w:hanging="180"/>
      </w:pPr>
    </w:lvl>
  </w:abstractNum>
  <w:abstractNum w:abstractNumId="703" w15:restartNumberingAfterBreak="0">
    <w:nsid w:val="5A5D6B35"/>
    <w:multiLevelType w:val="hybridMultilevel"/>
    <w:tmpl w:val="2390B85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704" w15:restartNumberingAfterBreak="0">
    <w:nsid w:val="5A6B0A49"/>
    <w:multiLevelType w:val="hybridMultilevel"/>
    <w:tmpl w:val="AD9E0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5" w15:restartNumberingAfterBreak="0">
    <w:nsid w:val="5A774650"/>
    <w:multiLevelType w:val="hybridMultilevel"/>
    <w:tmpl w:val="465CCB70"/>
    <w:lvl w:ilvl="0" w:tplc="08BEE18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06" w15:restartNumberingAfterBreak="0">
    <w:nsid w:val="5AAA6A00"/>
    <w:multiLevelType w:val="hybridMultilevel"/>
    <w:tmpl w:val="B2202254"/>
    <w:lvl w:ilvl="0" w:tplc="39A24F36">
      <w:start w:val="1"/>
      <w:numFmt w:val="bullet"/>
      <w:lvlText w:val=""/>
      <w:lvlJc w:val="left"/>
      <w:pPr>
        <w:tabs>
          <w:tab w:val="num" w:pos="720"/>
        </w:tabs>
        <w:ind w:left="720" w:hanging="360"/>
      </w:pPr>
      <w:rPr>
        <w:rFonts w:ascii="Symbol" w:hAnsi="Symbo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7" w15:restartNumberingAfterBreak="0">
    <w:nsid w:val="5AE07BF1"/>
    <w:multiLevelType w:val="hybridMultilevel"/>
    <w:tmpl w:val="241EFF3C"/>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8" w15:restartNumberingAfterBreak="0">
    <w:nsid w:val="5B0B72ED"/>
    <w:multiLevelType w:val="hybridMultilevel"/>
    <w:tmpl w:val="997CA5EC"/>
    <w:lvl w:ilvl="0" w:tplc="FFFFFFFF">
      <w:start w:val="1"/>
      <w:numFmt w:val="lowerRoman"/>
      <w:lvlText w:val="%1."/>
      <w:lvlJc w:val="left"/>
      <w:pPr>
        <w:tabs>
          <w:tab w:val="num" w:pos="360"/>
        </w:tabs>
        <w:ind w:left="360" w:hanging="360"/>
      </w:pPr>
      <w:rPr>
        <w:rFonts w:ascii="Arial" w:hAnsi="Arial" w:hint="default"/>
        <w:b w:val="0"/>
        <w:i w:val="0"/>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9" w15:restartNumberingAfterBreak="0">
    <w:nsid w:val="5B230E89"/>
    <w:multiLevelType w:val="hybridMultilevel"/>
    <w:tmpl w:val="A274D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0" w15:restartNumberingAfterBreak="0">
    <w:nsid w:val="5BD67CEE"/>
    <w:multiLevelType w:val="hybridMultilevel"/>
    <w:tmpl w:val="F91C4C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1" w15:restartNumberingAfterBreak="0">
    <w:nsid w:val="5BDD6BFD"/>
    <w:multiLevelType w:val="hybridMultilevel"/>
    <w:tmpl w:val="40E0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2" w15:restartNumberingAfterBreak="0">
    <w:nsid w:val="5C0D32D7"/>
    <w:multiLevelType w:val="hybridMultilevel"/>
    <w:tmpl w:val="2BD4D820"/>
    <w:lvl w:ilvl="0" w:tplc="08F62668">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3" w15:restartNumberingAfterBreak="0">
    <w:nsid w:val="5C3B0E74"/>
    <w:multiLevelType w:val="hybridMultilevel"/>
    <w:tmpl w:val="6C2EA8E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714" w15:restartNumberingAfterBreak="0">
    <w:nsid w:val="5C462384"/>
    <w:multiLevelType w:val="hybridMultilevel"/>
    <w:tmpl w:val="808C180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15" w15:restartNumberingAfterBreak="0">
    <w:nsid w:val="5C73654B"/>
    <w:multiLevelType w:val="hybridMultilevel"/>
    <w:tmpl w:val="49140B86"/>
    <w:lvl w:ilvl="0" w:tplc="04090001">
      <w:start w:val="1"/>
      <w:numFmt w:val="bullet"/>
      <w:lvlText w:val=""/>
      <w:lvlJc w:val="left"/>
      <w:pPr>
        <w:tabs>
          <w:tab w:val="num" w:pos="720"/>
        </w:tabs>
        <w:ind w:left="720" w:hanging="360"/>
      </w:pPr>
      <w:rPr>
        <w:rFonts w:ascii="Symbol" w:hAnsi="Symbol" w:hint="default"/>
      </w:rPr>
    </w:lvl>
    <w:lvl w:ilvl="1" w:tplc="5BD4709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6" w15:restartNumberingAfterBreak="0">
    <w:nsid w:val="5C8B0350"/>
    <w:multiLevelType w:val="hybridMultilevel"/>
    <w:tmpl w:val="A482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7" w15:restartNumberingAfterBreak="0">
    <w:nsid w:val="5CD528BD"/>
    <w:multiLevelType w:val="hybridMultilevel"/>
    <w:tmpl w:val="3C26F9A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18" w15:restartNumberingAfterBreak="0">
    <w:nsid w:val="5CF97FBA"/>
    <w:multiLevelType w:val="singleLevel"/>
    <w:tmpl w:val="590C7EEE"/>
    <w:lvl w:ilvl="0">
      <w:start w:val="1"/>
      <w:numFmt w:val="decimal"/>
      <w:lvlText w:val="%1."/>
      <w:lvlJc w:val="left"/>
      <w:pPr>
        <w:tabs>
          <w:tab w:val="num" w:pos="360"/>
        </w:tabs>
        <w:ind w:left="360" w:hanging="360"/>
      </w:pPr>
      <w:rPr>
        <w:rFonts w:hint="default"/>
        <w:b w:val="0"/>
        <w:i w:val="0"/>
      </w:rPr>
    </w:lvl>
  </w:abstractNum>
  <w:abstractNum w:abstractNumId="719" w15:restartNumberingAfterBreak="0">
    <w:nsid w:val="5CFE3E1C"/>
    <w:multiLevelType w:val="hybridMultilevel"/>
    <w:tmpl w:val="16D08076"/>
    <w:lvl w:ilvl="0" w:tplc="04090001">
      <w:start w:val="1"/>
      <w:numFmt w:val="bullet"/>
      <w:lvlText w:val=""/>
      <w:lvlJc w:val="left"/>
      <w:pPr>
        <w:tabs>
          <w:tab w:val="num" w:pos="468"/>
        </w:tabs>
        <w:ind w:left="468"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20" w15:restartNumberingAfterBreak="0">
    <w:nsid w:val="5D095DC0"/>
    <w:multiLevelType w:val="hybridMultilevel"/>
    <w:tmpl w:val="479A40B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1" w15:restartNumberingAfterBreak="0">
    <w:nsid w:val="5D682202"/>
    <w:multiLevelType w:val="multilevel"/>
    <w:tmpl w:val="E5187A72"/>
    <w:lvl w:ilvl="0">
      <w:start w:val="1"/>
      <w:numFmt w:val="decimal"/>
      <w:lvlText w:val="%1."/>
      <w:lvlJc w:val="left"/>
      <w:pPr>
        <w:tabs>
          <w:tab w:val="num" w:pos="720"/>
        </w:tabs>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2" w15:restartNumberingAfterBreak="0">
    <w:nsid w:val="5D7D5E54"/>
    <w:multiLevelType w:val="hybridMultilevel"/>
    <w:tmpl w:val="6A3AAF8E"/>
    <w:lvl w:ilvl="0" w:tplc="867851C4">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3" w15:restartNumberingAfterBreak="0">
    <w:nsid w:val="5D8A3B52"/>
    <w:multiLevelType w:val="hybridMultilevel"/>
    <w:tmpl w:val="DAF228E6"/>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4" w15:restartNumberingAfterBreak="0">
    <w:nsid w:val="5D8B5AC0"/>
    <w:multiLevelType w:val="hybridMultilevel"/>
    <w:tmpl w:val="C78828C2"/>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5" w15:restartNumberingAfterBreak="0">
    <w:nsid w:val="5DA30D3B"/>
    <w:multiLevelType w:val="hybridMultilevel"/>
    <w:tmpl w:val="A6907D8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6" w15:restartNumberingAfterBreak="0">
    <w:nsid w:val="5E0416A7"/>
    <w:multiLevelType w:val="hybridMultilevel"/>
    <w:tmpl w:val="5922E92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7" w15:restartNumberingAfterBreak="0">
    <w:nsid w:val="5E191C6B"/>
    <w:multiLevelType w:val="hybridMultilevel"/>
    <w:tmpl w:val="CCE0289A"/>
    <w:lvl w:ilvl="0" w:tplc="E2E4E808">
      <w:start w:val="1"/>
      <w:numFmt w:val="decimal"/>
      <w:lvlText w:val="%1."/>
      <w:lvlJc w:val="left"/>
      <w:pPr>
        <w:tabs>
          <w:tab w:val="num" w:pos="720"/>
        </w:tabs>
        <w:ind w:left="720" w:hanging="360"/>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8" w15:restartNumberingAfterBreak="0">
    <w:nsid w:val="5E203BD4"/>
    <w:multiLevelType w:val="hybridMultilevel"/>
    <w:tmpl w:val="DEC27D08"/>
    <w:lvl w:ilvl="0" w:tplc="04090001">
      <w:start w:val="1"/>
      <w:numFmt w:val="bullet"/>
      <w:lvlText w:val=""/>
      <w:lvlJc w:val="left"/>
      <w:pPr>
        <w:tabs>
          <w:tab w:val="num" w:pos="668"/>
        </w:tabs>
        <w:ind w:left="668" w:hanging="360"/>
      </w:pPr>
      <w:rPr>
        <w:rFonts w:ascii="Symbol" w:hAnsi="Symbol" w:hint="default"/>
      </w:rPr>
    </w:lvl>
    <w:lvl w:ilvl="1" w:tplc="1D780F58">
      <w:start w:val="1"/>
      <w:numFmt w:val="decimal"/>
      <w:lvlText w:val="%2."/>
      <w:lvlJc w:val="left"/>
      <w:pPr>
        <w:tabs>
          <w:tab w:val="num" w:pos="1512"/>
        </w:tabs>
        <w:ind w:left="1512" w:hanging="432"/>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9" w15:restartNumberingAfterBreak="0">
    <w:nsid w:val="5E2613BF"/>
    <w:multiLevelType w:val="hybridMultilevel"/>
    <w:tmpl w:val="8840A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0" w15:restartNumberingAfterBreak="0">
    <w:nsid w:val="5E4A0843"/>
    <w:multiLevelType w:val="hybridMultilevel"/>
    <w:tmpl w:val="C396CD6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731" w15:restartNumberingAfterBreak="0">
    <w:nsid w:val="5E5C31B3"/>
    <w:multiLevelType w:val="hybridMultilevel"/>
    <w:tmpl w:val="D12A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2" w15:restartNumberingAfterBreak="0">
    <w:nsid w:val="5E8E32D7"/>
    <w:multiLevelType w:val="hybridMultilevel"/>
    <w:tmpl w:val="300A38F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3" w15:restartNumberingAfterBreak="0">
    <w:nsid w:val="5EA76C90"/>
    <w:multiLevelType w:val="hybridMultilevel"/>
    <w:tmpl w:val="58AAC2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4" w15:restartNumberingAfterBreak="0">
    <w:nsid w:val="5EB8077F"/>
    <w:multiLevelType w:val="hybridMultilevel"/>
    <w:tmpl w:val="180E2B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5" w15:restartNumberingAfterBreak="0">
    <w:nsid w:val="5EB91B74"/>
    <w:multiLevelType w:val="hybridMultilevel"/>
    <w:tmpl w:val="D6DC437A"/>
    <w:lvl w:ilvl="0" w:tplc="04090001">
      <w:start w:val="1"/>
      <w:numFmt w:val="bullet"/>
      <w:lvlText w:val=""/>
      <w:lvlJc w:val="left"/>
      <w:pPr>
        <w:tabs>
          <w:tab w:val="num" w:pos="792"/>
        </w:tabs>
        <w:ind w:left="792" w:hanging="360"/>
      </w:pPr>
      <w:rPr>
        <w:rFonts w:ascii="Symbol" w:hAnsi="Symbol" w:hint="default"/>
      </w:rPr>
    </w:lvl>
    <w:lvl w:ilvl="1" w:tplc="D9FC2024">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6" w15:restartNumberingAfterBreak="0">
    <w:nsid w:val="5EBF0E3D"/>
    <w:multiLevelType w:val="hybridMultilevel"/>
    <w:tmpl w:val="F6AA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7" w15:restartNumberingAfterBreak="0">
    <w:nsid w:val="5F242B43"/>
    <w:multiLevelType w:val="hybridMultilevel"/>
    <w:tmpl w:val="82F20CF4"/>
    <w:lvl w:ilvl="0" w:tplc="04090001">
      <w:start w:val="1"/>
      <w:numFmt w:val="bullet"/>
      <w:lvlText w:val=""/>
      <w:lvlJc w:val="left"/>
      <w:pPr>
        <w:tabs>
          <w:tab w:val="num" w:pos="720"/>
        </w:tabs>
        <w:ind w:left="720" w:hanging="360"/>
      </w:pPr>
      <w:rPr>
        <w:rFonts w:ascii="Symbol" w:hAnsi="Symbol" w:hint="default"/>
      </w:rPr>
    </w:lvl>
    <w:lvl w:ilvl="1" w:tplc="5BD4709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8" w15:restartNumberingAfterBreak="0">
    <w:nsid w:val="5F492F4B"/>
    <w:multiLevelType w:val="hybridMultilevel"/>
    <w:tmpl w:val="AF8038DC"/>
    <w:lvl w:ilvl="0" w:tplc="7DDCD71E">
      <w:start w:val="1"/>
      <w:numFmt w:val="bullet"/>
      <w:lvlText w:val=""/>
      <w:lvlJc w:val="left"/>
      <w:pPr>
        <w:tabs>
          <w:tab w:val="num" w:pos="1860"/>
        </w:tabs>
        <w:ind w:left="1860" w:hanging="360"/>
      </w:pPr>
      <w:rPr>
        <w:rFonts w:ascii="Symbol" w:hAnsi="Symbol" w:hint="default"/>
        <w:sz w:val="24"/>
      </w:rPr>
    </w:lvl>
    <w:lvl w:ilvl="1" w:tplc="04090001">
      <w:start w:val="1"/>
      <w:numFmt w:val="bullet"/>
      <w:lvlText w:val=""/>
      <w:lvlJc w:val="left"/>
      <w:pPr>
        <w:tabs>
          <w:tab w:val="num" w:pos="2580"/>
        </w:tabs>
        <w:ind w:left="2580" w:hanging="360"/>
      </w:pPr>
      <w:rPr>
        <w:rFonts w:ascii="Symbol" w:hAnsi="Symbol"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739" w15:restartNumberingAfterBreak="0">
    <w:nsid w:val="5F563E3F"/>
    <w:multiLevelType w:val="hybridMultilevel"/>
    <w:tmpl w:val="C5525452"/>
    <w:lvl w:ilvl="0" w:tplc="04090001">
      <w:start w:val="1"/>
      <w:numFmt w:val="bullet"/>
      <w:lvlText w:val=""/>
      <w:lvlJc w:val="left"/>
      <w:pPr>
        <w:tabs>
          <w:tab w:val="num" w:pos="668"/>
        </w:tabs>
        <w:ind w:left="668" w:hanging="360"/>
      </w:pPr>
      <w:rPr>
        <w:rFonts w:ascii="Symbol" w:hAnsi="Symbol" w:hint="default"/>
      </w:rPr>
    </w:lvl>
    <w:lvl w:ilvl="1" w:tplc="E2E4E808">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40" w15:restartNumberingAfterBreak="0">
    <w:nsid w:val="5F9102FC"/>
    <w:multiLevelType w:val="hybridMultilevel"/>
    <w:tmpl w:val="5EFC3D9A"/>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1" w15:restartNumberingAfterBreak="0">
    <w:nsid w:val="5F93426E"/>
    <w:multiLevelType w:val="hybridMultilevel"/>
    <w:tmpl w:val="407E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2" w15:restartNumberingAfterBreak="0">
    <w:nsid w:val="5F9C204D"/>
    <w:multiLevelType w:val="hybridMultilevel"/>
    <w:tmpl w:val="D4F43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3" w15:restartNumberingAfterBreak="0">
    <w:nsid w:val="5FBE4519"/>
    <w:multiLevelType w:val="hybridMultilevel"/>
    <w:tmpl w:val="F57AF4E6"/>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4" w15:restartNumberingAfterBreak="0">
    <w:nsid w:val="5FE64687"/>
    <w:multiLevelType w:val="hybridMultilevel"/>
    <w:tmpl w:val="D76001A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45" w15:restartNumberingAfterBreak="0">
    <w:nsid w:val="5FFD41F2"/>
    <w:multiLevelType w:val="hybridMultilevel"/>
    <w:tmpl w:val="4C9A46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6" w15:restartNumberingAfterBreak="0">
    <w:nsid w:val="60B415C1"/>
    <w:multiLevelType w:val="hybridMultilevel"/>
    <w:tmpl w:val="78D4F5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7" w15:restartNumberingAfterBreak="0">
    <w:nsid w:val="60C2372C"/>
    <w:multiLevelType w:val="hybridMultilevel"/>
    <w:tmpl w:val="BCD0154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48" w15:restartNumberingAfterBreak="0">
    <w:nsid w:val="61246A51"/>
    <w:multiLevelType w:val="hybridMultilevel"/>
    <w:tmpl w:val="08CA7FBC"/>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9" w15:restartNumberingAfterBreak="0">
    <w:nsid w:val="614020E4"/>
    <w:multiLevelType w:val="hybridMultilevel"/>
    <w:tmpl w:val="D9ECDBC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0" w15:restartNumberingAfterBreak="0">
    <w:nsid w:val="6149722D"/>
    <w:multiLevelType w:val="hybridMultilevel"/>
    <w:tmpl w:val="07860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1" w15:restartNumberingAfterBreak="0">
    <w:nsid w:val="614D24C2"/>
    <w:multiLevelType w:val="hybridMultilevel"/>
    <w:tmpl w:val="CEF4231A"/>
    <w:lvl w:ilvl="0" w:tplc="04090001">
      <w:start w:val="1"/>
      <w:numFmt w:val="bullet"/>
      <w:lvlText w:val=""/>
      <w:lvlJc w:val="left"/>
      <w:pPr>
        <w:tabs>
          <w:tab w:val="num" w:pos="792"/>
        </w:tabs>
        <w:ind w:left="792" w:hanging="360"/>
      </w:pPr>
      <w:rPr>
        <w:rFonts w:ascii="Symbol" w:hAnsi="Symbol" w:hint="default"/>
      </w:rPr>
    </w:lvl>
    <w:lvl w:ilvl="1" w:tplc="57D052D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2" w15:restartNumberingAfterBreak="0">
    <w:nsid w:val="61944352"/>
    <w:multiLevelType w:val="hybridMultilevel"/>
    <w:tmpl w:val="BC42C7CC"/>
    <w:lvl w:ilvl="0" w:tplc="73B68504">
      <w:start w:val="1"/>
      <w:numFmt w:val="decimal"/>
      <w:lvlText w:val="%1."/>
      <w:lvlJc w:val="left"/>
      <w:pPr>
        <w:tabs>
          <w:tab w:val="num" w:pos="360"/>
        </w:tabs>
        <w:ind w:left="360" w:hanging="360"/>
      </w:pPr>
      <w:rPr>
        <w:rFonts w:hint="default"/>
        <w:b w:val="0"/>
        <w:i w:val="0"/>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3" w15:restartNumberingAfterBreak="0">
    <w:nsid w:val="61955B30"/>
    <w:multiLevelType w:val="hybridMultilevel"/>
    <w:tmpl w:val="F5266C36"/>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152"/>
        </w:tabs>
        <w:ind w:left="1152" w:hanging="432"/>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4" w15:restartNumberingAfterBreak="0">
    <w:nsid w:val="61ABD9F9"/>
    <w:multiLevelType w:val="hybridMultilevel"/>
    <w:tmpl w:val="63FB81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5" w15:restartNumberingAfterBreak="0">
    <w:nsid w:val="61C336F4"/>
    <w:multiLevelType w:val="multilevel"/>
    <w:tmpl w:val="D5F49C1C"/>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6" w15:restartNumberingAfterBreak="0">
    <w:nsid w:val="61E71C24"/>
    <w:multiLevelType w:val="hybridMultilevel"/>
    <w:tmpl w:val="6AE430F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7" w15:restartNumberingAfterBreak="0">
    <w:nsid w:val="61F000E3"/>
    <w:multiLevelType w:val="hybridMultilevel"/>
    <w:tmpl w:val="545A988E"/>
    <w:lvl w:ilvl="0" w:tplc="B02644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8" w15:restartNumberingAfterBreak="0">
    <w:nsid w:val="6215796A"/>
    <w:multiLevelType w:val="hybridMultilevel"/>
    <w:tmpl w:val="5F303FBE"/>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9" w15:restartNumberingAfterBreak="0">
    <w:nsid w:val="626E5498"/>
    <w:multiLevelType w:val="hybridMultilevel"/>
    <w:tmpl w:val="2C5657D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0" w15:restartNumberingAfterBreak="0">
    <w:nsid w:val="627C7091"/>
    <w:multiLevelType w:val="hybridMultilevel"/>
    <w:tmpl w:val="93EC72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1" w15:restartNumberingAfterBreak="0">
    <w:nsid w:val="62CA28E4"/>
    <w:multiLevelType w:val="hybridMultilevel"/>
    <w:tmpl w:val="53EE56F0"/>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2" w15:restartNumberingAfterBreak="0">
    <w:nsid w:val="62E9488E"/>
    <w:multiLevelType w:val="hybridMultilevel"/>
    <w:tmpl w:val="49EEA06C"/>
    <w:lvl w:ilvl="0" w:tplc="B14C596A">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3" w15:restartNumberingAfterBreak="0">
    <w:nsid w:val="62F17B1C"/>
    <w:multiLevelType w:val="hybridMultilevel"/>
    <w:tmpl w:val="62F4A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4" w15:restartNumberingAfterBreak="0">
    <w:nsid w:val="62F21E0D"/>
    <w:multiLevelType w:val="hybridMultilevel"/>
    <w:tmpl w:val="FBCA34A0"/>
    <w:lvl w:ilvl="0" w:tplc="B4464F22">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65" w15:restartNumberingAfterBreak="0">
    <w:nsid w:val="62F2209D"/>
    <w:multiLevelType w:val="hybridMultilevel"/>
    <w:tmpl w:val="35566DD8"/>
    <w:lvl w:ilvl="0" w:tplc="83F6E0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6" w15:restartNumberingAfterBreak="0">
    <w:nsid w:val="62F6389D"/>
    <w:multiLevelType w:val="multilevel"/>
    <w:tmpl w:val="0040081C"/>
    <w:numStyleLink w:val="StyleBulleted"/>
  </w:abstractNum>
  <w:abstractNum w:abstractNumId="767" w15:restartNumberingAfterBreak="0">
    <w:nsid w:val="63417E3F"/>
    <w:multiLevelType w:val="hybridMultilevel"/>
    <w:tmpl w:val="2856B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8" w15:restartNumberingAfterBreak="0">
    <w:nsid w:val="637F4CA2"/>
    <w:multiLevelType w:val="hybridMultilevel"/>
    <w:tmpl w:val="589CC0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9" w15:restartNumberingAfterBreak="0">
    <w:nsid w:val="63894EA6"/>
    <w:multiLevelType w:val="multilevel"/>
    <w:tmpl w:val="86F29904"/>
    <w:lvl w:ilvl="0">
      <w:start w:val="1"/>
      <w:numFmt w:val="bullet"/>
      <w:lvlText w:val=""/>
      <w:lvlJc w:val="left"/>
      <w:pPr>
        <w:tabs>
          <w:tab w:val="num" w:pos="1860"/>
        </w:tabs>
        <w:ind w:left="1860" w:hanging="360"/>
      </w:pPr>
      <w:rPr>
        <w:rFonts w:ascii="Symbol" w:hAnsi="Symbol" w:hint="default"/>
      </w:rPr>
    </w:lvl>
    <w:lvl w:ilvl="1">
      <w:start w:val="1"/>
      <w:numFmt w:val="bullet"/>
      <w:lvlText w:val=""/>
      <w:lvlJc w:val="left"/>
      <w:pPr>
        <w:tabs>
          <w:tab w:val="num" w:pos="2580"/>
        </w:tabs>
        <w:ind w:left="2580" w:hanging="360"/>
      </w:pPr>
      <w:rPr>
        <w:rFonts w:ascii="Symbol" w:hAnsi="Symbol" w:hint="default"/>
      </w:rPr>
    </w:lvl>
    <w:lvl w:ilvl="2">
      <w:start w:val="1"/>
      <w:numFmt w:val="bullet"/>
      <w:lvlText w:val=""/>
      <w:lvlJc w:val="left"/>
      <w:pPr>
        <w:tabs>
          <w:tab w:val="num" w:pos="3300"/>
        </w:tabs>
        <w:ind w:left="3300" w:hanging="360"/>
      </w:pPr>
      <w:rPr>
        <w:rFonts w:ascii="Wingdings" w:hAnsi="Wingdings" w:hint="default"/>
      </w:rPr>
    </w:lvl>
    <w:lvl w:ilvl="3">
      <w:start w:val="1"/>
      <w:numFmt w:val="bullet"/>
      <w:lvlText w:val=""/>
      <w:lvlJc w:val="left"/>
      <w:pPr>
        <w:tabs>
          <w:tab w:val="num" w:pos="4020"/>
        </w:tabs>
        <w:ind w:left="4020" w:hanging="360"/>
      </w:pPr>
      <w:rPr>
        <w:rFonts w:ascii="Symbol" w:hAnsi="Symbol" w:hint="default"/>
      </w:rPr>
    </w:lvl>
    <w:lvl w:ilvl="4">
      <w:start w:val="1"/>
      <w:numFmt w:val="bullet"/>
      <w:lvlText w:val="o"/>
      <w:lvlJc w:val="left"/>
      <w:pPr>
        <w:tabs>
          <w:tab w:val="num" w:pos="4740"/>
        </w:tabs>
        <w:ind w:left="4740" w:hanging="360"/>
      </w:pPr>
      <w:rPr>
        <w:rFonts w:ascii="Courier New" w:hAnsi="Courier New" w:hint="default"/>
      </w:rPr>
    </w:lvl>
    <w:lvl w:ilvl="5">
      <w:start w:val="1"/>
      <w:numFmt w:val="bullet"/>
      <w:lvlText w:val=""/>
      <w:lvlJc w:val="left"/>
      <w:pPr>
        <w:tabs>
          <w:tab w:val="num" w:pos="5460"/>
        </w:tabs>
        <w:ind w:left="5460" w:hanging="360"/>
      </w:pPr>
      <w:rPr>
        <w:rFonts w:ascii="Wingdings" w:hAnsi="Wingdings" w:hint="default"/>
      </w:rPr>
    </w:lvl>
    <w:lvl w:ilvl="6">
      <w:start w:val="1"/>
      <w:numFmt w:val="bullet"/>
      <w:lvlText w:val=""/>
      <w:lvlJc w:val="left"/>
      <w:pPr>
        <w:tabs>
          <w:tab w:val="num" w:pos="6180"/>
        </w:tabs>
        <w:ind w:left="6180" w:hanging="360"/>
      </w:pPr>
      <w:rPr>
        <w:rFonts w:ascii="Symbol" w:hAnsi="Symbol" w:hint="default"/>
      </w:rPr>
    </w:lvl>
    <w:lvl w:ilvl="7">
      <w:start w:val="1"/>
      <w:numFmt w:val="bullet"/>
      <w:lvlText w:val="o"/>
      <w:lvlJc w:val="left"/>
      <w:pPr>
        <w:tabs>
          <w:tab w:val="num" w:pos="6900"/>
        </w:tabs>
        <w:ind w:left="6900" w:hanging="360"/>
      </w:pPr>
      <w:rPr>
        <w:rFonts w:ascii="Courier New" w:hAnsi="Courier New" w:hint="default"/>
      </w:rPr>
    </w:lvl>
    <w:lvl w:ilvl="8">
      <w:start w:val="1"/>
      <w:numFmt w:val="bullet"/>
      <w:lvlText w:val=""/>
      <w:lvlJc w:val="left"/>
      <w:pPr>
        <w:tabs>
          <w:tab w:val="num" w:pos="7620"/>
        </w:tabs>
        <w:ind w:left="7620" w:hanging="360"/>
      </w:pPr>
      <w:rPr>
        <w:rFonts w:ascii="Wingdings" w:hAnsi="Wingdings" w:hint="default"/>
      </w:rPr>
    </w:lvl>
  </w:abstractNum>
  <w:abstractNum w:abstractNumId="770" w15:restartNumberingAfterBreak="0">
    <w:nsid w:val="638E1B7C"/>
    <w:multiLevelType w:val="multilevel"/>
    <w:tmpl w:val="28FCB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1" w15:restartNumberingAfterBreak="0">
    <w:nsid w:val="63A7373B"/>
    <w:multiLevelType w:val="hybridMultilevel"/>
    <w:tmpl w:val="169836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772" w15:restartNumberingAfterBreak="0">
    <w:nsid w:val="63C00671"/>
    <w:multiLevelType w:val="hybridMultilevel"/>
    <w:tmpl w:val="9D02DFE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3" w15:restartNumberingAfterBreak="0">
    <w:nsid w:val="63C53B2C"/>
    <w:multiLevelType w:val="hybridMultilevel"/>
    <w:tmpl w:val="8E5CC9DC"/>
    <w:lvl w:ilvl="0" w:tplc="04090001">
      <w:start w:val="1"/>
      <w:numFmt w:val="bullet"/>
      <w:lvlText w:val=""/>
      <w:lvlJc w:val="left"/>
      <w:pPr>
        <w:tabs>
          <w:tab w:val="num" w:pos="723"/>
        </w:tabs>
        <w:ind w:left="723"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4" w15:restartNumberingAfterBreak="0">
    <w:nsid w:val="63CD0413"/>
    <w:multiLevelType w:val="hybridMultilevel"/>
    <w:tmpl w:val="E118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5" w15:restartNumberingAfterBreak="0">
    <w:nsid w:val="63D10C46"/>
    <w:multiLevelType w:val="hybridMultilevel"/>
    <w:tmpl w:val="33C0A7DE"/>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6" w15:restartNumberingAfterBreak="0">
    <w:nsid w:val="63D66624"/>
    <w:multiLevelType w:val="hybridMultilevel"/>
    <w:tmpl w:val="A938696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7" w15:restartNumberingAfterBreak="0">
    <w:nsid w:val="63EE6146"/>
    <w:multiLevelType w:val="hybridMultilevel"/>
    <w:tmpl w:val="19B0D3B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78" w15:restartNumberingAfterBreak="0">
    <w:nsid w:val="642077E7"/>
    <w:multiLevelType w:val="hybridMultilevel"/>
    <w:tmpl w:val="4F1EA4B0"/>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779" w15:restartNumberingAfterBreak="0">
    <w:nsid w:val="64776DF7"/>
    <w:multiLevelType w:val="hybridMultilevel"/>
    <w:tmpl w:val="CEA41C9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0" w15:restartNumberingAfterBreak="0">
    <w:nsid w:val="64781A69"/>
    <w:multiLevelType w:val="hybridMultilevel"/>
    <w:tmpl w:val="C434A020"/>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1" w15:restartNumberingAfterBreak="0">
    <w:nsid w:val="647D4ECA"/>
    <w:multiLevelType w:val="hybridMultilevel"/>
    <w:tmpl w:val="BA249620"/>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2" w15:restartNumberingAfterBreak="0">
    <w:nsid w:val="647E7B7C"/>
    <w:multiLevelType w:val="hybridMultilevel"/>
    <w:tmpl w:val="25C8CAA0"/>
    <w:lvl w:ilvl="0" w:tplc="04090001">
      <w:start w:val="1"/>
      <w:numFmt w:val="bullet"/>
      <w:lvlText w:val=""/>
      <w:lvlJc w:val="left"/>
      <w:pPr>
        <w:tabs>
          <w:tab w:val="num" w:pos="668"/>
        </w:tabs>
        <w:ind w:left="668" w:hanging="360"/>
      </w:pPr>
      <w:rPr>
        <w:rFonts w:ascii="Symbol" w:hAnsi="Symbol" w:hint="default"/>
      </w:rPr>
    </w:lvl>
    <w:lvl w:ilvl="1" w:tplc="E2E4E80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3" w15:restartNumberingAfterBreak="0">
    <w:nsid w:val="64ED23F7"/>
    <w:multiLevelType w:val="hybridMultilevel"/>
    <w:tmpl w:val="ECCABE46"/>
    <w:lvl w:ilvl="0" w:tplc="04090001">
      <w:start w:val="1"/>
      <w:numFmt w:val="bullet"/>
      <w:lvlText w:val=""/>
      <w:lvlJc w:val="left"/>
      <w:pPr>
        <w:tabs>
          <w:tab w:val="num" w:pos="723"/>
        </w:tabs>
        <w:ind w:left="723"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4" w15:restartNumberingAfterBreak="0">
    <w:nsid w:val="64EE4395"/>
    <w:multiLevelType w:val="hybridMultilevel"/>
    <w:tmpl w:val="BADC0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5" w15:restartNumberingAfterBreak="0">
    <w:nsid w:val="651528CD"/>
    <w:multiLevelType w:val="hybridMultilevel"/>
    <w:tmpl w:val="F78AED42"/>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786" w15:restartNumberingAfterBreak="0">
    <w:nsid w:val="65442B17"/>
    <w:multiLevelType w:val="hybridMultilevel"/>
    <w:tmpl w:val="9DAE883C"/>
    <w:lvl w:ilvl="0" w:tplc="0776BC90">
      <w:start w:val="1"/>
      <w:numFmt w:val="bullet"/>
      <w:pStyle w:val="Index1"/>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7" w15:restartNumberingAfterBreak="0">
    <w:nsid w:val="65456721"/>
    <w:multiLevelType w:val="hybridMultilevel"/>
    <w:tmpl w:val="374E2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88" w15:restartNumberingAfterBreak="0">
    <w:nsid w:val="659E2606"/>
    <w:multiLevelType w:val="hybridMultilevel"/>
    <w:tmpl w:val="CB809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9" w15:restartNumberingAfterBreak="0">
    <w:nsid w:val="65C51475"/>
    <w:multiLevelType w:val="hybridMultilevel"/>
    <w:tmpl w:val="DF50BB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0" w15:restartNumberingAfterBreak="0">
    <w:nsid w:val="663F3C97"/>
    <w:multiLevelType w:val="hybridMultilevel"/>
    <w:tmpl w:val="328A535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1" w15:restartNumberingAfterBreak="0">
    <w:nsid w:val="663F441F"/>
    <w:multiLevelType w:val="hybridMultilevel"/>
    <w:tmpl w:val="55949306"/>
    <w:lvl w:ilvl="0" w:tplc="04090001">
      <w:start w:val="1"/>
      <w:numFmt w:val="bullet"/>
      <w:lvlText w:val=""/>
      <w:lvlJc w:val="left"/>
      <w:pPr>
        <w:tabs>
          <w:tab w:val="num" w:pos="668"/>
        </w:tabs>
        <w:ind w:left="668" w:hanging="360"/>
      </w:pPr>
      <w:rPr>
        <w:rFonts w:ascii="Symbol" w:hAnsi="Symbol" w:hint="default"/>
      </w:rPr>
    </w:lvl>
    <w:lvl w:ilvl="1" w:tplc="E2E4E808">
      <w:start w:val="1"/>
      <w:numFmt w:val="decimal"/>
      <w:lvlText w:val="%2."/>
      <w:lvlJc w:val="left"/>
      <w:pPr>
        <w:tabs>
          <w:tab w:val="num" w:pos="1560"/>
        </w:tabs>
        <w:ind w:left="1560" w:hanging="36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792" w15:restartNumberingAfterBreak="0">
    <w:nsid w:val="66406EF8"/>
    <w:multiLevelType w:val="hybridMultilevel"/>
    <w:tmpl w:val="DB083B8E"/>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93" w15:restartNumberingAfterBreak="0">
    <w:nsid w:val="6651745E"/>
    <w:multiLevelType w:val="hybridMultilevel"/>
    <w:tmpl w:val="2F8A1BDC"/>
    <w:lvl w:ilvl="0" w:tplc="04090001">
      <w:start w:val="1"/>
      <w:numFmt w:val="bullet"/>
      <w:lvlText w:val=""/>
      <w:lvlJc w:val="left"/>
      <w:pPr>
        <w:tabs>
          <w:tab w:val="num" w:pos="792"/>
        </w:tabs>
        <w:ind w:left="792"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4" w15:restartNumberingAfterBreak="0">
    <w:nsid w:val="6682474E"/>
    <w:multiLevelType w:val="hybridMultilevel"/>
    <w:tmpl w:val="632AC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5" w15:restartNumberingAfterBreak="0">
    <w:nsid w:val="66895C23"/>
    <w:multiLevelType w:val="hybridMultilevel"/>
    <w:tmpl w:val="DA26A2A0"/>
    <w:lvl w:ilvl="0" w:tplc="E8D6F9E4">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6" w15:restartNumberingAfterBreak="0">
    <w:nsid w:val="67225934"/>
    <w:multiLevelType w:val="hybridMultilevel"/>
    <w:tmpl w:val="E7346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7" w15:restartNumberingAfterBreak="0">
    <w:nsid w:val="67474B4C"/>
    <w:multiLevelType w:val="hybridMultilevel"/>
    <w:tmpl w:val="BA722BAE"/>
    <w:lvl w:ilvl="0" w:tplc="18780C1C">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8" w15:restartNumberingAfterBreak="0">
    <w:nsid w:val="679B6946"/>
    <w:multiLevelType w:val="hybridMultilevel"/>
    <w:tmpl w:val="EB0013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10"/>
        </w:tabs>
        <w:ind w:left="1510" w:hanging="360"/>
      </w:pPr>
    </w:lvl>
    <w:lvl w:ilvl="2" w:tplc="0409001B" w:tentative="1">
      <w:start w:val="1"/>
      <w:numFmt w:val="lowerRoman"/>
      <w:lvlText w:val="%3."/>
      <w:lvlJc w:val="right"/>
      <w:pPr>
        <w:tabs>
          <w:tab w:val="num" w:pos="2230"/>
        </w:tabs>
        <w:ind w:left="2230" w:hanging="180"/>
      </w:pPr>
    </w:lvl>
    <w:lvl w:ilvl="3" w:tplc="0409000F" w:tentative="1">
      <w:start w:val="1"/>
      <w:numFmt w:val="decimal"/>
      <w:lvlText w:val="%4."/>
      <w:lvlJc w:val="left"/>
      <w:pPr>
        <w:tabs>
          <w:tab w:val="num" w:pos="2950"/>
        </w:tabs>
        <w:ind w:left="2950" w:hanging="360"/>
      </w:pPr>
    </w:lvl>
    <w:lvl w:ilvl="4" w:tplc="04090019" w:tentative="1">
      <w:start w:val="1"/>
      <w:numFmt w:val="lowerLetter"/>
      <w:lvlText w:val="%5."/>
      <w:lvlJc w:val="left"/>
      <w:pPr>
        <w:tabs>
          <w:tab w:val="num" w:pos="3670"/>
        </w:tabs>
        <w:ind w:left="3670" w:hanging="360"/>
      </w:pPr>
    </w:lvl>
    <w:lvl w:ilvl="5" w:tplc="0409001B" w:tentative="1">
      <w:start w:val="1"/>
      <w:numFmt w:val="lowerRoman"/>
      <w:lvlText w:val="%6."/>
      <w:lvlJc w:val="right"/>
      <w:pPr>
        <w:tabs>
          <w:tab w:val="num" w:pos="4390"/>
        </w:tabs>
        <w:ind w:left="4390" w:hanging="180"/>
      </w:pPr>
    </w:lvl>
    <w:lvl w:ilvl="6" w:tplc="0409000F" w:tentative="1">
      <w:start w:val="1"/>
      <w:numFmt w:val="decimal"/>
      <w:lvlText w:val="%7."/>
      <w:lvlJc w:val="left"/>
      <w:pPr>
        <w:tabs>
          <w:tab w:val="num" w:pos="5110"/>
        </w:tabs>
        <w:ind w:left="5110" w:hanging="360"/>
      </w:pPr>
    </w:lvl>
    <w:lvl w:ilvl="7" w:tplc="04090019" w:tentative="1">
      <w:start w:val="1"/>
      <w:numFmt w:val="lowerLetter"/>
      <w:lvlText w:val="%8."/>
      <w:lvlJc w:val="left"/>
      <w:pPr>
        <w:tabs>
          <w:tab w:val="num" w:pos="5830"/>
        </w:tabs>
        <w:ind w:left="5830" w:hanging="360"/>
      </w:pPr>
    </w:lvl>
    <w:lvl w:ilvl="8" w:tplc="0409001B" w:tentative="1">
      <w:start w:val="1"/>
      <w:numFmt w:val="lowerRoman"/>
      <w:lvlText w:val="%9."/>
      <w:lvlJc w:val="right"/>
      <w:pPr>
        <w:tabs>
          <w:tab w:val="num" w:pos="6550"/>
        </w:tabs>
        <w:ind w:left="6550" w:hanging="180"/>
      </w:pPr>
    </w:lvl>
  </w:abstractNum>
  <w:abstractNum w:abstractNumId="799" w15:restartNumberingAfterBreak="0">
    <w:nsid w:val="67AE3FB1"/>
    <w:multiLevelType w:val="hybridMultilevel"/>
    <w:tmpl w:val="86525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0" w15:restartNumberingAfterBreak="0">
    <w:nsid w:val="67D347CF"/>
    <w:multiLevelType w:val="hybridMultilevel"/>
    <w:tmpl w:val="D94021E4"/>
    <w:lvl w:ilvl="0" w:tplc="590C7EEE">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01" w15:restartNumberingAfterBreak="0">
    <w:nsid w:val="67DC435C"/>
    <w:multiLevelType w:val="hybridMultilevel"/>
    <w:tmpl w:val="D9787360"/>
    <w:lvl w:ilvl="0" w:tplc="1D780F58">
      <w:start w:val="1"/>
      <w:numFmt w:val="bullet"/>
      <w:lvlText w:val=""/>
      <w:lvlJc w:val="left"/>
      <w:pPr>
        <w:tabs>
          <w:tab w:val="num" w:pos="792"/>
        </w:tabs>
        <w:ind w:left="432" w:firstLine="0"/>
      </w:pPr>
      <w:rPr>
        <w:rFonts w:ascii="Symbol" w:hAnsi="Symbol" w:hint="default"/>
        <w:sz w:val="2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02" w15:restartNumberingAfterBreak="0">
    <w:nsid w:val="68097606"/>
    <w:multiLevelType w:val="hybridMultilevel"/>
    <w:tmpl w:val="C0CCC3C6"/>
    <w:lvl w:ilvl="0" w:tplc="04090001">
      <w:start w:val="1"/>
      <w:numFmt w:val="bullet"/>
      <w:lvlText w:val=""/>
      <w:lvlJc w:val="left"/>
      <w:pPr>
        <w:tabs>
          <w:tab w:val="num" w:pos="540"/>
        </w:tabs>
        <w:ind w:left="540" w:hanging="360"/>
      </w:pPr>
      <w:rPr>
        <w:rFonts w:ascii="Symbol" w:hAnsi="Symbol" w:hint="default"/>
      </w:rPr>
    </w:lvl>
    <w:lvl w:ilvl="1" w:tplc="04090001">
      <w:start w:val="1"/>
      <w:numFmt w:val="bullet"/>
      <w:lvlText w:val=""/>
      <w:lvlJc w:val="left"/>
      <w:pPr>
        <w:tabs>
          <w:tab w:val="num" w:pos="1944"/>
        </w:tabs>
        <w:ind w:left="1944" w:hanging="360"/>
      </w:pPr>
      <w:rPr>
        <w:rFonts w:ascii="Symbol" w:hAnsi="Symbol" w:hint="default"/>
      </w:r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03" w15:restartNumberingAfterBreak="0">
    <w:nsid w:val="68380A75"/>
    <w:multiLevelType w:val="hybridMultilevel"/>
    <w:tmpl w:val="A566AA5E"/>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4" w15:restartNumberingAfterBreak="0">
    <w:nsid w:val="683E4E08"/>
    <w:multiLevelType w:val="hybridMultilevel"/>
    <w:tmpl w:val="84B4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5" w15:restartNumberingAfterBreak="0">
    <w:nsid w:val="68444331"/>
    <w:multiLevelType w:val="hybridMultilevel"/>
    <w:tmpl w:val="E90E471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6" w15:restartNumberingAfterBreak="0">
    <w:nsid w:val="68CB7B16"/>
    <w:multiLevelType w:val="hybridMultilevel"/>
    <w:tmpl w:val="9D1A79BE"/>
    <w:lvl w:ilvl="0" w:tplc="2C0C1142">
      <w:start w:val="1"/>
      <w:numFmt w:val="decimal"/>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7" w15:restartNumberingAfterBreak="0">
    <w:nsid w:val="68D7588C"/>
    <w:multiLevelType w:val="hybridMultilevel"/>
    <w:tmpl w:val="4956CEF6"/>
    <w:lvl w:ilvl="0" w:tplc="64241EA2">
      <w:start w:val="1"/>
      <w:numFmt w:val="decimal"/>
      <w:lvlText w:val="%1."/>
      <w:lvlJc w:val="left"/>
      <w:pPr>
        <w:tabs>
          <w:tab w:val="num" w:pos="720"/>
        </w:tabs>
        <w:ind w:left="720" w:hanging="360"/>
      </w:pPr>
      <w:rPr>
        <w:rFonts w:hint="default"/>
      </w:rPr>
    </w:lvl>
    <w:lvl w:ilvl="1" w:tplc="89D2CCFC" w:tentative="1">
      <w:start w:val="1"/>
      <w:numFmt w:val="lowerLetter"/>
      <w:lvlText w:val="%2."/>
      <w:lvlJc w:val="left"/>
      <w:pPr>
        <w:tabs>
          <w:tab w:val="num" w:pos="1800"/>
        </w:tabs>
        <w:ind w:left="1800" w:hanging="360"/>
      </w:pPr>
    </w:lvl>
    <w:lvl w:ilvl="2" w:tplc="63F2BEAA" w:tentative="1">
      <w:start w:val="1"/>
      <w:numFmt w:val="lowerRoman"/>
      <w:lvlText w:val="%3."/>
      <w:lvlJc w:val="right"/>
      <w:pPr>
        <w:tabs>
          <w:tab w:val="num" w:pos="2520"/>
        </w:tabs>
        <w:ind w:left="2520" w:hanging="180"/>
      </w:pPr>
    </w:lvl>
    <w:lvl w:ilvl="3" w:tplc="FE0A9110" w:tentative="1">
      <w:start w:val="1"/>
      <w:numFmt w:val="decimal"/>
      <w:lvlText w:val="%4."/>
      <w:lvlJc w:val="left"/>
      <w:pPr>
        <w:tabs>
          <w:tab w:val="num" w:pos="3240"/>
        </w:tabs>
        <w:ind w:left="3240" w:hanging="360"/>
      </w:pPr>
    </w:lvl>
    <w:lvl w:ilvl="4" w:tplc="BE80EA92" w:tentative="1">
      <w:start w:val="1"/>
      <w:numFmt w:val="lowerLetter"/>
      <w:lvlText w:val="%5."/>
      <w:lvlJc w:val="left"/>
      <w:pPr>
        <w:tabs>
          <w:tab w:val="num" w:pos="3960"/>
        </w:tabs>
        <w:ind w:left="3960" w:hanging="360"/>
      </w:pPr>
    </w:lvl>
    <w:lvl w:ilvl="5" w:tplc="7B3ACE04" w:tentative="1">
      <w:start w:val="1"/>
      <w:numFmt w:val="lowerRoman"/>
      <w:lvlText w:val="%6."/>
      <w:lvlJc w:val="right"/>
      <w:pPr>
        <w:tabs>
          <w:tab w:val="num" w:pos="4680"/>
        </w:tabs>
        <w:ind w:left="4680" w:hanging="180"/>
      </w:pPr>
    </w:lvl>
    <w:lvl w:ilvl="6" w:tplc="2AB4BA9A" w:tentative="1">
      <w:start w:val="1"/>
      <w:numFmt w:val="decimal"/>
      <w:lvlText w:val="%7."/>
      <w:lvlJc w:val="left"/>
      <w:pPr>
        <w:tabs>
          <w:tab w:val="num" w:pos="5400"/>
        </w:tabs>
        <w:ind w:left="5400" w:hanging="360"/>
      </w:pPr>
    </w:lvl>
    <w:lvl w:ilvl="7" w:tplc="387C7CD8" w:tentative="1">
      <w:start w:val="1"/>
      <w:numFmt w:val="lowerLetter"/>
      <w:lvlText w:val="%8."/>
      <w:lvlJc w:val="left"/>
      <w:pPr>
        <w:tabs>
          <w:tab w:val="num" w:pos="6120"/>
        </w:tabs>
        <w:ind w:left="6120" w:hanging="360"/>
      </w:pPr>
    </w:lvl>
    <w:lvl w:ilvl="8" w:tplc="D99A8C90" w:tentative="1">
      <w:start w:val="1"/>
      <w:numFmt w:val="lowerRoman"/>
      <w:lvlText w:val="%9."/>
      <w:lvlJc w:val="right"/>
      <w:pPr>
        <w:tabs>
          <w:tab w:val="num" w:pos="6840"/>
        </w:tabs>
        <w:ind w:left="6840" w:hanging="180"/>
      </w:pPr>
    </w:lvl>
  </w:abstractNum>
  <w:abstractNum w:abstractNumId="808" w15:restartNumberingAfterBreak="0">
    <w:nsid w:val="69274BA2"/>
    <w:multiLevelType w:val="hybridMultilevel"/>
    <w:tmpl w:val="83864820"/>
    <w:lvl w:ilvl="0" w:tplc="04090001">
      <w:start w:val="1"/>
      <w:numFmt w:val="bullet"/>
      <w:lvlText w:val=""/>
      <w:lvlJc w:val="left"/>
      <w:pPr>
        <w:tabs>
          <w:tab w:val="num" w:pos="468"/>
        </w:tabs>
        <w:ind w:left="468" w:hanging="360"/>
      </w:pPr>
      <w:rPr>
        <w:rFonts w:ascii="Symbol" w:hAnsi="Symbol" w:hint="default"/>
      </w:rPr>
    </w:lvl>
    <w:lvl w:ilvl="1" w:tplc="5BD4709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9" w15:restartNumberingAfterBreak="0">
    <w:nsid w:val="69385D6A"/>
    <w:multiLevelType w:val="hybridMultilevel"/>
    <w:tmpl w:val="BC3A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0" w15:restartNumberingAfterBreak="0">
    <w:nsid w:val="69390A22"/>
    <w:multiLevelType w:val="multilevel"/>
    <w:tmpl w:val="366429A4"/>
    <w:lvl w:ilvl="0">
      <w:start w:val="1"/>
      <w:numFmt w:val="decimal"/>
      <w:lvlText w:val="%1."/>
      <w:lvlJc w:val="left"/>
      <w:pPr>
        <w:tabs>
          <w:tab w:val="num" w:pos="360"/>
        </w:tabs>
        <w:ind w:left="360" w:hanging="360"/>
      </w:pPr>
      <w:rPr>
        <w:rFonts w:hint="default"/>
        <w:b w:val="0"/>
        <w:i w:val="0"/>
      </w:rPr>
    </w:lvl>
    <w:lvl w:ilvl="1">
      <w:start w:val="16"/>
      <w:numFmt w:val="decimal"/>
      <w:isLgl/>
      <w:lvlText w:val="%1.%2"/>
      <w:lvlJc w:val="left"/>
      <w:pPr>
        <w:ind w:left="85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811" w15:restartNumberingAfterBreak="0">
    <w:nsid w:val="694E18BC"/>
    <w:multiLevelType w:val="hybridMultilevel"/>
    <w:tmpl w:val="3FE0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2" w15:restartNumberingAfterBreak="0">
    <w:nsid w:val="6991322D"/>
    <w:multiLevelType w:val="hybridMultilevel"/>
    <w:tmpl w:val="DBEEF44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3" w15:restartNumberingAfterBreak="0">
    <w:nsid w:val="699557B0"/>
    <w:multiLevelType w:val="hybridMultilevel"/>
    <w:tmpl w:val="73480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4" w15:restartNumberingAfterBreak="0">
    <w:nsid w:val="69BF0315"/>
    <w:multiLevelType w:val="hybridMultilevel"/>
    <w:tmpl w:val="27205FA6"/>
    <w:lvl w:ilvl="0" w:tplc="0409000F">
      <w:start w:val="1"/>
      <w:numFmt w:val="bullet"/>
      <w:lvlText w:val=""/>
      <w:lvlJc w:val="left"/>
      <w:pPr>
        <w:tabs>
          <w:tab w:val="num" w:pos="792"/>
        </w:tabs>
        <w:ind w:left="792" w:hanging="360"/>
      </w:pPr>
      <w:rPr>
        <w:rFonts w:ascii="Symbol" w:hAnsi="Symbol" w:hint="default"/>
      </w:rPr>
    </w:lvl>
    <w:lvl w:ilvl="1" w:tplc="E2E4E80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5" w15:restartNumberingAfterBreak="0">
    <w:nsid w:val="69F355B0"/>
    <w:multiLevelType w:val="hybridMultilevel"/>
    <w:tmpl w:val="EB860BF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16" w15:restartNumberingAfterBreak="0">
    <w:nsid w:val="6A0E64D1"/>
    <w:multiLevelType w:val="hybridMultilevel"/>
    <w:tmpl w:val="C170A276"/>
    <w:lvl w:ilvl="0" w:tplc="7D827A3A">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17" w15:restartNumberingAfterBreak="0">
    <w:nsid w:val="6A284B7B"/>
    <w:multiLevelType w:val="hybridMultilevel"/>
    <w:tmpl w:val="72BACE04"/>
    <w:lvl w:ilvl="0" w:tplc="AD38CCD2">
      <w:start w:val="1"/>
      <w:numFmt w:val="decimal"/>
      <w:lvlText w:val="%1."/>
      <w:lvlJc w:val="left"/>
      <w:pPr>
        <w:ind w:left="810" w:hanging="360"/>
      </w:pPr>
      <w:rPr>
        <w:rFonts w:ascii="Book Antiqua" w:hAnsi="Book Antiqua" w:hint="default"/>
        <w:b w:val="0"/>
        <w:color w:val="auto"/>
        <w:sz w:val="22"/>
        <w:szCs w:val="22"/>
      </w:rPr>
    </w:lvl>
    <w:lvl w:ilvl="1" w:tplc="FEF47BA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8" w15:restartNumberingAfterBreak="0">
    <w:nsid w:val="6A6C076C"/>
    <w:multiLevelType w:val="hybridMultilevel"/>
    <w:tmpl w:val="CE06334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9" w15:restartNumberingAfterBreak="0">
    <w:nsid w:val="6A726907"/>
    <w:multiLevelType w:val="multilevel"/>
    <w:tmpl w:val="9C90B0D8"/>
    <w:lvl w:ilvl="0">
      <w:start w:val="1"/>
      <w:numFmt w:val="decimal"/>
      <w:lvlText w:val="%1."/>
      <w:lvlJc w:val="left"/>
      <w:pPr>
        <w:tabs>
          <w:tab w:val="num" w:pos="1800"/>
        </w:tabs>
        <w:ind w:left="1800" w:hanging="360"/>
      </w:pPr>
      <w:rPr>
        <w:rFonts w:hint="default"/>
      </w:rPr>
    </w:lvl>
    <w:lvl w:ilvl="1">
      <w:start w:val="7"/>
      <w:numFmt w:val="decimal"/>
      <w:isLgl/>
      <w:lvlText w:val="%1.%2"/>
      <w:lvlJc w:val="left"/>
      <w:pPr>
        <w:ind w:left="2085" w:hanging="645"/>
      </w:pPr>
      <w:rPr>
        <w:rFonts w:hint="default"/>
      </w:rPr>
    </w:lvl>
    <w:lvl w:ilvl="2">
      <w:start w:val="10"/>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820" w15:restartNumberingAfterBreak="0">
    <w:nsid w:val="6A906D03"/>
    <w:multiLevelType w:val="multilevel"/>
    <w:tmpl w:val="DEE0B0C6"/>
    <w:styleLink w:val="Style2"/>
    <w:lvl w:ilvl="0">
      <w:start w:val="1"/>
      <w:numFmt w:val="decimal"/>
      <w:lvlText w:val="OPR. %1"/>
      <w:lvlJc w:val="left"/>
      <w:pPr>
        <w:ind w:left="720" w:firstLine="0"/>
      </w:pPr>
      <w:rPr>
        <w:rFonts w:ascii="Book Antiqua" w:hAnsi="Book Antiqua" w:hint="default"/>
        <w:b/>
        <w:i/>
        <w:sz w:val="22"/>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21" w15:restartNumberingAfterBreak="0">
    <w:nsid w:val="6B084EB7"/>
    <w:multiLevelType w:val="hybridMultilevel"/>
    <w:tmpl w:val="B14C2D62"/>
    <w:lvl w:ilvl="0" w:tplc="857A28F4">
      <w:start w:val="1"/>
      <w:numFmt w:val="bullet"/>
      <w:lvlText w:val=""/>
      <w:lvlJc w:val="left"/>
      <w:pPr>
        <w:tabs>
          <w:tab w:val="num" w:pos="720"/>
        </w:tabs>
        <w:ind w:left="720" w:hanging="360"/>
      </w:pPr>
      <w:rPr>
        <w:rFonts w:ascii="Symbol" w:hAnsi="Symbol" w:hint="default"/>
      </w:rPr>
    </w:lvl>
    <w:lvl w:ilvl="1" w:tplc="454CC298">
      <w:start w:val="1"/>
      <w:numFmt w:val="decimal"/>
      <w:lvlText w:val="%2."/>
      <w:lvlJc w:val="left"/>
      <w:pPr>
        <w:tabs>
          <w:tab w:val="num" w:pos="1388"/>
        </w:tabs>
        <w:ind w:left="1388" w:hanging="360"/>
      </w:pPr>
    </w:lvl>
    <w:lvl w:ilvl="2" w:tplc="0409001B" w:tentative="1">
      <w:start w:val="1"/>
      <w:numFmt w:val="lowerRoman"/>
      <w:lvlText w:val="%3."/>
      <w:lvlJc w:val="right"/>
      <w:pPr>
        <w:tabs>
          <w:tab w:val="num" w:pos="2108"/>
        </w:tabs>
        <w:ind w:left="2108" w:hanging="180"/>
      </w:pPr>
    </w:lvl>
    <w:lvl w:ilvl="3" w:tplc="0409000F" w:tentative="1">
      <w:start w:val="1"/>
      <w:numFmt w:val="decimal"/>
      <w:lvlText w:val="%4."/>
      <w:lvlJc w:val="left"/>
      <w:pPr>
        <w:tabs>
          <w:tab w:val="num" w:pos="2828"/>
        </w:tabs>
        <w:ind w:left="2828" w:hanging="360"/>
      </w:pPr>
    </w:lvl>
    <w:lvl w:ilvl="4" w:tplc="04090019" w:tentative="1">
      <w:start w:val="1"/>
      <w:numFmt w:val="lowerLetter"/>
      <w:lvlText w:val="%5."/>
      <w:lvlJc w:val="left"/>
      <w:pPr>
        <w:tabs>
          <w:tab w:val="num" w:pos="3548"/>
        </w:tabs>
        <w:ind w:left="3548" w:hanging="360"/>
      </w:pPr>
    </w:lvl>
    <w:lvl w:ilvl="5" w:tplc="0409001B" w:tentative="1">
      <w:start w:val="1"/>
      <w:numFmt w:val="lowerRoman"/>
      <w:lvlText w:val="%6."/>
      <w:lvlJc w:val="right"/>
      <w:pPr>
        <w:tabs>
          <w:tab w:val="num" w:pos="4268"/>
        </w:tabs>
        <w:ind w:left="4268" w:hanging="180"/>
      </w:pPr>
    </w:lvl>
    <w:lvl w:ilvl="6" w:tplc="0409000F" w:tentative="1">
      <w:start w:val="1"/>
      <w:numFmt w:val="decimal"/>
      <w:lvlText w:val="%7."/>
      <w:lvlJc w:val="left"/>
      <w:pPr>
        <w:tabs>
          <w:tab w:val="num" w:pos="4988"/>
        </w:tabs>
        <w:ind w:left="4988" w:hanging="360"/>
      </w:pPr>
    </w:lvl>
    <w:lvl w:ilvl="7" w:tplc="04090019" w:tentative="1">
      <w:start w:val="1"/>
      <w:numFmt w:val="lowerLetter"/>
      <w:lvlText w:val="%8."/>
      <w:lvlJc w:val="left"/>
      <w:pPr>
        <w:tabs>
          <w:tab w:val="num" w:pos="5708"/>
        </w:tabs>
        <w:ind w:left="5708" w:hanging="360"/>
      </w:pPr>
    </w:lvl>
    <w:lvl w:ilvl="8" w:tplc="0409001B" w:tentative="1">
      <w:start w:val="1"/>
      <w:numFmt w:val="lowerRoman"/>
      <w:lvlText w:val="%9."/>
      <w:lvlJc w:val="right"/>
      <w:pPr>
        <w:tabs>
          <w:tab w:val="num" w:pos="6428"/>
        </w:tabs>
        <w:ind w:left="6428" w:hanging="180"/>
      </w:pPr>
    </w:lvl>
  </w:abstractNum>
  <w:abstractNum w:abstractNumId="822" w15:restartNumberingAfterBreak="0">
    <w:nsid w:val="6B3F29C6"/>
    <w:multiLevelType w:val="hybridMultilevel"/>
    <w:tmpl w:val="B23076C2"/>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3" w15:restartNumberingAfterBreak="0">
    <w:nsid w:val="6B956E75"/>
    <w:multiLevelType w:val="hybridMultilevel"/>
    <w:tmpl w:val="381A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4" w15:restartNumberingAfterBreak="0">
    <w:nsid w:val="6BBC6690"/>
    <w:multiLevelType w:val="hybridMultilevel"/>
    <w:tmpl w:val="D4D4518C"/>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25" w15:restartNumberingAfterBreak="0">
    <w:nsid w:val="6BC669A4"/>
    <w:multiLevelType w:val="hybridMultilevel"/>
    <w:tmpl w:val="7500232E"/>
    <w:lvl w:ilvl="0" w:tplc="F820764C">
      <w:start w:val="1"/>
      <w:numFmt w:val="bullet"/>
      <w:lvlText w:val=""/>
      <w:lvlJc w:val="left"/>
      <w:pPr>
        <w:tabs>
          <w:tab w:val="num" w:pos="792"/>
        </w:tabs>
        <w:ind w:left="432" w:firstLine="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6" w15:restartNumberingAfterBreak="0">
    <w:nsid w:val="6BDD5ED8"/>
    <w:multiLevelType w:val="hybridMultilevel"/>
    <w:tmpl w:val="9870AA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7" w15:restartNumberingAfterBreak="0">
    <w:nsid w:val="6BFD1D0C"/>
    <w:multiLevelType w:val="hybridMultilevel"/>
    <w:tmpl w:val="F3521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8" w15:restartNumberingAfterBreak="0">
    <w:nsid w:val="6C1E0DD4"/>
    <w:multiLevelType w:val="multilevel"/>
    <w:tmpl w:val="479A40B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15:restartNumberingAfterBreak="0">
    <w:nsid w:val="6C36324C"/>
    <w:multiLevelType w:val="hybridMultilevel"/>
    <w:tmpl w:val="83D27FAA"/>
    <w:lvl w:ilvl="0" w:tplc="04090001">
      <w:start w:val="1"/>
      <w:numFmt w:val="bullet"/>
      <w:lvlText w:val=""/>
      <w:lvlJc w:val="left"/>
      <w:pPr>
        <w:tabs>
          <w:tab w:val="num" w:pos="720"/>
        </w:tabs>
        <w:ind w:left="720" w:hanging="360"/>
      </w:pPr>
      <w:rPr>
        <w:rFonts w:ascii="Symbol" w:hAnsi="Symbol" w:hint="default"/>
      </w:rPr>
    </w:lvl>
    <w:lvl w:ilvl="1" w:tplc="454CC298">
      <w:start w:val="1"/>
      <w:numFmt w:val="decimal"/>
      <w:lvlText w:val="%2."/>
      <w:lvlJc w:val="left"/>
      <w:pPr>
        <w:tabs>
          <w:tab w:val="num" w:pos="1388"/>
        </w:tabs>
        <w:ind w:left="1388" w:hanging="360"/>
      </w:pPr>
    </w:lvl>
    <w:lvl w:ilvl="2" w:tplc="0409001B" w:tentative="1">
      <w:start w:val="1"/>
      <w:numFmt w:val="lowerRoman"/>
      <w:lvlText w:val="%3."/>
      <w:lvlJc w:val="right"/>
      <w:pPr>
        <w:tabs>
          <w:tab w:val="num" w:pos="2108"/>
        </w:tabs>
        <w:ind w:left="2108" w:hanging="180"/>
      </w:pPr>
    </w:lvl>
    <w:lvl w:ilvl="3" w:tplc="0409000F" w:tentative="1">
      <w:start w:val="1"/>
      <w:numFmt w:val="decimal"/>
      <w:lvlText w:val="%4."/>
      <w:lvlJc w:val="left"/>
      <w:pPr>
        <w:tabs>
          <w:tab w:val="num" w:pos="2828"/>
        </w:tabs>
        <w:ind w:left="2828" w:hanging="360"/>
      </w:pPr>
    </w:lvl>
    <w:lvl w:ilvl="4" w:tplc="04090019" w:tentative="1">
      <w:start w:val="1"/>
      <w:numFmt w:val="lowerLetter"/>
      <w:lvlText w:val="%5."/>
      <w:lvlJc w:val="left"/>
      <w:pPr>
        <w:tabs>
          <w:tab w:val="num" w:pos="3548"/>
        </w:tabs>
        <w:ind w:left="3548" w:hanging="360"/>
      </w:pPr>
    </w:lvl>
    <w:lvl w:ilvl="5" w:tplc="0409001B" w:tentative="1">
      <w:start w:val="1"/>
      <w:numFmt w:val="lowerRoman"/>
      <w:lvlText w:val="%6."/>
      <w:lvlJc w:val="right"/>
      <w:pPr>
        <w:tabs>
          <w:tab w:val="num" w:pos="4268"/>
        </w:tabs>
        <w:ind w:left="4268" w:hanging="180"/>
      </w:pPr>
    </w:lvl>
    <w:lvl w:ilvl="6" w:tplc="0409000F" w:tentative="1">
      <w:start w:val="1"/>
      <w:numFmt w:val="decimal"/>
      <w:lvlText w:val="%7."/>
      <w:lvlJc w:val="left"/>
      <w:pPr>
        <w:tabs>
          <w:tab w:val="num" w:pos="4988"/>
        </w:tabs>
        <w:ind w:left="4988" w:hanging="360"/>
      </w:pPr>
    </w:lvl>
    <w:lvl w:ilvl="7" w:tplc="04090019" w:tentative="1">
      <w:start w:val="1"/>
      <w:numFmt w:val="lowerLetter"/>
      <w:lvlText w:val="%8."/>
      <w:lvlJc w:val="left"/>
      <w:pPr>
        <w:tabs>
          <w:tab w:val="num" w:pos="5708"/>
        </w:tabs>
        <w:ind w:left="5708" w:hanging="360"/>
      </w:pPr>
    </w:lvl>
    <w:lvl w:ilvl="8" w:tplc="0409001B" w:tentative="1">
      <w:start w:val="1"/>
      <w:numFmt w:val="lowerRoman"/>
      <w:lvlText w:val="%9."/>
      <w:lvlJc w:val="right"/>
      <w:pPr>
        <w:tabs>
          <w:tab w:val="num" w:pos="6428"/>
        </w:tabs>
        <w:ind w:left="6428" w:hanging="180"/>
      </w:pPr>
    </w:lvl>
  </w:abstractNum>
  <w:abstractNum w:abstractNumId="830" w15:restartNumberingAfterBreak="0">
    <w:nsid w:val="6C5F51A3"/>
    <w:multiLevelType w:val="hybridMultilevel"/>
    <w:tmpl w:val="FC328D38"/>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1" w15:restartNumberingAfterBreak="0">
    <w:nsid w:val="6C7D331D"/>
    <w:multiLevelType w:val="hybridMultilevel"/>
    <w:tmpl w:val="341A1A9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2" w15:restartNumberingAfterBreak="0">
    <w:nsid w:val="6C8505BC"/>
    <w:multiLevelType w:val="hybridMultilevel"/>
    <w:tmpl w:val="72E4381C"/>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3" w15:restartNumberingAfterBreak="0">
    <w:nsid w:val="6C9901A6"/>
    <w:multiLevelType w:val="hybridMultilevel"/>
    <w:tmpl w:val="BC06D686"/>
    <w:lvl w:ilvl="0" w:tplc="04090001">
      <w:start w:val="1"/>
      <w:numFmt w:val="bullet"/>
      <w:lvlText w:val=""/>
      <w:lvlJc w:val="left"/>
      <w:pPr>
        <w:tabs>
          <w:tab w:val="num" w:pos="612"/>
        </w:tabs>
        <w:ind w:left="61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4" w15:restartNumberingAfterBreak="0">
    <w:nsid w:val="6CA24A21"/>
    <w:multiLevelType w:val="hybridMultilevel"/>
    <w:tmpl w:val="4746B77E"/>
    <w:lvl w:ilvl="0" w:tplc="35EC064E">
      <w:start w:val="1"/>
      <w:numFmt w:val="decimal"/>
      <w:lvlText w:val="%1."/>
      <w:lvlJc w:val="left"/>
      <w:pPr>
        <w:ind w:left="180" w:hanging="180"/>
      </w:pPr>
      <w:rPr>
        <w:rFonts w:ascii="Times New Roman" w:hAnsi="Times New Roman" w:hint="default"/>
        <w:sz w:val="24"/>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835" w15:restartNumberingAfterBreak="0">
    <w:nsid w:val="6D174FD8"/>
    <w:multiLevelType w:val="hybridMultilevel"/>
    <w:tmpl w:val="80F6D5C2"/>
    <w:lvl w:ilvl="0" w:tplc="9AD66AF2">
      <w:start w:val="1"/>
      <w:numFmt w:val="decimal"/>
      <w:lvlText w:val="%1."/>
      <w:lvlJc w:val="left"/>
      <w:pPr>
        <w:tabs>
          <w:tab w:val="num" w:pos="936"/>
        </w:tabs>
        <w:ind w:left="936" w:hanging="432"/>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6" w15:restartNumberingAfterBreak="0">
    <w:nsid w:val="6D1D38F9"/>
    <w:multiLevelType w:val="hybridMultilevel"/>
    <w:tmpl w:val="F4FAA980"/>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7" w15:restartNumberingAfterBreak="0">
    <w:nsid w:val="6D7746C5"/>
    <w:multiLevelType w:val="hybridMultilevel"/>
    <w:tmpl w:val="685630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38" w15:restartNumberingAfterBreak="0">
    <w:nsid w:val="6DD24F9A"/>
    <w:multiLevelType w:val="hybridMultilevel"/>
    <w:tmpl w:val="FF46D0DA"/>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839" w15:restartNumberingAfterBreak="0">
    <w:nsid w:val="6E2E3C1D"/>
    <w:multiLevelType w:val="hybridMultilevel"/>
    <w:tmpl w:val="FF0026DA"/>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0" w15:restartNumberingAfterBreak="0">
    <w:nsid w:val="6E9F202F"/>
    <w:multiLevelType w:val="hybridMultilevel"/>
    <w:tmpl w:val="A8ECD0D0"/>
    <w:lvl w:ilvl="0" w:tplc="04090001">
      <w:start w:val="1"/>
      <w:numFmt w:val="bullet"/>
      <w:lvlText w:val=""/>
      <w:lvlJc w:val="left"/>
      <w:pPr>
        <w:tabs>
          <w:tab w:val="num" w:pos="612"/>
        </w:tabs>
        <w:ind w:left="612" w:hanging="360"/>
      </w:pPr>
      <w:rPr>
        <w:rFonts w:ascii="Symbol" w:hAnsi="Symbol" w:hint="default"/>
      </w:rPr>
    </w:lvl>
    <w:lvl w:ilvl="1" w:tplc="04090019"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841" w15:restartNumberingAfterBreak="0">
    <w:nsid w:val="6EA169B4"/>
    <w:multiLevelType w:val="hybridMultilevel"/>
    <w:tmpl w:val="C42A1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2" w15:restartNumberingAfterBreak="0">
    <w:nsid w:val="6EBB53FC"/>
    <w:multiLevelType w:val="hybridMultilevel"/>
    <w:tmpl w:val="73D417C4"/>
    <w:lvl w:ilvl="0" w:tplc="04090001">
      <w:start w:val="1"/>
      <w:numFmt w:val="bullet"/>
      <w:lvlText w:val=""/>
      <w:lvlJc w:val="left"/>
      <w:pPr>
        <w:tabs>
          <w:tab w:val="num" w:pos="720"/>
        </w:tabs>
        <w:ind w:left="720" w:hanging="360"/>
      </w:pPr>
      <w:rPr>
        <w:rFonts w:ascii="Symbol" w:hAnsi="Symbol" w:hint="default"/>
      </w:rPr>
    </w:lvl>
    <w:lvl w:ilvl="1" w:tplc="ECC49F10">
      <w:start w:val="1"/>
      <w:numFmt w:val="decimal"/>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3" w15:restartNumberingAfterBreak="0">
    <w:nsid w:val="6EC67C74"/>
    <w:multiLevelType w:val="hybridMultilevel"/>
    <w:tmpl w:val="64FEC972"/>
    <w:lvl w:ilvl="0" w:tplc="A404AF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4" w15:restartNumberingAfterBreak="0">
    <w:nsid w:val="6EE1064F"/>
    <w:multiLevelType w:val="hybridMultilevel"/>
    <w:tmpl w:val="982E98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5" w15:restartNumberingAfterBreak="0">
    <w:nsid w:val="6EF02F27"/>
    <w:multiLevelType w:val="hybridMultilevel"/>
    <w:tmpl w:val="87FC3562"/>
    <w:lvl w:ilvl="0" w:tplc="991E78CC">
      <w:start w:val="1"/>
      <w:numFmt w:val="decimal"/>
      <w:lvlText w:val="%1."/>
      <w:lvlJc w:val="left"/>
      <w:pPr>
        <w:tabs>
          <w:tab w:val="num" w:pos="720"/>
        </w:tabs>
        <w:ind w:left="720" w:hanging="360"/>
      </w:pPr>
      <w:rPr>
        <w:rFonts w:hint="default"/>
      </w:rPr>
    </w:lvl>
    <w:lvl w:ilvl="1" w:tplc="1C2C3B9C" w:tentative="1">
      <w:start w:val="1"/>
      <w:numFmt w:val="lowerLetter"/>
      <w:lvlText w:val="%2."/>
      <w:lvlJc w:val="left"/>
      <w:pPr>
        <w:tabs>
          <w:tab w:val="num" w:pos="1800"/>
        </w:tabs>
        <w:ind w:left="1800" w:hanging="360"/>
      </w:pPr>
    </w:lvl>
    <w:lvl w:ilvl="2" w:tplc="44CC9AB0" w:tentative="1">
      <w:start w:val="1"/>
      <w:numFmt w:val="lowerRoman"/>
      <w:lvlText w:val="%3."/>
      <w:lvlJc w:val="right"/>
      <w:pPr>
        <w:tabs>
          <w:tab w:val="num" w:pos="2520"/>
        </w:tabs>
        <w:ind w:left="2520" w:hanging="180"/>
      </w:pPr>
    </w:lvl>
    <w:lvl w:ilvl="3" w:tplc="00B6AF46" w:tentative="1">
      <w:start w:val="1"/>
      <w:numFmt w:val="decimal"/>
      <w:lvlText w:val="%4."/>
      <w:lvlJc w:val="left"/>
      <w:pPr>
        <w:tabs>
          <w:tab w:val="num" w:pos="3240"/>
        </w:tabs>
        <w:ind w:left="3240" w:hanging="360"/>
      </w:pPr>
    </w:lvl>
    <w:lvl w:ilvl="4" w:tplc="7F5A0250" w:tentative="1">
      <w:start w:val="1"/>
      <w:numFmt w:val="lowerLetter"/>
      <w:lvlText w:val="%5."/>
      <w:lvlJc w:val="left"/>
      <w:pPr>
        <w:tabs>
          <w:tab w:val="num" w:pos="3960"/>
        </w:tabs>
        <w:ind w:left="3960" w:hanging="360"/>
      </w:pPr>
    </w:lvl>
    <w:lvl w:ilvl="5" w:tplc="00A06FCC" w:tentative="1">
      <w:start w:val="1"/>
      <w:numFmt w:val="lowerRoman"/>
      <w:lvlText w:val="%6."/>
      <w:lvlJc w:val="right"/>
      <w:pPr>
        <w:tabs>
          <w:tab w:val="num" w:pos="4680"/>
        </w:tabs>
        <w:ind w:left="4680" w:hanging="180"/>
      </w:pPr>
    </w:lvl>
    <w:lvl w:ilvl="6" w:tplc="79729F90" w:tentative="1">
      <w:start w:val="1"/>
      <w:numFmt w:val="decimal"/>
      <w:lvlText w:val="%7."/>
      <w:lvlJc w:val="left"/>
      <w:pPr>
        <w:tabs>
          <w:tab w:val="num" w:pos="5400"/>
        </w:tabs>
        <w:ind w:left="5400" w:hanging="360"/>
      </w:pPr>
    </w:lvl>
    <w:lvl w:ilvl="7" w:tplc="DA5C9EAC" w:tentative="1">
      <w:start w:val="1"/>
      <w:numFmt w:val="lowerLetter"/>
      <w:lvlText w:val="%8."/>
      <w:lvlJc w:val="left"/>
      <w:pPr>
        <w:tabs>
          <w:tab w:val="num" w:pos="6120"/>
        </w:tabs>
        <w:ind w:left="6120" w:hanging="360"/>
      </w:pPr>
    </w:lvl>
    <w:lvl w:ilvl="8" w:tplc="D22C62AE" w:tentative="1">
      <w:start w:val="1"/>
      <w:numFmt w:val="lowerRoman"/>
      <w:lvlText w:val="%9."/>
      <w:lvlJc w:val="right"/>
      <w:pPr>
        <w:tabs>
          <w:tab w:val="num" w:pos="6840"/>
        </w:tabs>
        <w:ind w:left="6840" w:hanging="180"/>
      </w:pPr>
    </w:lvl>
  </w:abstractNum>
  <w:abstractNum w:abstractNumId="846" w15:restartNumberingAfterBreak="0">
    <w:nsid w:val="6EFB58DD"/>
    <w:multiLevelType w:val="hybridMultilevel"/>
    <w:tmpl w:val="BAA0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7" w15:restartNumberingAfterBreak="0">
    <w:nsid w:val="6F294CE0"/>
    <w:multiLevelType w:val="hybridMultilevel"/>
    <w:tmpl w:val="F9584E4A"/>
    <w:lvl w:ilvl="0" w:tplc="ECC49F10">
      <w:start w:val="1"/>
      <w:numFmt w:val="decimal"/>
      <w:lvlText w:val="%1."/>
      <w:lvlJc w:val="left"/>
      <w:pPr>
        <w:tabs>
          <w:tab w:val="num" w:pos="1512"/>
        </w:tabs>
        <w:ind w:left="1512" w:hanging="432"/>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8" w15:restartNumberingAfterBreak="0">
    <w:nsid w:val="6F2C28ED"/>
    <w:multiLevelType w:val="multilevel"/>
    <w:tmpl w:val="F682967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15:restartNumberingAfterBreak="0">
    <w:nsid w:val="6F77682B"/>
    <w:multiLevelType w:val="hybridMultilevel"/>
    <w:tmpl w:val="F58494B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0" w15:restartNumberingAfterBreak="0">
    <w:nsid w:val="6F7D5B14"/>
    <w:multiLevelType w:val="hybridMultilevel"/>
    <w:tmpl w:val="C5C8371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51" w15:restartNumberingAfterBreak="0">
    <w:nsid w:val="6FAB4413"/>
    <w:multiLevelType w:val="hybridMultilevel"/>
    <w:tmpl w:val="85069642"/>
    <w:lvl w:ilvl="0" w:tplc="04090001">
      <w:start w:val="1"/>
      <w:numFmt w:val="bullet"/>
      <w:lvlText w:val=""/>
      <w:lvlJc w:val="left"/>
      <w:pPr>
        <w:tabs>
          <w:tab w:val="num" w:pos="723"/>
        </w:tabs>
        <w:ind w:left="723"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2" w15:restartNumberingAfterBreak="0">
    <w:nsid w:val="6FB131DD"/>
    <w:multiLevelType w:val="hybridMultilevel"/>
    <w:tmpl w:val="6DAE2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3" w15:restartNumberingAfterBreak="0">
    <w:nsid w:val="6FC11EB2"/>
    <w:multiLevelType w:val="hybridMultilevel"/>
    <w:tmpl w:val="21E25F5C"/>
    <w:lvl w:ilvl="0" w:tplc="04090001">
      <w:start w:val="1"/>
      <w:numFmt w:val="bullet"/>
      <w:lvlText w:val=""/>
      <w:lvlJc w:val="left"/>
      <w:pPr>
        <w:tabs>
          <w:tab w:val="num" w:pos="668"/>
        </w:tabs>
        <w:ind w:left="668" w:hanging="360"/>
      </w:pPr>
      <w:rPr>
        <w:rFonts w:ascii="Symbol" w:hAnsi="Symbol"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54" w15:restartNumberingAfterBreak="0">
    <w:nsid w:val="701527F1"/>
    <w:multiLevelType w:val="hybridMultilevel"/>
    <w:tmpl w:val="F1502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5" w15:restartNumberingAfterBreak="0">
    <w:nsid w:val="701763D6"/>
    <w:multiLevelType w:val="hybridMultilevel"/>
    <w:tmpl w:val="9D9E5C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6" w15:restartNumberingAfterBreak="0">
    <w:nsid w:val="70216AD0"/>
    <w:multiLevelType w:val="hybridMultilevel"/>
    <w:tmpl w:val="E9DEB1F6"/>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7" w15:restartNumberingAfterBreak="0">
    <w:nsid w:val="70AE03CF"/>
    <w:multiLevelType w:val="hybridMultilevel"/>
    <w:tmpl w:val="BCD8507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8" w15:restartNumberingAfterBreak="0">
    <w:nsid w:val="70CA422F"/>
    <w:multiLevelType w:val="hybridMultilevel"/>
    <w:tmpl w:val="89F04322"/>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859" w15:restartNumberingAfterBreak="0">
    <w:nsid w:val="70D55EBE"/>
    <w:multiLevelType w:val="hybridMultilevel"/>
    <w:tmpl w:val="0DF4CED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0" w15:restartNumberingAfterBreak="0">
    <w:nsid w:val="713A7C10"/>
    <w:multiLevelType w:val="hybridMultilevel"/>
    <w:tmpl w:val="C4F44600"/>
    <w:lvl w:ilvl="0" w:tplc="BED6B8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1" w15:restartNumberingAfterBreak="0">
    <w:nsid w:val="71A93857"/>
    <w:multiLevelType w:val="hybridMultilevel"/>
    <w:tmpl w:val="44F600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2" w15:restartNumberingAfterBreak="0">
    <w:nsid w:val="71B02E2A"/>
    <w:multiLevelType w:val="hybridMultilevel"/>
    <w:tmpl w:val="462C6B5A"/>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863" w15:restartNumberingAfterBreak="0">
    <w:nsid w:val="72027A7F"/>
    <w:multiLevelType w:val="hybridMultilevel"/>
    <w:tmpl w:val="74C4DDB8"/>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4" w15:restartNumberingAfterBreak="0">
    <w:nsid w:val="720B6169"/>
    <w:multiLevelType w:val="hybridMultilevel"/>
    <w:tmpl w:val="79AC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5" w15:restartNumberingAfterBreak="0">
    <w:nsid w:val="72102CB5"/>
    <w:multiLevelType w:val="hybridMultilevel"/>
    <w:tmpl w:val="A2FC3640"/>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152"/>
        </w:tabs>
        <w:ind w:left="1152" w:hanging="432"/>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6" w15:restartNumberingAfterBreak="0">
    <w:nsid w:val="723D68CE"/>
    <w:multiLevelType w:val="hybridMultilevel"/>
    <w:tmpl w:val="D76AA8D0"/>
    <w:lvl w:ilvl="0" w:tplc="FFFFFFFF">
      <w:start w:val="1"/>
      <w:numFmt w:val="lowerRoman"/>
      <w:lvlText w:val="%1."/>
      <w:lvlJc w:val="left"/>
      <w:pPr>
        <w:tabs>
          <w:tab w:val="num" w:pos="1080"/>
        </w:tabs>
        <w:ind w:left="1080" w:hanging="360"/>
      </w:pPr>
      <w:rPr>
        <w:rFonts w:ascii="Arial" w:hAnsi="Arial" w:hint="default"/>
        <w:b w:val="0"/>
        <w:i w:val="0"/>
        <w:sz w:val="22"/>
        <w:szCs w:val="2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67" w15:restartNumberingAfterBreak="0">
    <w:nsid w:val="728E0BBB"/>
    <w:multiLevelType w:val="multilevel"/>
    <w:tmpl w:val="8450809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15:restartNumberingAfterBreak="0">
    <w:nsid w:val="72C66C6A"/>
    <w:multiLevelType w:val="hybridMultilevel"/>
    <w:tmpl w:val="C7EAE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57"/>
        </w:tabs>
        <w:ind w:left="1457" w:hanging="360"/>
      </w:pPr>
    </w:lvl>
    <w:lvl w:ilvl="2" w:tplc="04090005" w:tentative="1">
      <w:start w:val="1"/>
      <w:numFmt w:val="lowerRoman"/>
      <w:lvlText w:val="%3."/>
      <w:lvlJc w:val="right"/>
      <w:pPr>
        <w:tabs>
          <w:tab w:val="num" w:pos="2177"/>
        </w:tabs>
        <w:ind w:left="2177" w:hanging="180"/>
      </w:pPr>
    </w:lvl>
    <w:lvl w:ilvl="3" w:tplc="04090001" w:tentative="1">
      <w:start w:val="1"/>
      <w:numFmt w:val="decimal"/>
      <w:lvlText w:val="%4."/>
      <w:lvlJc w:val="left"/>
      <w:pPr>
        <w:tabs>
          <w:tab w:val="num" w:pos="2897"/>
        </w:tabs>
        <w:ind w:left="2897" w:hanging="360"/>
      </w:pPr>
    </w:lvl>
    <w:lvl w:ilvl="4" w:tplc="04090003" w:tentative="1">
      <w:start w:val="1"/>
      <w:numFmt w:val="lowerLetter"/>
      <w:lvlText w:val="%5."/>
      <w:lvlJc w:val="left"/>
      <w:pPr>
        <w:tabs>
          <w:tab w:val="num" w:pos="3617"/>
        </w:tabs>
        <w:ind w:left="3617" w:hanging="360"/>
      </w:pPr>
    </w:lvl>
    <w:lvl w:ilvl="5" w:tplc="04090005" w:tentative="1">
      <w:start w:val="1"/>
      <w:numFmt w:val="lowerRoman"/>
      <w:lvlText w:val="%6."/>
      <w:lvlJc w:val="right"/>
      <w:pPr>
        <w:tabs>
          <w:tab w:val="num" w:pos="4337"/>
        </w:tabs>
        <w:ind w:left="4337" w:hanging="180"/>
      </w:pPr>
    </w:lvl>
    <w:lvl w:ilvl="6" w:tplc="04090001" w:tentative="1">
      <w:start w:val="1"/>
      <w:numFmt w:val="decimal"/>
      <w:lvlText w:val="%7."/>
      <w:lvlJc w:val="left"/>
      <w:pPr>
        <w:tabs>
          <w:tab w:val="num" w:pos="5057"/>
        </w:tabs>
        <w:ind w:left="5057" w:hanging="360"/>
      </w:pPr>
    </w:lvl>
    <w:lvl w:ilvl="7" w:tplc="04090003" w:tentative="1">
      <w:start w:val="1"/>
      <w:numFmt w:val="lowerLetter"/>
      <w:lvlText w:val="%8."/>
      <w:lvlJc w:val="left"/>
      <w:pPr>
        <w:tabs>
          <w:tab w:val="num" w:pos="5777"/>
        </w:tabs>
        <w:ind w:left="5777" w:hanging="360"/>
      </w:pPr>
    </w:lvl>
    <w:lvl w:ilvl="8" w:tplc="04090005" w:tentative="1">
      <w:start w:val="1"/>
      <w:numFmt w:val="lowerRoman"/>
      <w:lvlText w:val="%9."/>
      <w:lvlJc w:val="right"/>
      <w:pPr>
        <w:tabs>
          <w:tab w:val="num" w:pos="6497"/>
        </w:tabs>
        <w:ind w:left="6497" w:hanging="180"/>
      </w:pPr>
    </w:lvl>
  </w:abstractNum>
  <w:abstractNum w:abstractNumId="869" w15:restartNumberingAfterBreak="0">
    <w:nsid w:val="72C6765B"/>
    <w:multiLevelType w:val="hybridMultilevel"/>
    <w:tmpl w:val="9FCAB9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0" w15:restartNumberingAfterBreak="0">
    <w:nsid w:val="72CF4913"/>
    <w:multiLevelType w:val="hybridMultilevel"/>
    <w:tmpl w:val="61182CC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1" w15:restartNumberingAfterBreak="0">
    <w:nsid w:val="72E20EAD"/>
    <w:multiLevelType w:val="hybridMultilevel"/>
    <w:tmpl w:val="7630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2" w15:restartNumberingAfterBreak="0">
    <w:nsid w:val="73013CB0"/>
    <w:multiLevelType w:val="hybridMultilevel"/>
    <w:tmpl w:val="BAA24F5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3" w15:restartNumberingAfterBreak="0">
    <w:nsid w:val="7334582E"/>
    <w:multiLevelType w:val="hybridMultilevel"/>
    <w:tmpl w:val="4E58D85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4" w15:restartNumberingAfterBreak="0">
    <w:nsid w:val="73497766"/>
    <w:multiLevelType w:val="hybridMultilevel"/>
    <w:tmpl w:val="D290939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5" w15:restartNumberingAfterBreak="0">
    <w:nsid w:val="735F6201"/>
    <w:multiLevelType w:val="hybridMultilevel"/>
    <w:tmpl w:val="17069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6" w15:restartNumberingAfterBreak="0">
    <w:nsid w:val="73600BFE"/>
    <w:multiLevelType w:val="hybridMultilevel"/>
    <w:tmpl w:val="933E1E9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7" w15:restartNumberingAfterBreak="0">
    <w:nsid w:val="736361A0"/>
    <w:multiLevelType w:val="hybridMultilevel"/>
    <w:tmpl w:val="DEFE5ED2"/>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8" w15:restartNumberingAfterBreak="0">
    <w:nsid w:val="737B7B0A"/>
    <w:multiLevelType w:val="hybridMultilevel"/>
    <w:tmpl w:val="DE062E0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79" w15:restartNumberingAfterBreak="0">
    <w:nsid w:val="738F7E91"/>
    <w:multiLevelType w:val="hybridMultilevel"/>
    <w:tmpl w:val="A0DEE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0" w15:restartNumberingAfterBreak="0">
    <w:nsid w:val="739F642B"/>
    <w:multiLevelType w:val="hybridMultilevel"/>
    <w:tmpl w:val="2B40C0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81" w15:restartNumberingAfterBreak="0">
    <w:nsid w:val="73B36E6B"/>
    <w:multiLevelType w:val="hybridMultilevel"/>
    <w:tmpl w:val="6D722FB0"/>
    <w:lvl w:ilvl="0" w:tplc="FFFFFFFF">
      <w:start w:val="1"/>
      <w:numFmt w:val="decimal"/>
      <w:lvlText w:val="%1."/>
      <w:lvlJc w:val="left"/>
      <w:pPr>
        <w:tabs>
          <w:tab w:val="num" w:pos="720"/>
        </w:tabs>
        <w:ind w:left="720" w:hanging="360"/>
      </w:pPr>
      <w:rPr>
        <w:rFonts w:hint="default"/>
        <w:b w:val="0"/>
        <w:i w:val="0"/>
        <w:color w:val="auto"/>
      </w:rPr>
    </w:lvl>
    <w:lvl w:ilvl="1" w:tplc="FFFFFFFF">
      <w:start w:val="1"/>
      <w:numFmt w:val="lowerLetter"/>
      <w:lvlText w:val="%2."/>
      <w:lvlJc w:val="left"/>
      <w:pPr>
        <w:ind w:left="1800" w:hanging="360"/>
      </w:pPr>
      <w:rPr>
        <w:rFonts w:hint="default"/>
        <w:b w:val="0"/>
        <w:i w:val="0"/>
        <w:sz w:val="22"/>
        <w:szCs w:val="22"/>
      </w:rPr>
    </w:lvl>
    <w:lvl w:ilvl="2" w:tplc="D3B8F640">
      <w:start w:val="1"/>
      <w:numFmt w:val="lowerLetter"/>
      <w:lvlText w:val="(%3)"/>
      <w:lvlJc w:val="left"/>
      <w:pPr>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882" w15:restartNumberingAfterBreak="0">
    <w:nsid w:val="73CB742C"/>
    <w:multiLevelType w:val="hybridMultilevel"/>
    <w:tmpl w:val="13C0F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3" w15:restartNumberingAfterBreak="0">
    <w:nsid w:val="74054530"/>
    <w:multiLevelType w:val="hybridMultilevel"/>
    <w:tmpl w:val="9AEE47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4" w15:restartNumberingAfterBreak="0">
    <w:nsid w:val="743020F5"/>
    <w:multiLevelType w:val="hybridMultilevel"/>
    <w:tmpl w:val="191EE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5" w15:restartNumberingAfterBreak="0">
    <w:nsid w:val="74360B78"/>
    <w:multiLevelType w:val="multilevel"/>
    <w:tmpl w:val="E04C534A"/>
    <w:lvl w:ilvl="0">
      <w:start w:val="1"/>
      <w:numFmt w:val="decimal"/>
      <w:lvlText w:val="%1."/>
      <w:lvlJc w:val="left"/>
      <w:pPr>
        <w:ind w:left="720" w:hanging="360"/>
      </w:pPr>
      <w:rPr>
        <w:rFonts w:hint="default"/>
      </w:rPr>
    </w:lvl>
    <w:lvl w:ilvl="1">
      <w:start w:val="6"/>
      <w:numFmt w:val="decimal"/>
      <w:isLgl/>
      <w:lvlText w:val="%1.%2"/>
      <w:lvlJc w:val="left"/>
      <w:pPr>
        <w:ind w:left="1245" w:hanging="525"/>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86" w15:restartNumberingAfterBreak="0">
    <w:nsid w:val="74605752"/>
    <w:multiLevelType w:val="hybridMultilevel"/>
    <w:tmpl w:val="6FF8FC9E"/>
    <w:lvl w:ilvl="0" w:tplc="04090003">
      <w:start w:val="1"/>
      <w:numFmt w:val="bullet"/>
      <w:lvlText w:val="o"/>
      <w:lvlJc w:val="left"/>
      <w:pPr>
        <w:ind w:left="1627" w:hanging="360"/>
      </w:pPr>
      <w:rPr>
        <w:rFonts w:ascii="Courier New" w:hAnsi="Courier New" w:cs="Courier New"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87" w15:restartNumberingAfterBreak="0">
    <w:nsid w:val="74732706"/>
    <w:multiLevelType w:val="hybridMultilevel"/>
    <w:tmpl w:val="AFDC330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88" w15:restartNumberingAfterBreak="0">
    <w:nsid w:val="748A139E"/>
    <w:multiLevelType w:val="hybridMultilevel"/>
    <w:tmpl w:val="AA9006A0"/>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89" w15:restartNumberingAfterBreak="0">
    <w:nsid w:val="74B6362C"/>
    <w:multiLevelType w:val="hybridMultilevel"/>
    <w:tmpl w:val="ED30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0" w15:restartNumberingAfterBreak="0">
    <w:nsid w:val="74B63AD2"/>
    <w:multiLevelType w:val="hybridMultilevel"/>
    <w:tmpl w:val="8CBCAE1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1" w15:restartNumberingAfterBreak="0">
    <w:nsid w:val="74BA4A09"/>
    <w:multiLevelType w:val="hybridMultilevel"/>
    <w:tmpl w:val="30FA3704"/>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92" w15:restartNumberingAfterBreak="0">
    <w:nsid w:val="74FC27F3"/>
    <w:multiLevelType w:val="hybridMultilevel"/>
    <w:tmpl w:val="4280A3A8"/>
    <w:lvl w:ilvl="0" w:tplc="A60A5F72">
      <w:start w:val="1"/>
      <w:numFmt w:val="decimal"/>
      <w:lvlText w:val="%1."/>
      <w:lvlJc w:val="left"/>
      <w:pPr>
        <w:tabs>
          <w:tab w:val="num" w:pos="936"/>
        </w:tabs>
        <w:ind w:left="936" w:hanging="432"/>
      </w:pPr>
      <w:rPr>
        <w:rFonts w:hint="default"/>
      </w:r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3" w15:restartNumberingAfterBreak="0">
    <w:nsid w:val="751A29D7"/>
    <w:multiLevelType w:val="singleLevel"/>
    <w:tmpl w:val="A3FC7462"/>
    <w:lvl w:ilvl="0">
      <w:start w:val="1"/>
      <w:numFmt w:val="decimal"/>
      <w:lvlText w:val="%1."/>
      <w:lvlJc w:val="left"/>
      <w:pPr>
        <w:tabs>
          <w:tab w:val="num" w:pos="360"/>
        </w:tabs>
        <w:ind w:left="360" w:hanging="360"/>
      </w:pPr>
      <w:rPr>
        <w:rFonts w:hint="default"/>
      </w:rPr>
    </w:lvl>
  </w:abstractNum>
  <w:abstractNum w:abstractNumId="894" w15:restartNumberingAfterBreak="0">
    <w:nsid w:val="75284A6F"/>
    <w:multiLevelType w:val="hybridMultilevel"/>
    <w:tmpl w:val="958CA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5" w15:restartNumberingAfterBreak="0">
    <w:nsid w:val="75371D36"/>
    <w:multiLevelType w:val="hybridMultilevel"/>
    <w:tmpl w:val="796EF4B2"/>
    <w:lvl w:ilvl="0" w:tplc="EB9C5F8C">
      <w:start w:val="2"/>
      <w:numFmt w:val="decimal"/>
      <w:lvlText w:val="%1."/>
      <w:lvlJc w:val="left"/>
      <w:pPr>
        <w:ind w:left="720" w:hanging="360"/>
      </w:pPr>
      <w:rPr>
        <w:rFonts w:cs="Times New Roman"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96" w15:restartNumberingAfterBreak="0">
    <w:nsid w:val="755768E2"/>
    <w:multiLevelType w:val="hybridMultilevel"/>
    <w:tmpl w:val="0582BE56"/>
    <w:lvl w:ilvl="0" w:tplc="1480C3E2">
      <w:start w:val="1"/>
      <w:numFmt w:val="lowerLetter"/>
      <w:lvlText w:val="%1."/>
      <w:lvlJc w:val="left"/>
      <w:pPr>
        <w:ind w:left="1080" w:hanging="360"/>
      </w:pPr>
      <w:rPr>
        <w:rFonts w:hint="default"/>
        <w:b w:val="0"/>
        <w:i w:val="0"/>
        <w:sz w:val="22"/>
        <w:szCs w:val="22"/>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7" w15:restartNumberingAfterBreak="0">
    <w:nsid w:val="75755E91"/>
    <w:multiLevelType w:val="hybridMultilevel"/>
    <w:tmpl w:val="49AE252C"/>
    <w:lvl w:ilvl="0" w:tplc="FFFFFFFF">
      <w:start w:val="1"/>
      <w:numFmt w:val="lowerLetter"/>
      <w:lvlText w:val="%1."/>
      <w:lvlJc w:val="left"/>
      <w:pPr>
        <w:ind w:left="720" w:hanging="36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8" w15:restartNumberingAfterBreak="0">
    <w:nsid w:val="75CB2F6A"/>
    <w:multiLevelType w:val="hybridMultilevel"/>
    <w:tmpl w:val="82EE705A"/>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9" w15:restartNumberingAfterBreak="0">
    <w:nsid w:val="75D246BB"/>
    <w:multiLevelType w:val="hybridMultilevel"/>
    <w:tmpl w:val="4C003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0" w15:restartNumberingAfterBreak="0">
    <w:nsid w:val="75F803C9"/>
    <w:multiLevelType w:val="hybridMultilevel"/>
    <w:tmpl w:val="B43C015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1" w15:restartNumberingAfterBreak="0">
    <w:nsid w:val="75FD4DCF"/>
    <w:multiLevelType w:val="hybridMultilevel"/>
    <w:tmpl w:val="845080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2" w15:restartNumberingAfterBreak="0">
    <w:nsid w:val="76126975"/>
    <w:multiLevelType w:val="hybridMultilevel"/>
    <w:tmpl w:val="DB42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3" w15:restartNumberingAfterBreak="0">
    <w:nsid w:val="767B27A1"/>
    <w:multiLevelType w:val="hybridMultilevel"/>
    <w:tmpl w:val="184C99D8"/>
    <w:lvl w:ilvl="0" w:tplc="AD38CCD2">
      <w:start w:val="1"/>
      <w:numFmt w:val="decimal"/>
      <w:lvlText w:val="%1."/>
      <w:lvlJc w:val="left"/>
      <w:pPr>
        <w:ind w:left="810" w:hanging="360"/>
      </w:pPr>
      <w:rPr>
        <w:rFonts w:ascii="Book Antiqua" w:hAnsi="Book Antiqua" w:hint="default"/>
        <w:b w:val="0"/>
        <w:color w:val="auto"/>
        <w:sz w:val="22"/>
        <w:szCs w:val="22"/>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4" w15:restartNumberingAfterBreak="0">
    <w:nsid w:val="767C365C"/>
    <w:multiLevelType w:val="hybridMultilevel"/>
    <w:tmpl w:val="8F38F1C4"/>
    <w:lvl w:ilvl="0" w:tplc="04090001">
      <w:start w:val="1"/>
      <w:numFmt w:val="bullet"/>
      <w:lvlText w:val=""/>
      <w:lvlJc w:val="left"/>
      <w:pPr>
        <w:tabs>
          <w:tab w:val="num" w:pos="668"/>
        </w:tabs>
        <w:ind w:left="668"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5" w15:restartNumberingAfterBreak="0">
    <w:nsid w:val="76B018D4"/>
    <w:multiLevelType w:val="hybridMultilevel"/>
    <w:tmpl w:val="67661E34"/>
    <w:lvl w:ilvl="0" w:tplc="04090001">
      <w:start w:val="1"/>
      <w:numFmt w:val="bullet"/>
      <w:lvlText w:val=""/>
      <w:lvlJc w:val="left"/>
      <w:pPr>
        <w:tabs>
          <w:tab w:val="num" w:pos="468"/>
        </w:tabs>
        <w:ind w:left="468" w:hanging="360"/>
      </w:pPr>
      <w:rPr>
        <w:rFonts w:ascii="Symbol" w:hAnsi="Symbol" w:hint="default"/>
      </w:r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906" w15:restartNumberingAfterBreak="0">
    <w:nsid w:val="76C8171E"/>
    <w:multiLevelType w:val="hybridMultilevel"/>
    <w:tmpl w:val="43F225C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07" w15:restartNumberingAfterBreak="0">
    <w:nsid w:val="76CE1C69"/>
    <w:multiLevelType w:val="hybridMultilevel"/>
    <w:tmpl w:val="27D0A5A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908" w15:restartNumberingAfterBreak="0">
    <w:nsid w:val="76DF19B9"/>
    <w:multiLevelType w:val="hybridMultilevel"/>
    <w:tmpl w:val="E1FE77C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09" w15:restartNumberingAfterBreak="0">
    <w:nsid w:val="76E21567"/>
    <w:multiLevelType w:val="hybridMultilevel"/>
    <w:tmpl w:val="B0460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0" w15:restartNumberingAfterBreak="0">
    <w:nsid w:val="77844C19"/>
    <w:multiLevelType w:val="hybridMultilevel"/>
    <w:tmpl w:val="62E4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1" w15:restartNumberingAfterBreak="0">
    <w:nsid w:val="77B656FE"/>
    <w:multiLevelType w:val="hybridMultilevel"/>
    <w:tmpl w:val="15E2CF1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12" w15:restartNumberingAfterBreak="0">
    <w:nsid w:val="77F53625"/>
    <w:multiLevelType w:val="hybridMultilevel"/>
    <w:tmpl w:val="D59C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3" w15:restartNumberingAfterBreak="0">
    <w:nsid w:val="77FD0568"/>
    <w:multiLevelType w:val="hybridMultilevel"/>
    <w:tmpl w:val="4426CF22"/>
    <w:lvl w:ilvl="0" w:tplc="04090001">
      <w:start w:val="1"/>
      <w:numFmt w:val="bullet"/>
      <w:lvlText w:val=""/>
      <w:lvlJc w:val="left"/>
      <w:pPr>
        <w:tabs>
          <w:tab w:val="num" w:pos="668"/>
        </w:tabs>
        <w:ind w:left="668"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4" w15:restartNumberingAfterBreak="0">
    <w:nsid w:val="780700B3"/>
    <w:multiLevelType w:val="hybridMultilevel"/>
    <w:tmpl w:val="17DCA458"/>
    <w:lvl w:ilvl="0" w:tplc="04090001">
      <w:start w:val="1"/>
      <w:numFmt w:val="bullet"/>
      <w:lvlText w:val=""/>
      <w:lvlJc w:val="left"/>
      <w:pPr>
        <w:tabs>
          <w:tab w:val="num" w:pos="792"/>
        </w:tabs>
        <w:ind w:left="792" w:hanging="360"/>
      </w:pPr>
      <w:rPr>
        <w:rFonts w:ascii="Symbol" w:hAnsi="Symbol" w:hint="default"/>
      </w:r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5" w15:restartNumberingAfterBreak="0">
    <w:nsid w:val="781F7DB1"/>
    <w:multiLevelType w:val="hybridMultilevel"/>
    <w:tmpl w:val="542A693C"/>
    <w:lvl w:ilvl="0" w:tplc="04090001">
      <w:start w:val="1"/>
      <w:numFmt w:val="bullet"/>
      <w:lvlText w:val=""/>
      <w:lvlJc w:val="left"/>
      <w:pPr>
        <w:tabs>
          <w:tab w:val="num" w:pos="720"/>
        </w:tabs>
        <w:ind w:left="720" w:hanging="360"/>
      </w:pPr>
      <w:rPr>
        <w:rFonts w:ascii="Symbol" w:hAnsi="Symbol" w:hint="default"/>
      </w:rPr>
    </w:lvl>
    <w:lvl w:ilvl="1" w:tplc="D0B2FCC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6" w15:restartNumberingAfterBreak="0">
    <w:nsid w:val="783678B9"/>
    <w:multiLevelType w:val="hybridMultilevel"/>
    <w:tmpl w:val="AC781C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7" w15:restartNumberingAfterBreak="0">
    <w:nsid w:val="78A47A36"/>
    <w:multiLevelType w:val="hybridMultilevel"/>
    <w:tmpl w:val="65EC7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8" w15:restartNumberingAfterBreak="0">
    <w:nsid w:val="795924B0"/>
    <w:multiLevelType w:val="hybridMultilevel"/>
    <w:tmpl w:val="0F6CF81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9" w15:restartNumberingAfterBreak="0">
    <w:nsid w:val="795E6D53"/>
    <w:multiLevelType w:val="hybridMultilevel"/>
    <w:tmpl w:val="C8E80FB4"/>
    <w:lvl w:ilvl="0" w:tplc="04090001">
      <w:start w:val="1"/>
      <w:numFmt w:val="bullet"/>
      <w:lvlText w:val=""/>
      <w:lvlJc w:val="left"/>
      <w:pPr>
        <w:tabs>
          <w:tab w:val="num" w:pos="723"/>
        </w:tabs>
        <w:ind w:left="723"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0" w15:restartNumberingAfterBreak="0">
    <w:nsid w:val="797E2C18"/>
    <w:multiLevelType w:val="hybridMultilevel"/>
    <w:tmpl w:val="C48CC83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1491"/>
        </w:tabs>
        <w:ind w:left="1491" w:hanging="360"/>
      </w:pPr>
    </w:lvl>
    <w:lvl w:ilvl="2" w:tplc="0409001B" w:tentative="1">
      <w:start w:val="1"/>
      <w:numFmt w:val="lowerRoman"/>
      <w:lvlText w:val="%3."/>
      <w:lvlJc w:val="right"/>
      <w:pPr>
        <w:tabs>
          <w:tab w:val="num" w:pos="2211"/>
        </w:tabs>
        <w:ind w:left="2211" w:hanging="180"/>
      </w:pPr>
    </w:lvl>
    <w:lvl w:ilvl="3" w:tplc="0409000F" w:tentative="1">
      <w:start w:val="1"/>
      <w:numFmt w:val="decimal"/>
      <w:lvlText w:val="%4."/>
      <w:lvlJc w:val="left"/>
      <w:pPr>
        <w:tabs>
          <w:tab w:val="num" w:pos="2931"/>
        </w:tabs>
        <w:ind w:left="2931" w:hanging="360"/>
      </w:pPr>
    </w:lvl>
    <w:lvl w:ilvl="4" w:tplc="04090019" w:tentative="1">
      <w:start w:val="1"/>
      <w:numFmt w:val="lowerLetter"/>
      <w:lvlText w:val="%5."/>
      <w:lvlJc w:val="left"/>
      <w:pPr>
        <w:tabs>
          <w:tab w:val="num" w:pos="3651"/>
        </w:tabs>
        <w:ind w:left="3651" w:hanging="360"/>
      </w:pPr>
    </w:lvl>
    <w:lvl w:ilvl="5" w:tplc="0409001B" w:tentative="1">
      <w:start w:val="1"/>
      <w:numFmt w:val="lowerRoman"/>
      <w:lvlText w:val="%6."/>
      <w:lvlJc w:val="right"/>
      <w:pPr>
        <w:tabs>
          <w:tab w:val="num" w:pos="4371"/>
        </w:tabs>
        <w:ind w:left="4371" w:hanging="180"/>
      </w:pPr>
    </w:lvl>
    <w:lvl w:ilvl="6" w:tplc="0409000F" w:tentative="1">
      <w:start w:val="1"/>
      <w:numFmt w:val="decimal"/>
      <w:lvlText w:val="%7."/>
      <w:lvlJc w:val="left"/>
      <w:pPr>
        <w:tabs>
          <w:tab w:val="num" w:pos="5091"/>
        </w:tabs>
        <w:ind w:left="5091" w:hanging="360"/>
      </w:pPr>
    </w:lvl>
    <w:lvl w:ilvl="7" w:tplc="04090019" w:tentative="1">
      <w:start w:val="1"/>
      <w:numFmt w:val="lowerLetter"/>
      <w:lvlText w:val="%8."/>
      <w:lvlJc w:val="left"/>
      <w:pPr>
        <w:tabs>
          <w:tab w:val="num" w:pos="5811"/>
        </w:tabs>
        <w:ind w:left="5811" w:hanging="360"/>
      </w:pPr>
    </w:lvl>
    <w:lvl w:ilvl="8" w:tplc="0409001B" w:tentative="1">
      <w:start w:val="1"/>
      <w:numFmt w:val="lowerRoman"/>
      <w:lvlText w:val="%9."/>
      <w:lvlJc w:val="right"/>
      <w:pPr>
        <w:tabs>
          <w:tab w:val="num" w:pos="6531"/>
        </w:tabs>
        <w:ind w:left="6531" w:hanging="180"/>
      </w:pPr>
    </w:lvl>
  </w:abstractNum>
  <w:abstractNum w:abstractNumId="921" w15:restartNumberingAfterBreak="0">
    <w:nsid w:val="798E2113"/>
    <w:multiLevelType w:val="hybridMultilevel"/>
    <w:tmpl w:val="30AE0FEE"/>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88"/>
        </w:tabs>
        <w:ind w:left="1488" w:hanging="360"/>
      </w:p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922" w15:restartNumberingAfterBreak="0">
    <w:nsid w:val="79AA3332"/>
    <w:multiLevelType w:val="hybridMultilevel"/>
    <w:tmpl w:val="993C4152"/>
    <w:lvl w:ilvl="0" w:tplc="0409000F">
      <w:start w:val="1"/>
      <w:numFmt w:val="decimal"/>
      <w:lvlText w:val="%1."/>
      <w:lvlJc w:val="left"/>
      <w:pPr>
        <w:tabs>
          <w:tab w:val="num" w:pos="720"/>
        </w:tabs>
        <w:ind w:left="720" w:hanging="360"/>
      </w:pPr>
    </w:lvl>
    <w:lvl w:ilvl="1" w:tplc="D9FC2024">
      <w:start w:val="1"/>
      <w:numFmt w:val="bullet"/>
      <w:lvlText w:val=""/>
      <w:lvlJc w:val="left"/>
      <w:pPr>
        <w:tabs>
          <w:tab w:val="num" w:pos="1440"/>
        </w:tabs>
        <w:ind w:left="1440" w:hanging="360"/>
      </w:pPr>
      <w:rPr>
        <w:rFonts w:ascii="Symbol" w:hAnsi="Symbol"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3" w15:restartNumberingAfterBreak="0">
    <w:nsid w:val="79AE58AC"/>
    <w:multiLevelType w:val="hybridMultilevel"/>
    <w:tmpl w:val="30B26630"/>
    <w:lvl w:ilvl="0" w:tplc="5652FDB2">
      <w:start w:val="1"/>
      <w:numFmt w:val="bullet"/>
      <w:lvlText w:val=""/>
      <w:lvlJc w:val="left"/>
      <w:pPr>
        <w:tabs>
          <w:tab w:val="num" w:pos="3240"/>
        </w:tabs>
        <w:ind w:left="3240" w:hanging="18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4" w15:restartNumberingAfterBreak="0">
    <w:nsid w:val="79C979E2"/>
    <w:multiLevelType w:val="hybridMultilevel"/>
    <w:tmpl w:val="3DF0921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25" w15:restartNumberingAfterBreak="0">
    <w:nsid w:val="79ED4726"/>
    <w:multiLevelType w:val="hybridMultilevel"/>
    <w:tmpl w:val="727A5322"/>
    <w:lvl w:ilvl="0" w:tplc="FFFFFFFF">
      <w:start w:val="1"/>
      <w:numFmt w:val="bullet"/>
      <w:lvlText w:val=""/>
      <w:lvlJc w:val="left"/>
      <w:pPr>
        <w:tabs>
          <w:tab w:val="num" w:pos="432"/>
        </w:tabs>
        <w:ind w:left="432" w:hanging="432"/>
      </w:pPr>
      <w:rPr>
        <w:rFonts w:ascii="Symbol" w:hAnsi="Symbol" w:hint="default"/>
        <w:color w:val="auto"/>
        <w:sz w:val="18"/>
        <w:szCs w:val="18"/>
      </w:rPr>
    </w:lvl>
    <w:lvl w:ilvl="1" w:tplc="04090003">
      <w:start w:val="1"/>
      <w:numFmt w:val="bullet"/>
      <w:lvlText w:val="o"/>
      <w:lvlJc w:val="left"/>
      <w:pPr>
        <w:tabs>
          <w:tab w:val="num" w:pos="1800"/>
        </w:tabs>
        <w:ind w:left="1800" w:hanging="360"/>
      </w:pPr>
      <w:rPr>
        <w:rFonts w:ascii="Courier New" w:hAnsi="Courier New" w:hint="default"/>
        <w:color w:val="auto"/>
        <w:sz w:val="22"/>
        <w:szCs w:val="22"/>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26" w15:restartNumberingAfterBreak="0">
    <w:nsid w:val="79F04780"/>
    <w:multiLevelType w:val="hybridMultilevel"/>
    <w:tmpl w:val="7BBEB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7" w15:restartNumberingAfterBreak="0">
    <w:nsid w:val="7A027E0D"/>
    <w:multiLevelType w:val="hybridMultilevel"/>
    <w:tmpl w:val="27068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8" w15:restartNumberingAfterBreak="0">
    <w:nsid w:val="7A210EC7"/>
    <w:multiLevelType w:val="hybridMultilevel"/>
    <w:tmpl w:val="2AB85A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9" w15:restartNumberingAfterBreak="0">
    <w:nsid w:val="7A4E515F"/>
    <w:multiLevelType w:val="hybridMultilevel"/>
    <w:tmpl w:val="F66A053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0" w15:restartNumberingAfterBreak="0">
    <w:nsid w:val="7A7F30AF"/>
    <w:multiLevelType w:val="hybridMultilevel"/>
    <w:tmpl w:val="A44EB304"/>
    <w:lvl w:ilvl="0" w:tplc="BF244624">
      <w:start w:val="1"/>
      <w:numFmt w:val="decimal"/>
      <w:lvlText w:val="%1."/>
      <w:lvlJc w:val="left"/>
      <w:pPr>
        <w:tabs>
          <w:tab w:val="num" w:pos="540"/>
        </w:tabs>
        <w:ind w:left="540" w:hanging="36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1" w15:restartNumberingAfterBreak="0">
    <w:nsid w:val="7AD34BFE"/>
    <w:multiLevelType w:val="hybridMultilevel"/>
    <w:tmpl w:val="42B0B314"/>
    <w:lvl w:ilvl="0" w:tplc="04090001">
      <w:start w:val="1"/>
      <w:numFmt w:val="bullet"/>
      <w:lvlText w:val=""/>
      <w:lvlJc w:val="left"/>
      <w:pPr>
        <w:tabs>
          <w:tab w:val="num" w:pos="612"/>
        </w:tabs>
        <w:ind w:left="612" w:hanging="360"/>
      </w:pPr>
      <w:rPr>
        <w:rFonts w:ascii="Symbol" w:hAnsi="Symbol"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932" w15:restartNumberingAfterBreak="0">
    <w:nsid w:val="7BA83F2F"/>
    <w:multiLevelType w:val="hybridMultilevel"/>
    <w:tmpl w:val="7560824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3" w15:restartNumberingAfterBreak="0">
    <w:nsid w:val="7BFB1DF6"/>
    <w:multiLevelType w:val="hybridMultilevel"/>
    <w:tmpl w:val="18BC4E1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4" w15:restartNumberingAfterBreak="0">
    <w:nsid w:val="7C230D6B"/>
    <w:multiLevelType w:val="hybridMultilevel"/>
    <w:tmpl w:val="EF40F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5" w15:restartNumberingAfterBreak="0">
    <w:nsid w:val="7C3C4D67"/>
    <w:multiLevelType w:val="hybridMultilevel"/>
    <w:tmpl w:val="64C68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6" w15:restartNumberingAfterBreak="0">
    <w:nsid w:val="7C6A3B5E"/>
    <w:multiLevelType w:val="hybridMultilevel"/>
    <w:tmpl w:val="69C6383C"/>
    <w:lvl w:ilvl="0" w:tplc="DD4C4474">
      <w:start w:val="1"/>
      <w:numFmt w:val="lowerLetter"/>
      <w:lvlText w:val="%1."/>
      <w:lvlJc w:val="left"/>
      <w:pPr>
        <w:tabs>
          <w:tab w:val="num" w:pos="1440"/>
        </w:tabs>
        <w:ind w:left="1440" w:hanging="360"/>
      </w:pPr>
      <w:rPr>
        <w:rFonts w:hint="default"/>
      </w:rPr>
    </w:lvl>
    <w:lvl w:ilvl="1" w:tplc="7FDC82E0" w:tentative="1">
      <w:start w:val="1"/>
      <w:numFmt w:val="lowerLetter"/>
      <w:lvlText w:val="%2."/>
      <w:lvlJc w:val="left"/>
      <w:pPr>
        <w:tabs>
          <w:tab w:val="num" w:pos="1080"/>
        </w:tabs>
        <w:ind w:left="1080" w:hanging="360"/>
      </w:pPr>
    </w:lvl>
    <w:lvl w:ilvl="2" w:tplc="41F0273C" w:tentative="1">
      <w:start w:val="1"/>
      <w:numFmt w:val="lowerRoman"/>
      <w:lvlText w:val="%3."/>
      <w:lvlJc w:val="right"/>
      <w:pPr>
        <w:tabs>
          <w:tab w:val="num" w:pos="1800"/>
        </w:tabs>
        <w:ind w:left="1800" w:hanging="180"/>
      </w:pPr>
    </w:lvl>
    <w:lvl w:ilvl="3" w:tplc="B21A0E6A" w:tentative="1">
      <w:start w:val="1"/>
      <w:numFmt w:val="decimal"/>
      <w:lvlText w:val="%4."/>
      <w:lvlJc w:val="left"/>
      <w:pPr>
        <w:tabs>
          <w:tab w:val="num" w:pos="2520"/>
        </w:tabs>
        <w:ind w:left="2520" w:hanging="360"/>
      </w:pPr>
    </w:lvl>
    <w:lvl w:ilvl="4" w:tplc="5E7088CA" w:tentative="1">
      <w:start w:val="1"/>
      <w:numFmt w:val="lowerLetter"/>
      <w:lvlText w:val="%5."/>
      <w:lvlJc w:val="left"/>
      <w:pPr>
        <w:tabs>
          <w:tab w:val="num" w:pos="3240"/>
        </w:tabs>
        <w:ind w:left="3240" w:hanging="360"/>
      </w:pPr>
    </w:lvl>
    <w:lvl w:ilvl="5" w:tplc="35905090" w:tentative="1">
      <w:start w:val="1"/>
      <w:numFmt w:val="lowerRoman"/>
      <w:lvlText w:val="%6."/>
      <w:lvlJc w:val="right"/>
      <w:pPr>
        <w:tabs>
          <w:tab w:val="num" w:pos="3960"/>
        </w:tabs>
        <w:ind w:left="3960" w:hanging="180"/>
      </w:pPr>
    </w:lvl>
    <w:lvl w:ilvl="6" w:tplc="13FE3980" w:tentative="1">
      <w:start w:val="1"/>
      <w:numFmt w:val="decimal"/>
      <w:lvlText w:val="%7."/>
      <w:lvlJc w:val="left"/>
      <w:pPr>
        <w:tabs>
          <w:tab w:val="num" w:pos="4680"/>
        </w:tabs>
        <w:ind w:left="4680" w:hanging="360"/>
      </w:pPr>
    </w:lvl>
    <w:lvl w:ilvl="7" w:tplc="40508FB8" w:tentative="1">
      <w:start w:val="1"/>
      <w:numFmt w:val="lowerLetter"/>
      <w:lvlText w:val="%8."/>
      <w:lvlJc w:val="left"/>
      <w:pPr>
        <w:tabs>
          <w:tab w:val="num" w:pos="5400"/>
        </w:tabs>
        <w:ind w:left="5400" w:hanging="360"/>
      </w:pPr>
    </w:lvl>
    <w:lvl w:ilvl="8" w:tplc="15384C12" w:tentative="1">
      <w:start w:val="1"/>
      <w:numFmt w:val="lowerRoman"/>
      <w:lvlText w:val="%9."/>
      <w:lvlJc w:val="right"/>
      <w:pPr>
        <w:tabs>
          <w:tab w:val="num" w:pos="6120"/>
        </w:tabs>
        <w:ind w:left="6120" w:hanging="180"/>
      </w:pPr>
    </w:lvl>
  </w:abstractNum>
  <w:abstractNum w:abstractNumId="937" w15:restartNumberingAfterBreak="0">
    <w:nsid w:val="7CD545AC"/>
    <w:multiLevelType w:val="hybridMultilevel"/>
    <w:tmpl w:val="F04660D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8" w15:restartNumberingAfterBreak="0">
    <w:nsid w:val="7CF50D2A"/>
    <w:multiLevelType w:val="hybridMultilevel"/>
    <w:tmpl w:val="7612EC0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9" w15:restartNumberingAfterBreak="0">
    <w:nsid w:val="7D3539A9"/>
    <w:multiLevelType w:val="hybridMultilevel"/>
    <w:tmpl w:val="8D90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0" w15:restartNumberingAfterBreak="0">
    <w:nsid w:val="7DB72276"/>
    <w:multiLevelType w:val="hybridMultilevel"/>
    <w:tmpl w:val="DA0A2EA2"/>
    <w:lvl w:ilvl="0" w:tplc="04090001">
      <w:start w:val="1"/>
      <w:numFmt w:val="bullet"/>
      <w:lvlText w:val=""/>
      <w:lvlJc w:val="left"/>
      <w:pPr>
        <w:tabs>
          <w:tab w:val="num" w:pos="792"/>
        </w:tabs>
        <w:ind w:left="792"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41" w15:restartNumberingAfterBreak="0">
    <w:nsid w:val="7DBB48CC"/>
    <w:multiLevelType w:val="hybridMultilevel"/>
    <w:tmpl w:val="0B38CD80"/>
    <w:lvl w:ilvl="0" w:tplc="04090001">
      <w:start w:val="1"/>
      <w:numFmt w:val="bullet"/>
      <w:lvlText w:val=""/>
      <w:lvlJc w:val="left"/>
      <w:pPr>
        <w:tabs>
          <w:tab w:val="num" w:pos="792"/>
        </w:tabs>
        <w:ind w:left="792"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2" w15:restartNumberingAfterBreak="0">
    <w:nsid w:val="7DFF792E"/>
    <w:multiLevelType w:val="hybridMultilevel"/>
    <w:tmpl w:val="650A95A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43" w15:restartNumberingAfterBreak="0">
    <w:nsid w:val="7E153D63"/>
    <w:multiLevelType w:val="hybridMultilevel"/>
    <w:tmpl w:val="92B25006"/>
    <w:lvl w:ilvl="0" w:tplc="DA824714">
      <w:start w:val="1"/>
      <w:numFmt w:val="decimal"/>
      <w:lvlText w:val="%1."/>
      <w:lvlJc w:val="left"/>
      <w:pPr>
        <w:tabs>
          <w:tab w:val="num" w:pos="360"/>
        </w:tabs>
        <w:ind w:left="360" w:hanging="360"/>
      </w:pPr>
      <w:rPr>
        <w:rFonts w:hint="default"/>
      </w:rPr>
    </w:lvl>
    <w:lvl w:ilvl="1" w:tplc="1C2C3B9C" w:tentative="1">
      <w:start w:val="1"/>
      <w:numFmt w:val="lowerLetter"/>
      <w:lvlText w:val="%2."/>
      <w:lvlJc w:val="left"/>
      <w:pPr>
        <w:tabs>
          <w:tab w:val="num" w:pos="1440"/>
        </w:tabs>
        <w:ind w:left="1440" w:hanging="360"/>
      </w:pPr>
    </w:lvl>
    <w:lvl w:ilvl="2" w:tplc="44CC9AB0" w:tentative="1">
      <w:start w:val="1"/>
      <w:numFmt w:val="lowerRoman"/>
      <w:lvlText w:val="%3."/>
      <w:lvlJc w:val="right"/>
      <w:pPr>
        <w:tabs>
          <w:tab w:val="num" w:pos="2160"/>
        </w:tabs>
        <w:ind w:left="2160" w:hanging="180"/>
      </w:pPr>
    </w:lvl>
    <w:lvl w:ilvl="3" w:tplc="00B6AF46" w:tentative="1">
      <w:start w:val="1"/>
      <w:numFmt w:val="decimal"/>
      <w:lvlText w:val="%4."/>
      <w:lvlJc w:val="left"/>
      <w:pPr>
        <w:tabs>
          <w:tab w:val="num" w:pos="2880"/>
        </w:tabs>
        <w:ind w:left="2880" w:hanging="360"/>
      </w:pPr>
    </w:lvl>
    <w:lvl w:ilvl="4" w:tplc="7F5A0250" w:tentative="1">
      <w:start w:val="1"/>
      <w:numFmt w:val="lowerLetter"/>
      <w:lvlText w:val="%5."/>
      <w:lvlJc w:val="left"/>
      <w:pPr>
        <w:tabs>
          <w:tab w:val="num" w:pos="3600"/>
        </w:tabs>
        <w:ind w:left="3600" w:hanging="360"/>
      </w:pPr>
    </w:lvl>
    <w:lvl w:ilvl="5" w:tplc="00A06FCC" w:tentative="1">
      <w:start w:val="1"/>
      <w:numFmt w:val="lowerRoman"/>
      <w:lvlText w:val="%6."/>
      <w:lvlJc w:val="right"/>
      <w:pPr>
        <w:tabs>
          <w:tab w:val="num" w:pos="4320"/>
        </w:tabs>
        <w:ind w:left="4320" w:hanging="180"/>
      </w:pPr>
    </w:lvl>
    <w:lvl w:ilvl="6" w:tplc="79729F90" w:tentative="1">
      <w:start w:val="1"/>
      <w:numFmt w:val="decimal"/>
      <w:lvlText w:val="%7."/>
      <w:lvlJc w:val="left"/>
      <w:pPr>
        <w:tabs>
          <w:tab w:val="num" w:pos="5040"/>
        </w:tabs>
        <w:ind w:left="5040" w:hanging="360"/>
      </w:pPr>
    </w:lvl>
    <w:lvl w:ilvl="7" w:tplc="DA5C9EAC" w:tentative="1">
      <w:start w:val="1"/>
      <w:numFmt w:val="lowerLetter"/>
      <w:lvlText w:val="%8."/>
      <w:lvlJc w:val="left"/>
      <w:pPr>
        <w:tabs>
          <w:tab w:val="num" w:pos="5760"/>
        </w:tabs>
        <w:ind w:left="5760" w:hanging="360"/>
      </w:pPr>
    </w:lvl>
    <w:lvl w:ilvl="8" w:tplc="D22C62AE" w:tentative="1">
      <w:start w:val="1"/>
      <w:numFmt w:val="lowerRoman"/>
      <w:lvlText w:val="%9."/>
      <w:lvlJc w:val="right"/>
      <w:pPr>
        <w:tabs>
          <w:tab w:val="num" w:pos="6480"/>
        </w:tabs>
        <w:ind w:left="6480" w:hanging="180"/>
      </w:pPr>
    </w:lvl>
  </w:abstractNum>
  <w:abstractNum w:abstractNumId="944" w15:restartNumberingAfterBreak="0">
    <w:nsid w:val="7E8C0764"/>
    <w:multiLevelType w:val="hybridMultilevel"/>
    <w:tmpl w:val="6728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5" w15:restartNumberingAfterBreak="0">
    <w:nsid w:val="7EAE276C"/>
    <w:multiLevelType w:val="hybridMultilevel"/>
    <w:tmpl w:val="338040E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6" w15:restartNumberingAfterBreak="0">
    <w:nsid w:val="7EAF53B6"/>
    <w:multiLevelType w:val="hybridMultilevel"/>
    <w:tmpl w:val="FA04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7" w15:restartNumberingAfterBreak="0">
    <w:nsid w:val="7EC34059"/>
    <w:multiLevelType w:val="hybridMultilevel"/>
    <w:tmpl w:val="9662B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8" w15:restartNumberingAfterBreak="0">
    <w:nsid w:val="7EF720D8"/>
    <w:multiLevelType w:val="hybridMultilevel"/>
    <w:tmpl w:val="4D869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9" w15:restartNumberingAfterBreak="0">
    <w:nsid w:val="7F095F4F"/>
    <w:multiLevelType w:val="hybridMultilevel"/>
    <w:tmpl w:val="2ED64F3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0" w15:restartNumberingAfterBreak="0">
    <w:nsid w:val="7F37417E"/>
    <w:multiLevelType w:val="hybridMultilevel"/>
    <w:tmpl w:val="68DEA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1" w15:restartNumberingAfterBreak="0">
    <w:nsid w:val="7F7B59DF"/>
    <w:multiLevelType w:val="hybridMultilevel"/>
    <w:tmpl w:val="0F105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2" w15:restartNumberingAfterBreak="0">
    <w:nsid w:val="7F8442C7"/>
    <w:multiLevelType w:val="hybridMultilevel"/>
    <w:tmpl w:val="2C40EDA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3" w15:restartNumberingAfterBreak="0">
    <w:nsid w:val="7FA81F78"/>
    <w:multiLevelType w:val="hybridMultilevel"/>
    <w:tmpl w:val="D1FC615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54" w15:restartNumberingAfterBreak="0">
    <w:nsid w:val="7FB4668D"/>
    <w:multiLevelType w:val="hybridMultilevel"/>
    <w:tmpl w:val="CA6ADEBA"/>
    <w:lvl w:ilvl="0" w:tplc="04090001">
      <w:start w:val="1"/>
      <w:numFmt w:val="bullet"/>
      <w:lvlText w:val=""/>
      <w:lvlJc w:val="left"/>
      <w:pPr>
        <w:tabs>
          <w:tab w:val="num" w:pos="857"/>
        </w:tabs>
        <w:ind w:left="857"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5" w15:restartNumberingAfterBreak="0">
    <w:nsid w:val="7FF94BC6"/>
    <w:multiLevelType w:val="hybridMultilevel"/>
    <w:tmpl w:val="6A7EEE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1"/>
  </w:num>
  <w:num w:numId="2">
    <w:abstractNumId w:val="382"/>
  </w:num>
  <w:num w:numId="3">
    <w:abstractNumId w:val="246"/>
  </w:num>
  <w:num w:numId="4">
    <w:abstractNumId w:val="544"/>
  </w:num>
  <w:num w:numId="5">
    <w:abstractNumId w:val="219"/>
  </w:num>
  <w:num w:numId="6">
    <w:abstractNumId w:val="263"/>
  </w:num>
  <w:num w:numId="7">
    <w:abstractNumId w:val="893"/>
  </w:num>
  <w:num w:numId="8">
    <w:abstractNumId w:val="36"/>
  </w:num>
  <w:num w:numId="9">
    <w:abstractNumId w:val="718"/>
  </w:num>
  <w:num w:numId="10">
    <w:abstractNumId w:val="52"/>
  </w:num>
  <w:num w:numId="11">
    <w:abstractNumId w:val="184"/>
  </w:num>
  <w:num w:numId="12">
    <w:abstractNumId w:val="461"/>
  </w:num>
  <w:num w:numId="13">
    <w:abstractNumId w:val="595"/>
  </w:num>
  <w:num w:numId="14">
    <w:abstractNumId w:val="204"/>
  </w:num>
  <w:num w:numId="15">
    <w:abstractNumId w:val="936"/>
  </w:num>
  <w:num w:numId="16">
    <w:abstractNumId w:val="379"/>
  </w:num>
  <w:num w:numId="17">
    <w:abstractNumId w:val="943"/>
  </w:num>
  <w:num w:numId="18">
    <w:abstractNumId w:val="362"/>
  </w:num>
  <w:num w:numId="19">
    <w:abstractNumId w:val="816"/>
  </w:num>
  <w:num w:numId="20">
    <w:abstractNumId w:val="151"/>
  </w:num>
  <w:num w:numId="21">
    <w:abstractNumId w:val="23"/>
  </w:num>
  <w:num w:numId="22">
    <w:abstractNumId w:val="279"/>
  </w:num>
  <w:num w:numId="23">
    <w:abstractNumId w:val="477"/>
  </w:num>
  <w:num w:numId="24">
    <w:abstractNumId w:val="636"/>
  </w:num>
  <w:num w:numId="25">
    <w:abstractNumId w:val="159"/>
  </w:num>
  <w:num w:numId="26">
    <w:abstractNumId w:val="810"/>
  </w:num>
  <w:num w:numId="27">
    <w:abstractNumId w:val="658"/>
  </w:num>
  <w:num w:numId="28">
    <w:abstractNumId w:val="428"/>
  </w:num>
  <w:num w:numId="29">
    <w:abstractNumId w:val="293"/>
  </w:num>
  <w:num w:numId="30">
    <w:abstractNumId w:val="116"/>
  </w:num>
  <w:num w:numId="31">
    <w:abstractNumId w:val="687"/>
  </w:num>
  <w:num w:numId="32">
    <w:abstractNumId w:val="925"/>
  </w:num>
  <w:num w:numId="33">
    <w:abstractNumId w:val="619"/>
  </w:num>
  <w:num w:numId="34">
    <w:abstractNumId w:val="583"/>
  </w:num>
  <w:num w:numId="35">
    <w:abstractNumId w:val="173"/>
  </w:num>
  <w:num w:numId="36">
    <w:abstractNumId w:val="37"/>
  </w:num>
  <w:num w:numId="37">
    <w:abstractNumId w:val="752"/>
  </w:num>
  <w:num w:numId="38">
    <w:abstractNumId w:val="454"/>
  </w:num>
  <w:num w:numId="39">
    <w:abstractNumId w:val="626"/>
  </w:num>
  <w:num w:numId="40">
    <w:abstractNumId w:val="881"/>
  </w:num>
  <w:num w:numId="41">
    <w:abstractNumId w:val="46"/>
  </w:num>
  <w:num w:numId="42">
    <w:abstractNumId w:val="629"/>
  </w:num>
  <w:num w:numId="43">
    <w:abstractNumId w:val="168"/>
  </w:num>
  <w:num w:numId="44">
    <w:abstractNumId w:val="472"/>
  </w:num>
  <w:num w:numId="45">
    <w:abstractNumId w:val="410"/>
  </w:num>
  <w:num w:numId="46">
    <w:abstractNumId w:val="322"/>
  </w:num>
  <w:num w:numId="47">
    <w:abstractNumId w:val="79"/>
  </w:num>
  <w:num w:numId="48">
    <w:abstractNumId w:val="455"/>
  </w:num>
  <w:num w:numId="49">
    <w:abstractNumId w:val="571"/>
  </w:num>
  <w:num w:numId="50">
    <w:abstractNumId w:val="465"/>
  </w:num>
  <w:num w:numId="51">
    <w:abstractNumId w:val="111"/>
  </w:num>
  <w:num w:numId="52">
    <w:abstractNumId w:val="820"/>
  </w:num>
  <w:num w:numId="53">
    <w:abstractNumId w:val="681"/>
  </w:num>
  <w:num w:numId="54">
    <w:abstractNumId w:val="638"/>
  </w:num>
  <w:num w:numId="55">
    <w:abstractNumId w:val="862"/>
  </w:num>
  <w:num w:numId="56">
    <w:abstractNumId w:val="5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90"/>
  </w:num>
  <w:num w:numId="58">
    <w:abstractNumId w:val="599"/>
  </w:num>
  <w:num w:numId="59">
    <w:abstractNumId w:val="28"/>
  </w:num>
  <w:num w:numId="60">
    <w:abstractNumId w:val="413"/>
  </w:num>
  <w:num w:numId="61">
    <w:abstractNumId w:val="324"/>
  </w:num>
  <w:num w:numId="62">
    <w:abstractNumId w:val="315"/>
  </w:num>
  <w:num w:numId="63">
    <w:abstractNumId w:val="368"/>
  </w:num>
  <w:num w:numId="64">
    <w:abstractNumId w:val="46"/>
    <w:lvlOverride w:ilvl="0">
      <w:startOverride w:val="1"/>
    </w:lvlOverride>
  </w:num>
  <w:num w:numId="65">
    <w:abstractNumId w:val="46"/>
    <w:lvlOverride w:ilvl="0">
      <w:startOverride w:val="1"/>
    </w:lvlOverride>
  </w:num>
  <w:num w:numId="66">
    <w:abstractNumId w:val="903"/>
  </w:num>
  <w:num w:numId="67">
    <w:abstractNumId w:val="831"/>
  </w:num>
  <w:num w:numId="68">
    <w:abstractNumId w:val="306"/>
  </w:num>
  <w:num w:numId="69">
    <w:abstractNumId w:val="534"/>
  </w:num>
  <w:num w:numId="70">
    <w:abstractNumId w:val="21"/>
  </w:num>
  <w:num w:numId="71">
    <w:abstractNumId w:val="815"/>
  </w:num>
  <w:num w:numId="72">
    <w:abstractNumId w:val="630"/>
  </w:num>
  <w:num w:numId="73">
    <w:abstractNumId w:val="567"/>
  </w:num>
  <w:num w:numId="74">
    <w:abstractNumId w:val="152"/>
  </w:num>
  <w:num w:numId="75">
    <w:abstractNumId w:val="206"/>
  </w:num>
  <w:num w:numId="76">
    <w:abstractNumId w:val="117"/>
  </w:num>
  <w:num w:numId="77">
    <w:abstractNumId w:val="200"/>
  </w:num>
  <w:num w:numId="78">
    <w:abstractNumId w:val="213"/>
  </w:num>
  <w:num w:numId="79">
    <w:abstractNumId w:val="442"/>
  </w:num>
  <w:num w:numId="80">
    <w:abstractNumId w:val="757"/>
  </w:num>
  <w:num w:numId="81">
    <w:abstractNumId w:val="466"/>
  </w:num>
  <w:num w:numId="82">
    <w:abstractNumId w:val="376"/>
  </w:num>
  <w:num w:numId="83">
    <w:abstractNumId w:val="934"/>
  </w:num>
  <w:num w:numId="84">
    <w:abstractNumId w:val="625"/>
  </w:num>
  <w:num w:numId="85">
    <w:abstractNumId w:val="46"/>
    <w:lvlOverride w:ilvl="0">
      <w:startOverride w:val="1"/>
    </w:lvlOverride>
  </w:num>
  <w:num w:numId="86">
    <w:abstractNumId w:val="121"/>
  </w:num>
  <w:num w:numId="87">
    <w:abstractNumId w:val="42"/>
  </w:num>
  <w:num w:numId="88">
    <w:abstractNumId w:val="400"/>
  </w:num>
  <w:num w:numId="89">
    <w:abstractNumId w:val="223"/>
  </w:num>
  <w:num w:numId="90">
    <w:abstractNumId w:val="50"/>
  </w:num>
  <w:num w:numId="91">
    <w:abstractNumId w:val="613"/>
  </w:num>
  <w:num w:numId="92">
    <w:abstractNumId w:val="270"/>
  </w:num>
  <w:num w:numId="93">
    <w:abstractNumId w:val="788"/>
  </w:num>
  <w:num w:numId="94">
    <w:abstractNumId w:val="869"/>
  </w:num>
  <w:num w:numId="95">
    <w:abstractNumId w:val="203"/>
  </w:num>
  <w:num w:numId="96">
    <w:abstractNumId w:val="319"/>
  </w:num>
  <w:num w:numId="97">
    <w:abstractNumId w:val="556"/>
  </w:num>
  <w:num w:numId="98">
    <w:abstractNumId w:val="348"/>
  </w:num>
  <w:num w:numId="99">
    <w:abstractNumId w:val="249"/>
  </w:num>
  <w:num w:numId="100">
    <w:abstractNumId w:val="754"/>
  </w:num>
  <w:num w:numId="101">
    <w:abstractNumId w:val="101"/>
  </w:num>
  <w:num w:numId="102">
    <w:abstractNumId w:val="408"/>
  </w:num>
  <w:num w:numId="103">
    <w:abstractNumId w:val="286"/>
  </w:num>
  <w:num w:numId="104">
    <w:abstractNumId w:val="926"/>
  </w:num>
  <w:num w:numId="105">
    <w:abstractNumId w:val="587"/>
  </w:num>
  <w:num w:numId="106">
    <w:abstractNumId w:val="461"/>
  </w:num>
  <w:num w:numId="107">
    <w:abstractNumId w:val="461"/>
  </w:num>
  <w:num w:numId="108">
    <w:abstractNumId w:val="317"/>
  </w:num>
  <w:num w:numId="109">
    <w:abstractNumId w:val="46"/>
  </w:num>
  <w:num w:numId="110">
    <w:abstractNumId w:val="497"/>
  </w:num>
  <w:num w:numId="111">
    <w:abstractNumId w:val="11"/>
  </w:num>
  <w:num w:numId="112">
    <w:abstractNumId w:val="807"/>
  </w:num>
  <w:num w:numId="113">
    <w:abstractNumId w:val="721"/>
  </w:num>
  <w:num w:numId="114">
    <w:abstractNumId w:val="800"/>
  </w:num>
  <w:num w:numId="115">
    <w:abstractNumId w:val="570"/>
  </w:num>
  <w:num w:numId="116">
    <w:abstractNumId w:val="461"/>
  </w:num>
  <w:num w:numId="117">
    <w:abstractNumId w:val="461"/>
  </w:num>
  <w:num w:numId="118">
    <w:abstractNumId w:val="182"/>
  </w:num>
  <w:num w:numId="119">
    <w:abstractNumId w:val="125"/>
  </w:num>
  <w:num w:numId="120">
    <w:abstractNumId w:val="414"/>
  </w:num>
  <w:num w:numId="121">
    <w:abstractNumId w:val="691"/>
  </w:num>
  <w:num w:numId="122">
    <w:abstractNumId w:val="834"/>
  </w:num>
  <w:num w:numId="123">
    <w:abstractNumId w:val="634"/>
  </w:num>
  <w:num w:numId="124">
    <w:abstractNumId w:val="363"/>
  </w:num>
  <w:num w:numId="125">
    <w:abstractNumId w:val="461"/>
  </w:num>
  <w:num w:numId="126">
    <w:abstractNumId w:val="591"/>
  </w:num>
  <w:num w:numId="127">
    <w:abstractNumId w:val="461"/>
  </w:num>
  <w:num w:numId="128">
    <w:abstractNumId w:val="866"/>
  </w:num>
  <w:num w:numId="129">
    <w:abstractNumId w:val="461"/>
  </w:num>
  <w:num w:numId="130">
    <w:abstractNumId w:val="351"/>
  </w:num>
  <w:num w:numId="131">
    <w:abstractNumId w:val="490"/>
  </w:num>
  <w:num w:numId="132">
    <w:abstractNumId w:val="708"/>
  </w:num>
  <w:num w:numId="133">
    <w:abstractNumId w:val="187"/>
  </w:num>
  <w:num w:numId="134">
    <w:abstractNumId w:val="593"/>
  </w:num>
  <w:num w:numId="135">
    <w:abstractNumId w:val="897"/>
  </w:num>
  <w:num w:numId="136">
    <w:abstractNumId w:val="461"/>
  </w:num>
  <w:num w:numId="137">
    <w:abstractNumId w:val="694"/>
  </w:num>
  <w:num w:numId="138">
    <w:abstractNumId w:val="172"/>
  </w:num>
  <w:num w:numId="139">
    <w:abstractNumId w:val="755"/>
  </w:num>
  <w:num w:numId="140">
    <w:abstractNumId w:val="492"/>
  </w:num>
  <w:num w:numId="141">
    <w:abstractNumId w:val="96"/>
  </w:num>
  <w:num w:numId="142">
    <w:abstractNumId w:val="522"/>
  </w:num>
  <w:num w:numId="143">
    <w:abstractNumId w:val="155"/>
  </w:num>
  <w:num w:numId="144">
    <w:abstractNumId w:val="479"/>
  </w:num>
  <w:num w:numId="145">
    <w:abstractNumId w:val="461"/>
  </w:num>
  <w:num w:numId="146">
    <w:abstractNumId w:val="461"/>
  </w:num>
  <w:num w:numId="147">
    <w:abstractNumId w:val="461"/>
  </w:num>
  <w:num w:numId="148">
    <w:abstractNumId w:val="199"/>
  </w:num>
  <w:num w:numId="149">
    <w:abstractNumId w:val="461"/>
  </w:num>
  <w:num w:numId="150">
    <w:abstractNumId w:val="930"/>
  </w:num>
  <w:num w:numId="151">
    <w:abstractNumId w:val="520"/>
  </w:num>
  <w:num w:numId="152">
    <w:abstractNumId w:val="281"/>
  </w:num>
  <w:num w:numId="153">
    <w:abstractNumId w:val="144"/>
  </w:num>
  <w:num w:numId="154">
    <w:abstractNumId w:val="843"/>
  </w:num>
  <w:num w:numId="155">
    <w:abstractNumId w:val="843"/>
    <w:lvlOverride w:ilvl="0">
      <w:startOverride w:val="1"/>
    </w:lvlOverride>
  </w:num>
  <w:num w:numId="156">
    <w:abstractNumId w:val="310"/>
  </w:num>
  <w:num w:numId="157">
    <w:abstractNumId w:val="932"/>
  </w:num>
  <w:num w:numId="158">
    <w:abstractNumId w:val="464"/>
  </w:num>
  <w:num w:numId="159">
    <w:abstractNumId w:val="86"/>
  </w:num>
  <w:num w:numId="160">
    <w:abstractNumId w:val="86"/>
  </w:num>
  <w:num w:numId="161">
    <w:abstractNumId w:val="86"/>
  </w:num>
  <w:num w:numId="162">
    <w:abstractNumId w:val="86"/>
  </w:num>
  <w:num w:numId="163">
    <w:abstractNumId w:val="86"/>
  </w:num>
  <w:num w:numId="164">
    <w:abstractNumId w:val="86"/>
  </w:num>
  <w:num w:numId="165">
    <w:abstractNumId w:val="86"/>
  </w:num>
  <w:num w:numId="166">
    <w:abstractNumId w:val="86"/>
  </w:num>
  <w:num w:numId="167">
    <w:abstractNumId w:val="86"/>
  </w:num>
  <w:num w:numId="168">
    <w:abstractNumId w:val="86"/>
  </w:num>
  <w:num w:numId="169">
    <w:abstractNumId w:val="86"/>
  </w:num>
  <w:num w:numId="170">
    <w:abstractNumId w:val="418"/>
  </w:num>
  <w:num w:numId="171">
    <w:abstractNumId w:val="207"/>
  </w:num>
  <w:num w:numId="172">
    <w:abstractNumId w:val="485"/>
  </w:num>
  <w:num w:numId="173">
    <w:abstractNumId w:val="817"/>
  </w:num>
  <w:num w:numId="174">
    <w:abstractNumId w:val="513"/>
  </w:num>
  <w:num w:numId="175">
    <w:abstractNumId w:val="636"/>
  </w:num>
  <w:num w:numId="176">
    <w:abstractNumId w:val="636"/>
    <w:lvlOverride w:ilvl="0">
      <w:startOverride w:val="3"/>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636"/>
  </w:num>
  <w:num w:numId="178">
    <w:abstractNumId w:val="636"/>
  </w:num>
  <w:num w:numId="179">
    <w:abstractNumId w:val="636"/>
  </w:num>
  <w:num w:numId="180">
    <w:abstractNumId w:val="636"/>
  </w:num>
  <w:num w:numId="181">
    <w:abstractNumId w:val="636"/>
  </w:num>
  <w:num w:numId="182">
    <w:abstractNumId w:val="636"/>
  </w:num>
  <w:num w:numId="183">
    <w:abstractNumId w:val="636"/>
  </w:num>
  <w:num w:numId="184">
    <w:abstractNumId w:val="512"/>
  </w:num>
  <w:num w:numId="185">
    <w:abstractNumId w:val="551"/>
  </w:num>
  <w:num w:numId="186">
    <w:abstractNumId w:val="747"/>
  </w:num>
  <w:num w:numId="187">
    <w:abstractNumId w:val="923"/>
  </w:num>
  <w:num w:numId="188">
    <w:abstractNumId w:val="541"/>
  </w:num>
  <w:num w:numId="189">
    <w:abstractNumId w:val="25"/>
  </w:num>
  <w:num w:numId="190">
    <w:abstractNumId w:val="275"/>
  </w:num>
  <w:num w:numId="191">
    <w:abstractNumId w:val="360"/>
  </w:num>
  <w:num w:numId="192">
    <w:abstractNumId w:val="303"/>
  </w:num>
  <w:num w:numId="193">
    <w:abstractNumId w:val="165"/>
  </w:num>
  <w:num w:numId="194">
    <w:abstractNumId w:val="646"/>
  </w:num>
  <w:num w:numId="195">
    <w:abstractNumId w:val="461"/>
  </w:num>
  <w:num w:numId="196">
    <w:abstractNumId w:val="461"/>
  </w:num>
  <w:num w:numId="197">
    <w:abstractNumId w:val="365"/>
  </w:num>
  <w:num w:numId="198">
    <w:abstractNumId w:val="506"/>
  </w:num>
  <w:num w:numId="199">
    <w:abstractNumId w:val="201"/>
  </w:num>
  <w:num w:numId="200">
    <w:abstractNumId w:val="354"/>
  </w:num>
  <w:num w:numId="201">
    <w:abstractNumId w:val="861"/>
  </w:num>
  <w:num w:numId="202">
    <w:abstractNumId w:val="183"/>
  </w:num>
  <w:num w:numId="203">
    <w:abstractNumId w:val="886"/>
  </w:num>
  <w:num w:numId="204">
    <w:abstractNumId w:val="765"/>
  </w:num>
  <w:num w:numId="205">
    <w:abstractNumId w:val="295"/>
  </w:num>
  <w:num w:numId="206">
    <w:abstractNumId w:val="130"/>
  </w:num>
  <w:num w:numId="207">
    <w:abstractNumId w:val="596"/>
  </w:num>
  <w:num w:numId="208">
    <w:abstractNumId w:val="545"/>
  </w:num>
  <w:num w:numId="209">
    <w:abstractNumId w:val="789"/>
  </w:num>
  <w:num w:numId="210">
    <w:abstractNumId w:val="399"/>
  </w:num>
  <w:num w:numId="211">
    <w:abstractNumId w:val="264"/>
  </w:num>
  <w:num w:numId="212">
    <w:abstractNumId w:val="61"/>
  </w:num>
  <w:num w:numId="213">
    <w:abstractNumId w:val="536"/>
  </w:num>
  <w:num w:numId="214">
    <w:abstractNumId w:val="154"/>
  </w:num>
  <w:num w:numId="215">
    <w:abstractNumId w:val="163"/>
  </w:num>
  <w:num w:numId="216">
    <w:abstractNumId w:val="461"/>
  </w:num>
  <w:num w:numId="217">
    <w:abstractNumId w:val="811"/>
  </w:num>
  <w:num w:numId="218">
    <w:abstractNumId w:val="461"/>
  </w:num>
  <w:num w:numId="219">
    <w:abstractNumId w:val="461"/>
  </w:num>
  <w:num w:numId="220">
    <w:abstractNumId w:val="461"/>
  </w:num>
  <w:num w:numId="221">
    <w:abstractNumId w:val="39"/>
  </w:num>
  <w:num w:numId="222">
    <w:abstractNumId w:val="461"/>
  </w:num>
  <w:num w:numId="223">
    <w:abstractNumId w:val="381"/>
  </w:num>
  <w:num w:numId="224">
    <w:abstractNumId w:val="594"/>
  </w:num>
  <w:num w:numId="225">
    <w:abstractNumId w:val="572"/>
  </w:num>
  <w:num w:numId="226">
    <w:abstractNumId w:val="389"/>
  </w:num>
  <w:num w:numId="227">
    <w:abstractNumId w:val="535"/>
  </w:num>
  <w:num w:numId="228">
    <w:abstractNumId w:val="860"/>
  </w:num>
  <w:num w:numId="229">
    <w:abstractNumId w:val="762"/>
  </w:num>
  <w:num w:numId="230">
    <w:abstractNumId w:val="27"/>
  </w:num>
  <w:num w:numId="231">
    <w:abstractNumId w:val="421"/>
  </w:num>
  <w:num w:numId="232">
    <w:abstractNumId w:val="693"/>
  </w:num>
  <w:num w:numId="233">
    <w:abstractNumId w:val="388"/>
  </w:num>
  <w:num w:numId="234">
    <w:abstractNumId w:val="276"/>
  </w:num>
  <w:num w:numId="235">
    <w:abstractNumId w:val="661"/>
  </w:num>
  <w:num w:numId="236">
    <w:abstractNumId w:val="674"/>
  </w:num>
  <w:num w:numId="237">
    <w:abstractNumId w:val="823"/>
  </w:num>
  <w:num w:numId="238">
    <w:abstractNumId w:val="765"/>
    <w:lvlOverride w:ilvl="0">
      <w:startOverride w:val="1"/>
    </w:lvlOverride>
  </w:num>
  <w:num w:numId="239">
    <w:abstractNumId w:val="743"/>
  </w:num>
  <w:num w:numId="240">
    <w:abstractNumId w:val="197"/>
  </w:num>
  <w:num w:numId="241">
    <w:abstractNumId w:val="208"/>
  </w:num>
  <w:num w:numId="242">
    <w:abstractNumId w:val="387"/>
  </w:num>
  <w:num w:numId="243">
    <w:abstractNumId w:val="347"/>
  </w:num>
  <w:num w:numId="244">
    <w:abstractNumId w:val="951"/>
  </w:num>
  <w:num w:numId="245">
    <w:abstractNumId w:val="292"/>
  </w:num>
  <w:num w:numId="246">
    <w:abstractNumId w:val="95"/>
  </w:num>
  <w:num w:numId="247">
    <w:abstractNumId w:val="648"/>
  </w:num>
  <w:num w:numId="248">
    <w:abstractNumId w:val="954"/>
  </w:num>
  <w:num w:numId="249">
    <w:abstractNumId w:val="833"/>
  </w:num>
  <w:num w:numId="250">
    <w:abstractNumId w:val="300"/>
  </w:num>
  <w:num w:numId="251">
    <w:abstractNumId w:val="396"/>
  </w:num>
  <w:num w:numId="252">
    <w:abstractNumId w:val="309"/>
  </w:num>
  <w:num w:numId="253">
    <w:abstractNumId w:val="350"/>
  </w:num>
  <w:num w:numId="254">
    <w:abstractNumId w:val="931"/>
  </w:num>
  <w:num w:numId="255">
    <w:abstractNumId w:val="868"/>
  </w:num>
  <w:num w:numId="256">
    <w:abstractNumId w:val="480"/>
  </w:num>
  <w:num w:numId="257">
    <w:abstractNumId w:val="107"/>
  </w:num>
  <w:num w:numId="258">
    <w:abstractNumId w:val="806"/>
  </w:num>
  <w:num w:numId="259">
    <w:abstractNumId w:val="847"/>
  </w:num>
  <w:num w:numId="260">
    <w:abstractNumId w:val="561"/>
  </w:num>
  <w:num w:numId="261">
    <w:abstractNumId w:val="318"/>
  </w:num>
  <w:num w:numId="262">
    <w:abstractNumId w:val="916"/>
  </w:num>
  <w:num w:numId="263">
    <w:abstractNumId w:val="238"/>
  </w:num>
  <w:num w:numId="264">
    <w:abstractNumId w:val="60"/>
  </w:num>
  <w:num w:numId="265">
    <w:abstractNumId w:val="637"/>
  </w:num>
  <w:num w:numId="266">
    <w:abstractNumId w:val="179"/>
  </w:num>
  <w:num w:numId="267">
    <w:abstractNumId w:val="813"/>
  </w:num>
  <w:num w:numId="268">
    <w:abstractNumId w:val="195"/>
  </w:num>
  <w:num w:numId="269">
    <w:abstractNumId w:val="138"/>
  </w:num>
  <w:num w:numId="270">
    <w:abstractNumId w:val="291"/>
  </w:num>
  <w:num w:numId="271">
    <w:abstractNumId w:val="488"/>
  </w:num>
  <w:num w:numId="272">
    <w:abstractNumId w:val="776"/>
  </w:num>
  <w:num w:numId="273">
    <w:abstractNumId w:val="730"/>
  </w:num>
  <w:num w:numId="274">
    <w:abstractNumId w:val="837"/>
  </w:num>
  <w:num w:numId="275">
    <w:abstractNumId w:val="178"/>
  </w:num>
  <w:num w:numId="276">
    <w:abstractNumId w:val="51"/>
  </w:num>
  <w:num w:numId="277">
    <w:abstractNumId w:val="80"/>
  </w:num>
  <w:num w:numId="278">
    <w:abstractNumId w:val="938"/>
  </w:num>
  <w:num w:numId="279">
    <w:abstractNumId w:val="870"/>
  </w:num>
  <w:num w:numId="280">
    <w:abstractNumId w:val="73"/>
  </w:num>
  <w:num w:numId="281">
    <w:abstractNumId w:val="76"/>
  </w:num>
  <w:num w:numId="282">
    <w:abstractNumId w:val="644"/>
  </w:num>
  <w:num w:numId="283">
    <w:abstractNumId w:val="825"/>
  </w:num>
  <w:num w:numId="284">
    <w:abstractNumId w:val="128"/>
  </w:num>
  <w:num w:numId="285">
    <w:abstractNumId w:val="403"/>
  </w:num>
  <w:num w:numId="286">
    <w:abstractNumId w:val="3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3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764"/>
  </w:num>
  <w:num w:numId="289">
    <w:abstractNumId w:val="615"/>
  </w:num>
  <w:num w:numId="290">
    <w:abstractNumId w:val="749"/>
  </w:num>
  <w:num w:numId="291">
    <w:abstractNumId w:val="424"/>
  </w:num>
  <w:num w:numId="292">
    <w:abstractNumId w:val="907"/>
  </w:num>
  <w:num w:numId="293">
    <w:abstractNumId w:val="609"/>
  </w:num>
  <w:num w:numId="294">
    <w:abstractNumId w:val="720"/>
  </w:num>
  <w:num w:numId="295">
    <w:abstractNumId w:val="17"/>
  </w:num>
  <w:num w:numId="296">
    <w:abstractNumId w:val="610"/>
  </w:num>
  <w:num w:numId="297">
    <w:abstractNumId w:val="380"/>
  </w:num>
  <w:num w:numId="298">
    <w:abstractNumId w:val="119"/>
  </w:num>
  <w:num w:numId="299">
    <w:abstractNumId w:val="476"/>
  </w:num>
  <w:num w:numId="300">
    <w:abstractNumId w:val="779"/>
  </w:num>
  <w:num w:numId="301">
    <w:abstractNumId w:val="352"/>
  </w:num>
  <w:num w:numId="302">
    <w:abstractNumId w:val="439"/>
  </w:num>
  <w:num w:numId="303">
    <w:abstractNumId w:val="548"/>
  </w:num>
  <w:num w:numId="304">
    <w:abstractNumId w:val="842"/>
  </w:num>
  <w:num w:numId="305">
    <w:abstractNumId w:val="221"/>
  </w:num>
  <w:num w:numId="306">
    <w:abstractNumId w:val="308"/>
  </w:num>
  <w:num w:numId="307">
    <w:abstractNumId w:val="677"/>
  </w:num>
  <w:num w:numId="308">
    <w:abstractNumId w:val="487"/>
  </w:num>
  <w:num w:numId="309">
    <w:abstractNumId w:val="346"/>
  </w:num>
  <w:num w:numId="310">
    <w:abstractNumId w:val="877"/>
  </w:num>
  <w:num w:numId="311">
    <w:abstractNumId w:val="59"/>
  </w:num>
  <w:num w:numId="312">
    <w:abstractNumId w:val="456"/>
  </w:num>
  <w:num w:numId="313">
    <w:abstractNumId w:val="401"/>
  </w:num>
  <w:num w:numId="314">
    <w:abstractNumId w:val="519"/>
  </w:num>
  <w:num w:numId="315">
    <w:abstractNumId w:val="649"/>
  </w:num>
  <w:num w:numId="316">
    <w:abstractNumId w:val="857"/>
  </w:num>
  <w:num w:numId="317">
    <w:abstractNumId w:val="876"/>
  </w:num>
  <w:num w:numId="318">
    <w:abstractNumId w:val="901"/>
  </w:num>
  <w:num w:numId="319">
    <w:abstractNumId w:val="818"/>
  </w:num>
  <w:num w:numId="320">
    <w:abstractNumId w:val="402"/>
  </w:num>
  <w:num w:numId="321">
    <w:abstractNumId w:val="768"/>
  </w:num>
  <w:num w:numId="322">
    <w:abstractNumId w:val="169"/>
  </w:num>
  <w:num w:numId="323">
    <w:abstractNumId w:val="662"/>
  </w:num>
  <w:num w:numId="324">
    <w:abstractNumId w:val="474"/>
  </w:num>
  <w:num w:numId="325">
    <w:abstractNumId w:val="656"/>
  </w:num>
  <w:num w:numId="326">
    <w:abstractNumId w:val="224"/>
  </w:num>
  <w:num w:numId="327">
    <w:abstractNumId w:val="137"/>
  </w:num>
  <w:num w:numId="328">
    <w:abstractNumId w:val="695"/>
  </w:num>
  <w:num w:numId="329">
    <w:abstractNumId w:val="74"/>
  </w:num>
  <w:num w:numId="330">
    <w:abstractNumId w:val="227"/>
  </w:num>
  <w:num w:numId="331">
    <w:abstractNumId w:val="297"/>
  </w:num>
  <w:num w:numId="332">
    <w:abstractNumId w:val="104"/>
  </w:num>
  <w:num w:numId="333">
    <w:abstractNumId w:val="55"/>
  </w:num>
  <w:num w:numId="334">
    <w:abstractNumId w:val="598"/>
  </w:num>
  <w:num w:numId="335">
    <w:abstractNumId w:val="47"/>
  </w:num>
  <w:num w:numId="336">
    <w:abstractNumId w:val="900"/>
  </w:num>
  <w:num w:numId="337">
    <w:abstractNumId w:val="458"/>
  </w:num>
  <w:num w:numId="338">
    <w:abstractNumId w:val="460"/>
  </w:num>
  <w:num w:numId="339">
    <w:abstractNumId w:val="581"/>
  </w:num>
  <w:num w:numId="340">
    <w:abstractNumId w:val="734"/>
  </w:num>
  <w:num w:numId="341">
    <w:abstractNumId w:val="355"/>
  </w:num>
  <w:num w:numId="342">
    <w:abstractNumId w:val="611"/>
  </w:num>
  <w:num w:numId="343">
    <w:abstractNumId w:val="698"/>
  </w:num>
  <w:num w:numId="344">
    <w:abstractNumId w:val="835"/>
  </w:num>
  <w:num w:numId="345">
    <w:abstractNumId w:val="202"/>
  </w:num>
  <w:num w:numId="346">
    <w:abstractNumId w:val="525"/>
  </w:num>
  <w:num w:numId="347">
    <w:abstractNumId w:val="273"/>
  </w:num>
  <w:num w:numId="348">
    <w:abstractNumId w:val="668"/>
  </w:num>
  <w:num w:numId="349">
    <w:abstractNumId w:val="760"/>
  </w:num>
  <w:num w:numId="350">
    <w:abstractNumId w:val="99"/>
  </w:num>
  <w:num w:numId="351">
    <w:abstractNumId w:val="573"/>
  </w:num>
  <w:num w:numId="352">
    <w:abstractNumId w:val="30"/>
  </w:num>
  <w:num w:numId="353">
    <w:abstractNumId w:val="650"/>
  </w:num>
  <w:num w:numId="354">
    <w:abstractNumId w:val="124"/>
  </w:num>
  <w:num w:numId="355">
    <w:abstractNumId w:val="715"/>
  </w:num>
  <w:num w:numId="356">
    <w:abstractNumId w:val="511"/>
  </w:num>
  <w:num w:numId="357">
    <w:abstractNumId w:val="498"/>
  </w:num>
  <w:num w:numId="358">
    <w:abstractNumId w:val="374"/>
  </w:num>
  <w:num w:numId="359">
    <w:abstractNumId w:val="22"/>
  </w:num>
  <w:num w:numId="360">
    <w:abstractNumId w:val="62"/>
  </w:num>
  <w:num w:numId="361">
    <w:abstractNumId w:val="58"/>
  </w:num>
  <w:num w:numId="362">
    <w:abstractNumId w:val="953"/>
  </w:num>
  <w:num w:numId="363">
    <w:abstractNumId w:val="890"/>
  </w:num>
  <w:num w:numId="364">
    <w:abstractNumId w:val="839"/>
  </w:num>
  <w:num w:numId="365">
    <w:abstractNumId w:val="920"/>
  </w:num>
  <w:num w:numId="366">
    <w:abstractNumId w:val="12"/>
  </w:num>
  <w:num w:numId="367">
    <w:abstractNumId w:val="528"/>
  </w:num>
  <w:num w:numId="368">
    <w:abstractNumId w:val="453"/>
  </w:num>
  <w:num w:numId="369">
    <w:abstractNumId w:val="772"/>
  </w:num>
  <w:num w:numId="370">
    <w:abstractNumId w:val="725"/>
  </w:num>
  <w:num w:numId="371">
    <w:abstractNumId w:val="529"/>
  </w:num>
  <w:num w:numId="372">
    <w:abstractNumId w:val="836"/>
  </w:num>
  <w:num w:numId="373">
    <w:abstractNumId w:val="177"/>
  </w:num>
  <w:num w:numId="374">
    <w:abstractNumId w:val="142"/>
  </w:num>
  <w:num w:numId="375">
    <w:abstractNumId w:val="780"/>
  </w:num>
  <w:num w:numId="376">
    <w:abstractNumId w:val="359"/>
  </w:num>
  <w:num w:numId="377">
    <w:abstractNumId w:val="361"/>
  </w:num>
  <w:num w:numId="378">
    <w:abstractNumId w:val="851"/>
  </w:num>
  <w:num w:numId="379">
    <w:abstractNumId w:val="783"/>
  </w:num>
  <w:num w:numId="380">
    <w:abstractNumId w:val="919"/>
  </w:num>
  <w:num w:numId="381">
    <w:abstractNumId w:val="773"/>
  </w:num>
  <w:num w:numId="382">
    <w:abstractNumId w:val="600"/>
  </w:num>
  <w:num w:numId="383">
    <w:abstractNumId w:val="621"/>
  </w:num>
  <w:num w:numId="384">
    <w:abstractNumId w:val="473"/>
  </w:num>
  <w:num w:numId="385">
    <w:abstractNumId w:val="320"/>
  </w:num>
  <w:num w:numId="386">
    <w:abstractNumId w:val="267"/>
  </w:num>
  <w:num w:numId="387">
    <w:abstractNumId w:val="415"/>
  </w:num>
  <w:num w:numId="388">
    <w:abstractNumId w:val="552"/>
  </w:num>
  <w:num w:numId="389">
    <w:abstractNumId w:val="713"/>
  </w:num>
  <w:num w:numId="390">
    <w:abstractNumId w:val="482"/>
  </w:num>
  <w:num w:numId="391">
    <w:abstractNumId w:val="771"/>
  </w:num>
  <w:num w:numId="392">
    <w:abstractNumId w:val="218"/>
  </w:num>
  <w:num w:numId="393">
    <w:abstractNumId w:val="82"/>
  </w:num>
  <w:num w:numId="394">
    <w:abstractNumId w:val="617"/>
  </w:num>
  <w:num w:numId="395">
    <w:abstractNumId w:val="483"/>
  </w:num>
  <w:num w:numId="396">
    <w:abstractNumId w:val="425"/>
  </w:num>
  <w:num w:numId="397">
    <w:abstractNumId w:val="929"/>
  </w:num>
  <w:num w:numId="398">
    <w:abstractNumId w:val="475"/>
  </w:num>
  <w:num w:numId="399">
    <w:abstractNumId w:val="588"/>
  </w:num>
  <w:num w:numId="400">
    <w:abstractNumId w:val="949"/>
  </w:num>
  <w:num w:numId="401">
    <w:abstractNumId w:val="422"/>
  </w:num>
  <w:num w:numId="402">
    <w:abstractNumId w:val="57"/>
  </w:num>
  <w:num w:numId="403">
    <w:abstractNumId w:val="266"/>
  </w:num>
  <w:num w:numId="404">
    <w:abstractNumId w:val="624"/>
  </w:num>
  <w:num w:numId="405">
    <w:abstractNumId w:val="684"/>
  </w:num>
  <w:num w:numId="406">
    <w:abstractNumId w:val="651"/>
  </w:num>
  <w:num w:numId="407">
    <w:abstractNumId w:val="737"/>
  </w:num>
  <w:num w:numId="408">
    <w:abstractNumId w:val="174"/>
  </w:num>
  <w:num w:numId="409">
    <w:abstractNumId w:val="419"/>
  </w:num>
  <w:num w:numId="410">
    <w:abstractNumId w:val="140"/>
  </w:num>
  <w:num w:numId="411">
    <w:abstractNumId w:val="700"/>
  </w:num>
  <w:num w:numId="412">
    <w:abstractNumId w:val="156"/>
  </w:num>
  <w:num w:numId="413">
    <w:abstractNumId w:val="688"/>
  </w:num>
  <w:num w:numId="414">
    <w:abstractNumId w:val="277"/>
  </w:num>
  <w:num w:numId="415">
    <w:abstractNumId w:val="437"/>
  </w:num>
  <w:num w:numId="416">
    <w:abstractNumId w:val="175"/>
  </w:num>
  <w:num w:numId="417">
    <w:abstractNumId w:val="427"/>
  </w:num>
  <w:num w:numId="418">
    <w:abstractNumId w:val="217"/>
  </w:num>
  <w:num w:numId="419">
    <w:abstractNumId w:val="933"/>
  </w:num>
  <w:num w:numId="420">
    <w:abstractNumId w:val="330"/>
  </w:num>
  <w:num w:numId="421">
    <w:abstractNumId w:val="805"/>
  </w:num>
  <w:num w:numId="422">
    <w:abstractNumId w:val="673"/>
  </w:num>
  <w:num w:numId="423">
    <w:abstractNumId w:val="756"/>
  </w:num>
  <w:num w:numId="424">
    <w:abstractNumId w:val="478"/>
  </w:num>
  <w:num w:numId="425">
    <w:abstractNumId w:val="952"/>
  </w:num>
  <w:num w:numId="426">
    <w:abstractNumId w:val="710"/>
  </w:num>
  <w:num w:numId="427">
    <w:abstractNumId w:val="407"/>
  </w:num>
  <w:num w:numId="428">
    <w:abstractNumId w:val="812"/>
  </w:num>
  <w:num w:numId="429">
    <w:abstractNumId w:val="123"/>
  </w:num>
  <w:num w:numId="430">
    <w:abstractNumId w:val="234"/>
  </w:num>
  <w:num w:numId="431">
    <w:abstractNumId w:val="467"/>
  </w:num>
  <w:num w:numId="432">
    <w:abstractNumId w:val="258"/>
  </w:num>
  <w:num w:numId="433">
    <w:abstractNumId w:val="157"/>
  </w:num>
  <w:num w:numId="434">
    <w:abstractNumId w:val="844"/>
  </w:num>
  <w:num w:numId="435">
    <w:abstractNumId w:val="666"/>
  </w:num>
  <w:num w:numId="436">
    <w:abstractNumId w:val="495"/>
  </w:num>
  <w:num w:numId="437">
    <w:abstractNumId w:val="657"/>
  </w:num>
  <w:num w:numId="438">
    <w:abstractNumId w:val="937"/>
  </w:num>
  <w:num w:numId="439">
    <w:abstractNumId w:val="849"/>
  </w:num>
  <w:num w:numId="440">
    <w:abstractNumId w:val="255"/>
  </w:num>
  <w:num w:numId="441">
    <w:abstractNumId w:val="369"/>
  </w:num>
  <w:num w:numId="442">
    <w:abstractNumId w:val="616"/>
  </w:num>
  <w:num w:numId="443">
    <w:abstractNumId w:val="859"/>
  </w:num>
  <w:num w:numId="444">
    <w:abstractNumId w:val="699"/>
  </w:num>
  <w:num w:numId="445">
    <w:abstractNumId w:val="486"/>
  </w:num>
  <w:num w:numId="446">
    <w:abstractNumId w:val="265"/>
  </w:num>
  <w:num w:numId="447">
    <w:abstractNumId w:val="321"/>
  </w:num>
  <w:num w:numId="448">
    <w:abstractNumId w:val="147"/>
  </w:num>
  <w:num w:numId="449">
    <w:abstractNumId w:val="91"/>
  </w:num>
  <w:num w:numId="450">
    <w:abstractNumId w:val="301"/>
  </w:num>
  <w:num w:numId="451">
    <w:abstractNumId w:val="311"/>
  </w:num>
  <w:num w:numId="452">
    <w:abstractNumId w:val="722"/>
  </w:num>
  <w:num w:numId="453">
    <w:abstractNumId w:val="33"/>
  </w:num>
  <w:num w:numId="454">
    <w:abstractNumId w:val="192"/>
  </w:num>
  <w:num w:numId="455">
    <w:abstractNumId w:val="251"/>
  </w:num>
  <w:num w:numId="456">
    <w:abstractNumId w:val="801"/>
  </w:num>
  <w:num w:numId="457">
    <w:abstractNumId w:val="563"/>
  </w:num>
  <w:num w:numId="458">
    <w:abstractNumId w:val="888"/>
  </w:num>
  <w:num w:numId="459">
    <w:abstractNumId w:val="623"/>
  </w:num>
  <w:num w:numId="460">
    <w:abstractNumId w:val="832"/>
  </w:num>
  <w:num w:numId="461">
    <w:abstractNumId w:val="189"/>
  </w:num>
  <w:num w:numId="462">
    <w:abstractNumId w:val="304"/>
  </w:num>
  <w:num w:numId="463">
    <w:abstractNumId w:val="398"/>
  </w:num>
  <w:num w:numId="464">
    <w:abstractNumId w:val="814"/>
  </w:num>
  <w:num w:numId="465">
    <w:abstractNumId w:val="724"/>
  </w:num>
  <w:num w:numId="466">
    <w:abstractNumId w:val="518"/>
  </w:num>
  <w:num w:numId="467">
    <w:abstractNumId w:val="696"/>
  </w:num>
  <w:num w:numId="468">
    <w:abstractNumId w:val="445"/>
  </w:num>
  <w:num w:numId="469">
    <w:abstractNumId w:val="744"/>
  </w:num>
  <w:num w:numId="470">
    <w:abstractNumId w:val="576"/>
  </w:num>
  <w:num w:numId="471">
    <w:abstractNumId w:val="259"/>
  </w:num>
  <w:num w:numId="472">
    <w:abstractNumId w:val="830"/>
  </w:num>
  <w:num w:numId="473">
    <w:abstractNumId w:val="865"/>
  </w:num>
  <w:num w:numId="474">
    <w:abstractNumId w:val="753"/>
  </w:num>
  <w:num w:numId="475">
    <w:abstractNumId w:val="667"/>
  </w:num>
  <w:num w:numId="476">
    <w:abstractNumId w:val="423"/>
  </w:num>
  <w:num w:numId="477">
    <w:abstractNumId w:val="557"/>
  </w:num>
  <w:num w:numId="478">
    <w:abstractNumId w:val="714"/>
  </w:num>
  <w:num w:numId="479">
    <w:abstractNumId w:val="296"/>
  </w:num>
  <w:num w:numId="480">
    <w:abstractNumId w:val="63"/>
  </w:num>
  <w:num w:numId="481">
    <w:abstractNumId w:val="654"/>
  </w:num>
  <w:num w:numId="482">
    <w:abstractNumId w:val="566"/>
  </w:num>
  <w:num w:numId="483">
    <w:abstractNumId w:val="808"/>
  </w:num>
  <w:num w:numId="484">
    <w:abstractNumId w:val="341"/>
  </w:num>
  <w:num w:numId="485">
    <w:abstractNumId w:val="145"/>
  </w:num>
  <w:num w:numId="486">
    <w:abstractNumId w:val="429"/>
  </w:num>
  <w:num w:numId="487">
    <w:abstractNumId w:val="603"/>
  </w:num>
  <w:num w:numId="488">
    <w:abstractNumId w:val="928"/>
  </w:num>
  <w:num w:numId="489">
    <w:abstractNumId w:val="391"/>
  </w:num>
  <w:num w:numId="490">
    <w:abstractNumId w:val="339"/>
  </w:num>
  <w:num w:numId="491">
    <w:abstractNumId w:val="225"/>
  </w:num>
  <w:num w:numId="492">
    <w:abstractNumId w:val="580"/>
  </w:num>
  <w:num w:numId="493">
    <w:abstractNumId w:val="559"/>
  </w:num>
  <w:num w:numId="494">
    <w:abstractNumId w:val="38"/>
  </w:num>
  <w:num w:numId="495">
    <w:abstractNumId w:val="597"/>
  </w:num>
  <w:num w:numId="496">
    <w:abstractNumId w:val="540"/>
  </w:num>
  <w:num w:numId="497">
    <w:abstractNumId w:val="14"/>
  </w:num>
  <w:num w:numId="498">
    <w:abstractNumId w:val="550"/>
  </w:num>
  <w:num w:numId="499">
    <w:abstractNumId w:val="778"/>
  </w:num>
  <w:num w:numId="500">
    <w:abstractNumId w:val="586"/>
  </w:num>
  <w:num w:numId="501">
    <w:abstractNumId w:val="85"/>
  </w:num>
  <w:num w:numId="502">
    <w:abstractNumId w:val="504"/>
  </w:num>
  <w:num w:numId="503">
    <w:abstractNumId w:val="905"/>
  </w:num>
  <w:num w:numId="504">
    <w:abstractNumId w:val="70"/>
  </w:num>
  <w:num w:numId="505">
    <w:abstractNumId w:val="248"/>
  </w:num>
  <w:num w:numId="506">
    <w:abstractNumId w:val="44"/>
  </w:num>
  <w:num w:numId="507">
    <w:abstractNumId w:val="139"/>
  </w:num>
  <w:num w:numId="508">
    <w:abstractNumId w:val="542"/>
  </w:num>
  <w:num w:numId="509">
    <w:abstractNumId w:val="758"/>
  </w:num>
  <w:num w:numId="510">
    <w:abstractNumId w:val="719"/>
  </w:num>
  <w:num w:numId="511">
    <w:abstractNumId w:val="761"/>
  </w:num>
  <w:num w:numId="512">
    <w:abstractNumId w:val="575"/>
  </w:num>
  <w:num w:numId="513">
    <w:abstractNumId w:val="261"/>
  </w:num>
  <w:num w:numId="514">
    <w:abstractNumId w:val="13"/>
  </w:num>
  <w:num w:numId="515">
    <w:abstractNumId w:val="891"/>
  </w:num>
  <w:num w:numId="516">
    <w:abstractNumId w:val="750"/>
  </w:num>
  <w:num w:numId="517">
    <w:abstractNumId w:val="94"/>
  </w:num>
  <w:num w:numId="518">
    <w:abstractNumId w:val="798"/>
  </w:num>
  <w:num w:numId="519">
    <w:abstractNumId w:val="314"/>
  </w:num>
  <w:num w:numId="520">
    <w:abstractNumId w:val="331"/>
  </w:num>
  <w:num w:numId="521">
    <w:abstractNumId w:val="515"/>
  </w:num>
  <w:num w:numId="522">
    <w:abstractNumId w:val="717"/>
  </w:num>
  <w:num w:numId="523">
    <w:abstractNumId w:val="262"/>
  </w:num>
  <w:num w:numId="524">
    <w:abstractNumId w:val="335"/>
  </w:num>
  <w:num w:numId="525">
    <w:abstractNumId w:val="78"/>
  </w:num>
  <w:num w:numId="526">
    <w:abstractNumId w:val="584"/>
  </w:num>
  <w:num w:numId="527">
    <w:abstractNumId w:val="250"/>
  </w:num>
  <w:num w:numId="528">
    <w:abstractNumId w:val="164"/>
  </w:num>
  <w:num w:numId="529">
    <w:abstractNumId w:val="237"/>
  </w:num>
  <w:num w:numId="530">
    <w:abstractNumId w:val="416"/>
  </w:num>
  <w:num w:numId="531">
    <w:abstractNumId w:val="786"/>
  </w:num>
  <w:num w:numId="532">
    <w:abstractNumId w:val="325"/>
  </w:num>
  <w:num w:numId="533">
    <w:abstractNumId w:val="469"/>
  </w:num>
  <w:num w:numId="534">
    <w:abstractNumId w:val="40"/>
  </w:num>
  <w:num w:numId="535">
    <w:abstractNumId w:val="707"/>
  </w:num>
  <w:num w:numId="536">
    <w:abstractNumId w:val="233"/>
  </w:num>
  <w:num w:numId="537">
    <w:abstractNumId w:val="735"/>
  </w:num>
  <w:num w:numId="538">
    <w:abstractNumId w:val="899"/>
  </w:num>
  <w:num w:numId="539">
    <w:abstractNumId w:val="158"/>
  </w:num>
  <w:num w:numId="540">
    <w:abstractNumId w:val="377"/>
  </w:num>
  <w:num w:numId="541">
    <w:abstractNumId w:val="274"/>
  </w:num>
  <w:num w:numId="542">
    <w:abstractNumId w:val="338"/>
  </w:num>
  <w:num w:numId="543">
    <w:abstractNumId w:val="384"/>
  </w:num>
  <w:num w:numId="544">
    <w:abstractNumId w:val="24"/>
  </w:num>
  <w:num w:numId="545">
    <w:abstractNumId w:val="235"/>
  </w:num>
  <w:num w:numId="546">
    <w:abstractNumId w:val="457"/>
  </w:num>
  <w:num w:numId="547">
    <w:abstractNumId w:val="468"/>
  </w:num>
  <w:num w:numId="548">
    <w:abstractNumId w:val="873"/>
  </w:num>
  <w:num w:numId="549">
    <w:abstractNumId w:val="914"/>
  </w:num>
  <w:num w:numId="550">
    <w:abstractNumId w:val="193"/>
  </w:num>
  <w:num w:numId="551">
    <w:abstractNumId w:val="793"/>
  </w:num>
  <w:num w:numId="552">
    <w:abstractNumId w:val="908"/>
  </w:num>
  <w:num w:numId="553">
    <w:abstractNumId w:val="271"/>
  </w:num>
  <w:num w:numId="554">
    <w:abstractNumId w:val="93"/>
  </w:num>
  <w:num w:numId="555">
    <w:abstractNumId w:val="77"/>
  </w:num>
  <w:num w:numId="556">
    <w:abstractNumId w:val="740"/>
  </w:num>
  <w:num w:numId="557">
    <w:abstractNumId w:val="640"/>
  </w:num>
  <w:num w:numId="558">
    <w:abstractNumId w:val="751"/>
  </w:num>
  <w:num w:numId="559">
    <w:abstractNumId w:val="118"/>
  </w:num>
  <w:num w:numId="560">
    <w:abstractNumId w:val="887"/>
  </w:num>
  <w:num w:numId="561">
    <w:abstractNumId w:val="803"/>
  </w:num>
  <w:num w:numId="562">
    <w:abstractNumId w:val="214"/>
  </w:num>
  <w:num w:numId="563">
    <w:abstractNumId w:val="604"/>
  </w:num>
  <w:num w:numId="564">
    <w:abstractNumId w:val="87"/>
  </w:num>
  <w:num w:numId="565">
    <w:abstractNumId w:val="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6">
    <w:abstractNumId w:val="358"/>
  </w:num>
  <w:num w:numId="567">
    <w:abstractNumId w:val="459"/>
  </w:num>
  <w:num w:numId="568">
    <w:abstractNumId w:val="918"/>
  </w:num>
  <w:num w:numId="569">
    <w:abstractNumId w:val="592"/>
  </w:num>
  <w:num w:numId="570">
    <w:abstractNumId w:val="114"/>
  </w:num>
  <w:num w:numId="571">
    <w:abstractNumId w:val="555"/>
  </w:num>
  <w:num w:numId="572">
    <w:abstractNumId w:val="215"/>
  </w:num>
  <w:num w:numId="573">
    <w:abstractNumId w:val="9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4">
    <w:abstractNumId w:val="167"/>
  </w:num>
  <w:num w:numId="575">
    <w:abstractNumId w:val="821"/>
  </w:num>
  <w:num w:numId="576">
    <w:abstractNumId w:val="299"/>
  </w:num>
  <w:num w:numId="577">
    <w:abstractNumId w:val="100"/>
  </w:num>
  <w:num w:numId="578">
    <w:abstractNumId w:val="452"/>
  </w:num>
  <w:num w:numId="579">
    <w:abstractNumId w:val="790"/>
  </w:num>
  <w:num w:numId="580">
    <w:abstractNumId w:val="829"/>
  </w:num>
  <w:num w:numId="581">
    <w:abstractNumId w:val="53"/>
  </w:num>
  <w:num w:numId="582">
    <w:abstractNumId w:val="5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3">
    <w:abstractNumId w:val="726"/>
  </w:num>
  <w:num w:numId="584">
    <w:abstractNumId w:val="911"/>
  </w:num>
  <w:num w:numId="585">
    <w:abstractNumId w:val="759"/>
  </w:num>
  <w:num w:numId="586">
    <w:abstractNumId w:val="312"/>
  </w:num>
  <w:num w:numId="587">
    <w:abstractNumId w:val="631"/>
  </w:num>
  <w:num w:numId="588">
    <w:abstractNumId w:val="517"/>
  </w:num>
  <w:num w:numId="589">
    <w:abstractNumId w:val="436"/>
  </w:num>
  <w:num w:numId="590">
    <w:abstractNumId w:val="434"/>
  </w:num>
  <w:num w:numId="591">
    <w:abstractNumId w:val="43"/>
  </w:num>
  <w:num w:numId="592">
    <w:abstractNumId w:val="20"/>
  </w:num>
  <w:num w:numId="593">
    <w:abstractNumId w:val="242"/>
  </w:num>
  <w:num w:numId="594">
    <w:abstractNumId w:val="150"/>
  </w:num>
  <w:num w:numId="595">
    <w:abstractNumId w:val="669"/>
  </w:num>
  <w:num w:numId="596">
    <w:abstractNumId w:val="375"/>
  </w:num>
  <w:num w:numId="597">
    <w:abstractNumId w:val="153"/>
  </w:num>
  <w:num w:numId="598">
    <w:abstractNumId w:val="332"/>
  </w:num>
  <w:num w:numId="599">
    <w:abstractNumId w:val="236"/>
  </w:num>
  <w:num w:numId="600">
    <w:abstractNumId w:val="560"/>
  </w:num>
  <w:num w:numId="601">
    <w:abstractNumId w:val="106"/>
  </w:num>
  <w:num w:numId="602">
    <w:abstractNumId w:val="579"/>
  </w:num>
  <w:num w:numId="603">
    <w:abstractNumId w:val="90"/>
  </w:num>
  <w:num w:numId="604">
    <w:abstractNumId w:val="577"/>
  </w:num>
  <w:num w:numId="605">
    <w:abstractNumId w:val="81"/>
  </w:num>
  <w:num w:numId="606">
    <w:abstractNumId w:val="543"/>
  </w:num>
  <w:num w:numId="607">
    <w:abstractNumId w:val="824"/>
  </w:num>
  <w:num w:numId="608">
    <w:abstractNumId w:val="853"/>
  </w:num>
  <w:num w:numId="609">
    <w:abstractNumId w:val="858"/>
  </w:num>
  <w:num w:numId="610">
    <w:abstractNumId w:val="838"/>
  </w:num>
  <w:num w:numId="611">
    <w:abstractNumId w:val="739"/>
  </w:num>
  <w:num w:numId="612">
    <w:abstractNumId w:val="48"/>
  </w:num>
  <w:num w:numId="613">
    <w:abstractNumId w:val="904"/>
  </w:num>
  <w:num w:numId="614">
    <w:abstractNumId w:val="791"/>
  </w:num>
  <w:num w:numId="615">
    <w:abstractNumId w:val="913"/>
  </w:num>
  <w:num w:numId="616">
    <w:abstractNumId w:val="748"/>
  </w:num>
  <w:num w:numId="617">
    <w:abstractNumId w:val="244"/>
  </w:num>
  <w:num w:numId="618">
    <w:abstractNumId w:val="289"/>
  </w:num>
  <w:num w:numId="619">
    <w:abstractNumId w:val="856"/>
  </w:num>
  <w:num w:numId="620">
    <w:abstractNumId w:val="723"/>
  </w:num>
  <w:num w:numId="621">
    <w:abstractNumId w:val="385"/>
  </w:num>
  <w:num w:numId="622">
    <w:abstractNumId w:val="728"/>
  </w:num>
  <w:num w:numId="623">
    <w:abstractNumId w:val="10"/>
  </w:num>
  <w:num w:numId="624">
    <w:abstractNumId w:val="782"/>
  </w:num>
  <w:num w:numId="625">
    <w:abstractNumId w:val="280"/>
  </w:num>
  <w:num w:numId="626">
    <w:abstractNumId w:val="393"/>
  </w:num>
  <w:num w:numId="627">
    <w:abstractNumId w:val="222"/>
  </w:num>
  <w:num w:numId="628">
    <w:abstractNumId w:val="489"/>
  </w:num>
  <w:num w:numId="629">
    <w:abstractNumId w:val="781"/>
  </w:num>
  <w:num w:numId="630">
    <w:abstractNumId w:val="863"/>
  </w:num>
  <w:num w:numId="631">
    <w:abstractNumId w:val="607"/>
  </w:num>
  <w:num w:numId="632">
    <w:abstractNumId w:val="228"/>
  </w:num>
  <w:num w:numId="633">
    <w:abstractNumId w:val="533"/>
  </w:num>
  <w:num w:numId="634">
    <w:abstractNumId w:val="132"/>
  </w:num>
  <w:num w:numId="635">
    <w:abstractNumId w:val="883"/>
  </w:num>
  <w:num w:numId="636">
    <w:abstractNumId w:val="628"/>
  </w:num>
  <w:num w:numId="637">
    <w:abstractNumId w:val="268"/>
  </w:num>
  <w:num w:numId="638">
    <w:abstractNumId w:val="622"/>
  </w:num>
  <w:num w:numId="639">
    <w:abstractNumId w:val="65"/>
  </w:num>
  <w:num w:numId="640">
    <w:abstractNumId w:val="775"/>
  </w:num>
  <w:num w:numId="641">
    <w:abstractNumId w:val="647"/>
  </w:num>
  <w:num w:numId="642">
    <w:abstractNumId w:val="653"/>
  </w:num>
  <w:num w:numId="643">
    <w:abstractNumId w:val="108"/>
  </w:num>
  <w:num w:numId="644">
    <w:abstractNumId w:val="546"/>
  </w:num>
  <w:num w:numId="645">
    <w:abstractNumId w:val="892"/>
  </w:num>
  <w:num w:numId="646">
    <w:abstractNumId w:val="553"/>
  </w:num>
  <w:num w:numId="647">
    <w:abstractNumId w:val="430"/>
  </w:num>
  <w:num w:numId="648">
    <w:abstractNumId w:val="356"/>
  </w:num>
  <w:num w:numId="649">
    <w:abstractNumId w:val="185"/>
  </w:num>
  <w:num w:numId="650">
    <w:abstractNumId w:val="822"/>
  </w:num>
  <w:num w:numId="651">
    <w:abstractNumId w:val="569"/>
  </w:num>
  <w:num w:numId="652">
    <w:abstractNumId w:val="284"/>
  </w:num>
  <w:num w:numId="653">
    <w:abstractNumId w:val="113"/>
  </w:num>
  <w:num w:numId="654">
    <w:abstractNumId w:val="620"/>
  </w:num>
  <w:num w:numId="655">
    <w:abstractNumId w:val="240"/>
  </w:num>
  <w:num w:numId="656">
    <w:abstractNumId w:val="922"/>
  </w:num>
  <w:num w:numId="657">
    <w:abstractNumId w:val="260"/>
  </w:num>
  <w:num w:numId="658">
    <w:abstractNumId w:val="35"/>
  </w:num>
  <w:num w:numId="659">
    <w:abstractNumId w:val="727"/>
  </w:num>
  <w:num w:numId="660">
    <w:abstractNumId w:val="66"/>
  </w:num>
  <w:num w:numId="661">
    <w:abstractNumId w:val="353"/>
  </w:num>
  <w:num w:numId="662">
    <w:abstractNumId w:val="701"/>
  </w:num>
  <w:num w:numId="663">
    <w:abstractNumId w:val="940"/>
  </w:num>
  <w:num w:numId="664">
    <w:abstractNumId w:val="635"/>
  </w:num>
  <w:num w:numId="665">
    <w:abstractNumId w:val="792"/>
  </w:num>
  <w:num w:numId="666">
    <w:abstractNumId w:val="230"/>
  </w:num>
  <w:num w:numId="667">
    <w:abstractNumId w:val="316"/>
  </w:num>
  <w:num w:numId="668">
    <w:abstractNumId w:val="491"/>
  </w:num>
  <w:num w:numId="669">
    <w:abstractNumId w:val="417"/>
  </w:num>
  <w:num w:numId="670">
    <w:abstractNumId w:val="941"/>
  </w:num>
  <w:num w:numId="671">
    <w:abstractNumId w:val="370"/>
  </w:num>
  <w:num w:numId="672">
    <w:abstractNumId w:val="160"/>
  </w:num>
  <w:num w:numId="673">
    <w:abstractNumId w:val="921"/>
  </w:num>
  <w:num w:numId="674">
    <w:abstractNumId w:val="614"/>
  </w:num>
  <w:num w:numId="675">
    <w:abstractNumId w:val="562"/>
  </w:num>
  <w:num w:numId="676">
    <w:abstractNumId w:val="256"/>
  </w:num>
  <w:num w:numId="677">
    <w:abstractNumId w:val="785"/>
  </w:num>
  <w:num w:numId="678">
    <w:abstractNumId w:val="578"/>
  </w:num>
  <w:num w:numId="679">
    <w:abstractNumId w:val="54"/>
  </w:num>
  <w:num w:numId="680">
    <w:abstractNumId w:val="98"/>
  </w:num>
  <w:num w:numId="681">
    <w:abstractNumId w:val="432"/>
  </w:num>
  <w:num w:numId="682">
    <w:abstractNumId w:val="514"/>
  </w:num>
  <w:num w:numId="683">
    <w:abstractNumId w:val="5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4">
    <w:abstractNumId w:val="6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5">
    <w:abstractNumId w:val="8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6">
    <w:abstractNumId w:val="7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7">
    <w:abstractNumId w:val="1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8">
    <w:abstractNumId w:val="3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9">
    <w:abstractNumId w:val="3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0">
    <w:abstractNumId w:val="3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1">
    <w:abstractNumId w:val="3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2">
    <w:abstractNumId w:val="9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3">
    <w:abstractNumId w:val="6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4">
    <w:abstractNumId w:val="8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5">
    <w:abstractNumId w:val="245"/>
  </w:num>
  <w:num w:numId="696">
    <w:abstractNumId w:val="2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7">
    <w:abstractNumId w:val="9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8">
    <w:abstractNumId w:val="7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9">
    <w:abstractNumId w:val="103"/>
  </w:num>
  <w:num w:numId="700">
    <w:abstractNumId w:val="2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1">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2">
    <w:abstractNumId w:val="97"/>
  </w:num>
  <w:num w:numId="703">
    <w:abstractNumId w:val="272"/>
  </w:num>
  <w:num w:numId="704">
    <w:abstractNumId w:val="115"/>
  </w:num>
  <w:num w:numId="705">
    <w:abstractNumId w:val="447"/>
  </w:num>
  <w:num w:numId="706">
    <w:abstractNumId w:val="499"/>
  </w:num>
  <w:num w:numId="707">
    <w:abstractNumId w:val="537"/>
  </w:num>
  <w:num w:numId="708">
    <w:abstractNumId w:val="84"/>
  </w:num>
  <w:num w:numId="709">
    <w:abstractNumId w:val="69"/>
  </w:num>
  <w:num w:numId="710">
    <w:abstractNumId w:val="826"/>
  </w:num>
  <w:num w:numId="711">
    <w:abstractNumId w:val="68"/>
  </w:num>
  <w:num w:numId="712">
    <w:abstractNumId w:val="405"/>
  </w:num>
  <w:num w:numId="713">
    <w:abstractNumId w:val="682"/>
  </w:num>
  <w:num w:numId="714">
    <w:abstractNumId w:val="692"/>
  </w:num>
  <w:num w:numId="715">
    <w:abstractNumId w:val="508"/>
  </w:num>
  <w:num w:numId="716">
    <w:abstractNumId w:val="850"/>
  </w:num>
  <w:num w:numId="717">
    <w:abstractNumId w:val="878"/>
  </w:num>
  <w:num w:numId="718">
    <w:abstractNumId w:val="406"/>
  </w:num>
  <w:num w:numId="719">
    <w:abstractNumId w:val="41"/>
  </w:num>
  <w:num w:numId="720">
    <w:abstractNumId w:val="676"/>
  </w:num>
  <w:num w:numId="721">
    <w:abstractNumId w:val="777"/>
  </w:num>
  <w:num w:numId="722">
    <w:abstractNumId w:val="924"/>
  </w:num>
  <w:num w:numId="723">
    <w:abstractNumId w:val="746"/>
  </w:num>
  <w:num w:numId="724">
    <w:abstractNumId w:val="679"/>
  </w:num>
  <w:num w:numId="725">
    <w:abstractNumId w:val="364"/>
  </w:num>
  <w:num w:numId="726">
    <w:abstractNumId w:val="75"/>
  </w:num>
  <w:num w:numId="727">
    <w:abstractNumId w:val="5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8">
    <w:abstractNumId w:val="5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9">
    <w:abstractNumId w:val="239"/>
  </w:num>
  <w:num w:numId="730">
    <w:abstractNumId w:val="554"/>
  </w:num>
  <w:num w:numId="731">
    <w:abstractNumId w:val="127"/>
  </w:num>
  <w:num w:numId="732">
    <w:abstractNumId w:val="253"/>
  </w:num>
  <w:num w:numId="733">
    <w:abstractNumId w:val="231"/>
  </w:num>
  <w:num w:numId="734">
    <w:abstractNumId w:val="510"/>
  </w:num>
  <w:num w:numId="735">
    <w:abstractNumId w:val="906"/>
  </w:num>
  <w:num w:numId="736">
    <w:abstractNumId w:val="652"/>
  </w:num>
  <w:num w:numId="737">
    <w:abstractNumId w:val="15"/>
  </w:num>
  <w:num w:numId="738">
    <w:abstractNumId w:val="729"/>
  </w:num>
  <w:num w:numId="739">
    <w:abstractNumId w:val="855"/>
  </w:num>
  <w:num w:numId="740">
    <w:abstractNumId w:val="539"/>
  </w:num>
  <w:num w:numId="741">
    <w:abstractNumId w:val="194"/>
  </w:num>
  <w:num w:numId="742">
    <w:abstractNumId w:val="874"/>
  </w:num>
  <w:num w:numId="743">
    <w:abstractNumId w:val="232"/>
  </w:num>
  <w:num w:numId="744">
    <w:abstractNumId w:val="645"/>
  </w:num>
  <w:num w:numId="745">
    <w:abstractNumId w:val="915"/>
  </w:num>
  <w:num w:numId="746">
    <w:abstractNumId w:val="663"/>
  </w:num>
  <w:num w:numId="747">
    <w:abstractNumId w:val="448"/>
  </w:num>
  <w:num w:numId="748">
    <w:abstractNumId w:val="411"/>
  </w:num>
  <w:num w:numId="749">
    <w:abstractNumId w:val="176"/>
  </w:num>
  <w:num w:numId="750">
    <w:abstractNumId w:val="302"/>
  </w:num>
  <w:num w:numId="751">
    <w:abstractNumId w:val="226"/>
  </w:num>
  <w:num w:numId="752">
    <w:abstractNumId w:val="802"/>
  </w:num>
  <w:num w:numId="753">
    <w:abstractNumId w:val="732"/>
  </w:num>
  <w:num w:numId="754">
    <w:abstractNumId w:val="211"/>
  </w:num>
  <w:num w:numId="755">
    <w:abstractNumId w:val="404"/>
  </w:num>
  <w:num w:numId="756">
    <w:abstractNumId w:val="745"/>
  </w:num>
  <w:num w:numId="757">
    <w:abstractNumId w:val="672"/>
  </w:num>
  <w:num w:numId="758">
    <w:abstractNumId w:val="307"/>
  </w:num>
  <w:num w:numId="759">
    <w:abstractNumId w:val="34"/>
  </w:num>
  <w:num w:numId="760">
    <w:abstractNumId w:val="32"/>
  </w:num>
  <w:num w:numId="761">
    <w:abstractNumId w:val="852"/>
  </w:num>
  <w:num w:numId="762">
    <w:abstractNumId w:val="446"/>
  </w:num>
  <w:num w:numId="763">
    <w:abstractNumId w:val="105"/>
  </w:num>
  <w:num w:numId="764">
    <w:abstractNumId w:val="449"/>
  </w:num>
  <w:num w:numId="765">
    <w:abstractNumId w:val="703"/>
  </w:num>
  <w:num w:numId="766">
    <w:abstractNumId w:val="126"/>
  </w:num>
  <w:num w:numId="767">
    <w:abstractNumId w:val="898"/>
  </w:num>
  <w:num w:numId="768">
    <w:abstractNumId w:val="524"/>
  </w:num>
  <w:num w:numId="769">
    <w:abstractNumId w:val="373"/>
  </w:num>
  <w:num w:numId="770">
    <w:abstractNumId w:val="131"/>
  </w:num>
  <w:num w:numId="771">
    <w:abstractNumId w:val="686"/>
  </w:num>
  <w:num w:numId="772">
    <w:abstractNumId w:val="942"/>
  </w:num>
  <w:num w:numId="773">
    <w:abstractNumId w:val="88"/>
  </w:num>
  <w:num w:numId="774">
    <w:abstractNumId w:val="879"/>
  </w:num>
  <w:num w:numId="775">
    <w:abstractNumId w:val="372"/>
  </w:num>
  <w:num w:numId="776">
    <w:abstractNumId w:val="198"/>
  </w:num>
  <w:num w:numId="777">
    <w:abstractNumId w:val="503"/>
  </w:num>
  <w:num w:numId="778">
    <w:abstractNumId w:val="733"/>
  </w:num>
  <w:num w:numId="779">
    <w:abstractNumId w:val="212"/>
  </w:num>
  <w:num w:numId="780">
    <w:abstractNumId w:val="827"/>
  </w:num>
  <w:num w:numId="781">
    <w:abstractNumId w:val="431"/>
  </w:num>
  <w:num w:numId="782">
    <w:abstractNumId w:val="935"/>
  </w:num>
  <w:num w:numId="783">
    <w:abstractNumId w:val="742"/>
  </w:num>
  <w:num w:numId="784">
    <w:abstractNumId w:val="288"/>
  </w:num>
  <w:num w:numId="785">
    <w:abstractNumId w:val="471"/>
  </w:num>
  <w:num w:numId="786">
    <w:abstractNumId w:val="210"/>
  </w:num>
  <w:num w:numId="787">
    <w:abstractNumId w:val="440"/>
  </w:num>
  <w:num w:numId="788">
    <w:abstractNumId w:val="496"/>
  </w:num>
  <w:num w:numId="789">
    <w:abstractNumId w:val="216"/>
  </w:num>
  <w:num w:numId="790">
    <w:abstractNumId w:val="875"/>
  </w:num>
  <w:num w:numId="791">
    <w:abstractNumId w:val="463"/>
  </w:num>
  <w:num w:numId="792">
    <w:abstractNumId w:val="632"/>
  </w:num>
  <w:num w:numId="793">
    <w:abstractNumId w:val="927"/>
  </w:num>
  <w:num w:numId="794">
    <w:abstractNumId w:val="484"/>
  </w:num>
  <w:num w:numId="795">
    <w:abstractNumId w:val="443"/>
  </w:num>
  <w:num w:numId="796">
    <w:abstractNumId w:val="697"/>
  </w:num>
  <w:num w:numId="797">
    <w:abstractNumId w:val="257"/>
  </w:num>
  <w:num w:numId="798">
    <w:abstractNumId w:val="357"/>
  </w:num>
  <w:num w:numId="799">
    <w:abstractNumId w:val="45"/>
  </w:num>
  <w:num w:numId="800">
    <w:abstractNumId w:val="334"/>
  </w:num>
  <w:num w:numId="801">
    <w:abstractNumId w:val="92"/>
  </w:num>
  <w:num w:numId="802">
    <w:abstractNumId w:val="502"/>
  </w:num>
  <w:num w:numId="803">
    <w:abstractNumId w:val="120"/>
  </w:num>
  <w:num w:numId="804">
    <w:abstractNumId w:val="143"/>
  </w:num>
  <w:num w:numId="805">
    <w:abstractNumId w:val="882"/>
  </w:num>
  <w:num w:numId="806">
    <w:abstractNumId w:val="170"/>
  </w:num>
  <w:num w:numId="807">
    <w:abstractNumId w:val="709"/>
  </w:num>
  <w:num w:numId="808">
    <w:abstractNumId w:val="947"/>
  </w:num>
  <w:num w:numId="809">
    <w:abstractNumId w:val="639"/>
  </w:num>
  <w:num w:numId="810">
    <w:abstractNumId w:val="366"/>
  </w:num>
  <w:num w:numId="811">
    <w:abstractNumId w:val="854"/>
  </w:num>
  <w:num w:numId="812">
    <w:abstractNumId w:val="507"/>
  </w:num>
  <w:num w:numId="813">
    <w:abstractNumId w:val="917"/>
  </w:num>
  <w:num w:numId="814">
    <w:abstractNumId w:val="787"/>
  </w:num>
  <w:num w:numId="815">
    <w:abstractNumId w:val="4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6">
    <w:abstractNumId w:val="7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7">
    <w:abstractNumId w:val="383"/>
  </w:num>
  <w:num w:numId="818">
    <w:abstractNumId w:val="608"/>
  </w:num>
  <w:num w:numId="819">
    <w:abstractNumId w:val="205"/>
  </w:num>
  <w:num w:numId="820">
    <w:abstractNumId w:val="670"/>
  </w:num>
  <w:num w:numId="821">
    <w:abstractNumId w:val="590"/>
  </w:num>
  <w:num w:numId="822">
    <w:abstractNumId w:val="685"/>
  </w:num>
  <w:num w:numId="823">
    <w:abstractNumId w:val="678"/>
  </w:num>
  <w:num w:numId="824">
    <w:abstractNumId w:val="494"/>
  </w:num>
  <w:num w:numId="825">
    <w:abstractNumId w:val="229"/>
  </w:num>
  <w:num w:numId="826">
    <w:abstractNumId w:val="56"/>
  </w:num>
  <w:num w:numId="827">
    <w:abstractNumId w:val="509"/>
  </w:num>
  <w:num w:numId="828">
    <w:abstractNumId w:val="665"/>
  </w:num>
  <w:num w:numId="829">
    <w:abstractNumId w:val="527"/>
  </w:num>
  <w:num w:numId="830">
    <w:abstractNumId w:val="148"/>
  </w:num>
  <w:num w:numId="831">
    <w:abstractNumId w:val="252"/>
  </w:num>
  <w:num w:numId="832">
    <w:abstractNumId w:val="367"/>
  </w:num>
  <w:num w:numId="833">
    <w:abstractNumId w:val="122"/>
  </w:num>
  <w:num w:numId="834">
    <w:abstractNumId w:val="426"/>
  </w:num>
  <w:num w:numId="835">
    <w:abstractNumId w:val="313"/>
  </w:num>
  <w:num w:numId="836">
    <w:abstractNumId w:val="582"/>
  </w:num>
  <w:num w:numId="837">
    <w:abstractNumId w:val="523"/>
  </w:num>
  <w:num w:numId="838">
    <w:abstractNumId w:val="371"/>
  </w:num>
  <w:num w:numId="839">
    <w:abstractNumId w:val="675"/>
  </w:num>
  <w:num w:numId="840">
    <w:abstractNumId w:val="564"/>
  </w:num>
  <w:num w:numId="841">
    <w:abstractNumId w:val="531"/>
  </w:num>
  <w:num w:numId="842">
    <w:abstractNumId w:val="133"/>
  </w:num>
  <w:num w:numId="843">
    <w:abstractNumId w:val="704"/>
  </w:num>
  <w:num w:numId="844">
    <w:abstractNumId w:val="794"/>
  </w:num>
  <w:num w:numId="845">
    <w:abstractNumId w:val="9"/>
  </w:num>
  <w:num w:numId="846">
    <w:abstractNumId w:val="7"/>
  </w:num>
  <w:num w:numId="847">
    <w:abstractNumId w:val="6"/>
  </w:num>
  <w:num w:numId="848">
    <w:abstractNumId w:val="5"/>
  </w:num>
  <w:num w:numId="849">
    <w:abstractNumId w:val="4"/>
  </w:num>
  <w:num w:numId="850">
    <w:abstractNumId w:val="3"/>
  </w:num>
  <w:num w:numId="851">
    <w:abstractNumId w:val="2"/>
  </w:num>
  <w:num w:numId="852">
    <w:abstractNumId w:val="1"/>
  </w:num>
  <w:num w:numId="853">
    <w:abstractNumId w:val="0"/>
  </w:num>
  <w:num w:numId="854">
    <w:abstractNumId w:val="26"/>
  </w:num>
  <w:num w:numId="855">
    <w:abstractNumId w:val="345"/>
  </w:num>
  <w:num w:numId="856">
    <w:abstractNumId w:val="642"/>
  </w:num>
  <w:num w:numId="857">
    <w:abstractNumId w:val="136"/>
  </w:num>
  <w:num w:numId="858">
    <w:abstractNumId w:val="481"/>
  </w:num>
  <w:num w:numId="859">
    <w:abstractNumId w:val="340"/>
  </w:num>
  <w:num w:numId="860">
    <w:abstractNumId w:val="326"/>
  </w:num>
  <w:num w:numId="861">
    <w:abstractNumId w:val="8"/>
  </w:num>
  <w:num w:numId="862">
    <w:abstractNumId w:val="8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3">
    <w:abstractNumId w:val="5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4">
    <w:abstractNumId w:val="950"/>
  </w:num>
  <w:num w:numId="865">
    <w:abstractNumId w:val="31"/>
  </w:num>
  <w:num w:numId="866">
    <w:abstractNumId w:val="602"/>
  </w:num>
  <w:num w:numId="867">
    <w:abstractNumId w:val="166"/>
  </w:num>
  <w:num w:numId="868">
    <w:abstractNumId w:val="444"/>
  </w:num>
  <w:num w:numId="869">
    <w:abstractNumId w:val="828"/>
  </w:num>
  <w:num w:numId="870">
    <w:abstractNumId w:val="336"/>
  </w:num>
  <w:num w:numId="871">
    <w:abstractNumId w:val="867"/>
  </w:num>
  <w:num w:numId="872">
    <w:abstractNumId w:val="378"/>
  </w:num>
  <w:num w:numId="873">
    <w:abstractNumId w:val="769"/>
  </w:num>
  <w:num w:numId="874">
    <w:abstractNumId w:val="19"/>
  </w:num>
  <w:num w:numId="875">
    <w:abstractNumId w:val="290"/>
  </w:num>
  <w:num w:numId="876">
    <w:abstractNumId w:val="738"/>
  </w:num>
  <w:num w:numId="877">
    <w:abstractNumId w:val="848"/>
  </w:num>
  <w:num w:numId="878">
    <w:abstractNumId w:val="505"/>
  </w:num>
  <w:num w:numId="879">
    <w:abstractNumId w:val="269"/>
  </w:num>
  <w:num w:numId="880">
    <w:abstractNumId w:val="606"/>
  </w:num>
  <w:num w:numId="881">
    <w:abstractNumId w:val="397"/>
  </w:num>
  <w:num w:numId="882">
    <w:abstractNumId w:val="880"/>
  </w:num>
  <w:num w:numId="883">
    <w:abstractNumId w:val="191"/>
  </w:num>
  <w:num w:numId="884">
    <w:abstractNumId w:val="706"/>
  </w:num>
  <w:num w:numId="885">
    <w:abstractNumId w:val="526"/>
  </w:num>
  <w:num w:numId="886">
    <w:abstractNumId w:val="872"/>
  </w:num>
  <w:num w:numId="887">
    <w:abstractNumId w:val="390"/>
  </w:num>
  <w:num w:numId="888">
    <w:abstractNumId w:val="795"/>
  </w:num>
  <w:num w:numId="889">
    <w:abstractNumId w:val="395"/>
  </w:num>
  <w:num w:numId="890">
    <w:abstractNumId w:val="574"/>
  </w:num>
  <w:num w:numId="891">
    <w:abstractNumId w:val="470"/>
  </w:num>
  <w:num w:numId="892">
    <w:abstractNumId w:val="337"/>
  </w:num>
  <w:num w:numId="893">
    <w:abstractNumId w:val="71"/>
  </w:num>
  <w:num w:numId="894">
    <w:abstractNumId w:val="462"/>
  </w:num>
  <w:num w:numId="895">
    <w:abstractNumId w:val="2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6">
    <w:abstractNumId w:val="387"/>
    <w:lvlOverride w:ilvl="0"/>
    <w:lvlOverride w:ilvl="1">
      <w:startOverride w:val="1"/>
    </w:lvlOverride>
    <w:lvlOverride w:ilvl="2"/>
    <w:lvlOverride w:ilvl="3"/>
    <w:lvlOverride w:ilvl="4"/>
    <w:lvlOverride w:ilvl="5"/>
    <w:lvlOverride w:ilvl="6"/>
    <w:lvlOverride w:ilvl="7"/>
    <w:lvlOverride w:ilvl="8"/>
  </w:num>
  <w:num w:numId="897">
    <w:abstractNumId w:val="305"/>
  </w:num>
  <w:num w:numId="898">
    <w:abstractNumId w:val="188"/>
  </w:num>
  <w:num w:numId="899">
    <w:abstractNumId w:val="83"/>
  </w:num>
  <w:num w:numId="900">
    <w:abstractNumId w:val="565"/>
  </w:num>
  <w:num w:numId="901">
    <w:abstractNumId w:val="627"/>
  </w:num>
  <w:num w:numId="902">
    <w:abstractNumId w:val="909"/>
  </w:num>
  <w:num w:numId="903">
    <w:abstractNumId w:val="912"/>
  </w:num>
  <w:num w:numId="904">
    <w:abstractNumId w:val="67"/>
  </w:num>
  <w:num w:numId="905">
    <w:abstractNumId w:val="328"/>
  </w:num>
  <w:num w:numId="906">
    <w:abstractNumId w:val="102"/>
  </w:num>
  <w:num w:numId="907">
    <w:abstractNumId w:val="819"/>
  </w:num>
  <w:num w:numId="908">
    <w:abstractNumId w:val="643"/>
  </w:num>
  <w:num w:numId="909">
    <w:abstractNumId w:val="845"/>
  </w:num>
  <w:num w:numId="910">
    <w:abstractNumId w:val="344"/>
  </w:num>
  <w:num w:numId="911">
    <w:abstractNumId w:val="902"/>
  </w:num>
  <w:num w:numId="912">
    <w:abstractNumId w:val="333"/>
  </w:num>
  <w:num w:numId="913">
    <w:abstractNumId w:val="864"/>
  </w:num>
  <w:num w:numId="914">
    <w:abstractNumId w:val="186"/>
  </w:num>
  <w:num w:numId="915">
    <w:abstractNumId w:val="72"/>
  </w:num>
  <w:num w:numId="916">
    <w:abstractNumId w:val="689"/>
  </w:num>
  <w:num w:numId="917">
    <w:abstractNumId w:val="149"/>
  </w:num>
  <w:num w:numId="918">
    <w:abstractNumId w:val="530"/>
  </w:num>
  <w:num w:numId="919">
    <w:abstractNumId w:val="493"/>
  </w:num>
  <w:num w:numId="920">
    <w:abstractNumId w:val="243"/>
  </w:num>
  <w:num w:numId="921">
    <w:abstractNumId w:val="910"/>
  </w:num>
  <w:num w:numId="922">
    <w:abstractNumId w:val="254"/>
  </w:num>
  <w:num w:numId="923">
    <w:abstractNumId w:val="741"/>
  </w:num>
  <w:num w:numId="924">
    <w:abstractNumId w:val="433"/>
  </w:num>
  <w:num w:numId="925">
    <w:abstractNumId w:val="889"/>
  </w:num>
  <w:num w:numId="926">
    <w:abstractNumId w:val="946"/>
  </w:num>
  <w:num w:numId="927">
    <w:abstractNumId w:val="16"/>
  </w:num>
  <w:num w:numId="928">
    <w:abstractNumId w:val="711"/>
  </w:num>
  <w:num w:numId="929">
    <w:abstractNumId w:val="633"/>
  </w:num>
  <w:num w:numId="930">
    <w:abstractNumId w:val="612"/>
  </w:num>
  <w:num w:numId="931">
    <w:abstractNumId w:val="589"/>
  </w:num>
  <w:num w:numId="932">
    <w:abstractNumId w:val="804"/>
  </w:num>
  <w:num w:numId="933">
    <w:abstractNumId w:val="327"/>
  </w:num>
  <w:num w:numId="934">
    <w:abstractNumId w:val="129"/>
  </w:num>
  <w:num w:numId="935">
    <w:abstractNumId w:val="450"/>
  </w:num>
  <w:num w:numId="936">
    <w:abstractNumId w:val="110"/>
  </w:num>
  <w:num w:numId="937">
    <w:abstractNumId w:val="349"/>
  </w:num>
  <w:num w:numId="938">
    <w:abstractNumId w:val="894"/>
  </w:num>
  <w:num w:numId="939">
    <w:abstractNumId w:val="547"/>
  </w:num>
  <w:num w:numId="940">
    <w:abstractNumId w:val="618"/>
  </w:num>
  <w:num w:numId="941">
    <w:abstractNumId w:val="784"/>
  </w:num>
  <w:num w:numId="942">
    <w:abstractNumId w:val="409"/>
  </w:num>
  <w:num w:numId="943">
    <w:abstractNumId w:val="767"/>
  </w:num>
  <w:num w:numId="944">
    <w:abstractNumId w:val="298"/>
  </w:num>
  <w:num w:numId="945">
    <w:abstractNumId w:val="796"/>
  </w:num>
  <w:num w:numId="946">
    <w:abstractNumId w:val="181"/>
  </w:num>
  <w:num w:numId="947">
    <w:abstractNumId w:val="196"/>
  </w:num>
  <w:num w:numId="948">
    <w:abstractNumId w:val="89"/>
  </w:num>
  <w:num w:numId="949">
    <w:abstractNumId w:val="716"/>
  </w:num>
  <w:num w:numId="950">
    <w:abstractNumId w:val="162"/>
  </w:num>
  <w:num w:numId="951">
    <w:abstractNumId w:val="282"/>
  </w:num>
  <w:num w:numId="952">
    <w:abstractNumId w:val="278"/>
  </w:num>
  <w:num w:numId="953">
    <w:abstractNumId w:val="343"/>
  </w:num>
  <w:num w:numId="954">
    <w:abstractNumId w:val="944"/>
  </w:num>
  <w:num w:numId="955">
    <w:abstractNumId w:val="774"/>
  </w:num>
  <w:num w:numId="956">
    <w:abstractNumId w:val="64"/>
  </w:num>
  <w:num w:numId="957">
    <w:abstractNumId w:val="641"/>
  </w:num>
  <w:num w:numId="958">
    <w:abstractNumId w:val="521"/>
  </w:num>
  <w:num w:numId="959">
    <w:abstractNumId w:val="180"/>
  </w:num>
  <w:num w:numId="960">
    <w:abstractNumId w:val="394"/>
  </w:num>
  <w:num w:numId="961">
    <w:abstractNumId w:val="939"/>
  </w:num>
  <w:num w:numId="962">
    <w:abstractNumId w:val="585"/>
  </w:num>
  <w:num w:numId="963">
    <w:abstractNumId w:val="441"/>
  </w:num>
  <w:num w:numId="964">
    <w:abstractNumId w:val="18"/>
  </w:num>
  <w:num w:numId="965">
    <w:abstractNumId w:val="438"/>
  </w:num>
  <w:num w:numId="966">
    <w:abstractNumId w:val="135"/>
  </w:num>
  <w:num w:numId="967">
    <w:abstractNumId w:val="500"/>
  </w:num>
  <w:num w:numId="968">
    <w:abstractNumId w:val="146"/>
  </w:num>
  <w:num w:numId="969">
    <w:abstractNumId w:val="766"/>
  </w:num>
  <w:num w:numId="970">
    <w:abstractNumId w:val="109"/>
  </w:num>
  <w:num w:numId="971">
    <w:abstractNumId w:val="451"/>
  </w:num>
  <w:num w:numId="972">
    <w:abstractNumId w:val="895"/>
  </w:num>
  <w:num w:numId="973">
    <w:abstractNumId w:val="705"/>
  </w:num>
  <w:num w:numId="974">
    <w:abstractNumId w:val="948"/>
  </w:num>
  <w:num w:numId="975">
    <w:abstractNumId w:val="605"/>
  </w:num>
  <w:num w:numId="976">
    <w:abstractNumId w:val="799"/>
  </w:num>
  <w:num w:numId="977">
    <w:abstractNumId w:val="763"/>
  </w:num>
  <w:num w:numId="978">
    <w:abstractNumId w:val="285"/>
  </w:num>
  <w:num w:numId="979">
    <w:abstractNumId w:val="885"/>
  </w:num>
  <w:num w:numId="980">
    <w:abstractNumId w:val="287"/>
  </w:num>
  <w:num w:numId="981">
    <w:abstractNumId w:val="664"/>
  </w:num>
  <w:num w:numId="982">
    <w:abstractNumId w:val="283"/>
  </w:num>
  <w:num w:numId="983">
    <w:abstractNumId w:val="420"/>
  </w:num>
  <w:num w:numId="984">
    <w:abstractNumId w:val="884"/>
  </w:num>
  <w:num w:numId="985">
    <w:abstractNumId w:val="190"/>
  </w:num>
  <w:num w:numId="986">
    <w:abstractNumId w:val="680"/>
  </w:num>
  <w:num w:numId="987">
    <w:abstractNumId w:val="412"/>
  </w:num>
  <w:num w:numId="988">
    <w:abstractNumId w:val="558"/>
  </w:num>
  <w:num w:numId="989">
    <w:abstractNumId w:val="945"/>
  </w:num>
  <w:num w:numId="990">
    <w:abstractNumId w:val="323"/>
  </w:num>
  <w:num w:numId="991">
    <w:abstractNumId w:val="655"/>
  </w:num>
  <w:num w:numId="992">
    <w:abstractNumId w:val="659"/>
  </w:num>
  <w:num w:numId="993">
    <w:abstractNumId w:val="161"/>
  </w:num>
  <w:num w:numId="994">
    <w:abstractNumId w:val="329"/>
  </w:num>
  <w:num w:numId="995">
    <w:abstractNumId w:val="797"/>
  </w:num>
  <w:num w:numId="996">
    <w:abstractNumId w:val="538"/>
  </w:num>
  <w:num w:numId="997">
    <w:abstractNumId w:val="712"/>
  </w:num>
  <w:num w:numId="998">
    <w:abstractNumId w:val="683"/>
  </w:num>
  <w:num w:numId="999">
    <w:abstractNumId w:val="29"/>
  </w:num>
  <w:num w:numId="1000">
    <w:abstractNumId w:val="841"/>
  </w:num>
  <w:num w:numId="1001">
    <w:abstractNumId w:val="49"/>
  </w:num>
  <w:num w:numId="1002">
    <w:abstractNumId w:val="671"/>
  </w:num>
  <w:num w:numId="1003">
    <w:abstractNumId w:val="171"/>
  </w:num>
  <w:num w:numId="1004">
    <w:abstractNumId w:val="770"/>
  </w:num>
  <w:num w:numId="1005">
    <w:abstractNumId w:val="342"/>
  </w:num>
  <w:num w:numId="1006">
    <w:abstractNumId w:val="809"/>
  </w:num>
  <w:num w:numId="1007">
    <w:abstractNumId w:val="134"/>
  </w:num>
  <w:num w:numId="1008">
    <w:abstractNumId w:val="736"/>
  </w:num>
  <w:num w:numId="1009">
    <w:abstractNumId w:val="731"/>
  </w:num>
  <w:num w:numId="1010">
    <w:abstractNumId w:val="532"/>
  </w:num>
  <w:num w:numId="1011">
    <w:abstractNumId w:val="112"/>
  </w:num>
  <w:num w:numId="1012">
    <w:abstractNumId w:val="386"/>
  </w:num>
  <w:num w:numId="1013">
    <w:abstractNumId w:val="247"/>
  </w:num>
  <w:num w:numId="1014">
    <w:abstractNumId w:val="871"/>
  </w:num>
  <w:num w:numId="1015">
    <w:abstractNumId w:val="392"/>
  </w:num>
  <w:num w:numId="1016">
    <w:abstractNumId w:val="294"/>
  </w:num>
  <w:num w:numId="1017">
    <w:abstractNumId w:val="220"/>
  </w:num>
  <w:num w:numId="1018">
    <w:abstractNumId w:val="601"/>
  </w:num>
  <w:num w:numId="1019">
    <w:abstractNumId w:val="846"/>
  </w:num>
  <w:num w:numId="1020">
    <w:abstractNumId w:val="896"/>
  </w:num>
  <w:num w:numId="1021">
    <w:abstractNumId w:val="209"/>
  </w:num>
  <w:num w:numId="1022">
    <w:abstractNumId w:val="461"/>
  </w:num>
  <w:num w:numId="1023">
    <w:abstractNumId w:val="461"/>
  </w:num>
  <w:numIdMacAtCleanup w:val="10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System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en-US" w:vendorID="8" w:dllVersion="513"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C1"/>
    <w:rsid w:val="000001FA"/>
    <w:rsid w:val="000006B6"/>
    <w:rsid w:val="00000C98"/>
    <w:rsid w:val="0000119D"/>
    <w:rsid w:val="0000123D"/>
    <w:rsid w:val="0000169B"/>
    <w:rsid w:val="0000205F"/>
    <w:rsid w:val="00002441"/>
    <w:rsid w:val="0000244E"/>
    <w:rsid w:val="0000257A"/>
    <w:rsid w:val="00002718"/>
    <w:rsid w:val="00002729"/>
    <w:rsid w:val="00002785"/>
    <w:rsid w:val="00002F61"/>
    <w:rsid w:val="00003326"/>
    <w:rsid w:val="00003396"/>
    <w:rsid w:val="00003867"/>
    <w:rsid w:val="00003E4F"/>
    <w:rsid w:val="00003EA7"/>
    <w:rsid w:val="00003EB0"/>
    <w:rsid w:val="0000506F"/>
    <w:rsid w:val="000050A7"/>
    <w:rsid w:val="000050AA"/>
    <w:rsid w:val="00005927"/>
    <w:rsid w:val="00005E7A"/>
    <w:rsid w:val="00006245"/>
    <w:rsid w:val="000062A0"/>
    <w:rsid w:val="00006711"/>
    <w:rsid w:val="00006E0E"/>
    <w:rsid w:val="00006EC8"/>
    <w:rsid w:val="00007AC3"/>
    <w:rsid w:val="000103D0"/>
    <w:rsid w:val="00010D90"/>
    <w:rsid w:val="00010E35"/>
    <w:rsid w:val="00010F9E"/>
    <w:rsid w:val="00010FF1"/>
    <w:rsid w:val="0001100C"/>
    <w:rsid w:val="00011309"/>
    <w:rsid w:val="000113A4"/>
    <w:rsid w:val="0001145D"/>
    <w:rsid w:val="0001184D"/>
    <w:rsid w:val="00011A87"/>
    <w:rsid w:val="00011C7B"/>
    <w:rsid w:val="000123DD"/>
    <w:rsid w:val="000125FE"/>
    <w:rsid w:val="00012696"/>
    <w:rsid w:val="000128DC"/>
    <w:rsid w:val="00012EFE"/>
    <w:rsid w:val="00012F7C"/>
    <w:rsid w:val="00012FCC"/>
    <w:rsid w:val="000131F4"/>
    <w:rsid w:val="0001321E"/>
    <w:rsid w:val="00013293"/>
    <w:rsid w:val="000136B2"/>
    <w:rsid w:val="00013FD1"/>
    <w:rsid w:val="000148BB"/>
    <w:rsid w:val="00014D9B"/>
    <w:rsid w:val="000150C0"/>
    <w:rsid w:val="0001594F"/>
    <w:rsid w:val="00015A1B"/>
    <w:rsid w:val="00015E67"/>
    <w:rsid w:val="00015ED0"/>
    <w:rsid w:val="00015EDD"/>
    <w:rsid w:val="000160E2"/>
    <w:rsid w:val="00016149"/>
    <w:rsid w:val="000161AB"/>
    <w:rsid w:val="0001648A"/>
    <w:rsid w:val="00016D14"/>
    <w:rsid w:val="0001722B"/>
    <w:rsid w:val="00017816"/>
    <w:rsid w:val="000178F4"/>
    <w:rsid w:val="00017C44"/>
    <w:rsid w:val="00020790"/>
    <w:rsid w:val="00020F15"/>
    <w:rsid w:val="00021318"/>
    <w:rsid w:val="000218EA"/>
    <w:rsid w:val="00021BFB"/>
    <w:rsid w:val="00022554"/>
    <w:rsid w:val="000225BC"/>
    <w:rsid w:val="000225E4"/>
    <w:rsid w:val="00022C4F"/>
    <w:rsid w:val="00022C7E"/>
    <w:rsid w:val="00023393"/>
    <w:rsid w:val="00023624"/>
    <w:rsid w:val="00023AF2"/>
    <w:rsid w:val="00023D3B"/>
    <w:rsid w:val="0002491C"/>
    <w:rsid w:val="00024CC2"/>
    <w:rsid w:val="00024D0E"/>
    <w:rsid w:val="000251ED"/>
    <w:rsid w:val="0002545C"/>
    <w:rsid w:val="00025E0C"/>
    <w:rsid w:val="00025E88"/>
    <w:rsid w:val="00025F35"/>
    <w:rsid w:val="00026959"/>
    <w:rsid w:val="000271C6"/>
    <w:rsid w:val="000271DA"/>
    <w:rsid w:val="0002740E"/>
    <w:rsid w:val="00027BE2"/>
    <w:rsid w:val="00027D40"/>
    <w:rsid w:val="00027D5F"/>
    <w:rsid w:val="00027D92"/>
    <w:rsid w:val="00027E82"/>
    <w:rsid w:val="0003023A"/>
    <w:rsid w:val="0003036C"/>
    <w:rsid w:val="0003038A"/>
    <w:rsid w:val="000303E5"/>
    <w:rsid w:val="00030555"/>
    <w:rsid w:val="00030592"/>
    <w:rsid w:val="00030595"/>
    <w:rsid w:val="00030960"/>
    <w:rsid w:val="00030A42"/>
    <w:rsid w:val="0003191E"/>
    <w:rsid w:val="00031A49"/>
    <w:rsid w:val="0003226F"/>
    <w:rsid w:val="00032405"/>
    <w:rsid w:val="00032A5C"/>
    <w:rsid w:val="00032A6A"/>
    <w:rsid w:val="00032DE6"/>
    <w:rsid w:val="00032E23"/>
    <w:rsid w:val="0003314E"/>
    <w:rsid w:val="00033164"/>
    <w:rsid w:val="00033316"/>
    <w:rsid w:val="000339DB"/>
    <w:rsid w:val="00033A93"/>
    <w:rsid w:val="00033E5F"/>
    <w:rsid w:val="0003423A"/>
    <w:rsid w:val="000342BF"/>
    <w:rsid w:val="000345CF"/>
    <w:rsid w:val="00034949"/>
    <w:rsid w:val="00034A90"/>
    <w:rsid w:val="00034D9D"/>
    <w:rsid w:val="00034FF9"/>
    <w:rsid w:val="000351E0"/>
    <w:rsid w:val="0003535F"/>
    <w:rsid w:val="000356E9"/>
    <w:rsid w:val="000358BD"/>
    <w:rsid w:val="000362A8"/>
    <w:rsid w:val="00036A1D"/>
    <w:rsid w:val="00036A64"/>
    <w:rsid w:val="00036D05"/>
    <w:rsid w:val="00036F9A"/>
    <w:rsid w:val="000371BC"/>
    <w:rsid w:val="000376E0"/>
    <w:rsid w:val="00037D42"/>
    <w:rsid w:val="000401AE"/>
    <w:rsid w:val="00040207"/>
    <w:rsid w:val="00040B17"/>
    <w:rsid w:val="00040C70"/>
    <w:rsid w:val="00040D5E"/>
    <w:rsid w:val="00040E5C"/>
    <w:rsid w:val="000410DF"/>
    <w:rsid w:val="0004152D"/>
    <w:rsid w:val="0004153A"/>
    <w:rsid w:val="00041598"/>
    <w:rsid w:val="00041A26"/>
    <w:rsid w:val="00041AA6"/>
    <w:rsid w:val="00041DEB"/>
    <w:rsid w:val="00041ECF"/>
    <w:rsid w:val="00041F04"/>
    <w:rsid w:val="00042AF7"/>
    <w:rsid w:val="00043003"/>
    <w:rsid w:val="00043299"/>
    <w:rsid w:val="000438B4"/>
    <w:rsid w:val="00043E1C"/>
    <w:rsid w:val="00045155"/>
    <w:rsid w:val="000453DE"/>
    <w:rsid w:val="000457D9"/>
    <w:rsid w:val="00045BF1"/>
    <w:rsid w:val="000465B9"/>
    <w:rsid w:val="000465DC"/>
    <w:rsid w:val="000468BA"/>
    <w:rsid w:val="00046C5A"/>
    <w:rsid w:val="00046CE3"/>
    <w:rsid w:val="00047098"/>
    <w:rsid w:val="00047A44"/>
    <w:rsid w:val="0005011D"/>
    <w:rsid w:val="0005017A"/>
    <w:rsid w:val="00050370"/>
    <w:rsid w:val="000508E3"/>
    <w:rsid w:val="00050929"/>
    <w:rsid w:val="00050D11"/>
    <w:rsid w:val="00051231"/>
    <w:rsid w:val="00051234"/>
    <w:rsid w:val="00051602"/>
    <w:rsid w:val="00051E57"/>
    <w:rsid w:val="000522C2"/>
    <w:rsid w:val="00052425"/>
    <w:rsid w:val="00052AC1"/>
    <w:rsid w:val="00052CA2"/>
    <w:rsid w:val="00053382"/>
    <w:rsid w:val="000533EE"/>
    <w:rsid w:val="00053A0D"/>
    <w:rsid w:val="00053F9A"/>
    <w:rsid w:val="00054122"/>
    <w:rsid w:val="000542B7"/>
    <w:rsid w:val="00054659"/>
    <w:rsid w:val="0005492C"/>
    <w:rsid w:val="0005494F"/>
    <w:rsid w:val="00054B12"/>
    <w:rsid w:val="000550C6"/>
    <w:rsid w:val="00055303"/>
    <w:rsid w:val="0005533D"/>
    <w:rsid w:val="0005536B"/>
    <w:rsid w:val="000558D4"/>
    <w:rsid w:val="00055EC6"/>
    <w:rsid w:val="00055FE5"/>
    <w:rsid w:val="000560DC"/>
    <w:rsid w:val="00056263"/>
    <w:rsid w:val="000562E8"/>
    <w:rsid w:val="00056517"/>
    <w:rsid w:val="00056B10"/>
    <w:rsid w:val="00056BA2"/>
    <w:rsid w:val="00056C36"/>
    <w:rsid w:val="00056D0E"/>
    <w:rsid w:val="00056DFF"/>
    <w:rsid w:val="00056F94"/>
    <w:rsid w:val="000570AE"/>
    <w:rsid w:val="0005728B"/>
    <w:rsid w:val="00057294"/>
    <w:rsid w:val="00057379"/>
    <w:rsid w:val="000575D2"/>
    <w:rsid w:val="00057D1B"/>
    <w:rsid w:val="00057EFE"/>
    <w:rsid w:val="000600E3"/>
    <w:rsid w:val="00060103"/>
    <w:rsid w:val="00060144"/>
    <w:rsid w:val="00060442"/>
    <w:rsid w:val="000606FC"/>
    <w:rsid w:val="00060DCF"/>
    <w:rsid w:val="00060FBC"/>
    <w:rsid w:val="0006114C"/>
    <w:rsid w:val="000615E8"/>
    <w:rsid w:val="000617C9"/>
    <w:rsid w:val="000618DA"/>
    <w:rsid w:val="00061A42"/>
    <w:rsid w:val="00061DAD"/>
    <w:rsid w:val="00062306"/>
    <w:rsid w:val="00063202"/>
    <w:rsid w:val="000634CD"/>
    <w:rsid w:val="00063ABD"/>
    <w:rsid w:val="00063F33"/>
    <w:rsid w:val="00063F9B"/>
    <w:rsid w:val="00063F9C"/>
    <w:rsid w:val="00064571"/>
    <w:rsid w:val="0006474A"/>
    <w:rsid w:val="00064B70"/>
    <w:rsid w:val="00064EA9"/>
    <w:rsid w:val="0006569C"/>
    <w:rsid w:val="00067711"/>
    <w:rsid w:val="00067AB2"/>
    <w:rsid w:val="00067DF8"/>
    <w:rsid w:val="00067EB2"/>
    <w:rsid w:val="00070C4E"/>
    <w:rsid w:val="000713F4"/>
    <w:rsid w:val="00071A27"/>
    <w:rsid w:val="00071D19"/>
    <w:rsid w:val="00071DED"/>
    <w:rsid w:val="000720A6"/>
    <w:rsid w:val="000723F6"/>
    <w:rsid w:val="00072A9B"/>
    <w:rsid w:val="00072ABB"/>
    <w:rsid w:val="00072BC0"/>
    <w:rsid w:val="00072EEE"/>
    <w:rsid w:val="00072FEC"/>
    <w:rsid w:val="000730E4"/>
    <w:rsid w:val="00073459"/>
    <w:rsid w:val="0007346B"/>
    <w:rsid w:val="00073CE3"/>
    <w:rsid w:val="00073E16"/>
    <w:rsid w:val="00073F4D"/>
    <w:rsid w:val="00074320"/>
    <w:rsid w:val="00074636"/>
    <w:rsid w:val="000746B5"/>
    <w:rsid w:val="00074788"/>
    <w:rsid w:val="00074982"/>
    <w:rsid w:val="000749AA"/>
    <w:rsid w:val="000751C3"/>
    <w:rsid w:val="0007559A"/>
    <w:rsid w:val="000758C6"/>
    <w:rsid w:val="00075F21"/>
    <w:rsid w:val="00076402"/>
    <w:rsid w:val="000767E4"/>
    <w:rsid w:val="00077172"/>
    <w:rsid w:val="00077664"/>
    <w:rsid w:val="00077A85"/>
    <w:rsid w:val="0008053C"/>
    <w:rsid w:val="00080552"/>
    <w:rsid w:val="00080B72"/>
    <w:rsid w:val="000812AE"/>
    <w:rsid w:val="000813C7"/>
    <w:rsid w:val="0008166E"/>
    <w:rsid w:val="000816E9"/>
    <w:rsid w:val="00081BF8"/>
    <w:rsid w:val="00081C07"/>
    <w:rsid w:val="00081F6F"/>
    <w:rsid w:val="0008253C"/>
    <w:rsid w:val="00082959"/>
    <w:rsid w:val="0008307D"/>
    <w:rsid w:val="000838CB"/>
    <w:rsid w:val="00083AD0"/>
    <w:rsid w:val="00083ED7"/>
    <w:rsid w:val="00083F60"/>
    <w:rsid w:val="000845A6"/>
    <w:rsid w:val="00084631"/>
    <w:rsid w:val="000848A4"/>
    <w:rsid w:val="00084A12"/>
    <w:rsid w:val="00084A6C"/>
    <w:rsid w:val="00084DC4"/>
    <w:rsid w:val="000850DD"/>
    <w:rsid w:val="0008514B"/>
    <w:rsid w:val="000851C0"/>
    <w:rsid w:val="000853F6"/>
    <w:rsid w:val="000856FE"/>
    <w:rsid w:val="00085938"/>
    <w:rsid w:val="00085F33"/>
    <w:rsid w:val="000860C6"/>
    <w:rsid w:val="000862C9"/>
    <w:rsid w:val="0008654D"/>
    <w:rsid w:val="00086AD7"/>
    <w:rsid w:val="00086E40"/>
    <w:rsid w:val="00087001"/>
    <w:rsid w:val="00087142"/>
    <w:rsid w:val="0008726A"/>
    <w:rsid w:val="000878D1"/>
    <w:rsid w:val="0008791C"/>
    <w:rsid w:val="00087C5B"/>
    <w:rsid w:val="00087DE9"/>
    <w:rsid w:val="000904A6"/>
    <w:rsid w:val="00090874"/>
    <w:rsid w:val="000908AC"/>
    <w:rsid w:val="00090B08"/>
    <w:rsid w:val="00090BC0"/>
    <w:rsid w:val="00090CA9"/>
    <w:rsid w:val="00090E36"/>
    <w:rsid w:val="00090EBE"/>
    <w:rsid w:val="00090F93"/>
    <w:rsid w:val="00091033"/>
    <w:rsid w:val="000910DB"/>
    <w:rsid w:val="00091195"/>
    <w:rsid w:val="00091AA8"/>
    <w:rsid w:val="00091D97"/>
    <w:rsid w:val="00092097"/>
    <w:rsid w:val="000925AA"/>
    <w:rsid w:val="0009270C"/>
    <w:rsid w:val="0009303D"/>
    <w:rsid w:val="000930A1"/>
    <w:rsid w:val="00093522"/>
    <w:rsid w:val="00093A66"/>
    <w:rsid w:val="00093CCE"/>
    <w:rsid w:val="000943E2"/>
    <w:rsid w:val="000954DE"/>
    <w:rsid w:val="00095966"/>
    <w:rsid w:val="00095BCF"/>
    <w:rsid w:val="00095FA5"/>
    <w:rsid w:val="00096451"/>
    <w:rsid w:val="0009652F"/>
    <w:rsid w:val="00096A5D"/>
    <w:rsid w:val="00097CB2"/>
    <w:rsid w:val="00097D8B"/>
    <w:rsid w:val="000A006F"/>
    <w:rsid w:val="000A0DCC"/>
    <w:rsid w:val="000A200D"/>
    <w:rsid w:val="000A261E"/>
    <w:rsid w:val="000A2703"/>
    <w:rsid w:val="000A295E"/>
    <w:rsid w:val="000A2AFB"/>
    <w:rsid w:val="000A32BE"/>
    <w:rsid w:val="000A372E"/>
    <w:rsid w:val="000A37E2"/>
    <w:rsid w:val="000A4C8E"/>
    <w:rsid w:val="000A4FBA"/>
    <w:rsid w:val="000A56DF"/>
    <w:rsid w:val="000A5858"/>
    <w:rsid w:val="000A599A"/>
    <w:rsid w:val="000A60C3"/>
    <w:rsid w:val="000A6935"/>
    <w:rsid w:val="000A6E62"/>
    <w:rsid w:val="000A7454"/>
    <w:rsid w:val="000A74D1"/>
    <w:rsid w:val="000A788B"/>
    <w:rsid w:val="000A7FEB"/>
    <w:rsid w:val="000B0214"/>
    <w:rsid w:val="000B02B8"/>
    <w:rsid w:val="000B032F"/>
    <w:rsid w:val="000B064E"/>
    <w:rsid w:val="000B0DC5"/>
    <w:rsid w:val="000B0FBE"/>
    <w:rsid w:val="000B1356"/>
    <w:rsid w:val="000B1D59"/>
    <w:rsid w:val="000B2251"/>
    <w:rsid w:val="000B2C6E"/>
    <w:rsid w:val="000B2DF6"/>
    <w:rsid w:val="000B2EAC"/>
    <w:rsid w:val="000B3066"/>
    <w:rsid w:val="000B32A7"/>
    <w:rsid w:val="000B331F"/>
    <w:rsid w:val="000B348F"/>
    <w:rsid w:val="000B3BE7"/>
    <w:rsid w:val="000B3C48"/>
    <w:rsid w:val="000B3C69"/>
    <w:rsid w:val="000B3DAA"/>
    <w:rsid w:val="000B424B"/>
    <w:rsid w:val="000B425C"/>
    <w:rsid w:val="000B4E03"/>
    <w:rsid w:val="000B4E7C"/>
    <w:rsid w:val="000B5078"/>
    <w:rsid w:val="000B5169"/>
    <w:rsid w:val="000B52AA"/>
    <w:rsid w:val="000B5385"/>
    <w:rsid w:val="000B53AA"/>
    <w:rsid w:val="000B57EC"/>
    <w:rsid w:val="000B59DD"/>
    <w:rsid w:val="000B5DB0"/>
    <w:rsid w:val="000B6368"/>
    <w:rsid w:val="000B64A6"/>
    <w:rsid w:val="000B6818"/>
    <w:rsid w:val="000B77F2"/>
    <w:rsid w:val="000B7C7D"/>
    <w:rsid w:val="000C0380"/>
    <w:rsid w:val="000C0604"/>
    <w:rsid w:val="000C0675"/>
    <w:rsid w:val="000C08DE"/>
    <w:rsid w:val="000C0DE5"/>
    <w:rsid w:val="000C13EB"/>
    <w:rsid w:val="000C1423"/>
    <w:rsid w:val="000C14A8"/>
    <w:rsid w:val="000C1FF6"/>
    <w:rsid w:val="000C21AB"/>
    <w:rsid w:val="000C253E"/>
    <w:rsid w:val="000C3907"/>
    <w:rsid w:val="000C3993"/>
    <w:rsid w:val="000C3AAB"/>
    <w:rsid w:val="000C3B1D"/>
    <w:rsid w:val="000C3F6C"/>
    <w:rsid w:val="000C4043"/>
    <w:rsid w:val="000C4201"/>
    <w:rsid w:val="000C46D0"/>
    <w:rsid w:val="000C4809"/>
    <w:rsid w:val="000C487E"/>
    <w:rsid w:val="000C495A"/>
    <w:rsid w:val="000C4F9F"/>
    <w:rsid w:val="000C52A8"/>
    <w:rsid w:val="000C52F0"/>
    <w:rsid w:val="000C57AE"/>
    <w:rsid w:val="000C5B52"/>
    <w:rsid w:val="000C5C17"/>
    <w:rsid w:val="000C5D06"/>
    <w:rsid w:val="000C5EF4"/>
    <w:rsid w:val="000C691B"/>
    <w:rsid w:val="000D03BA"/>
    <w:rsid w:val="000D0A1A"/>
    <w:rsid w:val="000D0A2A"/>
    <w:rsid w:val="000D0BD1"/>
    <w:rsid w:val="000D1106"/>
    <w:rsid w:val="000D1293"/>
    <w:rsid w:val="000D1409"/>
    <w:rsid w:val="000D143D"/>
    <w:rsid w:val="000D194F"/>
    <w:rsid w:val="000D1A22"/>
    <w:rsid w:val="000D1A9A"/>
    <w:rsid w:val="000D1AA5"/>
    <w:rsid w:val="000D1AB8"/>
    <w:rsid w:val="000D1DA6"/>
    <w:rsid w:val="000D1DC9"/>
    <w:rsid w:val="000D1DCF"/>
    <w:rsid w:val="000D1E78"/>
    <w:rsid w:val="000D321F"/>
    <w:rsid w:val="000D32CD"/>
    <w:rsid w:val="000D3A15"/>
    <w:rsid w:val="000D3B8D"/>
    <w:rsid w:val="000D3D96"/>
    <w:rsid w:val="000D42B5"/>
    <w:rsid w:val="000D4F3C"/>
    <w:rsid w:val="000D5229"/>
    <w:rsid w:val="000D54C6"/>
    <w:rsid w:val="000D5879"/>
    <w:rsid w:val="000D59A7"/>
    <w:rsid w:val="000D5AEF"/>
    <w:rsid w:val="000D5C0F"/>
    <w:rsid w:val="000D628A"/>
    <w:rsid w:val="000D63A8"/>
    <w:rsid w:val="000D68F1"/>
    <w:rsid w:val="000D692C"/>
    <w:rsid w:val="000D6AEF"/>
    <w:rsid w:val="000D73A0"/>
    <w:rsid w:val="000D75B6"/>
    <w:rsid w:val="000D78B7"/>
    <w:rsid w:val="000E0048"/>
    <w:rsid w:val="000E03CF"/>
    <w:rsid w:val="000E056F"/>
    <w:rsid w:val="000E06B9"/>
    <w:rsid w:val="000E0769"/>
    <w:rsid w:val="000E0FEC"/>
    <w:rsid w:val="000E115C"/>
    <w:rsid w:val="000E169E"/>
    <w:rsid w:val="000E1CAC"/>
    <w:rsid w:val="000E1D1D"/>
    <w:rsid w:val="000E215D"/>
    <w:rsid w:val="000E2923"/>
    <w:rsid w:val="000E2BFA"/>
    <w:rsid w:val="000E30EF"/>
    <w:rsid w:val="000E3764"/>
    <w:rsid w:val="000E3E7F"/>
    <w:rsid w:val="000E409E"/>
    <w:rsid w:val="000E4150"/>
    <w:rsid w:val="000E442F"/>
    <w:rsid w:val="000E47A5"/>
    <w:rsid w:val="000E4B0F"/>
    <w:rsid w:val="000E523E"/>
    <w:rsid w:val="000E619E"/>
    <w:rsid w:val="000E64E7"/>
    <w:rsid w:val="000E6653"/>
    <w:rsid w:val="000E67AD"/>
    <w:rsid w:val="000E7470"/>
    <w:rsid w:val="000E7B46"/>
    <w:rsid w:val="000F0099"/>
    <w:rsid w:val="000F0B30"/>
    <w:rsid w:val="000F15A1"/>
    <w:rsid w:val="000F18EA"/>
    <w:rsid w:val="000F2AE9"/>
    <w:rsid w:val="000F2C75"/>
    <w:rsid w:val="000F2D3E"/>
    <w:rsid w:val="000F2ECE"/>
    <w:rsid w:val="000F362B"/>
    <w:rsid w:val="000F3967"/>
    <w:rsid w:val="000F3DCD"/>
    <w:rsid w:val="000F4703"/>
    <w:rsid w:val="000F4CB2"/>
    <w:rsid w:val="000F518C"/>
    <w:rsid w:val="000F54C8"/>
    <w:rsid w:val="000F566E"/>
    <w:rsid w:val="000F5AAD"/>
    <w:rsid w:val="000F6804"/>
    <w:rsid w:val="000F688D"/>
    <w:rsid w:val="000F6BD2"/>
    <w:rsid w:val="000F6DC8"/>
    <w:rsid w:val="000F6EA6"/>
    <w:rsid w:val="000F6F24"/>
    <w:rsid w:val="000F6FC3"/>
    <w:rsid w:val="000F73EC"/>
    <w:rsid w:val="000F7538"/>
    <w:rsid w:val="000F7540"/>
    <w:rsid w:val="000F7B16"/>
    <w:rsid w:val="00100173"/>
    <w:rsid w:val="001001EA"/>
    <w:rsid w:val="001004AB"/>
    <w:rsid w:val="0010053D"/>
    <w:rsid w:val="00100576"/>
    <w:rsid w:val="00100689"/>
    <w:rsid w:val="001010ED"/>
    <w:rsid w:val="001016B9"/>
    <w:rsid w:val="00101732"/>
    <w:rsid w:val="001019BE"/>
    <w:rsid w:val="00101C51"/>
    <w:rsid w:val="00102199"/>
    <w:rsid w:val="001029D6"/>
    <w:rsid w:val="00102B47"/>
    <w:rsid w:val="00102BAF"/>
    <w:rsid w:val="00102BE1"/>
    <w:rsid w:val="00102EB6"/>
    <w:rsid w:val="0010341B"/>
    <w:rsid w:val="00103750"/>
    <w:rsid w:val="00103988"/>
    <w:rsid w:val="00103CAC"/>
    <w:rsid w:val="00103DC0"/>
    <w:rsid w:val="00103FD2"/>
    <w:rsid w:val="00104090"/>
    <w:rsid w:val="0010476B"/>
    <w:rsid w:val="00104805"/>
    <w:rsid w:val="00104BF5"/>
    <w:rsid w:val="00104FD1"/>
    <w:rsid w:val="0010572F"/>
    <w:rsid w:val="0010574D"/>
    <w:rsid w:val="00105CBE"/>
    <w:rsid w:val="00105EE1"/>
    <w:rsid w:val="00105F0D"/>
    <w:rsid w:val="00106616"/>
    <w:rsid w:val="00106684"/>
    <w:rsid w:val="00110CD1"/>
    <w:rsid w:val="001115FB"/>
    <w:rsid w:val="001117ED"/>
    <w:rsid w:val="00111CE4"/>
    <w:rsid w:val="00112236"/>
    <w:rsid w:val="00112463"/>
    <w:rsid w:val="00112505"/>
    <w:rsid w:val="0011334A"/>
    <w:rsid w:val="00113511"/>
    <w:rsid w:val="00113686"/>
    <w:rsid w:val="0011370D"/>
    <w:rsid w:val="00113A14"/>
    <w:rsid w:val="00113D4A"/>
    <w:rsid w:val="00113D7C"/>
    <w:rsid w:val="00113DB6"/>
    <w:rsid w:val="001141E5"/>
    <w:rsid w:val="0011481D"/>
    <w:rsid w:val="00114C79"/>
    <w:rsid w:val="001151E1"/>
    <w:rsid w:val="00115EF9"/>
    <w:rsid w:val="00116249"/>
    <w:rsid w:val="001163D7"/>
    <w:rsid w:val="00116758"/>
    <w:rsid w:val="00116818"/>
    <w:rsid w:val="00116961"/>
    <w:rsid w:val="00116B33"/>
    <w:rsid w:val="00116BE5"/>
    <w:rsid w:val="00116DB3"/>
    <w:rsid w:val="00116DE3"/>
    <w:rsid w:val="00116E5E"/>
    <w:rsid w:val="00117461"/>
    <w:rsid w:val="00117524"/>
    <w:rsid w:val="00117702"/>
    <w:rsid w:val="00117793"/>
    <w:rsid w:val="0011791F"/>
    <w:rsid w:val="00117DFF"/>
    <w:rsid w:val="00120678"/>
    <w:rsid w:val="001209B4"/>
    <w:rsid w:val="00120C43"/>
    <w:rsid w:val="0012128A"/>
    <w:rsid w:val="00121C54"/>
    <w:rsid w:val="00121E68"/>
    <w:rsid w:val="001222B2"/>
    <w:rsid w:val="001229EA"/>
    <w:rsid w:val="00122EBB"/>
    <w:rsid w:val="001230DE"/>
    <w:rsid w:val="001232F0"/>
    <w:rsid w:val="00123546"/>
    <w:rsid w:val="001235D4"/>
    <w:rsid w:val="001239E4"/>
    <w:rsid w:val="00123B69"/>
    <w:rsid w:val="00123D60"/>
    <w:rsid w:val="00124044"/>
    <w:rsid w:val="001240BD"/>
    <w:rsid w:val="00124358"/>
    <w:rsid w:val="00124580"/>
    <w:rsid w:val="001246A4"/>
    <w:rsid w:val="00124EA0"/>
    <w:rsid w:val="00125592"/>
    <w:rsid w:val="0012618D"/>
    <w:rsid w:val="0012628D"/>
    <w:rsid w:val="00126434"/>
    <w:rsid w:val="00126753"/>
    <w:rsid w:val="00126BBA"/>
    <w:rsid w:val="00126C99"/>
    <w:rsid w:val="001276A8"/>
    <w:rsid w:val="0012770E"/>
    <w:rsid w:val="00127D49"/>
    <w:rsid w:val="001302CC"/>
    <w:rsid w:val="0013031E"/>
    <w:rsid w:val="0013056A"/>
    <w:rsid w:val="001309B4"/>
    <w:rsid w:val="00130C5A"/>
    <w:rsid w:val="00130DD8"/>
    <w:rsid w:val="00130FF8"/>
    <w:rsid w:val="0013122D"/>
    <w:rsid w:val="0013135B"/>
    <w:rsid w:val="00131A5C"/>
    <w:rsid w:val="00131AFE"/>
    <w:rsid w:val="001320F7"/>
    <w:rsid w:val="001322F6"/>
    <w:rsid w:val="001323A3"/>
    <w:rsid w:val="001327EC"/>
    <w:rsid w:val="001328D8"/>
    <w:rsid w:val="00132946"/>
    <w:rsid w:val="001338F4"/>
    <w:rsid w:val="00134357"/>
    <w:rsid w:val="0013518D"/>
    <w:rsid w:val="00135198"/>
    <w:rsid w:val="001351FE"/>
    <w:rsid w:val="001355F9"/>
    <w:rsid w:val="0013569B"/>
    <w:rsid w:val="00135B12"/>
    <w:rsid w:val="00135E25"/>
    <w:rsid w:val="001362B8"/>
    <w:rsid w:val="001368A8"/>
    <w:rsid w:val="00136EA4"/>
    <w:rsid w:val="001371C5"/>
    <w:rsid w:val="001379F1"/>
    <w:rsid w:val="00137FD1"/>
    <w:rsid w:val="001400BF"/>
    <w:rsid w:val="0014012C"/>
    <w:rsid w:val="00140745"/>
    <w:rsid w:val="00140A7E"/>
    <w:rsid w:val="00140BC8"/>
    <w:rsid w:val="00140E10"/>
    <w:rsid w:val="00140FAB"/>
    <w:rsid w:val="001414E2"/>
    <w:rsid w:val="00142388"/>
    <w:rsid w:val="00142B1B"/>
    <w:rsid w:val="00142D24"/>
    <w:rsid w:val="0014370C"/>
    <w:rsid w:val="00143AE9"/>
    <w:rsid w:val="00143DAC"/>
    <w:rsid w:val="00143EC9"/>
    <w:rsid w:val="00144A78"/>
    <w:rsid w:val="00144CEC"/>
    <w:rsid w:val="00145362"/>
    <w:rsid w:val="00145549"/>
    <w:rsid w:val="00145C41"/>
    <w:rsid w:val="00146335"/>
    <w:rsid w:val="001463A1"/>
    <w:rsid w:val="00146845"/>
    <w:rsid w:val="0014696E"/>
    <w:rsid w:val="001470AF"/>
    <w:rsid w:val="00147435"/>
    <w:rsid w:val="00147652"/>
    <w:rsid w:val="001476CD"/>
    <w:rsid w:val="00147A2A"/>
    <w:rsid w:val="00147D04"/>
    <w:rsid w:val="00147EFC"/>
    <w:rsid w:val="001506ED"/>
    <w:rsid w:val="00151300"/>
    <w:rsid w:val="0015140A"/>
    <w:rsid w:val="001517F1"/>
    <w:rsid w:val="00151A79"/>
    <w:rsid w:val="00151C3C"/>
    <w:rsid w:val="0015296A"/>
    <w:rsid w:val="0015301A"/>
    <w:rsid w:val="001534CB"/>
    <w:rsid w:val="00153577"/>
    <w:rsid w:val="00153954"/>
    <w:rsid w:val="001541E3"/>
    <w:rsid w:val="001543F3"/>
    <w:rsid w:val="00154994"/>
    <w:rsid w:val="00154FEE"/>
    <w:rsid w:val="00155000"/>
    <w:rsid w:val="00155391"/>
    <w:rsid w:val="00155A16"/>
    <w:rsid w:val="00155C92"/>
    <w:rsid w:val="00155CFB"/>
    <w:rsid w:val="00155D40"/>
    <w:rsid w:val="001565DD"/>
    <w:rsid w:val="00156605"/>
    <w:rsid w:val="001567C0"/>
    <w:rsid w:val="00157051"/>
    <w:rsid w:val="00157545"/>
    <w:rsid w:val="00157ACC"/>
    <w:rsid w:val="00157B13"/>
    <w:rsid w:val="001600D1"/>
    <w:rsid w:val="001602BE"/>
    <w:rsid w:val="001606E1"/>
    <w:rsid w:val="0016086C"/>
    <w:rsid w:val="0016088E"/>
    <w:rsid w:val="00161970"/>
    <w:rsid w:val="001626A2"/>
    <w:rsid w:val="00162A36"/>
    <w:rsid w:val="00162CD7"/>
    <w:rsid w:val="001632A1"/>
    <w:rsid w:val="001632BB"/>
    <w:rsid w:val="001633E9"/>
    <w:rsid w:val="00163641"/>
    <w:rsid w:val="001636DC"/>
    <w:rsid w:val="00163915"/>
    <w:rsid w:val="001647D5"/>
    <w:rsid w:val="001648C6"/>
    <w:rsid w:val="00164920"/>
    <w:rsid w:val="00164AE9"/>
    <w:rsid w:val="00164B98"/>
    <w:rsid w:val="00164DDF"/>
    <w:rsid w:val="0016555D"/>
    <w:rsid w:val="00165734"/>
    <w:rsid w:val="0016579B"/>
    <w:rsid w:val="001659C6"/>
    <w:rsid w:val="00165B8D"/>
    <w:rsid w:val="00165FA4"/>
    <w:rsid w:val="00166477"/>
    <w:rsid w:val="00166C88"/>
    <w:rsid w:val="0016719F"/>
    <w:rsid w:val="0016794A"/>
    <w:rsid w:val="00167F17"/>
    <w:rsid w:val="00167FA5"/>
    <w:rsid w:val="0017006F"/>
    <w:rsid w:val="001703E6"/>
    <w:rsid w:val="0017041B"/>
    <w:rsid w:val="00170A00"/>
    <w:rsid w:val="00170CA1"/>
    <w:rsid w:val="0017114D"/>
    <w:rsid w:val="0017174F"/>
    <w:rsid w:val="00172137"/>
    <w:rsid w:val="00172441"/>
    <w:rsid w:val="00172D98"/>
    <w:rsid w:val="00172E4A"/>
    <w:rsid w:val="001730B8"/>
    <w:rsid w:val="00173385"/>
    <w:rsid w:val="001733B2"/>
    <w:rsid w:val="00173459"/>
    <w:rsid w:val="001737C7"/>
    <w:rsid w:val="00173A99"/>
    <w:rsid w:val="001740AB"/>
    <w:rsid w:val="00174713"/>
    <w:rsid w:val="00174F26"/>
    <w:rsid w:val="0017543C"/>
    <w:rsid w:val="001755B8"/>
    <w:rsid w:val="00175728"/>
    <w:rsid w:val="00175B00"/>
    <w:rsid w:val="00175FBB"/>
    <w:rsid w:val="0017610D"/>
    <w:rsid w:val="001769F2"/>
    <w:rsid w:val="00176E2A"/>
    <w:rsid w:val="00177149"/>
    <w:rsid w:val="001775FA"/>
    <w:rsid w:val="0017769A"/>
    <w:rsid w:val="001776BD"/>
    <w:rsid w:val="00177A9F"/>
    <w:rsid w:val="00177B64"/>
    <w:rsid w:val="00177B81"/>
    <w:rsid w:val="00177C32"/>
    <w:rsid w:val="00177E3B"/>
    <w:rsid w:val="00180035"/>
    <w:rsid w:val="001806FC"/>
    <w:rsid w:val="00180926"/>
    <w:rsid w:val="0018138B"/>
    <w:rsid w:val="0018158F"/>
    <w:rsid w:val="00181700"/>
    <w:rsid w:val="00181B5D"/>
    <w:rsid w:val="001822B4"/>
    <w:rsid w:val="00182333"/>
    <w:rsid w:val="00182339"/>
    <w:rsid w:val="00182B1D"/>
    <w:rsid w:val="00182FDE"/>
    <w:rsid w:val="001834FA"/>
    <w:rsid w:val="00183AD0"/>
    <w:rsid w:val="00183D18"/>
    <w:rsid w:val="00183D2C"/>
    <w:rsid w:val="001844A0"/>
    <w:rsid w:val="00184771"/>
    <w:rsid w:val="00184AE6"/>
    <w:rsid w:val="00184C63"/>
    <w:rsid w:val="00184DE3"/>
    <w:rsid w:val="00184DE8"/>
    <w:rsid w:val="0018506C"/>
    <w:rsid w:val="00185449"/>
    <w:rsid w:val="0018558D"/>
    <w:rsid w:val="00185592"/>
    <w:rsid w:val="00185FA2"/>
    <w:rsid w:val="00186410"/>
    <w:rsid w:val="00186486"/>
    <w:rsid w:val="00186AC1"/>
    <w:rsid w:val="00186C51"/>
    <w:rsid w:val="00186FD8"/>
    <w:rsid w:val="00187051"/>
    <w:rsid w:val="00187D5D"/>
    <w:rsid w:val="00187F09"/>
    <w:rsid w:val="0019070D"/>
    <w:rsid w:val="00190BB7"/>
    <w:rsid w:val="00190DD6"/>
    <w:rsid w:val="0019140E"/>
    <w:rsid w:val="00191745"/>
    <w:rsid w:val="00191C46"/>
    <w:rsid w:val="00192135"/>
    <w:rsid w:val="00192877"/>
    <w:rsid w:val="00193414"/>
    <w:rsid w:val="001935B1"/>
    <w:rsid w:val="001935F6"/>
    <w:rsid w:val="00193732"/>
    <w:rsid w:val="00193B72"/>
    <w:rsid w:val="0019408A"/>
    <w:rsid w:val="001944C9"/>
    <w:rsid w:val="00194A0C"/>
    <w:rsid w:val="00194A45"/>
    <w:rsid w:val="00195067"/>
    <w:rsid w:val="00195099"/>
    <w:rsid w:val="001952A2"/>
    <w:rsid w:val="0019572C"/>
    <w:rsid w:val="00195A03"/>
    <w:rsid w:val="00195D06"/>
    <w:rsid w:val="001963D2"/>
    <w:rsid w:val="001965B4"/>
    <w:rsid w:val="00196973"/>
    <w:rsid w:val="0019698C"/>
    <w:rsid w:val="00196DD8"/>
    <w:rsid w:val="00196ED9"/>
    <w:rsid w:val="00197048"/>
    <w:rsid w:val="0019750E"/>
    <w:rsid w:val="00197EBF"/>
    <w:rsid w:val="001A0015"/>
    <w:rsid w:val="001A07A1"/>
    <w:rsid w:val="001A08CE"/>
    <w:rsid w:val="001A1520"/>
    <w:rsid w:val="001A1986"/>
    <w:rsid w:val="001A19C7"/>
    <w:rsid w:val="001A1D3A"/>
    <w:rsid w:val="001A2629"/>
    <w:rsid w:val="001A33E1"/>
    <w:rsid w:val="001A36BC"/>
    <w:rsid w:val="001A421A"/>
    <w:rsid w:val="001A426E"/>
    <w:rsid w:val="001A467C"/>
    <w:rsid w:val="001A5B43"/>
    <w:rsid w:val="001A5C45"/>
    <w:rsid w:val="001A60F1"/>
    <w:rsid w:val="001A6476"/>
    <w:rsid w:val="001A6D3D"/>
    <w:rsid w:val="001A7523"/>
    <w:rsid w:val="001A7A62"/>
    <w:rsid w:val="001A7B2A"/>
    <w:rsid w:val="001B06A4"/>
    <w:rsid w:val="001B0B83"/>
    <w:rsid w:val="001B1C2E"/>
    <w:rsid w:val="001B1D97"/>
    <w:rsid w:val="001B2756"/>
    <w:rsid w:val="001B2BE6"/>
    <w:rsid w:val="001B2DAA"/>
    <w:rsid w:val="001B3D36"/>
    <w:rsid w:val="001B4009"/>
    <w:rsid w:val="001B41A5"/>
    <w:rsid w:val="001B4208"/>
    <w:rsid w:val="001B4224"/>
    <w:rsid w:val="001B502B"/>
    <w:rsid w:val="001B56BB"/>
    <w:rsid w:val="001B5FEE"/>
    <w:rsid w:val="001B605A"/>
    <w:rsid w:val="001B6FF6"/>
    <w:rsid w:val="001B7825"/>
    <w:rsid w:val="001B7D51"/>
    <w:rsid w:val="001B7D9A"/>
    <w:rsid w:val="001B7EA3"/>
    <w:rsid w:val="001C0209"/>
    <w:rsid w:val="001C0530"/>
    <w:rsid w:val="001C0C24"/>
    <w:rsid w:val="001C0F8B"/>
    <w:rsid w:val="001C14A3"/>
    <w:rsid w:val="001C164C"/>
    <w:rsid w:val="001C171B"/>
    <w:rsid w:val="001C1A3E"/>
    <w:rsid w:val="001C1C9C"/>
    <w:rsid w:val="001C1CF9"/>
    <w:rsid w:val="001C21AB"/>
    <w:rsid w:val="001C2860"/>
    <w:rsid w:val="001C2C40"/>
    <w:rsid w:val="001C2E59"/>
    <w:rsid w:val="001C2ED4"/>
    <w:rsid w:val="001C3194"/>
    <w:rsid w:val="001C34A0"/>
    <w:rsid w:val="001C378D"/>
    <w:rsid w:val="001C39F8"/>
    <w:rsid w:val="001C3D48"/>
    <w:rsid w:val="001C400E"/>
    <w:rsid w:val="001C40A2"/>
    <w:rsid w:val="001C4FDF"/>
    <w:rsid w:val="001C500D"/>
    <w:rsid w:val="001C516F"/>
    <w:rsid w:val="001C517E"/>
    <w:rsid w:val="001C51FB"/>
    <w:rsid w:val="001C57BE"/>
    <w:rsid w:val="001C6219"/>
    <w:rsid w:val="001C6341"/>
    <w:rsid w:val="001C656D"/>
    <w:rsid w:val="001C665B"/>
    <w:rsid w:val="001C67A4"/>
    <w:rsid w:val="001C697F"/>
    <w:rsid w:val="001C6CEB"/>
    <w:rsid w:val="001C7591"/>
    <w:rsid w:val="001C782C"/>
    <w:rsid w:val="001C785B"/>
    <w:rsid w:val="001D002B"/>
    <w:rsid w:val="001D023E"/>
    <w:rsid w:val="001D0428"/>
    <w:rsid w:val="001D04C8"/>
    <w:rsid w:val="001D0A2F"/>
    <w:rsid w:val="001D0C14"/>
    <w:rsid w:val="001D13D0"/>
    <w:rsid w:val="001D230B"/>
    <w:rsid w:val="001D254A"/>
    <w:rsid w:val="001D25CF"/>
    <w:rsid w:val="001D364A"/>
    <w:rsid w:val="001D3E03"/>
    <w:rsid w:val="001D4169"/>
    <w:rsid w:val="001D429A"/>
    <w:rsid w:val="001D49A7"/>
    <w:rsid w:val="001D4D75"/>
    <w:rsid w:val="001D5803"/>
    <w:rsid w:val="001D5C4B"/>
    <w:rsid w:val="001D5D40"/>
    <w:rsid w:val="001D5E91"/>
    <w:rsid w:val="001D607F"/>
    <w:rsid w:val="001D60CD"/>
    <w:rsid w:val="001D69A5"/>
    <w:rsid w:val="001D6E05"/>
    <w:rsid w:val="001D6F28"/>
    <w:rsid w:val="001D7091"/>
    <w:rsid w:val="001D7DBB"/>
    <w:rsid w:val="001E012F"/>
    <w:rsid w:val="001E033B"/>
    <w:rsid w:val="001E0AF2"/>
    <w:rsid w:val="001E0D0F"/>
    <w:rsid w:val="001E0E70"/>
    <w:rsid w:val="001E0E80"/>
    <w:rsid w:val="001E1127"/>
    <w:rsid w:val="001E1FC9"/>
    <w:rsid w:val="001E2F32"/>
    <w:rsid w:val="001E32F0"/>
    <w:rsid w:val="001E3691"/>
    <w:rsid w:val="001E3EC6"/>
    <w:rsid w:val="001E499B"/>
    <w:rsid w:val="001E4C08"/>
    <w:rsid w:val="001E4E40"/>
    <w:rsid w:val="001E4E9B"/>
    <w:rsid w:val="001E511D"/>
    <w:rsid w:val="001E5479"/>
    <w:rsid w:val="001E57A0"/>
    <w:rsid w:val="001E57CD"/>
    <w:rsid w:val="001E59F4"/>
    <w:rsid w:val="001E5B31"/>
    <w:rsid w:val="001E5BB7"/>
    <w:rsid w:val="001E5C44"/>
    <w:rsid w:val="001E65BF"/>
    <w:rsid w:val="001E70C5"/>
    <w:rsid w:val="001E71BB"/>
    <w:rsid w:val="001E7246"/>
    <w:rsid w:val="001E7AD7"/>
    <w:rsid w:val="001E7B06"/>
    <w:rsid w:val="001E7BC6"/>
    <w:rsid w:val="001E7CA3"/>
    <w:rsid w:val="001E7D1F"/>
    <w:rsid w:val="001E7DAE"/>
    <w:rsid w:val="001E7F7D"/>
    <w:rsid w:val="001F0370"/>
    <w:rsid w:val="001F09E3"/>
    <w:rsid w:val="001F0C24"/>
    <w:rsid w:val="001F0F15"/>
    <w:rsid w:val="001F0F65"/>
    <w:rsid w:val="001F117E"/>
    <w:rsid w:val="001F1208"/>
    <w:rsid w:val="001F1277"/>
    <w:rsid w:val="001F1670"/>
    <w:rsid w:val="001F16C3"/>
    <w:rsid w:val="001F1BE6"/>
    <w:rsid w:val="001F1D68"/>
    <w:rsid w:val="001F1D9A"/>
    <w:rsid w:val="001F2183"/>
    <w:rsid w:val="001F2213"/>
    <w:rsid w:val="001F27A4"/>
    <w:rsid w:val="001F2925"/>
    <w:rsid w:val="001F2BD4"/>
    <w:rsid w:val="001F2D03"/>
    <w:rsid w:val="001F2EAA"/>
    <w:rsid w:val="001F319F"/>
    <w:rsid w:val="001F31CE"/>
    <w:rsid w:val="001F3311"/>
    <w:rsid w:val="001F34EE"/>
    <w:rsid w:val="001F37AA"/>
    <w:rsid w:val="001F37BC"/>
    <w:rsid w:val="001F3892"/>
    <w:rsid w:val="001F3B0D"/>
    <w:rsid w:val="001F3D5C"/>
    <w:rsid w:val="001F414D"/>
    <w:rsid w:val="001F4626"/>
    <w:rsid w:val="001F4BE7"/>
    <w:rsid w:val="001F4F0A"/>
    <w:rsid w:val="001F50B2"/>
    <w:rsid w:val="001F5466"/>
    <w:rsid w:val="001F600D"/>
    <w:rsid w:val="001F620A"/>
    <w:rsid w:val="001F7563"/>
    <w:rsid w:val="001F7780"/>
    <w:rsid w:val="001F7927"/>
    <w:rsid w:val="001F7A75"/>
    <w:rsid w:val="0020029C"/>
    <w:rsid w:val="002004B5"/>
    <w:rsid w:val="00200D6E"/>
    <w:rsid w:val="00200E4B"/>
    <w:rsid w:val="0020150F"/>
    <w:rsid w:val="0020218E"/>
    <w:rsid w:val="002022E4"/>
    <w:rsid w:val="00202416"/>
    <w:rsid w:val="002025ED"/>
    <w:rsid w:val="002028E6"/>
    <w:rsid w:val="002028F8"/>
    <w:rsid w:val="00202908"/>
    <w:rsid w:val="00203151"/>
    <w:rsid w:val="00203416"/>
    <w:rsid w:val="00203BA2"/>
    <w:rsid w:val="00203BCB"/>
    <w:rsid w:val="00203E0A"/>
    <w:rsid w:val="00204840"/>
    <w:rsid w:val="00204A72"/>
    <w:rsid w:val="00204D7A"/>
    <w:rsid w:val="0020514C"/>
    <w:rsid w:val="002051D0"/>
    <w:rsid w:val="00205E80"/>
    <w:rsid w:val="00206CEC"/>
    <w:rsid w:val="00207030"/>
    <w:rsid w:val="00207632"/>
    <w:rsid w:val="00207708"/>
    <w:rsid w:val="002078DD"/>
    <w:rsid w:val="00207927"/>
    <w:rsid w:val="00207C42"/>
    <w:rsid w:val="00207DDC"/>
    <w:rsid w:val="00210569"/>
    <w:rsid w:val="002110B3"/>
    <w:rsid w:val="002115A8"/>
    <w:rsid w:val="00211C2E"/>
    <w:rsid w:val="00211D48"/>
    <w:rsid w:val="00212647"/>
    <w:rsid w:val="002128D7"/>
    <w:rsid w:val="002129C6"/>
    <w:rsid w:val="002130E0"/>
    <w:rsid w:val="00213121"/>
    <w:rsid w:val="00213406"/>
    <w:rsid w:val="00213590"/>
    <w:rsid w:val="002139E2"/>
    <w:rsid w:val="00213A48"/>
    <w:rsid w:val="00214356"/>
    <w:rsid w:val="00215B18"/>
    <w:rsid w:val="00215FB4"/>
    <w:rsid w:val="00216573"/>
    <w:rsid w:val="00216A05"/>
    <w:rsid w:val="00216A3B"/>
    <w:rsid w:val="00216B58"/>
    <w:rsid w:val="0021705D"/>
    <w:rsid w:val="0021749D"/>
    <w:rsid w:val="00217C51"/>
    <w:rsid w:val="00220258"/>
    <w:rsid w:val="0022092C"/>
    <w:rsid w:val="00220A61"/>
    <w:rsid w:val="00220F67"/>
    <w:rsid w:val="00221094"/>
    <w:rsid w:val="00221249"/>
    <w:rsid w:val="00221281"/>
    <w:rsid w:val="002212A2"/>
    <w:rsid w:val="002217D0"/>
    <w:rsid w:val="002226CC"/>
    <w:rsid w:val="002226F6"/>
    <w:rsid w:val="002229FC"/>
    <w:rsid w:val="0022389C"/>
    <w:rsid w:val="00223AF6"/>
    <w:rsid w:val="00224A03"/>
    <w:rsid w:val="00224CDB"/>
    <w:rsid w:val="00225222"/>
    <w:rsid w:val="00225429"/>
    <w:rsid w:val="0022579A"/>
    <w:rsid w:val="0022583F"/>
    <w:rsid w:val="00225971"/>
    <w:rsid w:val="00226252"/>
    <w:rsid w:val="00226292"/>
    <w:rsid w:val="00226865"/>
    <w:rsid w:val="002268EB"/>
    <w:rsid w:val="00226E02"/>
    <w:rsid w:val="00226E89"/>
    <w:rsid w:val="002272CA"/>
    <w:rsid w:val="002277DD"/>
    <w:rsid w:val="0023032D"/>
    <w:rsid w:val="00230399"/>
    <w:rsid w:val="002304DF"/>
    <w:rsid w:val="00230636"/>
    <w:rsid w:val="00230683"/>
    <w:rsid w:val="002306A7"/>
    <w:rsid w:val="002306D9"/>
    <w:rsid w:val="0023085C"/>
    <w:rsid w:val="00230A47"/>
    <w:rsid w:val="00230F8A"/>
    <w:rsid w:val="00231106"/>
    <w:rsid w:val="002315C5"/>
    <w:rsid w:val="0023175C"/>
    <w:rsid w:val="00232176"/>
    <w:rsid w:val="0023219B"/>
    <w:rsid w:val="0023250B"/>
    <w:rsid w:val="00232EE4"/>
    <w:rsid w:val="0023300A"/>
    <w:rsid w:val="00233688"/>
    <w:rsid w:val="00233B05"/>
    <w:rsid w:val="00233DAD"/>
    <w:rsid w:val="00233EFC"/>
    <w:rsid w:val="0023408A"/>
    <w:rsid w:val="002355C1"/>
    <w:rsid w:val="002358FE"/>
    <w:rsid w:val="00235E1B"/>
    <w:rsid w:val="00235F94"/>
    <w:rsid w:val="0023609F"/>
    <w:rsid w:val="0023623A"/>
    <w:rsid w:val="00236777"/>
    <w:rsid w:val="00236EF6"/>
    <w:rsid w:val="002373A9"/>
    <w:rsid w:val="002373D1"/>
    <w:rsid w:val="0023754F"/>
    <w:rsid w:val="00237852"/>
    <w:rsid w:val="002378EC"/>
    <w:rsid w:val="00237990"/>
    <w:rsid w:val="00237AC2"/>
    <w:rsid w:val="00237B26"/>
    <w:rsid w:val="00237CAE"/>
    <w:rsid w:val="002402D7"/>
    <w:rsid w:val="0024035B"/>
    <w:rsid w:val="00240916"/>
    <w:rsid w:val="002409C9"/>
    <w:rsid w:val="0024122D"/>
    <w:rsid w:val="0024127A"/>
    <w:rsid w:val="00241299"/>
    <w:rsid w:val="00241350"/>
    <w:rsid w:val="002414A8"/>
    <w:rsid w:val="00241E20"/>
    <w:rsid w:val="00242181"/>
    <w:rsid w:val="00242441"/>
    <w:rsid w:val="002425EF"/>
    <w:rsid w:val="002425F5"/>
    <w:rsid w:val="0024320B"/>
    <w:rsid w:val="002433DD"/>
    <w:rsid w:val="00243A07"/>
    <w:rsid w:val="00243AF5"/>
    <w:rsid w:val="002440AB"/>
    <w:rsid w:val="00244726"/>
    <w:rsid w:val="00244F1A"/>
    <w:rsid w:val="00245127"/>
    <w:rsid w:val="00245C79"/>
    <w:rsid w:val="00245FD9"/>
    <w:rsid w:val="002467B0"/>
    <w:rsid w:val="00246BCF"/>
    <w:rsid w:val="00246ECA"/>
    <w:rsid w:val="00247257"/>
    <w:rsid w:val="002472DA"/>
    <w:rsid w:val="00247311"/>
    <w:rsid w:val="00247329"/>
    <w:rsid w:val="00247367"/>
    <w:rsid w:val="00247A13"/>
    <w:rsid w:val="0025033C"/>
    <w:rsid w:val="0025089A"/>
    <w:rsid w:val="002512BD"/>
    <w:rsid w:val="00251A06"/>
    <w:rsid w:val="00251AFE"/>
    <w:rsid w:val="00251DAB"/>
    <w:rsid w:val="00251FA6"/>
    <w:rsid w:val="00252011"/>
    <w:rsid w:val="002520C0"/>
    <w:rsid w:val="002520DF"/>
    <w:rsid w:val="00252983"/>
    <w:rsid w:val="002529AE"/>
    <w:rsid w:val="00252D4C"/>
    <w:rsid w:val="00252F0D"/>
    <w:rsid w:val="00252F26"/>
    <w:rsid w:val="00253159"/>
    <w:rsid w:val="00253B5E"/>
    <w:rsid w:val="00253CA6"/>
    <w:rsid w:val="0025431B"/>
    <w:rsid w:val="00254BAF"/>
    <w:rsid w:val="00254CC0"/>
    <w:rsid w:val="00255BBD"/>
    <w:rsid w:val="00255BDB"/>
    <w:rsid w:val="00255F72"/>
    <w:rsid w:val="002560B0"/>
    <w:rsid w:val="0025641F"/>
    <w:rsid w:val="00256447"/>
    <w:rsid w:val="00256690"/>
    <w:rsid w:val="0025669F"/>
    <w:rsid w:val="00256733"/>
    <w:rsid w:val="00256C8E"/>
    <w:rsid w:val="00257641"/>
    <w:rsid w:val="00257ADD"/>
    <w:rsid w:val="00257D9D"/>
    <w:rsid w:val="00257F23"/>
    <w:rsid w:val="0026010B"/>
    <w:rsid w:val="00260643"/>
    <w:rsid w:val="0026094D"/>
    <w:rsid w:val="00260A35"/>
    <w:rsid w:val="00260CE2"/>
    <w:rsid w:val="002613DA"/>
    <w:rsid w:val="00261886"/>
    <w:rsid w:val="00261CE6"/>
    <w:rsid w:val="002621C4"/>
    <w:rsid w:val="00262289"/>
    <w:rsid w:val="00262B2D"/>
    <w:rsid w:val="00263383"/>
    <w:rsid w:val="00263AA8"/>
    <w:rsid w:val="0026418C"/>
    <w:rsid w:val="002645B5"/>
    <w:rsid w:val="00264737"/>
    <w:rsid w:val="00264949"/>
    <w:rsid w:val="00264A9F"/>
    <w:rsid w:val="00264FFD"/>
    <w:rsid w:val="002652DE"/>
    <w:rsid w:val="0026531A"/>
    <w:rsid w:val="002654A7"/>
    <w:rsid w:val="0026572E"/>
    <w:rsid w:val="00265B0A"/>
    <w:rsid w:val="00266651"/>
    <w:rsid w:val="0026668D"/>
    <w:rsid w:val="002668CC"/>
    <w:rsid w:val="002669A6"/>
    <w:rsid w:val="00267140"/>
    <w:rsid w:val="00267438"/>
    <w:rsid w:val="002676A0"/>
    <w:rsid w:val="0026781C"/>
    <w:rsid w:val="002678A1"/>
    <w:rsid w:val="00267C39"/>
    <w:rsid w:val="00267FCF"/>
    <w:rsid w:val="0027012D"/>
    <w:rsid w:val="00270196"/>
    <w:rsid w:val="0027080F"/>
    <w:rsid w:val="00270AC7"/>
    <w:rsid w:val="00270DBB"/>
    <w:rsid w:val="002711D1"/>
    <w:rsid w:val="002712B9"/>
    <w:rsid w:val="002719AA"/>
    <w:rsid w:val="002719BB"/>
    <w:rsid w:val="00271C2E"/>
    <w:rsid w:val="0027205F"/>
    <w:rsid w:val="0027258B"/>
    <w:rsid w:val="002725B8"/>
    <w:rsid w:val="00272B45"/>
    <w:rsid w:val="00272CB0"/>
    <w:rsid w:val="00272D76"/>
    <w:rsid w:val="0027335F"/>
    <w:rsid w:val="00273824"/>
    <w:rsid w:val="00273EDE"/>
    <w:rsid w:val="00273F2C"/>
    <w:rsid w:val="0027412E"/>
    <w:rsid w:val="0027423C"/>
    <w:rsid w:val="00274474"/>
    <w:rsid w:val="00274CC0"/>
    <w:rsid w:val="00274F18"/>
    <w:rsid w:val="00274F5C"/>
    <w:rsid w:val="00275426"/>
    <w:rsid w:val="00275695"/>
    <w:rsid w:val="00276300"/>
    <w:rsid w:val="0027635C"/>
    <w:rsid w:val="00276721"/>
    <w:rsid w:val="0027701B"/>
    <w:rsid w:val="0027739A"/>
    <w:rsid w:val="002773F5"/>
    <w:rsid w:val="00277417"/>
    <w:rsid w:val="00277632"/>
    <w:rsid w:val="00277BE5"/>
    <w:rsid w:val="00280095"/>
    <w:rsid w:val="002805B4"/>
    <w:rsid w:val="00280E7C"/>
    <w:rsid w:val="00281AF4"/>
    <w:rsid w:val="00282705"/>
    <w:rsid w:val="002827E4"/>
    <w:rsid w:val="0028289F"/>
    <w:rsid w:val="002828DD"/>
    <w:rsid w:val="00282E16"/>
    <w:rsid w:val="0028307A"/>
    <w:rsid w:val="00283096"/>
    <w:rsid w:val="00283853"/>
    <w:rsid w:val="002840F8"/>
    <w:rsid w:val="002841E0"/>
    <w:rsid w:val="00284371"/>
    <w:rsid w:val="00284B23"/>
    <w:rsid w:val="00284D2A"/>
    <w:rsid w:val="00284DB3"/>
    <w:rsid w:val="00284F08"/>
    <w:rsid w:val="00285195"/>
    <w:rsid w:val="00285280"/>
    <w:rsid w:val="00285378"/>
    <w:rsid w:val="00285574"/>
    <w:rsid w:val="00285793"/>
    <w:rsid w:val="002858CB"/>
    <w:rsid w:val="00285FFC"/>
    <w:rsid w:val="00286986"/>
    <w:rsid w:val="002871A0"/>
    <w:rsid w:val="00287362"/>
    <w:rsid w:val="00287C7B"/>
    <w:rsid w:val="00287F86"/>
    <w:rsid w:val="00287FEE"/>
    <w:rsid w:val="0029129C"/>
    <w:rsid w:val="002923F6"/>
    <w:rsid w:val="00292778"/>
    <w:rsid w:val="002929B6"/>
    <w:rsid w:val="00292C7A"/>
    <w:rsid w:val="002938B3"/>
    <w:rsid w:val="00293B49"/>
    <w:rsid w:val="0029486B"/>
    <w:rsid w:val="00294DCA"/>
    <w:rsid w:val="00294F20"/>
    <w:rsid w:val="002950D7"/>
    <w:rsid w:val="0029594E"/>
    <w:rsid w:val="00295B27"/>
    <w:rsid w:val="00295D0D"/>
    <w:rsid w:val="0029620F"/>
    <w:rsid w:val="0029714D"/>
    <w:rsid w:val="00297A54"/>
    <w:rsid w:val="00297B09"/>
    <w:rsid w:val="00297E9B"/>
    <w:rsid w:val="00297FF0"/>
    <w:rsid w:val="002A051C"/>
    <w:rsid w:val="002A0591"/>
    <w:rsid w:val="002A09F4"/>
    <w:rsid w:val="002A0AAF"/>
    <w:rsid w:val="002A0BA0"/>
    <w:rsid w:val="002A0E66"/>
    <w:rsid w:val="002A0FC2"/>
    <w:rsid w:val="002A1001"/>
    <w:rsid w:val="002A1103"/>
    <w:rsid w:val="002A141E"/>
    <w:rsid w:val="002A1BE2"/>
    <w:rsid w:val="002A1C4C"/>
    <w:rsid w:val="002A1DDA"/>
    <w:rsid w:val="002A240E"/>
    <w:rsid w:val="002A2608"/>
    <w:rsid w:val="002A2AD3"/>
    <w:rsid w:val="002A31F2"/>
    <w:rsid w:val="002A3901"/>
    <w:rsid w:val="002A4198"/>
    <w:rsid w:val="002A47C3"/>
    <w:rsid w:val="002A49F3"/>
    <w:rsid w:val="002A4C50"/>
    <w:rsid w:val="002A4F50"/>
    <w:rsid w:val="002A5DA1"/>
    <w:rsid w:val="002A6536"/>
    <w:rsid w:val="002A6596"/>
    <w:rsid w:val="002A65D2"/>
    <w:rsid w:val="002A688F"/>
    <w:rsid w:val="002A68B4"/>
    <w:rsid w:val="002A6AE9"/>
    <w:rsid w:val="002A7046"/>
    <w:rsid w:val="002A7C69"/>
    <w:rsid w:val="002A7E0C"/>
    <w:rsid w:val="002A7E78"/>
    <w:rsid w:val="002B03FA"/>
    <w:rsid w:val="002B082F"/>
    <w:rsid w:val="002B14CB"/>
    <w:rsid w:val="002B1604"/>
    <w:rsid w:val="002B2242"/>
    <w:rsid w:val="002B2586"/>
    <w:rsid w:val="002B2848"/>
    <w:rsid w:val="002B2A48"/>
    <w:rsid w:val="002B2E30"/>
    <w:rsid w:val="002B3318"/>
    <w:rsid w:val="002B3695"/>
    <w:rsid w:val="002B36FC"/>
    <w:rsid w:val="002B4180"/>
    <w:rsid w:val="002B4270"/>
    <w:rsid w:val="002B467F"/>
    <w:rsid w:val="002B4773"/>
    <w:rsid w:val="002B4B75"/>
    <w:rsid w:val="002B4BA9"/>
    <w:rsid w:val="002B4CFB"/>
    <w:rsid w:val="002B552A"/>
    <w:rsid w:val="002B5ABA"/>
    <w:rsid w:val="002B6233"/>
    <w:rsid w:val="002B624B"/>
    <w:rsid w:val="002B6562"/>
    <w:rsid w:val="002B656D"/>
    <w:rsid w:val="002B66D5"/>
    <w:rsid w:val="002B68CD"/>
    <w:rsid w:val="002B6BA2"/>
    <w:rsid w:val="002B6C15"/>
    <w:rsid w:val="002B6CDD"/>
    <w:rsid w:val="002B6F90"/>
    <w:rsid w:val="002B720C"/>
    <w:rsid w:val="002B75A1"/>
    <w:rsid w:val="002B79D3"/>
    <w:rsid w:val="002C0089"/>
    <w:rsid w:val="002C01C7"/>
    <w:rsid w:val="002C0E04"/>
    <w:rsid w:val="002C171E"/>
    <w:rsid w:val="002C186D"/>
    <w:rsid w:val="002C1EC7"/>
    <w:rsid w:val="002C254E"/>
    <w:rsid w:val="002C3326"/>
    <w:rsid w:val="002C3676"/>
    <w:rsid w:val="002C380A"/>
    <w:rsid w:val="002C4F00"/>
    <w:rsid w:val="002C5190"/>
    <w:rsid w:val="002C54C4"/>
    <w:rsid w:val="002C567C"/>
    <w:rsid w:val="002C627A"/>
    <w:rsid w:val="002C633C"/>
    <w:rsid w:val="002C6857"/>
    <w:rsid w:val="002C6951"/>
    <w:rsid w:val="002C6B96"/>
    <w:rsid w:val="002C6C1F"/>
    <w:rsid w:val="002C76F0"/>
    <w:rsid w:val="002D0418"/>
    <w:rsid w:val="002D0872"/>
    <w:rsid w:val="002D0D0D"/>
    <w:rsid w:val="002D172A"/>
    <w:rsid w:val="002D19BB"/>
    <w:rsid w:val="002D1C2C"/>
    <w:rsid w:val="002D1C93"/>
    <w:rsid w:val="002D1F9A"/>
    <w:rsid w:val="002D20F3"/>
    <w:rsid w:val="002D238D"/>
    <w:rsid w:val="002D2422"/>
    <w:rsid w:val="002D2731"/>
    <w:rsid w:val="002D2858"/>
    <w:rsid w:val="002D2E02"/>
    <w:rsid w:val="002D2E2F"/>
    <w:rsid w:val="002D3501"/>
    <w:rsid w:val="002D42BE"/>
    <w:rsid w:val="002D448A"/>
    <w:rsid w:val="002D44F7"/>
    <w:rsid w:val="002D49D1"/>
    <w:rsid w:val="002D4A9A"/>
    <w:rsid w:val="002D4B51"/>
    <w:rsid w:val="002D4BA2"/>
    <w:rsid w:val="002D4E91"/>
    <w:rsid w:val="002D5383"/>
    <w:rsid w:val="002D56F0"/>
    <w:rsid w:val="002D5AB0"/>
    <w:rsid w:val="002D5B25"/>
    <w:rsid w:val="002D5C5F"/>
    <w:rsid w:val="002D5FF2"/>
    <w:rsid w:val="002D6626"/>
    <w:rsid w:val="002D685F"/>
    <w:rsid w:val="002D72AE"/>
    <w:rsid w:val="002D783E"/>
    <w:rsid w:val="002E03A8"/>
    <w:rsid w:val="002E0963"/>
    <w:rsid w:val="002E0D06"/>
    <w:rsid w:val="002E104C"/>
    <w:rsid w:val="002E1D30"/>
    <w:rsid w:val="002E2222"/>
    <w:rsid w:val="002E2226"/>
    <w:rsid w:val="002E29D6"/>
    <w:rsid w:val="002E2A9E"/>
    <w:rsid w:val="002E304E"/>
    <w:rsid w:val="002E30E0"/>
    <w:rsid w:val="002E3313"/>
    <w:rsid w:val="002E3315"/>
    <w:rsid w:val="002E334E"/>
    <w:rsid w:val="002E372C"/>
    <w:rsid w:val="002E37BC"/>
    <w:rsid w:val="002E3881"/>
    <w:rsid w:val="002E3E88"/>
    <w:rsid w:val="002E417F"/>
    <w:rsid w:val="002E4266"/>
    <w:rsid w:val="002E4888"/>
    <w:rsid w:val="002E4A6B"/>
    <w:rsid w:val="002E4FEF"/>
    <w:rsid w:val="002E52C0"/>
    <w:rsid w:val="002E569F"/>
    <w:rsid w:val="002E57BF"/>
    <w:rsid w:val="002E5E06"/>
    <w:rsid w:val="002E5FFC"/>
    <w:rsid w:val="002E6168"/>
    <w:rsid w:val="002E6303"/>
    <w:rsid w:val="002E64C2"/>
    <w:rsid w:val="002E66A7"/>
    <w:rsid w:val="002E684D"/>
    <w:rsid w:val="002E69D5"/>
    <w:rsid w:val="002E6BF6"/>
    <w:rsid w:val="002E6C2B"/>
    <w:rsid w:val="002E6E01"/>
    <w:rsid w:val="002E7512"/>
    <w:rsid w:val="002E751F"/>
    <w:rsid w:val="002E7807"/>
    <w:rsid w:val="002E79ED"/>
    <w:rsid w:val="002E7A05"/>
    <w:rsid w:val="002E7BB1"/>
    <w:rsid w:val="002E7FEA"/>
    <w:rsid w:val="002F0670"/>
    <w:rsid w:val="002F085A"/>
    <w:rsid w:val="002F0952"/>
    <w:rsid w:val="002F1239"/>
    <w:rsid w:val="002F1405"/>
    <w:rsid w:val="002F176A"/>
    <w:rsid w:val="002F1FE5"/>
    <w:rsid w:val="002F21C9"/>
    <w:rsid w:val="002F2374"/>
    <w:rsid w:val="002F26F6"/>
    <w:rsid w:val="002F2D2C"/>
    <w:rsid w:val="002F2E40"/>
    <w:rsid w:val="002F2EBA"/>
    <w:rsid w:val="002F327E"/>
    <w:rsid w:val="002F3A3A"/>
    <w:rsid w:val="002F3BE7"/>
    <w:rsid w:val="002F3C80"/>
    <w:rsid w:val="002F3E59"/>
    <w:rsid w:val="002F3FF4"/>
    <w:rsid w:val="002F4233"/>
    <w:rsid w:val="002F479C"/>
    <w:rsid w:val="002F489B"/>
    <w:rsid w:val="002F4BAB"/>
    <w:rsid w:val="002F4FCC"/>
    <w:rsid w:val="002F60F5"/>
    <w:rsid w:val="002F6364"/>
    <w:rsid w:val="002F6472"/>
    <w:rsid w:val="002F681C"/>
    <w:rsid w:val="002F6BEE"/>
    <w:rsid w:val="002F6BFC"/>
    <w:rsid w:val="002F703F"/>
    <w:rsid w:val="002F7068"/>
    <w:rsid w:val="002F72C2"/>
    <w:rsid w:val="002F72D8"/>
    <w:rsid w:val="002F7333"/>
    <w:rsid w:val="002F79C2"/>
    <w:rsid w:val="002F7DF9"/>
    <w:rsid w:val="00300914"/>
    <w:rsid w:val="0030098F"/>
    <w:rsid w:val="003013E8"/>
    <w:rsid w:val="0030161C"/>
    <w:rsid w:val="00301C5E"/>
    <w:rsid w:val="00301E85"/>
    <w:rsid w:val="00302145"/>
    <w:rsid w:val="0030232E"/>
    <w:rsid w:val="0030252C"/>
    <w:rsid w:val="0030275F"/>
    <w:rsid w:val="00302A23"/>
    <w:rsid w:val="00302AD7"/>
    <w:rsid w:val="00303069"/>
    <w:rsid w:val="003031D5"/>
    <w:rsid w:val="00303405"/>
    <w:rsid w:val="003034E3"/>
    <w:rsid w:val="00303E40"/>
    <w:rsid w:val="003047C5"/>
    <w:rsid w:val="00304DC1"/>
    <w:rsid w:val="00304DCC"/>
    <w:rsid w:val="00305804"/>
    <w:rsid w:val="0030598E"/>
    <w:rsid w:val="003059FC"/>
    <w:rsid w:val="00305AB5"/>
    <w:rsid w:val="00305D72"/>
    <w:rsid w:val="00305DFA"/>
    <w:rsid w:val="00305F07"/>
    <w:rsid w:val="003064E6"/>
    <w:rsid w:val="00306538"/>
    <w:rsid w:val="0030674C"/>
    <w:rsid w:val="003069CC"/>
    <w:rsid w:val="00306F03"/>
    <w:rsid w:val="00306FB8"/>
    <w:rsid w:val="00307919"/>
    <w:rsid w:val="00307AB2"/>
    <w:rsid w:val="003104C6"/>
    <w:rsid w:val="00310934"/>
    <w:rsid w:val="00311003"/>
    <w:rsid w:val="003116BE"/>
    <w:rsid w:val="00311B46"/>
    <w:rsid w:val="00312D3A"/>
    <w:rsid w:val="00312F43"/>
    <w:rsid w:val="0031364D"/>
    <w:rsid w:val="00313D8C"/>
    <w:rsid w:val="0031480D"/>
    <w:rsid w:val="003149BD"/>
    <w:rsid w:val="00314BC8"/>
    <w:rsid w:val="003150A4"/>
    <w:rsid w:val="0031518A"/>
    <w:rsid w:val="0031527F"/>
    <w:rsid w:val="00315661"/>
    <w:rsid w:val="00315EE7"/>
    <w:rsid w:val="00316359"/>
    <w:rsid w:val="00316AEF"/>
    <w:rsid w:val="00316CA4"/>
    <w:rsid w:val="0031710D"/>
    <w:rsid w:val="0031734B"/>
    <w:rsid w:val="003175F4"/>
    <w:rsid w:val="0031773E"/>
    <w:rsid w:val="00317EDE"/>
    <w:rsid w:val="003205DA"/>
    <w:rsid w:val="00320C64"/>
    <w:rsid w:val="00320DB0"/>
    <w:rsid w:val="00320E68"/>
    <w:rsid w:val="00320E95"/>
    <w:rsid w:val="0032115A"/>
    <w:rsid w:val="003211B8"/>
    <w:rsid w:val="003211E8"/>
    <w:rsid w:val="0032122B"/>
    <w:rsid w:val="003212C3"/>
    <w:rsid w:val="003212D8"/>
    <w:rsid w:val="00321A2D"/>
    <w:rsid w:val="003222E3"/>
    <w:rsid w:val="00322511"/>
    <w:rsid w:val="00322A38"/>
    <w:rsid w:val="00322CCB"/>
    <w:rsid w:val="003233A0"/>
    <w:rsid w:val="00323E74"/>
    <w:rsid w:val="0032431A"/>
    <w:rsid w:val="00324321"/>
    <w:rsid w:val="0032433A"/>
    <w:rsid w:val="00324387"/>
    <w:rsid w:val="003246C4"/>
    <w:rsid w:val="00324B38"/>
    <w:rsid w:val="00324C52"/>
    <w:rsid w:val="00324CDD"/>
    <w:rsid w:val="00324F24"/>
    <w:rsid w:val="0032535C"/>
    <w:rsid w:val="003254D7"/>
    <w:rsid w:val="00325811"/>
    <w:rsid w:val="00326323"/>
    <w:rsid w:val="00327990"/>
    <w:rsid w:val="0033050A"/>
    <w:rsid w:val="00330A8E"/>
    <w:rsid w:val="00330ADF"/>
    <w:rsid w:val="00330EB8"/>
    <w:rsid w:val="003312E2"/>
    <w:rsid w:val="003320C0"/>
    <w:rsid w:val="003323CC"/>
    <w:rsid w:val="00332505"/>
    <w:rsid w:val="00332921"/>
    <w:rsid w:val="00332B12"/>
    <w:rsid w:val="0033337D"/>
    <w:rsid w:val="00333623"/>
    <w:rsid w:val="0033365D"/>
    <w:rsid w:val="00333B3D"/>
    <w:rsid w:val="00333EB6"/>
    <w:rsid w:val="0033409A"/>
    <w:rsid w:val="0033451E"/>
    <w:rsid w:val="00334DA1"/>
    <w:rsid w:val="00335355"/>
    <w:rsid w:val="00335D6B"/>
    <w:rsid w:val="0033651E"/>
    <w:rsid w:val="00336546"/>
    <w:rsid w:val="0033748D"/>
    <w:rsid w:val="00337645"/>
    <w:rsid w:val="003377D6"/>
    <w:rsid w:val="00337800"/>
    <w:rsid w:val="003400AE"/>
    <w:rsid w:val="0034026E"/>
    <w:rsid w:val="003402CA"/>
    <w:rsid w:val="00340FBA"/>
    <w:rsid w:val="00340FEA"/>
    <w:rsid w:val="00341532"/>
    <w:rsid w:val="0034187E"/>
    <w:rsid w:val="00341B9E"/>
    <w:rsid w:val="00341E29"/>
    <w:rsid w:val="00341ECB"/>
    <w:rsid w:val="00342158"/>
    <w:rsid w:val="00342B10"/>
    <w:rsid w:val="00342F17"/>
    <w:rsid w:val="00342F87"/>
    <w:rsid w:val="0034428D"/>
    <w:rsid w:val="00344394"/>
    <w:rsid w:val="0034447E"/>
    <w:rsid w:val="003446BD"/>
    <w:rsid w:val="00344A56"/>
    <w:rsid w:val="0034511E"/>
    <w:rsid w:val="00345726"/>
    <w:rsid w:val="00345A5B"/>
    <w:rsid w:val="00345A5C"/>
    <w:rsid w:val="00345C71"/>
    <w:rsid w:val="00346545"/>
    <w:rsid w:val="003467A5"/>
    <w:rsid w:val="00346B36"/>
    <w:rsid w:val="00346ECB"/>
    <w:rsid w:val="003470CF"/>
    <w:rsid w:val="0034731A"/>
    <w:rsid w:val="00347373"/>
    <w:rsid w:val="00347423"/>
    <w:rsid w:val="0034743F"/>
    <w:rsid w:val="0034751F"/>
    <w:rsid w:val="00347737"/>
    <w:rsid w:val="003478A3"/>
    <w:rsid w:val="00347967"/>
    <w:rsid w:val="00347B0B"/>
    <w:rsid w:val="003500E0"/>
    <w:rsid w:val="00350199"/>
    <w:rsid w:val="003509FF"/>
    <w:rsid w:val="0035169D"/>
    <w:rsid w:val="00351986"/>
    <w:rsid w:val="00351E5A"/>
    <w:rsid w:val="00351FA1"/>
    <w:rsid w:val="0035251C"/>
    <w:rsid w:val="003531B6"/>
    <w:rsid w:val="003536B6"/>
    <w:rsid w:val="00353918"/>
    <w:rsid w:val="003541B7"/>
    <w:rsid w:val="003550DB"/>
    <w:rsid w:val="00355177"/>
    <w:rsid w:val="003554C6"/>
    <w:rsid w:val="0035559F"/>
    <w:rsid w:val="00355698"/>
    <w:rsid w:val="00356156"/>
    <w:rsid w:val="00356237"/>
    <w:rsid w:val="0035676F"/>
    <w:rsid w:val="003576B1"/>
    <w:rsid w:val="003579D5"/>
    <w:rsid w:val="00357AC1"/>
    <w:rsid w:val="003608F8"/>
    <w:rsid w:val="00360A41"/>
    <w:rsid w:val="00360B2C"/>
    <w:rsid w:val="00360D3E"/>
    <w:rsid w:val="00360FC2"/>
    <w:rsid w:val="0036206C"/>
    <w:rsid w:val="003627BF"/>
    <w:rsid w:val="00362838"/>
    <w:rsid w:val="00362AEB"/>
    <w:rsid w:val="00362B66"/>
    <w:rsid w:val="0036314B"/>
    <w:rsid w:val="003633BD"/>
    <w:rsid w:val="003634C2"/>
    <w:rsid w:val="0036353A"/>
    <w:rsid w:val="00363654"/>
    <w:rsid w:val="00363752"/>
    <w:rsid w:val="003637C8"/>
    <w:rsid w:val="00363A66"/>
    <w:rsid w:val="00363B18"/>
    <w:rsid w:val="00363CD5"/>
    <w:rsid w:val="00363DCE"/>
    <w:rsid w:val="00363F39"/>
    <w:rsid w:val="00364015"/>
    <w:rsid w:val="003652F5"/>
    <w:rsid w:val="00365726"/>
    <w:rsid w:val="003657D0"/>
    <w:rsid w:val="00365976"/>
    <w:rsid w:val="00365A1E"/>
    <w:rsid w:val="00365C28"/>
    <w:rsid w:val="00365F7E"/>
    <w:rsid w:val="003663CE"/>
    <w:rsid w:val="00366739"/>
    <w:rsid w:val="00367253"/>
    <w:rsid w:val="00367BB6"/>
    <w:rsid w:val="00367D0F"/>
    <w:rsid w:val="00370003"/>
    <w:rsid w:val="00370043"/>
    <w:rsid w:val="003702B2"/>
    <w:rsid w:val="00370544"/>
    <w:rsid w:val="003709C0"/>
    <w:rsid w:val="00370A6A"/>
    <w:rsid w:val="00370A8F"/>
    <w:rsid w:val="00370F64"/>
    <w:rsid w:val="00370F69"/>
    <w:rsid w:val="00371092"/>
    <w:rsid w:val="00371F25"/>
    <w:rsid w:val="00371FF2"/>
    <w:rsid w:val="003721AB"/>
    <w:rsid w:val="0037228A"/>
    <w:rsid w:val="00372C9D"/>
    <w:rsid w:val="00373318"/>
    <w:rsid w:val="003733FB"/>
    <w:rsid w:val="003739A8"/>
    <w:rsid w:val="00373FB7"/>
    <w:rsid w:val="003742F5"/>
    <w:rsid w:val="00374A67"/>
    <w:rsid w:val="003750EB"/>
    <w:rsid w:val="003751BF"/>
    <w:rsid w:val="00375710"/>
    <w:rsid w:val="003757CB"/>
    <w:rsid w:val="003758C0"/>
    <w:rsid w:val="00375F44"/>
    <w:rsid w:val="00376E7A"/>
    <w:rsid w:val="00376EF6"/>
    <w:rsid w:val="003773AF"/>
    <w:rsid w:val="003806AE"/>
    <w:rsid w:val="003806C0"/>
    <w:rsid w:val="00380C11"/>
    <w:rsid w:val="00380C75"/>
    <w:rsid w:val="00380FFB"/>
    <w:rsid w:val="00381FBC"/>
    <w:rsid w:val="00382143"/>
    <w:rsid w:val="00382584"/>
    <w:rsid w:val="003825D7"/>
    <w:rsid w:val="00382767"/>
    <w:rsid w:val="00383C1F"/>
    <w:rsid w:val="00384202"/>
    <w:rsid w:val="00384AEC"/>
    <w:rsid w:val="00384DC7"/>
    <w:rsid w:val="00384E9A"/>
    <w:rsid w:val="003850AA"/>
    <w:rsid w:val="0038591B"/>
    <w:rsid w:val="00385A96"/>
    <w:rsid w:val="00385B04"/>
    <w:rsid w:val="00385B9F"/>
    <w:rsid w:val="00386476"/>
    <w:rsid w:val="003865D4"/>
    <w:rsid w:val="00386BEB"/>
    <w:rsid w:val="00386CFD"/>
    <w:rsid w:val="00386F7A"/>
    <w:rsid w:val="00387077"/>
    <w:rsid w:val="00387462"/>
    <w:rsid w:val="00387482"/>
    <w:rsid w:val="0038749C"/>
    <w:rsid w:val="003874FC"/>
    <w:rsid w:val="003876B7"/>
    <w:rsid w:val="00387734"/>
    <w:rsid w:val="0038797A"/>
    <w:rsid w:val="00387ED6"/>
    <w:rsid w:val="003905BC"/>
    <w:rsid w:val="003907CD"/>
    <w:rsid w:val="00390883"/>
    <w:rsid w:val="00390D3A"/>
    <w:rsid w:val="00390F58"/>
    <w:rsid w:val="003911A8"/>
    <w:rsid w:val="00391C55"/>
    <w:rsid w:val="003920BD"/>
    <w:rsid w:val="00392565"/>
    <w:rsid w:val="00392AA0"/>
    <w:rsid w:val="00393252"/>
    <w:rsid w:val="0039338D"/>
    <w:rsid w:val="00393794"/>
    <w:rsid w:val="0039389C"/>
    <w:rsid w:val="003939BA"/>
    <w:rsid w:val="00393D01"/>
    <w:rsid w:val="00393DEF"/>
    <w:rsid w:val="00394ABD"/>
    <w:rsid w:val="00394AEE"/>
    <w:rsid w:val="00394CED"/>
    <w:rsid w:val="003954EA"/>
    <w:rsid w:val="00395535"/>
    <w:rsid w:val="00395EC3"/>
    <w:rsid w:val="00395F91"/>
    <w:rsid w:val="003961ED"/>
    <w:rsid w:val="00396621"/>
    <w:rsid w:val="003968C7"/>
    <w:rsid w:val="003969F4"/>
    <w:rsid w:val="003969F6"/>
    <w:rsid w:val="00396CA5"/>
    <w:rsid w:val="00396D32"/>
    <w:rsid w:val="00397DFA"/>
    <w:rsid w:val="003A023F"/>
    <w:rsid w:val="003A06A0"/>
    <w:rsid w:val="003A09BF"/>
    <w:rsid w:val="003A1021"/>
    <w:rsid w:val="003A106C"/>
    <w:rsid w:val="003A178F"/>
    <w:rsid w:val="003A23E6"/>
    <w:rsid w:val="003A2632"/>
    <w:rsid w:val="003A2AE7"/>
    <w:rsid w:val="003A31C6"/>
    <w:rsid w:val="003A32BE"/>
    <w:rsid w:val="003A3ACC"/>
    <w:rsid w:val="003A3F1E"/>
    <w:rsid w:val="003A4767"/>
    <w:rsid w:val="003A55E6"/>
    <w:rsid w:val="003A66BE"/>
    <w:rsid w:val="003A6982"/>
    <w:rsid w:val="003A6FED"/>
    <w:rsid w:val="003A7395"/>
    <w:rsid w:val="003A76F5"/>
    <w:rsid w:val="003A7E09"/>
    <w:rsid w:val="003B00A2"/>
    <w:rsid w:val="003B01AC"/>
    <w:rsid w:val="003B0318"/>
    <w:rsid w:val="003B04FB"/>
    <w:rsid w:val="003B074A"/>
    <w:rsid w:val="003B0A77"/>
    <w:rsid w:val="003B12DF"/>
    <w:rsid w:val="003B1469"/>
    <w:rsid w:val="003B1B60"/>
    <w:rsid w:val="003B1C91"/>
    <w:rsid w:val="003B20F0"/>
    <w:rsid w:val="003B22A8"/>
    <w:rsid w:val="003B2CA2"/>
    <w:rsid w:val="003B317C"/>
    <w:rsid w:val="003B37DB"/>
    <w:rsid w:val="003B3B8C"/>
    <w:rsid w:val="003B3DFD"/>
    <w:rsid w:val="003B3E12"/>
    <w:rsid w:val="003B3EF6"/>
    <w:rsid w:val="003B3FBF"/>
    <w:rsid w:val="003B4C62"/>
    <w:rsid w:val="003B5067"/>
    <w:rsid w:val="003B5171"/>
    <w:rsid w:val="003B5DC6"/>
    <w:rsid w:val="003B6045"/>
    <w:rsid w:val="003B6094"/>
    <w:rsid w:val="003B61B0"/>
    <w:rsid w:val="003B62EC"/>
    <w:rsid w:val="003B64B5"/>
    <w:rsid w:val="003B66C2"/>
    <w:rsid w:val="003B6BFD"/>
    <w:rsid w:val="003B6C58"/>
    <w:rsid w:val="003B6D92"/>
    <w:rsid w:val="003B6D9B"/>
    <w:rsid w:val="003B7073"/>
    <w:rsid w:val="003B73C0"/>
    <w:rsid w:val="003B7F55"/>
    <w:rsid w:val="003C0422"/>
    <w:rsid w:val="003C0564"/>
    <w:rsid w:val="003C066D"/>
    <w:rsid w:val="003C078A"/>
    <w:rsid w:val="003C079B"/>
    <w:rsid w:val="003C0D6B"/>
    <w:rsid w:val="003C0F50"/>
    <w:rsid w:val="003C1035"/>
    <w:rsid w:val="003C13AB"/>
    <w:rsid w:val="003C1810"/>
    <w:rsid w:val="003C1D30"/>
    <w:rsid w:val="003C2DC3"/>
    <w:rsid w:val="003C2F9B"/>
    <w:rsid w:val="003C3224"/>
    <w:rsid w:val="003C38E3"/>
    <w:rsid w:val="003C3A22"/>
    <w:rsid w:val="003C3E17"/>
    <w:rsid w:val="003C3E89"/>
    <w:rsid w:val="003C3F11"/>
    <w:rsid w:val="003C42BB"/>
    <w:rsid w:val="003C4B0D"/>
    <w:rsid w:val="003C4B4A"/>
    <w:rsid w:val="003C4D9C"/>
    <w:rsid w:val="003C5610"/>
    <w:rsid w:val="003C58C7"/>
    <w:rsid w:val="003C5964"/>
    <w:rsid w:val="003C62B6"/>
    <w:rsid w:val="003C62FD"/>
    <w:rsid w:val="003C65A3"/>
    <w:rsid w:val="003C6AAD"/>
    <w:rsid w:val="003C6FF1"/>
    <w:rsid w:val="003C7117"/>
    <w:rsid w:val="003C748E"/>
    <w:rsid w:val="003C79CC"/>
    <w:rsid w:val="003C7A33"/>
    <w:rsid w:val="003C7BF9"/>
    <w:rsid w:val="003D02F4"/>
    <w:rsid w:val="003D0366"/>
    <w:rsid w:val="003D0507"/>
    <w:rsid w:val="003D0A0E"/>
    <w:rsid w:val="003D0D3D"/>
    <w:rsid w:val="003D0DE4"/>
    <w:rsid w:val="003D0E66"/>
    <w:rsid w:val="003D0F6F"/>
    <w:rsid w:val="003D1400"/>
    <w:rsid w:val="003D1891"/>
    <w:rsid w:val="003D1C6F"/>
    <w:rsid w:val="003D227B"/>
    <w:rsid w:val="003D2315"/>
    <w:rsid w:val="003D2448"/>
    <w:rsid w:val="003D265A"/>
    <w:rsid w:val="003D2B2B"/>
    <w:rsid w:val="003D2BF1"/>
    <w:rsid w:val="003D31CE"/>
    <w:rsid w:val="003D31F1"/>
    <w:rsid w:val="003D3243"/>
    <w:rsid w:val="003D3350"/>
    <w:rsid w:val="003D46EA"/>
    <w:rsid w:val="003D49D1"/>
    <w:rsid w:val="003D4E84"/>
    <w:rsid w:val="003D50C3"/>
    <w:rsid w:val="003D5328"/>
    <w:rsid w:val="003D5396"/>
    <w:rsid w:val="003D57E0"/>
    <w:rsid w:val="003D636D"/>
    <w:rsid w:val="003D63B9"/>
    <w:rsid w:val="003D6429"/>
    <w:rsid w:val="003D64D3"/>
    <w:rsid w:val="003D69D6"/>
    <w:rsid w:val="003D6B70"/>
    <w:rsid w:val="003D6C79"/>
    <w:rsid w:val="003D6EF4"/>
    <w:rsid w:val="003D6F27"/>
    <w:rsid w:val="003D6FD2"/>
    <w:rsid w:val="003D6FDE"/>
    <w:rsid w:val="003D7341"/>
    <w:rsid w:val="003D73FF"/>
    <w:rsid w:val="003E0590"/>
    <w:rsid w:val="003E05B4"/>
    <w:rsid w:val="003E0675"/>
    <w:rsid w:val="003E0706"/>
    <w:rsid w:val="003E07A2"/>
    <w:rsid w:val="003E0D31"/>
    <w:rsid w:val="003E162A"/>
    <w:rsid w:val="003E1770"/>
    <w:rsid w:val="003E1CE6"/>
    <w:rsid w:val="003E1EF5"/>
    <w:rsid w:val="003E2DBF"/>
    <w:rsid w:val="003E3140"/>
    <w:rsid w:val="003E35A9"/>
    <w:rsid w:val="003E4127"/>
    <w:rsid w:val="003E42B2"/>
    <w:rsid w:val="003E4544"/>
    <w:rsid w:val="003E49A1"/>
    <w:rsid w:val="003E5142"/>
    <w:rsid w:val="003E542D"/>
    <w:rsid w:val="003E542E"/>
    <w:rsid w:val="003E5C27"/>
    <w:rsid w:val="003E5CBB"/>
    <w:rsid w:val="003E6DD1"/>
    <w:rsid w:val="003E6F58"/>
    <w:rsid w:val="003E7304"/>
    <w:rsid w:val="003E7331"/>
    <w:rsid w:val="003E73C3"/>
    <w:rsid w:val="003E73EB"/>
    <w:rsid w:val="003E75BA"/>
    <w:rsid w:val="003E77C5"/>
    <w:rsid w:val="003E7937"/>
    <w:rsid w:val="003E7F49"/>
    <w:rsid w:val="003E7FA6"/>
    <w:rsid w:val="003F006B"/>
    <w:rsid w:val="003F01F5"/>
    <w:rsid w:val="003F0232"/>
    <w:rsid w:val="003F0415"/>
    <w:rsid w:val="003F0A43"/>
    <w:rsid w:val="003F0AE7"/>
    <w:rsid w:val="003F0B21"/>
    <w:rsid w:val="003F12C5"/>
    <w:rsid w:val="003F132D"/>
    <w:rsid w:val="003F20B2"/>
    <w:rsid w:val="003F228B"/>
    <w:rsid w:val="003F243C"/>
    <w:rsid w:val="003F2692"/>
    <w:rsid w:val="003F2E8C"/>
    <w:rsid w:val="003F33FE"/>
    <w:rsid w:val="003F393F"/>
    <w:rsid w:val="003F3C57"/>
    <w:rsid w:val="003F462C"/>
    <w:rsid w:val="003F47CC"/>
    <w:rsid w:val="003F5069"/>
    <w:rsid w:val="003F5B04"/>
    <w:rsid w:val="003F5BB0"/>
    <w:rsid w:val="003F5DA6"/>
    <w:rsid w:val="003F5F5B"/>
    <w:rsid w:val="003F60B2"/>
    <w:rsid w:val="003F6991"/>
    <w:rsid w:val="003F6D2C"/>
    <w:rsid w:val="003F7094"/>
    <w:rsid w:val="003F723D"/>
    <w:rsid w:val="003F76A1"/>
    <w:rsid w:val="003F7C64"/>
    <w:rsid w:val="003F7F01"/>
    <w:rsid w:val="0040007F"/>
    <w:rsid w:val="004001C1"/>
    <w:rsid w:val="0040151C"/>
    <w:rsid w:val="00401C82"/>
    <w:rsid w:val="00401CF5"/>
    <w:rsid w:val="00402447"/>
    <w:rsid w:val="0040265D"/>
    <w:rsid w:val="00402D0D"/>
    <w:rsid w:val="00402FE4"/>
    <w:rsid w:val="004030B5"/>
    <w:rsid w:val="0040345E"/>
    <w:rsid w:val="0040407A"/>
    <w:rsid w:val="004044B6"/>
    <w:rsid w:val="004045A9"/>
    <w:rsid w:val="00404D85"/>
    <w:rsid w:val="0040575E"/>
    <w:rsid w:val="004057D7"/>
    <w:rsid w:val="00406311"/>
    <w:rsid w:val="0040632E"/>
    <w:rsid w:val="0040657B"/>
    <w:rsid w:val="00406590"/>
    <w:rsid w:val="0040692A"/>
    <w:rsid w:val="00406C9D"/>
    <w:rsid w:val="00407310"/>
    <w:rsid w:val="004073A3"/>
    <w:rsid w:val="0040780A"/>
    <w:rsid w:val="00407C03"/>
    <w:rsid w:val="00410355"/>
    <w:rsid w:val="004108D3"/>
    <w:rsid w:val="00410DA8"/>
    <w:rsid w:val="00411300"/>
    <w:rsid w:val="0041140F"/>
    <w:rsid w:val="004116BB"/>
    <w:rsid w:val="00411792"/>
    <w:rsid w:val="00411BE6"/>
    <w:rsid w:val="00411E69"/>
    <w:rsid w:val="004123C6"/>
    <w:rsid w:val="0041309F"/>
    <w:rsid w:val="0041373D"/>
    <w:rsid w:val="0041386F"/>
    <w:rsid w:val="00413D4A"/>
    <w:rsid w:val="0041438D"/>
    <w:rsid w:val="00414493"/>
    <w:rsid w:val="00414B20"/>
    <w:rsid w:val="00415480"/>
    <w:rsid w:val="004157F8"/>
    <w:rsid w:val="00416494"/>
    <w:rsid w:val="004164F2"/>
    <w:rsid w:val="0041698F"/>
    <w:rsid w:val="00416EBC"/>
    <w:rsid w:val="004172C5"/>
    <w:rsid w:val="0041768D"/>
    <w:rsid w:val="00420391"/>
    <w:rsid w:val="00420438"/>
    <w:rsid w:val="00420722"/>
    <w:rsid w:val="00420D4B"/>
    <w:rsid w:val="00420E76"/>
    <w:rsid w:val="00421119"/>
    <w:rsid w:val="00421658"/>
    <w:rsid w:val="00421A38"/>
    <w:rsid w:val="00421B04"/>
    <w:rsid w:val="004220C1"/>
    <w:rsid w:val="004221CB"/>
    <w:rsid w:val="0042231A"/>
    <w:rsid w:val="004226F9"/>
    <w:rsid w:val="00422CA3"/>
    <w:rsid w:val="00422CB4"/>
    <w:rsid w:val="004230B8"/>
    <w:rsid w:val="0042328E"/>
    <w:rsid w:val="00423B10"/>
    <w:rsid w:val="00424347"/>
    <w:rsid w:val="0042448A"/>
    <w:rsid w:val="004246B5"/>
    <w:rsid w:val="004246C5"/>
    <w:rsid w:val="004248B9"/>
    <w:rsid w:val="00424905"/>
    <w:rsid w:val="00424B32"/>
    <w:rsid w:val="00424E60"/>
    <w:rsid w:val="00424EC5"/>
    <w:rsid w:val="00424F5C"/>
    <w:rsid w:val="00425446"/>
    <w:rsid w:val="004262F9"/>
    <w:rsid w:val="0042633D"/>
    <w:rsid w:val="0042638E"/>
    <w:rsid w:val="00426770"/>
    <w:rsid w:val="004267E4"/>
    <w:rsid w:val="004268C8"/>
    <w:rsid w:val="004269FE"/>
    <w:rsid w:val="00426C97"/>
    <w:rsid w:val="00426D93"/>
    <w:rsid w:val="00426EA8"/>
    <w:rsid w:val="004271CC"/>
    <w:rsid w:val="004274CD"/>
    <w:rsid w:val="00427BBA"/>
    <w:rsid w:val="00427FD4"/>
    <w:rsid w:val="00430305"/>
    <w:rsid w:val="00430B70"/>
    <w:rsid w:val="00431D99"/>
    <w:rsid w:val="00431DB1"/>
    <w:rsid w:val="00431E27"/>
    <w:rsid w:val="00432183"/>
    <w:rsid w:val="0043228B"/>
    <w:rsid w:val="004329E5"/>
    <w:rsid w:val="00432C96"/>
    <w:rsid w:val="00433355"/>
    <w:rsid w:val="00433E4C"/>
    <w:rsid w:val="00433EC3"/>
    <w:rsid w:val="00433F95"/>
    <w:rsid w:val="0043404C"/>
    <w:rsid w:val="004340F3"/>
    <w:rsid w:val="004346AE"/>
    <w:rsid w:val="0043491E"/>
    <w:rsid w:val="004349B0"/>
    <w:rsid w:val="00434AFF"/>
    <w:rsid w:val="00434BF6"/>
    <w:rsid w:val="00434EC7"/>
    <w:rsid w:val="0043533E"/>
    <w:rsid w:val="004359F8"/>
    <w:rsid w:val="00435C2A"/>
    <w:rsid w:val="00435E9C"/>
    <w:rsid w:val="0043650F"/>
    <w:rsid w:val="004365C7"/>
    <w:rsid w:val="00436626"/>
    <w:rsid w:val="0043672A"/>
    <w:rsid w:val="00436C2B"/>
    <w:rsid w:val="004372FB"/>
    <w:rsid w:val="004376FA"/>
    <w:rsid w:val="00437747"/>
    <w:rsid w:val="00437901"/>
    <w:rsid w:val="00437B41"/>
    <w:rsid w:val="00440163"/>
    <w:rsid w:val="004401EC"/>
    <w:rsid w:val="00440460"/>
    <w:rsid w:val="00440F5D"/>
    <w:rsid w:val="00441298"/>
    <w:rsid w:val="004414E9"/>
    <w:rsid w:val="00441757"/>
    <w:rsid w:val="00442783"/>
    <w:rsid w:val="004428E4"/>
    <w:rsid w:val="00442930"/>
    <w:rsid w:val="00442958"/>
    <w:rsid w:val="00442E8D"/>
    <w:rsid w:val="00443001"/>
    <w:rsid w:val="004431FF"/>
    <w:rsid w:val="004432E8"/>
    <w:rsid w:val="00443D07"/>
    <w:rsid w:val="00444A8F"/>
    <w:rsid w:val="00444E4E"/>
    <w:rsid w:val="00445908"/>
    <w:rsid w:val="00445BCA"/>
    <w:rsid w:val="00445C13"/>
    <w:rsid w:val="00445EDC"/>
    <w:rsid w:val="00446409"/>
    <w:rsid w:val="0044693C"/>
    <w:rsid w:val="00446A5D"/>
    <w:rsid w:val="00446AE2"/>
    <w:rsid w:val="00446DA2"/>
    <w:rsid w:val="004475BC"/>
    <w:rsid w:val="004502A2"/>
    <w:rsid w:val="004509BC"/>
    <w:rsid w:val="00450A57"/>
    <w:rsid w:val="004513FC"/>
    <w:rsid w:val="00451B52"/>
    <w:rsid w:val="004522BA"/>
    <w:rsid w:val="00452676"/>
    <w:rsid w:val="004528A7"/>
    <w:rsid w:val="00452936"/>
    <w:rsid w:val="00452E60"/>
    <w:rsid w:val="004530DF"/>
    <w:rsid w:val="00453180"/>
    <w:rsid w:val="004531E3"/>
    <w:rsid w:val="00453957"/>
    <w:rsid w:val="00453CDE"/>
    <w:rsid w:val="00454D25"/>
    <w:rsid w:val="00455503"/>
    <w:rsid w:val="00455A78"/>
    <w:rsid w:val="00455CEC"/>
    <w:rsid w:val="0045655A"/>
    <w:rsid w:val="00456829"/>
    <w:rsid w:val="00456AC6"/>
    <w:rsid w:val="0045747F"/>
    <w:rsid w:val="0045764E"/>
    <w:rsid w:val="004578A0"/>
    <w:rsid w:val="00460087"/>
    <w:rsid w:val="00460456"/>
    <w:rsid w:val="00460C52"/>
    <w:rsid w:val="00461A06"/>
    <w:rsid w:val="00461E5A"/>
    <w:rsid w:val="00461F62"/>
    <w:rsid w:val="00462272"/>
    <w:rsid w:val="00462BD4"/>
    <w:rsid w:val="0046386E"/>
    <w:rsid w:val="0046394F"/>
    <w:rsid w:val="00463E77"/>
    <w:rsid w:val="00463EE1"/>
    <w:rsid w:val="0046435D"/>
    <w:rsid w:val="004646FE"/>
    <w:rsid w:val="00464711"/>
    <w:rsid w:val="00464C0F"/>
    <w:rsid w:val="004656FC"/>
    <w:rsid w:val="00465753"/>
    <w:rsid w:val="004658AC"/>
    <w:rsid w:val="00465DF2"/>
    <w:rsid w:val="00465EDF"/>
    <w:rsid w:val="00466094"/>
    <w:rsid w:val="00466795"/>
    <w:rsid w:val="004667C0"/>
    <w:rsid w:val="00466D4C"/>
    <w:rsid w:val="00467135"/>
    <w:rsid w:val="004672AF"/>
    <w:rsid w:val="004672FB"/>
    <w:rsid w:val="004675E0"/>
    <w:rsid w:val="004677AE"/>
    <w:rsid w:val="00467968"/>
    <w:rsid w:val="00467A6E"/>
    <w:rsid w:val="00470874"/>
    <w:rsid w:val="00470FFA"/>
    <w:rsid w:val="004711E2"/>
    <w:rsid w:val="00471BDC"/>
    <w:rsid w:val="00471BE8"/>
    <w:rsid w:val="00472042"/>
    <w:rsid w:val="00472599"/>
    <w:rsid w:val="00472A78"/>
    <w:rsid w:val="00472B4D"/>
    <w:rsid w:val="00472BC7"/>
    <w:rsid w:val="00472DDB"/>
    <w:rsid w:val="004730E9"/>
    <w:rsid w:val="0047327C"/>
    <w:rsid w:val="0047359E"/>
    <w:rsid w:val="004737ED"/>
    <w:rsid w:val="00473AF3"/>
    <w:rsid w:val="0047405C"/>
    <w:rsid w:val="004741B8"/>
    <w:rsid w:val="00474999"/>
    <w:rsid w:val="00474B42"/>
    <w:rsid w:val="00474D11"/>
    <w:rsid w:val="00474E8D"/>
    <w:rsid w:val="0047507A"/>
    <w:rsid w:val="004754FF"/>
    <w:rsid w:val="0047591D"/>
    <w:rsid w:val="00475925"/>
    <w:rsid w:val="00475BA1"/>
    <w:rsid w:val="00475BC2"/>
    <w:rsid w:val="00475BE9"/>
    <w:rsid w:val="00475E79"/>
    <w:rsid w:val="00475F12"/>
    <w:rsid w:val="0047670B"/>
    <w:rsid w:val="004767A2"/>
    <w:rsid w:val="00476D15"/>
    <w:rsid w:val="004772A3"/>
    <w:rsid w:val="00477628"/>
    <w:rsid w:val="0047778D"/>
    <w:rsid w:val="00477865"/>
    <w:rsid w:val="00477871"/>
    <w:rsid w:val="00477927"/>
    <w:rsid w:val="00477B70"/>
    <w:rsid w:val="00477E30"/>
    <w:rsid w:val="0048030E"/>
    <w:rsid w:val="004807BF"/>
    <w:rsid w:val="00480C50"/>
    <w:rsid w:val="00480D52"/>
    <w:rsid w:val="00480E30"/>
    <w:rsid w:val="00481278"/>
    <w:rsid w:val="004813AE"/>
    <w:rsid w:val="00481A35"/>
    <w:rsid w:val="00481DB4"/>
    <w:rsid w:val="00482417"/>
    <w:rsid w:val="00482605"/>
    <w:rsid w:val="00482733"/>
    <w:rsid w:val="00482735"/>
    <w:rsid w:val="00482BBB"/>
    <w:rsid w:val="00482D7E"/>
    <w:rsid w:val="004842CC"/>
    <w:rsid w:val="004844B9"/>
    <w:rsid w:val="00484FA1"/>
    <w:rsid w:val="00485245"/>
    <w:rsid w:val="00485C8C"/>
    <w:rsid w:val="004860C5"/>
    <w:rsid w:val="00486148"/>
    <w:rsid w:val="004862DC"/>
    <w:rsid w:val="00486C4A"/>
    <w:rsid w:val="00487134"/>
    <w:rsid w:val="00487EC3"/>
    <w:rsid w:val="004900F4"/>
    <w:rsid w:val="00490663"/>
    <w:rsid w:val="00490C30"/>
    <w:rsid w:val="004910B3"/>
    <w:rsid w:val="00491337"/>
    <w:rsid w:val="00491929"/>
    <w:rsid w:val="00491B8F"/>
    <w:rsid w:val="00491C08"/>
    <w:rsid w:val="00491E33"/>
    <w:rsid w:val="00491EDF"/>
    <w:rsid w:val="00491FC3"/>
    <w:rsid w:val="00492013"/>
    <w:rsid w:val="0049208D"/>
    <w:rsid w:val="004926D5"/>
    <w:rsid w:val="00492B3B"/>
    <w:rsid w:val="00492E72"/>
    <w:rsid w:val="00493006"/>
    <w:rsid w:val="00493572"/>
    <w:rsid w:val="0049441C"/>
    <w:rsid w:val="00494486"/>
    <w:rsid w:val="004944A4"/>
    <w:rsid w:val="00494A58"/>
    <w:rsid w:val="00494DDC"/>
    <w:rsid w:val="004959C2"/>
    <w:rsid w:val="00495C1E"/>
    <w:rsid w:val="0049609B"/>
    <w:rsid w:val="00496143"/>
    <w:rsid w:val="004962DC"/>
    <w:rsid w:val="004965CA"/>
    <w:rsid w:val="00496A97"/>
    <w:rsid w:val="00496B54"/>
    <w:rsid w:val="00496BEC"/>
    <w:rsid w:val="00496D91"/>
    <w:rsid w:val="00496F5E"/>
    <w:rsid w:val="00496FDD"/>
    <w:rsid w:val="004972E8"/>
    <w:rsid w:val="00497798"/>
    <w:rsid w:val="0049787A"/>
    <w:rsid w:val="00497A2B"/>
    <w:rsid w:val="00497A97"/>
    <w:rsid w:val="004A0039"/>
    <w:rsid w:val="004A0507"/>
    <w:rsid w:val="004A0814"/>
    <w:rsid w:val="004A0953"/>
    <w:rsid w:val="004A0E73"/>
    <w:rsid w:val="004A12AB"/>
    <w:rsid w:val="004A1809"/>
    <w:rsid w:val="004A1B9D"/>
    <w:rsid w:val="004A1D44"/>
    <w:rsid w:val="004A203A"/>
    <w:rsid w:val="004A2393"/>
    <w:rsid w:val="004A2522"/>
    <w:rsid w:val="004A27FA"/>
    <w:rsid w:val="004A2F88"/>
    <w:rsid w:val="004A3677"/>
    <w:rsid w:val="004A3C16"/>
    <w:rsid w:val="004A3D5D"/>
    <w:rsid w:val="004A3F80"/>
    <w:rsid w:val="004A3FC2"/>
    <w:rsid w:val="004A40FC"/>
    <w:rsid w:val="004A42D9"/>
    <w:rsid w:val="004A4553"/>
    <w:rsid w:val="004A45B7"/>
    <w:rsid w:val="004A512E"/>
    <w:rsid w:val="004A58C7"/>
    <w:rsid w:val="004A5A7C"/>
    <w:rsid w:val="004A5B12"/>
    <w:rsid w:val="004A5C8A"/>
    <w:rsid w:val="004A5EC1"/>
    <w:rsid w:val="004A6044"/>
    <w:rsid w:val="004A6879"/>
    <w:rsid w:val="004A6A39"/>
    <w:rsid w:val="004A6B0A"/>
    <w:rsid w:val="004A6F19"/>
    <w:rsid w:val="004A76B5"/>
    <w:rsid w:val="004A774E"/>
    <w:rsid w:val="004A7B86"/>
    <w:rsid w:val="004A7CB7"/>
    <w:rsid w:val="004A7DEC"/>
    <w:rsid w:val="004A7E1E"/>
    <w:rsid w:val="004A7FA0"/>
    <w:rsid w:val="004B01D9"/>
    <w:rsid w:val="004B0278"/>
    <w:rsid w:val="004B10BC"/>
    <w:rsid w:val="004B150E"/>
    <w:rsid w:val="004B1D62"/>
    <w:rsid w:val="004B1E18"/>
    <w:rsid w:val="004B1E70"/>
    <w:rsid w:val="004B24FE"/>
    <w:rsid w:val="004B268D"/>
    <w:rsid w:val="004B2855"/>
    <w:rsid w:val="004B2F56"/>
    <w:rsid w:val="004B30B3"/>
    <w:rsid w:val="004B353C"/>
    <w:rsid w:val="004B3627"/>
    <w:rsid w:val="004B3BEC"/>
    <w:rsid w:val="004B476E"/>
    <w:rsid w:val="004B4848"/>
    <w:rsid w:val="004B489F"/>
    <w:rsid w:val="004B4C11"/>
    <w:rsid w:val="004B4F2D"/>
    <w:rsid w:val="004B5289"/>
    <w:rsid w:val="004B5C34"/>
    <w:rsid w:val="004B6222"/>
    <w:rsid w:val="004B66BF"/>
    <w:rsid w:val="004B670C"/>
    <w:rsid w:val="004B68EC"/>
    <w:rsid w:val="004B6A15"/>
    <w:rsid w:val="004B6E9B"/>
    <w:rsid w:val="004B6ECB"/>
    <w:rsid w:val="004B6F0D"/>
    <w:rsid w:val="004B74BB"/>
    <w:rsid w:val="004B751F"/>
    <w:rsid w:val="004B757B"/>
    <w:rsid w:val="004B760C"/>
    <w:rsid w:val="004B777D"/>
    <w:rsid w:val="004B79BD"/>
    <w:rsid w:val="004C0190"/>
    <w:rsid w:val="004C082E"/>
    <w:rsid w:val="004C0EF0"/>
    <w:rsid w:val="004C13D2"/>
    <w:rsid w:val="004C15E5"/>
    <w:rsid w:val="004C17CE"/>
    <w:rsid w:val="004C18DA"/>
    <w:rsid w:val="004C1A64"/>
    <w:rsid w:val="004C1A7C"/>
    <w:rsid w:val="004C2172"/>
    <w:rsid w:val="004C2785"/>
    <w:rsid w:val="004C2825"/>
    <w:rsid w:val="004C2BA0"/>
    <w:rsid w:val="004C3224"/>
    <w:rsid w:val="004C41C1"/>
    <w:rsid w:val="004C428F"/>
    <w:rsid w:val="004C4511"/>
    <w:rsid w:val="004C5627"/>
    <w:rsid w:val="004C5746"/>
    <w:rsid w:val="004C5B01"/>
    <w:rsid w:val="004C5E9A"/>
    <w:rsid w:val="004C6475"/>
    <w:rsid w:val="004C6947"/>
    <w:rsid w:val="004C69E3"/>
    <w:rsid w:val="004C6B7F"/>
    <w:rsid w:val="004C6DA3"/>
    <w:rsid w:val="004C7019"/>
    <w:rsid w:val="004C711F"/>
    <w:rsid w:val="004C72DC"/>
    <w:rsid w:val="004C7A29"/>
    <w:rsid w:val="004C7B61"/>
    <w:rsid w:val="004C7F90"/>
    <w:rsid w:val="004D03DE"/>
    <w:rsid w:val="004D0A0C"/>
    <w:rsid w:val="004D1244"/>
    <w:rsid w:val="004D12C8"/>
    <w:rsid w:val="004D15C8"/>
    <w:rsid w:val="004D19F5"/>
    <w:rsid w:val="004D1B2D"/>
    <w:rsid w:val="004D1CDB"/>
    <w:rsid w:val="004D26DD"/>
    <w:rsid w:val="004D2D19"/>
    <w:rsid w:val="004D3035"/>
    <w:rsid w:val="004D38C7"/>
    <w:rsid w:val="004D41D4"/>
    <w:rsid w:val="004D41E1"/>
    <w:rsid w:val="004D434D"/>
    <w:rsid w:val="004D44B7"/>
    <w:rsid w:val="004D4585"/>
    <w:rsid w:val="004D4757"/>
    <w:rsid w:val="004D4C16"/>
    <w:rsid w:val="004D4C88"/>
    <w:rsid w:val="004D4E9C"/>
    <w:rsid w:val="004D4FEC"/>
    <w:rsid w:val="004D561C"/>
    <w:rsid w:val="004D57B5"/>
    <w:rsid w:val="004D584E"/>
    <w:rsid w:val="004D58CC"/>
    <w:rsid w:val="004D5AC6"/>
    <w:rsid w:val="004D5FDB"/>
    <w:rsid w:val="004D6491"/>
    <w:rsid w:val="004D6652"/>
    <w:rsid w:val="004D677A"/>
    <w:rsid w:val="004D6A20"/>
    <w:rsid w:val="004D6AA1"/>
    <w:rsid w:val="004D6B72"/>
    <w:rsid w:val="004D6F8E"/>
    <w:rsid w:val="004D7640"/>
    <w:rsid w:val="004D76EF"/>
    <w:rsid w:val="004D7BD0"/>
    <w:rsid w:val="004E103D"/>
    <w:rsid w:val="004E10BD"/>
    <w:rsid w:val="004E17E1"/>
    <w:rsid w:val="004E1CDA"/>
    <w:rsid w:val="004E1FA3"/>
    <w:rsid w:val="004E2553"/>
    <w:rsid w:val="004E2708"/>
    <w:rsid w:val="004E34A8"/>
    <w:rsid w:val="004E3648"/>
    <w:rsid w:val="004E3B63"/>
    <w:rsid w:val="004E3BE0"/>
    <w:rsid w:val="004E3CF6"/>
    <w:rsid w:val="004E43D5"/>
    <w:rsid w:val="004E4642"/>
    <w:rsid w:val="004E464E"/>
    <w:rsid w:val="004E47DF"/>
    <w:rsid w:val="004E4E44"/>
    <w:rsid w:val="004E4FC7"/>
    <w:rsid w:val="004E52CB"/>
    <w:rsid w:val="004E54C8"/>
    <w:rsid w:val="004E5523"/>
    <w:rsid w:val="004E5854"/>
    <w:rsid w:val="004E5AC8"/>
    <w:rsid w:val="004E6240"/>
    <w:rsid w:val="004E63B5"/>
    <w:rsid w:val="004E6887"/>
    <w:rsid w:val="004E6BB5"/>
    <w:rsid w:val="004E6F8B"/>
    <w:rsid w:val="004E71A1"/>
    <w:rsid w:val="004E74D5"/>
    <w:rsid w:val="004F0161"/>
    <w:rsid w:val="004F07EE"/>
    <w:rsid w:val="004F097D"/>
    <w:rsid w:val="004F0A61"/>
    <w:rsid w:val="004F1277"/>
    <w:rsid w:val="004F13DE"/>
    <w:rsid w:val="004F150A"/>
    <w:rsid w:val="004F16F6"/>
    <w:rsid w:val="004F1AF0"/>
    <w:rsid w:val="004F21A6"/>
    <w:rsid w:val="004F25F2"/>
    <w:rsid w:val="004F2777"/>
    <w:rsid w:val="004F28C1"/>
    <w:rsid w:val="004F31A7"/>
    <w:rsid w:val="004F37D6"/>
    <w:rsid w:val="004F3CFA"/>
    <w:rsid w:val="004F4128"/>
    <w:rsid w:val="004F43A2"/>
    <w:rsid w:val="004F485E"/>
    <w:rsid w:val="004F4CD7"/>
    <w:rsid w:val="004F4D8A"/>
    <w:rsid w:val="004F4F57"/>
    <w:rsid w:val="004F5405"/>
    <w:rsid w:val="004F54AB"/>
    <w:rsid w:val="004F550E"/>
    <w:rsid w:val="004F55B4"/>
    <w:rsid w:val="004F57EE"/>
    <w:rsid w:val="004F5A3F"/>
    <w:rsid w:val="004F5C44"/>
    <w:rsid w:val="004F5C55"/>
    <w:rsid w:val="004F64F1"/>
    <w:rsid w:val="004F6AEB"/>
    <w:rsid w:val="004F6B0F"/>
    <w:rsid w:val="004F6F58"/>
    <w:rsid w:val="004F7078"/>
    <w:rsid w:val="004F7094"/>
    <w:rsid w:val="004F7766"/>
    <w:rsid w:val="004F77D2"/>
    <w:rsid w:val="004F787E"/>
    <w:rsid w:val="004F7964"/>
    <w:rsid w:val="004F7F1F"/>
    <w:rsid w:val="0050055A"/>
    <w:rsid w:val="005006D0"/>
    <w:rsid w:val="00500A1E"/>
    <w:rsid w:val="00500A31"/>
    <w:rsid w:val="00500A6B"/>
    <w:rsid w:val="005012CB"/>
    <w:rsid w:val="005013A3"/>
    <w:rsid w:val="0050168F"/>
    <w:rsid w:val="00501BA5"/>
    <w:rsid w:val="005028CE"/>
    <w:rsid w:val="00502A7F"/>
    <w:rsid w:val="00502DFC"/>
    <w:rsid w:val="00502E04"/>
    <w:rsid w:val="00503276"/>
    <w:rsid w:val="00503303"/>
    <w:rsid w:val="00503668"/>
    <w:rsid w:val="00503C7A"/>
    <w:rsid w:val="00503CAE"/>
    <w:rsid w:val="00503EFF"/>
    <w:rsid w:val="005043DD"/>
    <w:rsid w:val="00504E10"/>
    <w:rsid w:val="00504F51"/>
    <w:rsid w:val="00505522"/>
    <w:rsid w:val="00505D60"/>
    <w:rsid w:val="005060B8"/>
    <w:rsid w:val="0050645F"/>
    <w:rsid w:val="005065B2"/>
    <w:rsid w:val="005068A8"/>
    <w:rsid w:val="00506A93"/>
    <w:rsid w:val="00506ADC"/>
    <w:rsid w:val="00506B27"/>
    <w:rsid w:val="00506B8C"/>
    <w:rsid w:val="00506DF3"/>
    <w:rsid w:val="005071C2"/>
    <w:rsid w:val="00507371"/>
    <w:rsid w:val="005074C0"/>
    <w:rsid w:val="005079FD"/>
    <w:rsid w:val="00507ADA"/>
    <w:rsid w:val="00507EFF"/>
    <w:rsid w:val="005106C4"/>
    <w:rsid w:val="00510772"/>
    <w:rsid w:val="0051079D"/>
    <w:rsid w:val="00510A6E"/>
    <w:rsid w:val="00510F54"/>
    <w:rsid w:val="00511746"/>
    <w:rsid w:val="00511A7D"/>
    <w:rsid w:val="00511C78"/>
    <w:rsid w:val="00512647"/>
    <w:rsid w:val="0051287D"/>
    <w:rsid w:val="005131FC"/>
    <w:rsid w:val="005135D5"/>
    <w:rsid w:val="00513BA2"/>
    <w:rsid w:val="00513C9B"/>
    <w:rsid w:val="00513DEA"/>
    <w:rsid w:val="00514069"/>
    <w:rsid w:val="005140FF"/>
    <w:rsid w:val="005142AB"/>
    <w:rsid w:val="0051465F"/>
    <w:rsid w:val="005149B6"/>
    <w:rsid w:val="00514D5C"/>
    <w:rsid w:val="005153EF"/>
    <w:rsid w:val="005156C5"/>
    <w:rsid w:val="00515778"/>
    <w:rsid w:val="005159DF"/>
    <w:rsid w:val="00515B51"/>
    <w:rsid w:val="00516020"/>
    <w:rsid w:val="005166A3"/>
    <w:rsid w:val="00517225"/>
    <w:rsid w:val="005174DB"/>
    <w:rsid w:val="005209DC"/>
    <w:rsid w:val="005209F8"/>
    <w:rsid w:val="00520F39"/>
    <w:rsid w:val="005210EF"/>
    <w:rsid w:val="005214F3"/>
    <w:rsid w:val="0052154C"/>
    <w:rsid w:val="005219A1"/>
    <w:rsid w:val="00521A04"/>
    <w:rsid w:val="0052266E"/>
    <w:rsid w:val="00522F66"/>
    <w:rsid w:val="005237BB"/>
    <w:rsid w:val="00523B33"/>
    <w:rsid w:val="00523B51"/>
    <w:rsid w:val="005241E8"/>
    <w:rsid w:val="0052430B"/>
    <w:rsid w:val="0052470B"/>
    <w:rsid w:val="00524A29"/>
    <w:rsid w:val="00524A44"/>
    <w:rsid w:val="00525029"/>
    <w:rsid w:val="00525500"/>
    <w:rsid w:val="00525551"/>
    <w:rsid w:val="00525A1D"/>
    <w:rsid w:val="00525A2D"/>
    <w:rsid w:val="00525A9A"/>
    <w:rsid w:val="00525B4E"/>
    <w:rsid w:val="00525C11"/>
    <w:rsid w:val="00525F47"/>
    <w:rsid w:val="0052603F"/>
    <w:rsid w:val="005262E9"/>
    <w:rsid w:val="00526628"/>
    <w:rsid w:val="00526871"/>
    <w:rsid w:val="00526AE1"/>
    <w:rsid w:val="00526C68"/>
    <w:rsid w:val="00530250"/>
    <w:rsid w:val="00530B75"/>
    <w:rsid w:val="00530E1E"/>
    <w:rsid w:val="00531798"/>
    <w:rsid w:val="005319DC"/>
    <w:rsid w:val="00531C65"/>
    <w:rsid w:val="00531D12"/>
    <w:rsid w:val="00531E70"/>
    <w:rsid w:val="00531FBB"/>
    <w:rsid w:val="00532861"/>
    <w:rsid w:val="005328C3"/>
    <w:rsid w:val="0053291B"/>
    <w:rsid w:val="00532E06"/>
    <w:rsid w:val="00533098"/>
    <w:rsid w:val="005330D0"/>
    <w:rsid w:val="005336CC"/>
    <w:rsid w:val="00533C21"/>
    <w:rsid w:val="00533CCF"/>
    <w:rsid w:val="0053431F"/>
    <w:rsid w:val="00534385"/>
    <w:rsid w:val="00534447"/>
    <w:rsid w:val="005346F7"/>
    <w:rsid w:val="0053473A"/>
    <w:rsid w:val="0053485F"/>
    <w:rsid w:val="00534881"/>
    <w:rsid w:val="00535338"/>
    <w:rsid w:val="005353A7"/>
    <w:rsid w:val="00535574"/>
    <w:rsid w:val="005355A9"/>
    <w:rsid w:val="005357C6"/>
    <w:rsid w:val="00536028"/>
    <w:rsid w:val="00536134"/>
    <w:rsid w:val="00536421"/>
    <w:rsid w:val="00536597"/>
    <w:rsid w:val="005367BF"/>
    <w:rsid w:val="00536C8E"/>
    <w:rsid w:val="0053748A"/>
    <w:rsid w:val="00537804"/>
    <w:rsid w:val="00537B7E"/>
    <w:rsid w:val="00537C90"/>
    <w:rsid w:val="00537EBA"/>
    <w:rsid w:val="0054040C"/>
    <w:rsid w:val="00540893"/>
    <w:rsid w:val="00540C4A"/>
    <w:rsid w:val="00541242"/>
    <w:rsid w:val="00542467"/>
    <w:rsid w:val="0054276B"/>
    <w:rsid w:val="00542787"/>
    <w:rsid w:val="00542835"/>
    <w:rsid w:val="00542C93"/>
    <w:rsid w:val="00542D30"/>
    <w:rsid w:val="00542DFC"/>
    <w:rsid w:val="00543103"/>
    <w:rsid w:val="005436FA"/>
    <w:rsid w:val="005437B9"/>
    <w:rsid w:val="0054383E"/>
    <w:rsid w:val="00543E85"/>
    <w:rsid w:val="00544678"/>
    <w:rsid w:val="00544718"/>
    <w:rsid w:val="005448CA"/>
    <w:rsid w:val="00544B92"/>
    <w:rsid w:val="00544C63"/>
    <w:rsid w:val="0054576D"/>
    <w:rsid w:val="00545847"/>
    <w:rsid w:val="00545A55"/>
    <w:rsid w:val="00545EA0"/>
    <w:rsid w:val="00546252"/>
    <w:rsid w:val="005463AD"/>
    <w:rsid w:val="005464AB"/>
    <w:rsid w:val="005464B7"/>
    <w:rsid w:val="005468A6"/>
    <w:rsid w:val="005478A0"/>
    <w:rsid w:val="005478B8"/>
    <w:rsid w:val="005479BF"/>
    <w:rsid w:val="00547A4E"/>
    <w:rsid w:val="00547B23"/>
    <w:rsid w:val="00547F84"/>
    <w:rsid w:val="005501D2"/>
    <w:rsid w:val="005502B6"/>
    <w:rsid w:val="00550539"/>
    <w:rsid w:val="00550F5D"/>
    <w:rsid w:val="00550F77"/>
    <w:rsid w:val="00551E25"/>
    <w:rsid w:val="00551F8A"/>
    <w:rsid w:val="00552381"/>
    <w:rsid w:val="0055268F"/>
    <w:rsid w:val="00552A6C"/>
    <w:rsid w:val="00552B6A"/>
    <w:rsid w:val="00553204"/>
    <w:rsid w:val="00553812"/>
    <w:rsid w:val="0055393D"/>
    <w:rsid w:val="005539AE"/>
    <w:rsid w:val="00554913"/>
    <w:rsid w:val="00554A47"/>
    <w:rsid w:val="00554D9F"/>
    <w:rsid w:val="0055501D"/>
    <w:rsid w:val="00555502"/>
    <w:rsid w:val="00555BF4"/>
    <w:rsid w:val="00555D3B"/>
    <w:rsid w:val="00556003"/>
    <w:rsid w:val="005563F5"/>
    <w:rsid w:val="0055668A"/>
    <w:rsid w:val="005566AC"/>
    <w:rsid w:val="00556DD4"/>
    <w:rsid w:val="00556FA8"/>
    <w:rsid w:val="005574BA"/>
    <w:rsid w:val="0055753A"/>
    <w:rsid w:val="005576AA"/>
    <w:rsid w:val="005577CE"/>
    <w:rsid w:val="005578A9"/>
    <w:rsid w:val="00557B00"/>
    <w:rsid w:val="00557C85"/>
    <w:rsid w:val="0056036F"/>
    <w:rsid w:val="00560734"/>
    <w:rsid w:val="00560BDA"/>
    <w:rsid w:val="00560E42"/>
    <w:rsid w:val="0056202C"/>
    <w:rsid w:val="005621F6"/>
    <w:rsid w:val="0056293A"/>
    <w:rsid w:val="00562BCB"/>
    <w:rsid w:val="00562C33"/>
    <w:rsid w:val="00562DA6"/>
    <w:rsid w:val="00562DF6"/>
    <w:rsid w:val="00562E2C"/>
    <w:rsid w:val="00563615"/>
    <w:rsid w:val="00563B4F"/>
    <w:rsid w:val="00563DED"/>
    <w:rsid w:val="00564244"/>
    <w:rsid w:val="00564C16"/>
    <w:rsid w:val="00564C4C"/>
    <w:rsid w:val="00564CC7"/>
    <w:rsid w:val="005655CE"/>
    <w:rsid w:val="005658EE"/>
    <w:rsid w:val="00565ED0"/>
    <w:rsid w:val="00565F72"/>
    <w:rsid w:val="005660AC"/>
    <w:rsid w:val="005662A9"/>
    <w:rsid w:val="00566785"/>
    <w:rsid w:val="005669FE"/>
    <w:rsid w:val="00566D40"/>
    <w:rsid w:val="00566DCE"/>
    <w:rsid w:val="00566EBB"/>
    <w:rsid w:val="00567363"/>
    <w:rsid w:val="00567798"/>
    <w:rsid w:val="00567AB1"/>
    <w:rsid w:val="00567EFB"/>
    <w:rsid w:val="005705B8"/>
    <w:rsid w:val="0057094F"/>
    <w:rsid w:val="00570C40"/>
    <w:rsid w:val="00570EF5"/>
    <w:rsid w:val="0057125D"/>
    <w:rsid w:val="00571C2A"/>
    <w:rsid w:val="0057237C"/>
    <w:rsid w:val="00572B59"/>
    <w:rsid w:val="00573085"/>
    <w:rsid w:val="005737C9"/>
    <w:rsid w:val="00573880"/>
    <w:rsid w:val="0057394E"/>
    <w:rsid w:val="00573F7C"/>
    <w:rsid w:val="00574B71"/>
    <w:rsid w:val="00574E4D"/>
    <w:rsid w:val="005752BA"/>
    <w:rsid w:val="005752FC"/>
    <w:rsid w:val="00575930"/>
    <w:rsid w:val="005765B1"/>
    <w:rsid w:val="0057667C"/>
    <w:rsid w:val="00576DCE"/>
    <w:rsid w:val="00577515"/>
    <w:rsid w:val="00580116"/>
    <w:rsid w:val="005810CB"/>
    <w:rsid w:val="00581891"/>
    <w:rsid w:val="005818E3"/>
    <w:rsid w:val="00581AB3"/>
    <w:rsid w:val="00581E38"/>
    <w:rsid w:val="00582880"/>
    <w:rsid w:val="00582C7D"/>
    <w:rsid w:val="00582FF2"/>
    <w:rsid w:val="0058324C"/>
    <w:rsid w:val="005834FE"/>
    <w:rsid w:val="00583CF8"/>
    <w:rsid w:val="00583F5C"/>
    <w:rsid w:val="00583FAF"/>
    <w:rsid w:val="00584625"/>
    <w:rsid w:val="0058485B"/>
    <w:rsid w:val="0058488F"/>
    <w:rsid w:val="00584C4E"/>
    <w:rsid w:val="00584CCE"/>
    <w:rsid w:val="00584E1E"/>
    <w:rsid w:val="0058530C"/>
    <w:rsid w:val="005855BD"/>
    <w:rsid w:val="00586039"/>
    <w:rsid w:val="005860B1"/>
    <w:rsid w:val="005865E5"/>
    <w:rsid w:val="0058676D"/>
    <w:rsid w:val="0058677E"/>
    <w:rsid w:val="005871D7"/>
    <w:rsid w:val="0058731F"/>
    <w:rsid w:val="0058741D"/>
    <w:rsid w:val="00587BA2"/>
    <w:rsid w:val="00590150"/>
    <w:rsid w:val="005901B3"/>
    <w:rsid w:val="005904A4"/>
    <w:rsid w:val="0059126A"/>
    <w:rsid w:val="00591373"/>
    <w:rsid w:val="00591BAB"/>
    <w:rsid w:val="00591CCC"/>
    <w:rsid w:val="00591F59"/>
    <w:rsid w:val="00592626"/>
    <w:rsid w:val="00592FF0"/>
    <w:rsid w:val="00593050"/>
    <w:rsid w:val="00593BDD"/>
    <w:rsid w:val="005941AD"/>
    <w:rsid w:val="00594BAC"/>
    <w:rsid w:val="00595170"/>
    <w:rsid w:val="005952CE"/>
    <w:rsid w:val="00595731"/>
    <w:rsid w:val="00595953"/>
    <w:rsid w:val="0059595D"/>
    <w:rsid w:val="00595981"/>
    <w:rsid w:val="00595A20"/>
    <w:rsid w:val="00595C3E"/>
    <w:rsid w:val="00596148"/>
    <w:rsid w:val="005965B1"/>
    <w:rsid w:val="00596919"/>
    <w:rsid w:val="00596E71"/>
    <w:rsid w:val="00596F58"/>
    <w:rsid w:val="00597059"/>
    <w:rsid w:val="00597330"/>
    <w:rsid w:val="00597414"/>
    <w:rsid w:val="00597650"/>
    <w:rsid w:val="00597B04"/>
    <w:rsid w:val="00597B49"/>
    <w:rsid w:val="00597BB0"/>
    <w:rsid w:val="00597E31"/>
    <w:rsid w:val="005A07C4"/>
    <w:rsid w:val="005A0AE0"/>
    <w:rsid w:val="005A0EC7"/>
    <w:rsid w:val="005A0F48"/>
    <w:rsid w:val="005A103C"/>
    <w:rsid w:val="005A10F1"/>
    <w:rsid w:val="005A164B"/>
    <w:rsid w:val="005A1CD0"/>
    <w:rsid w:val="005A1DE2"/>
    <w:rsid w:val="005A21B5"/>
    <w:rsid w:val="005A2457"/>
    <w:rsid w:val="005A263E"/>
    <w:rsid w:val="005A2768"/>
    <w:rsid w:val="005A2D4E"/>
    <w:rsid w:val="005A2F90"/>
    <w:rsid w:val="005A36F0"/>
    <w:rsid w:val="005A38AD"/>
    <w:rsid w:val="005A3EE1"/>
    <w:rsid w:val="005A444D"/>
    <w:rsid w:val="005A4568"/>
    <w:rsid w:val="005A486E"/>
    <w:rsid w:val="005A491A"/>
    <w:rsid w:val="005A598E"/>
    <w:rsid w:val="005A6697"/>
    <w:rsid w:val="005A6CE7"/>
    <w:rsid w:val="005A703C"/>
    <w:rsid w:val="005A789E"/>
    <w:rsid w:val="005A78E1"/>
    <w:rsid w:val="005A7E3B"/>
    <w:rsid w:val="005B0CDF"/>
    <w:rsid w:val="005B1308"/>
    <w:rsid w:val="005B19B4"/>
    <w:rsid w:val="005B1A8D"/>
    <w:rsid w:val="005B1F75"/>
    <w:rsid w:val="005B2285"/>
    <w:rsid w:val="005B26F5"/>
    <w:rsid w:val="005B288D"/>
    <w:rsid w:val="005B2F18"/>
    <w:rsid w:val="005B3066"/>
    <w:rsid w:val="005B3237"/>
    <w:rsid w:val="005B3521"/>
    <w:rsid w:val="005B3564"/>
    <w:rsid w:val="005B36F1"/>
    <w:rsid w:val="005B3E45"/>
    <w:rsid w:val="005B3F50"/>
    <w:rsid w:val="005B40B3"/>
    <w:rsid w:val="005B4360"/>
    <w:rsid w:val="005B467A"/>
    <w:rsid w:val="005B4A23"/>
    <w:rsid w:val="005B4A2B"/>
    <w:rsid w:val="005B4E54"/>
    <w:rsid w:val="005B4EE9"/>
    <w:rsid w:val="005B50A4"/>
    <w:rsid w:val="005B52A3"/>
    <w:rsid w:val="005B5600"/>
    <w:rsid w:val="005B5965"/>
    <w:rsid w:val="005B66F3"/>
    <w:rsid w:val="005B6707"/>
    <w:rsid w:val="005B69CC"/>
    <w:rsid w:val="005B6C58"/>
    <w:rsid w:val="005B6E6D"/>
    <w:rsid w:val="005B7CA9"/>
    <w:rsid w:val="005B7E03"/>
    <w:rsid w:val="005C026A"/>
    <w:rsid w:val="005C065C"/>
    <w:rsid w:val="005C1082"/>
    <w:rsid w:val="005C11B3"/>
    <w:rsid w:val="005C1369"/>
    <w:rsid w:val="005C191A"/>
    <w:rsid w:val="005C2321"/>
    <w:rsid w:val="005C2830"/>
    <w:rsid w:val="005C2F1C"/>
    <w:rsid w:val="005C335D"/>
    <w:rsid w:val="005C3565"/>
    <w:rsid w:val="005C360B"/>
    <w:rsid w:val="005C37FA"/>
    <w:rsid w:val="005C3A15"/>
    <w:rsid w:val="005C40FB"/>
    <w:rsid w:val="005C4BBA"/>
    <w:rsid w:val="005C4DE6"/>
    <w:rsid w:val="005C4F7A"/>
    <w:rsid w:val="005C5556"/>
    <w:rsid w:val="005C60F7"/>
    <w:rsid w:val="005C6575"/>
    <w:rsid w:val="005C68D6"/>
    <w:rsid w:val="005C6AD2"/>
    <w:rsid w:val="005C6B1C"/>
    <w:rsid w:val="005C6B2E"/>
    <w:rsid w:val="005C6BE6"/>
    <w:rsid w:val="005C73AA"/>
    <w:rsid w:val="005C74C7"/>
    <w:rsid w:val="005C7504"/>
    <w:rsid w:val="005C7852"/>
    <w:rsid w:val="005C7D1E"/>
    <w:rsid w:val="005D0308"/>
    <w:rsid w:val="005D039E"/>
    <w:rsid w:val="005D0484"/>
    <w:rsid w:val="005D0E0A"/>
    <w:rsid w:val="005D18CE"/>
    <w:rsid w:val="005D20D3"/>
    <w:rsid w:val="005D2458"/>
    <w:rsid w:val="005D2BAA"/>
    <w:rsid w:val="005D2DD4"/>
    <w:rsid w:val="005D33E8"/>
    <w:rsid w:val="005D36F5"/>
    <w:rsid w:val="005D38CD"/>
    <w:rsid w:val="005D3B40"/>
    <w:rsid w:val="005D42A4"/>
    <w:rsid w:val="005D435C"/>
    <w:rsid w:val="005D46B9"/>
    <w:rsid w:val="005D4F3E"/>
    <w:rsid w:val="005D4F7A"/>
    <w:rsid w:val="005D510A"/>
    <w:rsid w:val="005D5341"/>
    <w:rsid w:val="005D5B6E"/>
    <w:rsid w:val="005D5BE6"/>
    <w:rsid w:val="005D6C98"/>
    <w:rsid w:val="005D7379"/>
    <w:rsid w:val="005D7746"/>
    <w:rsid w:val="005E057F"/>
    <w:rsid w:val="005E05F0"/>
    <w:rsid w:val="005E0CBF"/>
    <w:rsid w:val="005E0D4E"/>
    <w:rsid w:val="005E10B4"/>
    <w:rsid w:val="005E11C6"/>
    <w:rsid w:val="005E146C"/>
    <w:rsid w:val="005E1651"/>
    <w:rsid w:val="005E1A9A"/>
    <w:rsid w:val="005E1B59"/>
    <w:rsid w:val="005E2526"/>
    <w:rsid w:val="005E25BD"/>
    <w:rsid w:val="005E2659"/>
    <w:rsid w:val="005E2E7E"/>
    <w:rsid w:val="005E31FC"/>
    <w:rsid w:val="005E3522"/>
    <w:rsid w:val="005E357C"/>
    <w:rsid w:val="005E3A29"/>
    <w:rsid w:val="005E3B2A"/>
    <w:rsid w:val="005E3C5E"/>
    <w:rsid w:val="005E4604"/>
    <w:rsid w:val="005E4C2B"/>
    <w:rsid w:val="005E5144"/>
    <w:rsid w:val="005E548A"/>
    <w:rsid w:val="005E604B"/>
    <w:rsid w:val="005E6384"/>
    <w:rsid w:val="005E6741"/>
    <w:rsid w:val="005E69A6"/>
    <w:rsid w:val="005E69DB"/>
    <w:rsid w:val="005E6D04"/>
    <w:rsid w:val="005E735E"/>
    <w:rsid w:val="005E7382"/>
    <w:rsid w:val="005E7A68"/>
    <w:rsid w:val="005E7C1F"/>
    <w:rsid w:val="005F00C9"/>
    <w:rsid w:val="005F045E"/>
    <w:rsid w:val="005F0CFA"/>
    <w:rsid w:val="005F0F33"/>
    <w:rsid w:val="005F12A2"/>
    <w:rsid w:val="005F15CA"/>
    <w:rsid w:val="005F1A63"/>
    <w:rsid w:val="005F1E8B"/>
    <w:rsid w:val="005F1EC5"/>
    <w:rsid w:val="005F259B"/>
    <w:rsid w:val="005F299F"/>
    <w:rsid w:val="005F2A89"/>
    <w:rsid w:val="005F2A9A"/>
    <w:rsid w:val="005F2E35"/>
    <w:rsid w:val="005F2F04"/>
    <w:rsid w:val="005F3191"/>
    <w:rsid w:val="005F3631"/>
    <w:rsid w:val="005F3C5E"/>
    <w:rsid w:val="005F3E31"/>
    <w:rsid w:val="005F42EF"/>
    <w:rsid w:val="005F5200"/>
    <w:rsid w:val="005F5399"/>
    <w:rsid w:val="005F56C6"/>
    <w:rsid w:val="005F5AE9"/>
    <w:rsid w:val="005F5B9A"/>
    <w:rsid w:val="005F6397"/>
    <w:rsid w:val="005F6587"/>
    <w:rsid w:val="005F6BA7"/>
    <w:rsid w:val="005F7098"/>
    <w:rsid w:val="005F72DC"/>
    <w:rsid w:val="005F7417"/>
    <w:rsid w:val="005F7C24"/>
    <w:rsid w:val="006009E6"/>
    <w:rsid w:val="00600F1F"/>
    <w:rsid w:val="00601E42"/>
    <w:rsid w:val="0060211A"/>
    <w:rsid w:val="00602164"/>
    <w:rsid w:val="006025D3"/>
    <w:rsid w:val="006029CB"/>
    <w:rsid w:val="00602E5C"/>
    <w:rsid w:val="00602F2F"/>
    <w:rsid w:val="00603217"/>
    <w:rsid w:val="0060331C"/>
    <w:rsid w:val="00603B95"/>
    <w:rsid w:val="006041BD"/>
    <w:rsid w:val="006044F2"/>
    <w:rsid w:val="006045F4"/>
    <w:rsid w:val="00604657"/>
    <w:rsid w:val="00604812"/>
    <w:rsid w:val="00604DA6"/>
    <w:rsid w:val="006051AC"/>
    <w:rsid w:val="006052E5"/>
    <w:rsid w:val="00605533"/>
    <w:rsid w:val="0060602A"/>
    <w:rsid w:val="00606371"/>
    <w:rsid w:val="00606432"/>
    <w:rsid w:val="00606AA7"/>
    <w:rsid w:val="00606AB0"/>
    <w:rsid w:val="00606CC0"/>
    <w:rsid w:val="0060717A"/>
    <w:rsid w:val="006071D9"/>
    <w:rsid w:val="006079AD"/>
    <w:rsid w:val="006108F3"/>
    <w:rsid w:val="00610B4F"/>
    <w:rsid w:val="00610DE2"/>
    <w:rsid w:val="00610FDE"/>
    <w:rsid w:val="00611737"/>
    <w:rsid w:val="00611AD3"/>
    <w:rsid w:val="00611BE5"/>
    <w:rsid w:val="00611F67"/>
    <w:rsid w:val="006126D2"/>
    <w:rsid w:val="006126F5"/>
    <w:rsid w:val="0061295E"/>
    <w:rsid w:val="00612DD7"/>
    <w:rsid w:val="0061316B"/>
    <w:rsid w:val="006131DF"/>
    <w:rsid w:val="00613483"/>
    <w:rsid w:val="00613503"/>
    <w:rsid w:val="006139AF"/>
    <w:rsid w:val="00613E04"/>
    <w:rsid w:val="00613E97"/>
    <w:rsid w:val="00613ED8"/>
    <w:rsid w:val="00614344"/>
    <w:rsid w:val="00614605"/>
    <w:rsid w:val="00614E0B"/>
    <w:rsid w:val="00614F3A"/>
    <w:rsid w:val="0061516E"/>
    <w:rsid w:val="0061535E"/>
    <w:rsid w:val="00615396"/>
    <w:rsid w:val="00615851"/>
    <w:rsid w:val="00615E21"/>
    <w:rsid w:val="006164F9"/>
    <w:rsid w:val="00616903"/>
    <w:rsid w:val="006169C7"/>
    <w:rsid w:val="00616A57"/>
    <w:rsid w:val="00616AE6"/>
    <w:rsid w:val="00616EFD"/>
    <w:rsid w:val="006204CE"/>
    <w:rsid w:val="00620FE6"/>
    <w:rsid w:val="0062122C"/>
    <w:rsid w:val="006215B0"/>
    <w:rsid w:val="006215FF"/>
    <w:rsid w:val="0062166A"/>
    <w:rsid w:val="006219A0"/>
    <w:rsid w:val="00621BCF"/>
    <w:rsid w:val="00621CCA"/>
    <w:rsid w:val="00622633"/>
    <w:rsid w:val="00622BE7"/>
    <w:rsid w:val="00622D1C"/>
    <w:rsid w:val="006234F4"/>
    <w:rsid w:val="0062374D"/>
    <w:rsid w:val="00624CD7"/>
    <w:rsid w:val="00625984"/>
    <w:rsid w:val="00625ABD"/>
    <w:rsid w:val="00625F3B"/>
    <w:rsid w:val="00626017"/>
    <w:rsid w:val="006264C2"/>
    <w:rsid w:val="006267DF"/>
    <w:rsid w:val="00626CEF"/>
    <w:rsid w:val="00626D1A"/>
    <w:rsid w:val="00626DB9"/>
    <w:rsid w:val="00626EA7"/>
    <w:rsid w:val="006270B3"/>
    <w:rsid w:val="00627248"/>
    <w:rsid w:val="0062724F"/>
    <w:rsid w:val="006278E8"/>
    <w:rsid w:val="006279F6"/>
    <w:rsid w:val="00627B5F"/>
    <w:rsid w:val="0063021D"/>
    <w:rsid w:val="00630486"/>
    <w:rsid w:val="0063079C"/>
    <w:rsid w:val="00630A51"/>
    <w:rsid w:val="00630CDB"/>
    <w:rsid w:val="00631027"/>
    <w:rsid w:val="0063167A"/>
    <w:rsid w:val="006316A0"/>
    <w:rsid w:val="00631BF2"/>
    <w:rsid w:val="006321C8"/>
    <w:rsid w:val="006323F8"/>
    <w:rsid w:val="0063280E"/>
    <w:rsid w:val="00632A52"/>
    <w:rsid w:val="006336CA"/>
    <w:rsid w:val="0063384E"/>
    <w:rsid w:val="006338E4"/>
    <w:rsid w:val="00633A8E"/>
    <w:rsid w:val="00633D6D"/>
    <w:rsid w:val="0063409B"/>
    <w:rsid w:val="00634766"/>
    <w:rsid w:val="006348C0"/>
    <w:rsid w:val="0063539B"/>
    <w:rsid w:val="00635486"/>
    <w:rsid w:val="006355FD"/>
    <w:rsid w:val="00635678"/>
    <w:rsid w:val="0063568A"/>
    <w:rsid w:val="00635728"/>
    <w:rsid w:val="00635D3D"/>
    <w:rsid w:val="00636071"/>
    <w:rsid w:val="006364D3"/>
    <w:rsid w:val="00636A5F"/>
    <w:rsid w:val="006371C8"/>
    <w:rsid w:val="00637769"/>
    <w:rsid w:val="00637AA3"/>
    <w:rsid w:val="00637C51"/>
    <w:rsid w:val="00637D41"/>
    <w:rsid w:val="00640358"/>
    <w:rsid w:val="006409B6"/>
    <w:rsid w:val="006411EB"/>
    <w:rsid w:val="00641320"/>
    <w:rsid w:val="00641793"/>
    <w:rsid w:val="0064189B"/>
    <w:rsid w:val="00642406"/>
    <w:rsid w:val="0064264C"/>
    <w:rsid w:val="00642A0F"/>
    <w:rsid w:val="00642FCC"/>
    <w:rsid w:val="0064302C"/>
    <w:rsid w:val="00643064"/>
    <w:rsid w:val="0064327F"/>
    <w:rsid w:val="0064356A"/>
    <w:rsid w:val="0064356E"/>
    <w:rsid w:val="00643616"/>
    <w:rsid w:val="0064368B"/>
    <w:rsid w:val="00643903"/>
    <w:rsid w:val="006439A9"/>
    <w:rsid w:val="00643A23"/>
    <w:rsid w:val="006443FC"/>
    <w:rsid w:val="00644718"/>
    <w:rsid w:val="00644777"/>
    <w:rsid w:val="00644EB1"/>
    <w:rsid w:val="00644FBF"/>
    <w:rsid w:val="006452A9"/>
    <w:rsid w:val="00645470"/>
    <w:rsid w:val="00645481"/>
    <w:rsid w:val="00645612"/>
    <w:rsid w:val="00646152"/>
    <w:rsid w:val="00646F92"/>
    <w:rsid w:val="00647055"/>
    <w:rsid w:val="006502D7"/>
    <w:rsid w:val="006507E0"/>
    <w:rsid w:val="00650A30"/>
    <w:rsid w:val="00650DCF"/>
    <w:rsid w:val="00651451"/>
    <w:rsid w:val="00651596"/>
    <w:rsid w:val="0065193D"/>
    <w:rsid w:val="00651CB8"/>
    <w:rsid w:val="0065220A"/>
    <w:rsid w:val="00652607"/>
    <w:rsid w:val="00652ED3"/>
    <w:rsid w:val="00652F92"/>
    <w:rsid w:val="0065327D"/>
    <w:rsid w:val="00653382"/>
    <w:rsid w:val="0065353A"/>
    <w:rsid w:val="00653821"/>
    <w:rsid w:val="00653BCB"/>
    <w:rsid w:val="00653D75"/>
    <w:rsid w:val="00653FF6"/>
    <w:rsid w:val="006541EC"/>
    <w:rsid w:val="006546FB"/>
    <w:rsid w:val="00654EEB"/>
    <w:rsid w:val="006552C7"/>
    <w:rsid w:val="00655355"/>
    <w:rsid w:val="00655380"/>
    <w:rsid w:val="00655433"/>
    <w:rsid w:val="00655692"/>
    <w:rsid w:val="00655774"/>
    <w:rsid w:val="00655E18"/>
    <w:rsid w:val="00656080"/>
    <w:rsid w:val="0065612A"/>
    <w:rsid w:val="0065647C"/>
    <w:rsid w:val="0065656A"/>
    <w:rsid w:val="0065669F"/>
    <w:rsid w:val="00656B70"/>
    <w:rsid w:val="00656BC2"/>
    <w:rsid w:val="00657128"/>
    <w:rsid w:val="0065742A"/>
    <w:rsid w:val="0065780F"/>
    <w:rsid w:val="00657848"/>
    <w:rsid w:val="00657916"/>
    <w:rsid w:val="00657EAA"/>
    <w:rsid w:val="00657F90"/>
    <w:rsid w:val="006606F3"/>
    <w:rsid w:val="006607F6"/>
    <w:rsid w:val="00660A90"/>
    <w:rsid w:val="00661137"/>
    <w:rsid w:val="006619E7"/>
    <w:rsid w:val="00661D57"/>
    <w:rsid w:val="0066204E"/>
    <w:rsid w:val="00662145"/>
    <w:rsid w:val="00662364"/>
    <w:rsid w:val="0066245A"/>
    <w:rsid w:val="00662B34"/>
    <w:rsid w:val="00663220"/>
    <w:rsid w:val="00663D98"/>
    <w:rsid w:val="006641C6"/>
    <w:rsid w:val="006642B9"/>
    <w:rsid w:val="00664300"/>
    <w:rsid w:val="00664C54"/>
    <w:rsid w:val="0066504F"/>
    <w:rsid w:val="00665828"/>
    <w:rsid w:val="006660AF"/>
    <w:rsid w:val="006663B1"/>
    <w:rsid w:val="006665CE"/>
    <w:rsid w:val="00666CE9"/>
    <w:rsid w:val="00666EF8"/>
    <w:rsid w:val="0066705C"/>
    <w:rsid w:val="006671C0"/>
    <w:rsid w:val="00667395"/>
    <w:rsid w:val="006675B5"/>
    <w:rsid w:val="006676F0"/>
    <w:rsid w:val="0066778B"/>
    <w:rsid w:val="006678D8"/>
    <w:rsid w:val="00667A16"/>
    <w:rsid w:val="00667ACB"/>
    <w:rsid w:val="006706A4"/>
    <w:rsid w:val="0067161B"/>
    <w:rsid w:val="00671787"/>
    <w:rsid w:val="00671990"/>
    <w:rsid w:val="00672097"/>
    <w:rsid w:val="006721E9"/>
    <w:rsid w:val="00672493"/>
    <w:rsid w:val="006727EB"/>
    <w:rsid w:val="00672912"/>
    <w:rsid w:val="00672AA8"/>
    <w:rsid w:val="006733A8"/>
    <w:rsid w:val="006733B0"/>
    <w:rsid w:val="0067374B"/>
    <w:rsid w:val="006737B7"/>
    <w:rsid w:val="006742C0"/>
    <w:rsid w:val="0067465A"/>
    <w:rsid w:val="006746DE"/>
    <w:rsid w:val="00674C4E"/>
    <w:rsid w:val="00675778"/>
    <w:rsid w:val="00675E69"/>
    <w:rsid w:val="006762EC"/>
    <w:rsid w:val="0067672B"/>
    <w:rsid w:val="00676E83"/>
    <w:rsid w:val="00677532"/>
    <w:rsid w:val="00677F82"/>
    <w:rsid w:val="006800AD"/>
    <w:rsid w:val="006811F3"/>
    <w:rsid w:val="00681457"/>
    <w:rsid w:val="006821BE"/>
    <w:rsid w:val="006829BC"/>
    <w:rsid w:val="00682C5C"/>
    <w:rsid w:val="00682F3C"/>
    <w:rsid w:val="006832DF"/>
    <w:rsid w:val="00683627"/>
    <w:rsid w:val="006837C2"/>
    <w:rsid w:val="0068397B"/>
    <w:rsid w:val="0068399E"/>
    <w:rsid w:val="00683B47"/>
    <w:rsid w:val="0068428B"/>
    <w:rsid w:val="006845EF"/>
    <w:rsid w:val="006853A9"/>
    <w:rsid w:val="006856CE"/>
    <w:rsid w:val="00685AF3"/>
    <w:rsid w:val="006860E9"/>
    <w:rsid w:val="0068647E"/>
    <w:rsid w:val="00686741"/>
    <w:rsid w:val="006867F8"/>
    <w:rsid w:val="00686815"/>
    <w:rsid w:val="00686F8C"/>
    <w:rsid w:val="006876E5"/>
    <w:rsid w:val="006877CF"/>
    <w:rsid w:val="0068782E"/>
    <w:rsid w:val="00687BAA"/>
    <w:rsid w:val="006900CC"/>
    <w:rsid w:val="00690800"/>
    <w:rsid w:val="00690BE6"/>
    <w:rsid w:val="00690D4F"/>
    <w:rsid w:val="0069188F"/>
    <w:rsid w:val="00691C22"/>
    <w:rsid w:val="00692A2F"/>
    <w:rsid w:val="00693565"/>
    <w:rsid w:val="006935E1"/>
    <w:rsid w:val="006937C8"/>
    <w:rsid w:val="00693E78"/>
    <w:rsid w:val="00693EF0"/>
    <w:rsid w:val="0069418B"/>
    <w:rsid w:val="006944D8"/>
    <w:rsid w:val="00694665"/>
    <w:rsid w:val="00694B62"/>
    <w:rsid w:val="00695304"/>
    <w:rsid w:val="00695762"/>
    <w:rsid w:val="00695C22"/>
    <w:rsid w:val="00695D49"/>
    <w:rsid w:val="00696048"/>
    <w:rsid w:val="006960C3"/>
    <w:rsid w:val="0069661B"/>
    <w:rsid w:val="006966E0"/>
    <w:rsid w:val="00697041"/>
    <w:rsid w:val="0069724A"/>
    <w:rsid w:val="00697521"/>
    <w:rsid w:val="00697543"/>
    <w:rsid w:val="006979AE"/>
    <w:rsid w:val="00697BD5"/>
    <w:rsid w:val="00697C80"/>
    <w:rsid w:val="00697EE9"/>
    <w:rsid w:val="006A15A6"/>
    <w:rsid w:val="006A16CD"/>
    <w:rsid w:val="006A1825"/>
    <w:rsid w:val="006A1B6C"/>
    <w:rsid w:val="006A1F82"/>
    <w:rsid w:val="006A256E"/>
    <w:rsid w:val="006A2AD5"/>
    <w:rsid w:val="006A2AF9"/>
    <w:rsid w:val="006A2B4B"/>
    <w:rsid w:val="006A351C"/>
    <w:rsid w:val="006A3668"/>
    <w:rsid w:val="006A41B8"/>
    <w:rsid w:val="006A45C9"/>
    <w:rsid w:val="006A4912"/>
    <w:rsid w:val="006A50EE"/>
    <w:rsid w:val="006A53A4"/>
    <w:rsid w:val="006A5636"/>
    <w:rsid w:val="006A565B"/>
    <w:rsid w:val="006A59D7"/>
    <w:rsid w:val="006A5A91"/>
    <w:rsid w:val="006A5ECE"/>
    <w:rsid w:val="006A66EB"/>
    <w:rsid w:val="006A6946"/>
    <w:rsid w:val="006A74D7"/>
    <w:rsid w:val="006A7624"/>
    <w:rsid w:val="006A7743"/>
    <w:rsid w:val="006B0162"/>
    <w:rsid w:val="006B020C"/>
    <w:rsid w:val="006B0815"/>
    <w:rsid w:val="006B0CF2"/>
    <w:rsid w:val="006B0D03"/>
    <w:rsid w:val="006B10B7"/>
    <w:rsid w:val="006B136A"/>
    <w:rsid w:val="006B1671"/>
    <w:rsid w:val="006B19C8"/>
    <w:rsid w:val="006B1CBE"/>
    <w:rsid w:val="006B1D36"/>
    <w:rsid w:val="006B1F5E"/>
    <w:rsid w:val="006B20DF"/>
    <w:rsid w:val="006B225D"/>
    <w:rsid w:val="006B25C2"/>
    <w:rsid w:val="006B279B"/>
    <w:rsid w:val="006B2F17"/>
    <w:rsid w:val="006B33BB"/>
    <w:rsid w:val="006B33F3"/>
    <w:rsid w:val="006B36D7"/>
    <w:rsid w:val="006B45D2"/>
    <w:rsid w:val="006B4942"/>
    <w:rsid w:val="006B4E9F"/>
    <w:rsid w:val="006B4FCE"/>
    <w:rsid w:val="006B518F"/>
    <w:rsid w:val="006B547E"/>
    <w:rsid w:val="006B59A2"/>
    <w:rsid w:val="006B5AC6"/>
    <w:rsid w:val="006B5BD8"/>
    <w:rsid w:val="006B5C9F"/>
    <w:rsid w:val="006B5D3F"/>
    <w:rsid w:val="006B5EBD"/>
    <w:rsid w:val="006B5EC4"/>
    <w:rsid w:val="006B602D"/>
    <w:rsid w:val="006B6159"/>
    <w:rsid w:val="006B61A9"/>
    <w:rsid w:val="006B6540"/>
    <w:rsid w:val="006B6BB3"/>
    <w:rsid w:val="006B6C1F"/>
    <w:rsid w:val="006B6FCB"/>
    <w:rsid w:val="006B7530"/>
    <w:rsid w:val="006B757F"/>
    <w:rsid w:val="006B75E6"/>
    <w:rsid w:val="006B7606"/>
    <w:rsid w:val="006B7A8A"/>
    <w:rsid w:val="006B7B41"/>
    <w:rsid w:val="006C0722"/>
    <w:rsid w:val="006C0E40"/>
    <w:rsid w:val="006C1026"/>
    <w:rsid w:val="006C1483"/>
    <w:rsid w:val="006C1881"/>
    <w:rsid w:val="006C1EDE"/>
    <w:rsid w:val="006C205B"/>
    <w:rsid w:val="006C21FC"/>
    <w:rsid w:val="006C23CE"/>
    <w:rsid w:val="006C2572"/>
    <w:rsid w:val="006C2AF9"/>
    <w:rsid w:val="006C2E95"/>
    <w:rsid w:val="006C2F14"/>
    <w:rsid w:val="006C30F9"/>
    <w:rsid w:val="006C31D9"/>
    <w:rsid w:val="006C34D5"/>
    <w:rsid w:val="006C34FE"/>
    <w:rsid w:val="006C3919"/>
    <w:rsid w:val="006C3A09"/>
    <w:rsid w:val="006C451B"/>
    <w:rsid w:val="006C4663"/>
    <w:rsid w:val="006C4984"/>
    <w:rsid w:val="006C4AB3"/>
    <w:rsid w:val="006C4DBF"/>
    <w:rsid w:val="006C4F10"/>
    <w:rsid w:val="006C54A6"/>
    <w:rsid w:val="006C559A"/>
    <w:rsid w:val="006C583B"/>
    <w:rsid w:val="006C596E"/>
    <w:rsid w:val="006C6719"/>
    <w:rsid w:val="006C6DDB"/>
    <w:rsid w:val="006C6F1F"/>
    <w:rsid w:val="006C706D"/>
    <w:rsid w:val="006C72FA"/>
    <w:rsid w:val="006C75FE"/>
    <w:rsid w:val="006C7836"/>
    <w:rsid w:val="006C7913"/>
    <w:rsid w:val="006C7B24"/>
    <w:rsid w:val="006C7D10"/>
    <w:rsid w:val="006D046D"/>
    <w:rsid w:val="006D0762"/>
    <w:rsid w:val="006D07BD"/>
    <w:rsid w:val="006D097A"/>
    <w:rsid w:val="006D09D7"/>
    <w:rsid w:val="006D0E74"/>
    <w:rsid w:val="006D128C"/>
    <w:rsid w:val="006D13DD"/>
    <w:rsid w:val="006D21F1"/>
    <w:rsid w:val="006D21F7"/>
    <w:rsid w:val="006D25BC"/>
    <w:rsid w:val="006D2966"/>
    <w:rsid w:val="006D2988"/>
    <w:rsid w:val="006D3093"/>
    <w:rsid w:val="006D319B"/>
    <w:rsid w:val="006D3319"/>
    <w:rsid w:val="006D36A3"/>
    <w:rsid w:val="006D36A5"/>
    <w:rsid w:val="006D38D6"/>
    <w:rsid w:val="006D39F3"/>
    <w:rsid w:val="006D4017"/>
    <w:rsid w:val="006D4253"/>
    <w:rsid w:val="006D4624"/>
    <w:rsid w:val="006D4654"/>
    <w:rsid w:val="006D4824"/>
    <w:rsid w:val="006D4833"/>
    <w:rsid w:val="006D4A25"/>
    <w:rsid w:val="006D4AAD"/>
    <w:rsid w:val="006D4AFB"/>
    <w:rsid w:val="006D4B2A"/>
    <w:rsid w:val="006D4BA5"/>
    <w:rsid w:val="006D4C4B"/>
    <w:rsid w:val="006D4F7D"/>
    <w:rsid w:val="006D5316"/>
    <w:rsid w:val="006D6176"/>
    <w:rsid w:val="006D6488"/>
    <w:rsid w:val="006D661A"/>
    <w:rsid w:val="006D6EF9"/>
    <w:rsid w:val="006D72DD"/>
    <w:rsid w:val="006D77AA"/>
    <w:rsid w:val="006D7866"/>
    <w:rsid w:val="006E0221"/>
    <w:rsid w:val="006E0BD3"/>
    <w:rsid w:val="006E0DBF"/>
    <w:rsid w:val="006E11D6"/>
    <w:rsid w:val="006E1442"/>
    <w:rsid w:val="006E170D"/>
    <w:rsid w:val="006E1A98"/>
    <w:rsid w:val="006E1CF6"/>
    <w:rsid w:val="006E1F71"/>
    <w:rsid w:val="006E2273"/>
    <w:rsid w:val="006E2CD6"/>
    <w:rsid w:val="006E3DF3"/>
    <w:rsid w:val="006E4446"/>
    <w:rsid w:val="006E458B"/>
    <w:rsid w:val="006E4D7F"/>
    <w:rsid w:val="006E529D"/>
    <w:rsid w:val="006E579B"/>
    <w:rsid w:val="006E5CE9"/>
    <w:rsid w:val="006E5F7B"/>
    <w:rsid w:val="006E61D4"/>
    <w:rsid w:val="006E64FD"/>
    <w:rsid w:val="006E66E4"/>
    <w:rsid w:val="006E6D6C"/>
    <w:rsid w:val="006E701F"/>
    <w:rsid w:val="006E77B0"/>
    <w:rsid w:val="006E7A19"/>
    <w:rsid w:val="006E7B49"/>
    <w:rsid w:val="006F02D9"/>
    <w:rsid w:val="006F041D"/>
    <w:rsid w:val="006F0B9B"/>
    <w:rsid w:val="006F1262"/>
    <w:rsid w:val="006F1B0B"/>
    <w:rsid w:val="006F1CC5"/>
    <w:rsid w:val="006F1D37"/>
    <w:rsid w:val="006F22D0"/>
    <w:rsid w:val="006F2315"/>
    <w:rsid w:val="006F2630"/>
    <w:rsid w:val="006F2814"/>
    <w:rsid w:val="006F2F02"/>
    <w:rsid w:val="006F30B7"/>
    <w:rsid w:val="006F328B"/>
    <w:rsid w:val="006F3606"/>
    <w:rsid w:val="006F3966"/>
    <w:rsid w:val="006F3A42"/>
    <w:rsid w:val="006F4175"/>
    <w:rsid w:val="006F4AF4"/>
    <w:rsid w:val="006F4C7F"/>
    <w:rsid w:val="006F54BB"/>
    <w:rsid w:val="006F55AC"/>
    <w:rsid w:val="006F5848"/>
    <w:rsid w:val="006F5B38"/>
    <w:rsid w:val="006F64F3"/>
    <w:rsid w:val="006F6C1D"/>
    <w:rsid w:val="006F6FC6"/>
    <w:rsid w:val="006F7109"/>
    <w:rsid w:val="006F7270"/>
    <w:rsid w:val="006F741F"/>
    <w:rsid w:val="006F799C"/>
    <w:rsid w:val="00700934"/>
    <w:rsid w:val="007015B5"/>
    <w:rsid w:val="00701BC2"/>
    <w:rsid w:val="00702069"/>
    <w:rsid w:val="00702699"/>
    <w:rsid w:val="00702A79"/>
    <w:rsid w:val="007035D8"/>
    <w:rsid w:val="00703C58"/>
    <w:rsid w:val="007045F4"/>
    <w:rsid w:val="0070488F"/>
    <w:rsid w:val="00704A30"/>
    <w:rsid w:val="00704FC0"/>
    <w:rsid w:val="007053A1"/>
    <w:rsid w:val="00705618"/>
    <w:rsid w:val="00706004"/>
    <w:rsid w:val="00707166"/>
    <w:rsid w:val="007071FF"/>
    <w:rsid w:val="007075C9"/>
    <w:rsid w:val="00707A3D"/>
    <w:rsid w:val="00710661"/>
    <w:rsid w:val="00710833"/>
    <w:rsid w:val="00710CEB"/>
    <w:rsid w:val="0071121D"/>
    <w:rsid w:val="00711829"/>
    <w:rsid w:val="00711EC8"/>
    <w:rsid w:val="007133FB"/>
    <w:rsid w:val="0071411F"/>
    <w:rsid w:val="00714455"/>
    <w:rsid w:val="0071482A"/>
    <w:rsid w:val="00714949"/>
    <w:rsid w:val="0071527D"/>
    <w:rsid w:val="007155C8"/>
    <w:rsid w:val="00715799"/>
    <w:rsid w:val="00716387"/>
    <w:rsid w:val="007170CC"/>
    <w:rsid w:val="00717ED8"/>
    <w:rsid w:val="007206C0"/>
    <w:rsid w:val="00720DD5"/>
    <w:rsid w:val="0072105D"/>
    <w:rsid w:val="0072112C"/>
    <w:rsid w:val="00721794"/>
    <w:rsid w:val="00721F38"/>
    <w:rsid w:val="00721FB1"/>
    <w:rsid w:val="00722085"/>
    <w:rsid w:val="00722108"/>
    <w:rsid w:val="00722535"/>
    <w:rsid w:val="007227D7"/>
    <w:rsid w:val="00722A08"/>
    <w:rsid w:val="00722AC1"/>
    <w:rsid w:val="00722B47"/>
    <w:rsid w:val="00722DF8"/>
    <w:rsid w:val="00723465"/>
    <w:rsid w:val="00723EC6"/>
    <w:rsid w:val="00724076"/>
    <w:rsid w:val="007240FD"/>
    <w:rsid w:val="007241FD"/>
    <w:rsid w:val="0072468B"/>
    <w:rsid w:val="007247F6"/>
    <w:rsid w:val="00724C57"/>
    <w:rsid w:val="00724EFE"/>
    <w:rsid w:val="0072525E"/>
    <w:rsid w:val="007252BE"/>
    <w:rsid w:val="007257D9"/>
    <w:rsid w:val="00725BCB"/>
    <w:rsid w:val="00725D4A"/>
    <w:rsid w:val="00725D7F"/>
    <w:rsid w:val="00725FA1"/>
    <w:rsid w:val="0072673D"/>
    <w:rsid w:val="00726755"/>
    <w:rsid w:val="00726CB3"/>
    <w:rsid w:val="00726E0D"/>
    <w:rsid w:val="00726FB3"/>
    <w:rsid w:val="0072700C"/>
    <w:rsid w:val="00727A83"/>
    <w:rsid w:val="00727C07"/>
    <w:rsid w:val="00727E25"/>
    <w:rsid w:val="00727FEB"/>
    <w:rsid w:val="00730628"/>
    <w:rsid w:val="00730820"/>
    <w:rsid w:val="007311F2"/>
    <w:rsid w:val="0073167B"/>
    <w:rsid w:val="00731727"/>
    <w:rsid w:val="00731F3D"/>
    <w:rsid w:val="0073202A"/>
    <w:rsid w:val="0073235A"/>
    <w:rsid w:val="00732492"/>
    <w:rsid w:val="00733125"/>
    <w:rsid w:val="007332F8"/>
    <w:rsid w:val="0073331D"/>
    <w:rsid w:val="007333EB"/>
    <w:rsid w:val="0073366F"/>
    <w:rsid w:val="007339D7"/>
    <w:rsid w:val="007343BE"/>
    <w:rsid w:val="007343C0"/>
    <w:rsid w:val="007343F9"/>
    <w:rsid w:val="00734513"/>
    <w:rsid w:val="00734570"/>
    <w:rsid w:val="0073457D"/>
    <w:rsid w:val="00734689"/>
    <w:rsid w:val="0073580E"/>
    <w:rsid w:val="00735B4F"/>
    <w:rsid w:val="00735DE9"/>
    <w:rsid w:val="00736886"/>
    <w:rsid w:val="00736E7A"/>
    <w:rsid w:val="00737D22"/>
    <w:rsid w:val="00737EE7"/>
    <w:rsid w:val="00737F8F"/>
    <w:rsid w:val="00740980"/>
    <w:rsid w:val="00740C25"/>
    <w:rsid w:val="0074133A"/>
    <w:rsid w:val="007415BC"/>
    <w:rsid w:val="007416C5"/>
    <w:rsid w:val="00741E9D"/>
    <w:rsid w:val="007421AC"/>
    <w:rsid w:val="00742590"/>
    <w:rsid w:val="007425F5"/>
    <w:rsid w:val="0074269A"/>
    <w:rsid w:val="007427C2"/>
    <w:rsid w:val="0074319F"/>
    <w:rsid w:val="00743FDB"/>
    <w:rsid w:val="007442E9"/>
    <w:rsid w:val="007445F8"/>
    <w:rsid w:val="00744CDC"/>
    <w:rsid w:val="00744F43"/>
    <w:rsid w:val="00745913"/>
    <w:rsid w:val="00745DC5"/>
    <w:rsid w:val="00745E89"/>
    <w:rsid w:val="007463E1"/>
    <w:rsid w:val="0074689F"/>
    <w:rsid w:val="00747062"/>
    <w:rsid w:val="00747BF8"/>
    <w:rsid w:val="00747F51"/>
    <w:rsid w:val="007500DD"/>
    <w:rsid w:val="0075052C"/>
    <w:rsid w:val="00750B09"/>
    <w:rsid w:val="00750F88"/>
    <w:rsid w:val="00751363"/>
    <w:rsid w:val="00751C2B"/>
    <w:rsid w:val="00752091"/>
    <w:rsid w:val="007520C5"/>
    <w:rsid w:val="00752BF1"/>
    <w:rsid w:val="00752FF2"/>
    <w:rsid w:val="00752FF4"/>
    <w:rsid w:val="0075308B"/>
    <w:rsid w:val="00753AA2"/>
    <w:rsid w:val="00753B8C"/>
    <w:rsid w:val="00753DB0"/>
    <w:rsid w:val="00753FD1"/>
    <w:rsid w:val="00754256"/>
    <w:rsid w:val="00754BF5"/>
    <w:rsid w:val="00754ED8"/>
    <w:rsid w:val="00755444"/>
    <w:rsid w:val="007556DA"/>
    <w:rsid w:val="00755F3B"/>
    <w:rsid w:val="00755FD4"/>
    <w:rsid w:val="0075601C"/>
    <w:rsid w:val="0075619C"/>
    <w:rsid w:val="0075657B"/>
    <w:rsid w:val="00756B8C"/>
    <w:rsid w:val="007576F7"/>
    <w:rsid w:val="007577DC"/>
    <w:rsid w:val="00760039"/>
    <w:rsid w:val="007605F6"/>
    <w:rsid w:val="00760A53"/>
    <w:rsid w:val="00760ABD"/>
    <w:rsid w:val="007610FD"/>
    <w:rsid w:val="007611A3"/>
    <w:rsid w:val="00761A7F"/>
    <w:rsid w:val="00761E87"/>
    <w:rsid w:val="007622C2"/>
    <w:rsid w:val="00762301"/>
    <w:rsid w:val="007624B8"/>
    <w:rsid w:val="007624BB"/>
    <w:rsid w:val="00762B2D"/>
    <w:rsid w:val="00763236"/>
    <w:rsid w:val="007633A0"/>
    <w:rsid w:val="0076372B"/>
    <w:rsid w:val="00763948"/>
    <w:rsid w:val="00763C33"/>
    <w:rsid w:val="00763E41"/>
    <w:rsid w:val="007641F8"/>
    <w:rsid w:val="00764458"/>
    <w:rsid w:val="007646A3"/>
    <w:rsid w:val="00764843"/>
    <w:rsid w:val="00764943"/>
    <w:rsid w:val="00764B42"/>
    <w:rsid w:val="00764D22"/>
    <w:rsid w:val="00764DE1"/>
    <w:rsid w:val="00765225"/>
    <w:rsid w:val="00765455"/>
    <w:rsid w:val="00765537"/>
    <w:rsid w:val="00765703"/>
    <w:rsid w:val="0076571B"/>
    <w:rsid w:val="007657A3"/>
    <w:rsid w:val="0076672D"/>
    <w:rsid w:val="007667CA"/>
    <w:rsid w:val="00766B32"/>
    <w:rsid w:val="0076753B"/>
    <w:rsid w:val="0076769D"/>
    <w:rsid w:val="0076771E"/>
    <w:rsid w:val="00767A61"/>
    <w:rsid w:val="00767BC0"/>
    <w:rsid w:val="00767BE9"/>
    <w:rsid w:val="00767D45"/>
    <w:rsid w:val="007707D3"/>
    <w:rsid w:val="00770875"/>
    <w:rsid w:val="00770A8D"/>
    <w:rsid w:val="00770DBD"/>
    <w:rsid w:val="0077166C"/>
    <w:rsid w:val="0077194E"/>
    <w:rsid w:val="007719AB"/>
    <w:rsid w:val="0077267E"/>
    <w:rsid w:val="00772681"/>
    <w:rsid w:val="00772A02"/>
    <w:rsid w:val="00772B20"/>
    <w:rsid w:val="00772DED"/>
    <w:rsid w:val="00772EE4"/>
    <w:rsid w:val="00773068"/>
    <w:rsid w:val="00773207"/>
    <w:rsid w:val="0077395E"/>
    <w:rsid w:val="00773FB0"/>
    <w:rsid w:val="00774ADA"/>
    <w:rsid w:val="00775130"/>
    <w:rsid w:val="0077537D"/>
    <w:rsid w:val="00775AF8"/>
    <w:rsid w:val="00775DE1"/>
    <w:rsid w:val="00775ED1"/>
    <w:rsid w:val="007766DA"/>
    <w:rsid w:val="00776757"/>
    <w:rsid w:val="0077683C"/>
    <w:rsid w:val="00776B18"/>
    <w:rsid w:val="00776B21"/>
    <w:rsid w:val="00776BE4"/>
    <w:rsid w:val="00776C09"/>
    <w:rsid w:val="00776D49"/>
    <w:rsid w:val="00776ECB"/>
    <w:rsid w:val="007778D5"/>
    <w:rsid w:val="00777B2E"/>
    <w:rsid w:val="0078006C"/>
    <w:rsid w:val="0078080B"/>
    <w:rsid w:val="00780DE2"/>
    <w:rsid w:val="00781325"/>
    <w:rsid w:val="00781340"/>
    <w:rsid w:val="00781373"/>
    <w:rsid w:val="007813E1"/>
    <w:rsid w:val="00781654"/>
    <w:rsid w:val="00781B9E"/>
    <w:rsid w:val="00782185"/>
    <w:rsid w:val="00782199"/>
    <w:rsid w:val="00782BC5"/>
    <w:rsid w:val="00783040"/>
    <w:rsid w:val="00783122"/>
    <w:rsid w:val="00783299"/>
    <w:rsid w:val="00783760"/>
    <w:rsid w:val="00783A0A"/>
    <w:rsid w:val="00783A7A"/>
    <w:rsid w:val="00783B62"/>
    <w:rsid w:val="00783F90"/>
    <w:rsid w:val="007842D4"/>
    <w:rsid w:val="007843B2"/>
    <w:rsid w:val="00784CB0"/>
    <w:rsid w:val="00784EDE"/>
    <w:rsid w:val="0078557A"/>
    <w:rsid w:val="007856F3"/>
    <w:rsid w:val="0078583D"/>
    <w:rsid w:val="007860F8"/>
    <w:rsid w:val="00786388"/>
    <w:rsid w:val="00786460"/>
    <w:rsid w:val="007864E1"/>
    <w:rsid w:val="00786753"/>
    <w:rsid w:val="00786AC5"/>
    <w:rsid w:val="00786DFA"/>
    <w:rsid w:val="00786FD0"/>
    <w:rsid w:val="007871FE"/>
    <w:rsid w:val="0078750E"/>
    <w:rsid w:val="0078782B"/>
    <w:rsid w:val="00787AD5"/>
    <w:rsid w:val="00787B20"/>
    <w:rsid w:val="00787DCF"/>
    <w:rsid w:val="00787E53"/>
    <w:rsid w:val="00790389"/>
    <w:rsid w:val="0079087F"/>
    <w:rsid w:val="007911CC"/>
    <w:rsid w:val="0079125E"/>
    <w:rsid w:val="0079191D"/>
    <w:rsid w:val="00791B71"/>
    <w:rsid w:val="00791E8C"/>
    <w:rsid w:val="007920D2"/>
    <w:rsid w:val="00792A07"/>
    <w:rsid w:val="00793248"/>
    <w:rsid w:val="00793637"/>
    <w:rsid w:val="00794238"/>
    <w:rsid w:val="00794A00"/>
    <w:rsid w:val="00794AD9"/>
    <w:rsid w:val="00794AE0"/>
    <w:rsid w:val="00794B77"/>
    <w:rsid w:val="00795099"/>
    <w:rsid w:val="007953D0"/>
    <w:rsid w:val="00795451"/>
    <w:rsid w:val="007954E7"/>
    <w:rsid w:val="00795879"/>
    <w:rsid w:val="007966AF"/>
    <w:rsid w:val="00797073"/>
    <w:rsid w:val="00797130"/>
    <w:rsid w:val="0079729B"/>
    <w:rsid w:val="007979A8"/>
    <w:rsid w:val="00797DC2"/>
    <w:rsid w:val="007A0110"/>
    <w:rsid w:val="007A0378"/>
    <w:rsid w:val="007A05C7"/>
    <w:rsid w:val="007A07A4"/>
    <w:rsid w:val="007A09DA"/>
    <w:rsid w:val="007A0D8B"/>
    <w:rsid w:val="007A0E36"/>
    <w:rsid w:val="007A1987"/>
    <w:rsid w:val="007A212C"/>
    <w:rsid w:val="007A2A79"/>
    <w:rsid w:val="007A2A8C"/>
    <w:rsid w:val="007A2BF0"/>
    <w:rsid w:val="007A2E19"/>
    <w:rsid w:val="007A2E5C"/>
    <w:rsid w:val="007A3482"/>
    <w:rsid w:val="007A34AB"/>
    <w:rsid w:val="007A3E12"/>
    <w:rsid w:val="007A400C"/>
    <w:rsid w:val="007A404C"/>
    <w:rsid w:val="007A40A8"/>
    <w:rsid w:val="007A42A4"/>
    <w:rsid w:val="007A49EE"/>
    <w:rsid w:val="007A4AB7"/>
    <w:rsid w:val="007A4D9E"/>
    <w:rsid w:val="007A5AC1"/>
    <w:rsid w:val="007A5BCD"/>
    <w:rsid w:val="007A5F9C"/>
    <w:rsid w:val="007A66D8"/>
    <w:rsid w:val="007A6BCA"/>
    <w:rsid w:val="007A6E8A"/>
    <w:rsid w:val="007A7197"/>
    <w:rsid w:val="007A736B"/>
    <w:rsid w:val="007A7435"/>
    <w:rsid w:val="007A7BDB"/>
    <w:rsid w:val="007A7DF6"/>
    <w:rsid w:val="007B043A"/>
    <w:rsid w:val="007B06AB"/>
    <w:rsid w:val="007B091B"/>
    <w:rsid w:val="007B0C62"/>
    <w:rsid w:val="007B0D7B"/>
    <w:rsid w:val="007B17D4"/>
    <w:rsid w:val="007B1B86"/>
    <w:rsid w:val="007B207F"/>
    <w:rsid w:val="007B2213"/>
    <w:rsid w:val="007B2386"/>
    <w:rsid w:val="007B2938"/>
    <w:rsid w:val="007B2BA4"/>
    <w:rsid w:val="007B2FBE"/>
    <w:rsid w:val="007B3672"/>
    <w:rsid w:val="007B3EAE"/>
    <w:rsid w:val="007B4470"/>
    <w:rsid w:val="007B47B7"/>
    <w:rsid w:val="007B4EF8"/>
    <w:rsid w:val="007B4FDE"/>
    <w:rsid w:val="007B5167"/>
    <w:rsid w:val="007B55CB"/>
    <w:rsid w:val="007B5CD8"/>
    <w:rsid w:val="007B5E93"/>
    <w:rsid w:val="007B6833"/>
    <w:rsid w:val="007B68B4"/>
    <w:rsid w:val="007B69D7"/>
    <w:rsid w:val="007B71A7"/>
    <w:rsid w:val="007B72A4"/>
    <w:rsid w:val="007B735F"/>
    <w:rsid w:val="007B73D0"/>
    <w:rsid w:val="007B7512"/>
    <w:rsid w:val="007B7B93"/>
    <w:rsid w:val="007B7EBA"/>
    <w:rsid w:val="007C0666"/>
    <w:rsid w:val="007C075E"/>
    <w:rsid w:val="007C07AB"/>
    <w:rsid w:val="007C0867"/>
    <w:rsid w:val="007C0BAB"/>
    <w:rsid w:val="007C23E0"/>
    <w:rsid w:val="007C244E"/>
    <w:rsid w:val="007C2803"/>
    <w:rsid w:val="007C2BF7"/>
    <w:rsid w:val="007C3055"/>
    <w:rsid w:val="007C31FC"/>
    <w:rsid w:val="007C359C"/>
    <w:rsid w:val="007C3C63"/>
    <w:rsid w:val="007C3CD0"/>
    <w:rsid w:val="007C3DA3"/>
    <w:rsid w:val="007C438A"/>
    <w:rsid w:val="007C4B09"/>
    <w:rsid w:val="007C4B22"/>
    <w:rsid w:val="007C5722"/>
    <w:rsid w:val="007C5A6B"/>
    <w:rsid w:val="007C5D09"/>
    <w:rsid w:val="007C6A02"/>
    <w:rsid w:val="007C6EA6"/>
    <w:rsid w:val="007C6F03"/>
    <w:rsid w:val="007C71A5"/>
    <w:rsid w:val="007C7B2F"/>
    <w:rsid w:val="007C7D3E"/>
    <w:rsid w:val="007C7D86"/>
    <w:rsid w:val="007C7E00"/>
    <w:rsid w:val="007C7EA5"/>
    <w:rsid w:val="007C7F6F"/>
    <w:rsid w:val="007D007F"/>
    <w:rsid w:val="007D0364"/>
    <w:rsid w:val="007D0495"/>
    <w:rsid w:val="007D05A0"/>
    <w:rsid w:val="007D06AA"/>
    <w:rsid w:val="007D0901"/>
    <w:rsid w:val="007D0D89"/>
    <w:rsid w:val="007D1616"/>
    <w:rsid w:val="007D2AB9"/>
    <w:rsid w:val="007D2DB7"/>
    <w:rsid w:val="007D2E4B"/>
    <w:rsid w:val="007D2FC5"/>
    <w:rsid w:val="007D3079"/>
    <w:rsid w:val="007D3337"/>
    <w:rsid w:val="007D33B4"/>
    <w:rsid w:val="007D390B"/>
    <w:rsid w:val="007D3C7D"/>
    <w:rsid w:val="007D3E60"/>
    <w:rsid w:val="007D3FC8"/>
    <w:rsid w:val="007D4A05"/>
    <w:rsid w:val="007D4A31"/>
    <w:rsid w:val="007D4C3A"/>
    <w:rsid w:val="007D4C5B"/>
    <w:rsid w:val="007D53C0"/>
    <w:rsid w:val="007D56E3"/>
    <w:rsid w:val="007D5C8B"/>
    <w:rsid w:val="007D6240"/>
    <w:rsid w:val="007D698E"/>
    <w:rsid w:val="007D6D95"/>
    <w:rsid w:val="007D7C04"/>
    <w:rsid w:val="007E03D0"/>
    <w:rsid w:val="007E084A"/>
    <w:rsid w:val="007E0AD8"/>
    <w:rsid w:val="007E0AE9"/>
    <w:rsid w:val="007E0BD9"/>
    <w:rsid w:val="007E0C6B"/>
    <w:rsid w:val="007E0D0E"/>
    <w:rsid w:val="007E1770"/>
    <w:rsid w:val="007E1A08"/>
    <w:rsid w:val="007E1CB6"/>
    <w:rsid w:val="007E2066"/>
    <w:rsid w:val="007E20EB"/>
    <w:rsid w:val="007E2687"/>
    <w:rsid w:val="007E2C6D"/>
    <w:rsid w:val="007E2FCA"/>
    <w:rsid w:val="007E3227"/>
    <w:rsid w:val="007E389B"/>
    <w:rsid w:val="007E3CC0"/>
    <w:rsid w:val="007E42FE"/>
    <w:rsid w:val="007E454E"/>
    <w:rsid w:val="007E4794"/>
    <w:rsid w:val="007E4B67"/>
    <w:rsid w:val="007E4C75"/>
    <w:rsid w:val="007E4CEA"/>
    <w:rsid w:val="007E4E1C"/>
    <w:rsid w:val="007E4E30"/>
    <w:rsid w:val="007E4EBF"/>
    <w:rsid w:val="007E51D6"/>
    <w:rsid w:val="007E5A42"/>
    <w:rsid w:val="007E5C9E"/>
    <w:rsid w:val="007E6157"/>
    <w:rsid w:val="007E621A"/>
    <w:rsid w:val="007E6869"/>
    <w:rsid w:val="007E7A0D"/>
    <w:rsid w:val="007E7FD3"/>
    <w:rsid w:val="007F0DB8"/>
    <w:rsid w:val="007F2B40"/>
    <w:rsid w:val="007F305B"/>
    <w:rsid w:val="007F3124"/>
    <w:rsid w:val="007F3375"/>
    <w:rsid w:val="007F3963"/>
    <w:rsid w:val="007F3E0F"/>
    <w:rsid w:val="007F56B5"/>
    <w:rsid w:val="007F5CC2"/>
    <w:rsid w:val="007F5ECE"/>
    <w:rsid w:val="007F6237"/>
    <w:rsid w:val="007F62F7"/>
    <w:rsid w:val="007F6359"/>
    <w:rsid w:val="007F641F"/>
    <w:rsid w:val="007F667E"/>
    <w:rsid w:val="007F6806"/>
    <w:rsid w:val="007F6A12"/>
    <w:rsid w:val="007F74BC"/>
    <w:rsid w:val="007F751F"/>
    <w:rsid w:val="007F7744"/>
    <w:rsid w:val="00800387"/>
    <w:rsid w:val="0080057E"/>
    <w:rsid w:val="008007EF"/>
    <w:rsid w:val="00801016"/>
    <w:rsid w:val="008012D3"/>
    <w:rsid w:val="008013DA"/>
    <w:rsid w:val="008015ED"/>
    <w:rsid w:val="00801649"/>
    <w:rsid w:val="00801BBD"/>
    <w:rsid w:val="00802154"/>
    <w:rsid w:val="008023E9"/>
    <w:rsid w:val="00802861"/>
    <w:rsid w:val="00802EF4"/>
    <w:rsid w:val="0080340D"/>
    <w:rsid w:val="008039C9"/>
    <w:rsid w:val="00804FD0"/>
    <w:rsid w:val="0080511C"/>
    <w:rsid w:val="00805887"/>
    <w:rsid w:val="00805B82"/>
    <w:rsid w:val="008063B9"/>
    <w:rsid w:val="00806565"/>
    <w:rsid w:val="00806B5A"/>
    <w:rsid w:val="00807C02"/>
    <w:rsid w:val="00807C04"/>
    <w:rsid w:val="008101E4"/>
    <w:rsid w:val="0081051A"/>
    <w:rsid w:val="00810552"/>
    <w:rsid w:val="00810FE1"/>
    <w:rsid w:val="00811E82"/>
    <w:rsid w:val="00812B22"/>
    <w:rsid w:val="00812DDC"/>
    <w:rsid w:val="00813135"/>
    <w:rsid w:val="008131ED"/>
    <w:rsid w:val="0081342F"/>
    <w:rsid w:val="00813D20"/>
    <w:rsid w:val="0081417B"/>
    <w:rsid w:val="0081441D"/>
    <w:rsid w:val="008148A8"/>
    <w:rsid w:val="00814D1A"/>
    <w:rsid w:val="00815163"/>
    <w:rsid w:val="008152C2"/>
    <w:rsid w:val="008157A1"/>
    <w:rsid w:val="00815BFF"/>
    <w:rsid w:val="0081627E"/>
    <w:rsid w:val="00816731"/>
    <w:rsid w:val="0081738F"/>
    <w:rsid w:val="00817C8A"/>
    <w:rsid w:val="00817E4C"/>
    <w:rsid w:val="00820044"/>
    <w:rsid w:val="00820280"/>
    <w:rsid w:val="008205B4"/>
    <w:rsid w:val="008208BA"/>
    <w:rsid w:val="00821026"/>
    <w:rsid w:val="008219A6"/>
    <w:rsid w:val="00821FDF"/>
    <w:rsid w:val="008221D6"/>
    <w:rsid w:val="00822457"/>
    <w:rsid w:val="0082274A"/>
    <w:rsid w:val="00822DCF"/>
    <w:rsid w:val="00822ED9"/>
    <w:rsid w:val="00822F14"/>
    <w:rsid w:val="00823178"/>
    <w:rsid w:val="008232A0"/>
    <w:rsid w:val="00823489"/>
    <w:rsid w:val="0082350B"/>
    <w:rsid w:val="0082367D"/>
    <w:rsid w:val="008242E5"/>
    <w:rsid w:val="00824372"/>
    <w:rsid w:val="008246CD"/>
    <w:rsid w:val="008247A1"/>
    <w:rsid w:val="00824B21"/>
    <w:rsid w:val="00825368"/>
    <w:rsid w:val="00825857"/>
    <w:rsid w:val="00825BA6"/>
    <w:rsid w:val="00825D08"/>
    <w:rsid w:val="00825EF1"/>
    <w:rsid w:val="00826597"/>
    <w:rsid w:val="00826860"/>
    <w:rsid w:val="00826B4F"/>
    <w:rsid w:val="00827403"/>
    <w:rsid w:val="00827F1D"/>
    <w:rsid w:val="0083060F"/>
    <w:rsid w:val="00830974"/>
    <w:rsid w:val="00830A67"/>
    <w:rsid w:val="00831178"/>
    <w:rsid w:val="00831234"/>
    <w:rsid w:val="008312D1"/>
    <w:rsid w:val="00831730"/>
    <w:rsid w:val="008317DD"/>
    <w:rsid w:val="00831A5C"/>
    <w:rsid w:val="00832192"/>
    <w:rsid w:val="00832CA8"/>
    <w:rsid w:val="00832FA5"/>
    <w:rsid w:val="0083383A"/>
    <w:rsid w:val="00833AE2"/>
    <w:rsid w:val="00834442"/>
    <w:rsid w:val="0083488E"/>
    <w:rsid w:val="00834ADF"/>
    <w:rsid w:val="00834BD0"/>
    <w:rsid w:val="008350E0"/>
    <w:rsid w:val="008351D2"/>
    <w:rsid w:val="00835956"/>
    <w:rsid w:val="00835C53"/>
    <w:rsid w:val="00835E49"/>
    <w:rsid w:val="00835E9A"/>
    <w:rsid w:val="00836251"/>
    <w:rsid w:val="00836285"/>
    <w:rsid w:val="00836E11"/>
    <w:rsid w:val="008370E0"/>
    <w:rsid w:val="00837238"/>
    <w:rsid w:val="008373B4"/>
    <w:rsid w:val="008378FA"/>
    <w:rsid w:val="00837E5F"/>
    <w:rsid w:val="008411CA"/>
    <w:rsid w:val="008411EA"/>
    <w:rsid w:val="00841853"/>
    <w:rsid w:val="00841A65"/>
    <w:rsid w:val="00842136"/>
    <w:rsid w:val="00842707"/>
    <w:rsid w:val="00842951"/>
    <w:rsid w:val="0084303A"/>
    <w:rsid w:val="00843189"/>
    <w:rsid w:val="0084375D"/>
    <w:rsid w:val="008437C4"/>
    <w:rsid w:val="00843BFD"/>
    <w:rsid w:val="00843C8D"/>
    <w:rsid w:val="00843CA6"/>
    <w:rsid w:val="0084465F"/>
    <w:rsid w:val="00844B23"/>
    <w:rsid w:val="0084516C"/>
    <w:rsid w:val="00845311"/>
    <w:rsid w:val="00845318"/>
    <w:rsid w:val="00845585"/>
    <w:rsid w:val="00845E78"/>
    <w:rsid w:val="0084613D"/>
    <w:rsid w:val="00846485"/>
    <w:rsid w:val="00846B36"/>
    <w:rsid w:val="00846EBD"/>
    <w:rsid w:val="0084755E"/>
    <w:rsid w:val="00847662"/>
    <w:rsid w:val="0084768F"/>
    <w:rsid w:val="008476CB"/>
    <w:rsid w:val="0084771B"/>
    <w:rsid w:val="008477AC"/>
    <w:rsid w:val="00847AFF"/>
    <w:rsid w:val="00847DE2"/>
    <w:rsid w:val="00847E10"/>
    <w:rsid w:val="00850884"/>
    <w:rsid w:val="00850F8B"/>
    <w:rsid w:val="0085120F"/>
    <w:rsid w:val="008515FE"/>
    <w:rsid w:val="00851E5F"/>
    <w:rsid w:val="00851ED0"/>
    <w:rsid w:val="00852014"/>
    <w:rsid w:val="008531CB"/>
    <w:rsid w:val="00853250"/>
    <w:rsid w:val="00853550"/>
    <w:rsid w:val="00853887"/>
    <w:rsid w:val="00853EA0"/>
    <w:rsid w:val="00854077"/>
    <w:rsid w:val="00854429"/>
    <w:rsid w:val="008545C0"/>
    <w:rsid w:val="00854831"/>
    <w:rsid w:val="00854A3A"/>
    <w:rsid w:val="00854A8E"/>
    <w:rsid w:val="008550DA"/>
    <w:rsid w:val="008553C6"/>
    <w:rsid w:val="00855562"/>
    <w:rsid w:val="00855658"/>
    <w:rsid w:val="00855768"/>
    <w:rsid w:val="00855E25"/>
    <w:rsid w:val="00855ED9"/>
    <w:rsid w:val="008564CB"/>
    <w:rsid w:val="008574B1"/>
    <w:rsid w:val="008574E7"/>
    <w:rsid w:val="00857DEB"/>
    <w:rsid w:val="00857FA3"/>
    <w:rsid w:val="00860288"/>
    <w:rsid w:val="00860FBE"/>
    <w:rsid w:val="0086175C"/>
    <w:rsid w:val="00861B93"/>
    <w:rsid w:val="00861BD3"/>
    <w:rsid w:val="00861E17"/>
    <w:rsid w:val="00861E7D"/>
    <w:rsid w:val="0086250D"/>
    <w:rsid w:val="0086292E"/>
    <w:rsid w:val="00862FBE"/>
    <w:rsid w:val="00863B72"/>
    <w:rsid w:val="00863F1C"/>
    <w:rsid w:val="0086457F"/>
    <w:rsid w:val="008647A9"/>
    <w:rsid w:val="0086482C"/>
    <w:rsid w:val="00864A7E"/>
    <w:rsid w:val="00864B35"/>
    <w:rsid w:val="00864B60"/>
    <w:rsid w:val="00864BE6"/>
    <w:rsid w:val="00864EE4"/>
    <w:rsid w:val="00865B8C"/>
    <w:rsid w:val="00865B99"/>
    <w:rsid w:val="008660B7"/>
    <w:rsid w:val="00866465"/>
    <w:rsid w:val="00866618"/>
    <w:rsid w:val="00866827"/>
    <w:rsid w:val="00866950"/>
    <w:rsid w:val="00866D77"/>
    <w:rsid w:val="00867160"/>
    <w:rsid w:val="008676B0"/>
    <w:rsid w:val="00867BB7"/>
    <w:rsid w:val="00870104"/>
    <w:rsid w:val="0087023D"/>
    <w:rsid w:val="0087029C"/>
    <w:rsid w:val="00870DCD"/>
    <w:rsid w:val="00870F45"/>
    <w:rsid w:val="0087169F"/>
    <w:rsid w:val="00871887"/>
    <w:rsid w:val="00871F19"/>
    <w:rsid w:val="008733DF"/>
    <w:rsid w:val="00873426"/>
    <w:rsid w:val="008736F7"/>
    <w:rsid w:val="00873885"/>
    <w:rsid w:val="00873969"/>
    <w:rsid w:val="00874051"/>
    <w:rsid w:val="0087437C"/>
    <w:rsid w:val="00874495"/>
    <w:rsid w:val="008746FD"/>
    <w:rsid w:val="00874F29"/>
    <w:rsid w:val="0087558D"/>
    <w:rsid w:val="0087578B"/>
    <w:rsid w:val="008759CC"/>
    <w:rsid w:val="00875BE8"/>
    <w:rsid w:val="00875BF1"/>
    <w:rsid w:val="00876346"/>
    <w:rsid w:val="00876550"/>
    <w:rsid w:val="0087673B"/>
    <w:rsid w:val="00876A94"/>
    <w:rsid w:val="00876E33"/>
    <w:rsid w:val="0087727B"/>
    <w:rsid w:val="0087784B"/>
    <w:rsid w:val="00877B8B"/>
    <w:rsid w:val="00877C4E"/>
    <w:rsid w:val="0088040D"/>
    <w:rsid w:val="00880EC5"/>
    <w:rsid w:val="008813C2"/>
    <w:rsid w:val="00881AAC"/>
    <w:rsid w:val="008820AD"/>
    <w:rsid w:val="0088288A"/>
    <w:rsid w:val="008828B4"/>
    <w:rsid w:val="00882A6B"/>
    <w:rsid w:val="00883571"/>
    <w:rsid w:val="008837A5"/>
    <w:rsid w:val="00883A4C"/>
    <w:rsid w:val="00883A95"/>
    <w:rsid w:val="00884289"/>
    <w:rsid w:val="0088432C"/>
    <w:rsid w:val="008848E7"/>
    <w:rsid w:val="00884B62"/>
    <w:rsid w:val="008853A7"/>
    <w:rsid w:val="0088554F"/>
    <w:rsid w:val="0088583B"/>
    <w:rsid w:val="00885A50"/>
    <w:rsid w:val="00885CE7"/>
    <w:rsid w:val="00886459"/>
    <w:rsid w:val="00886726"/>
    <w:rsid w:val="00886EF8"/>
    <w:rsid w:val="008874A8"/>
    <w:rsid w:val="00887AB4"/>
    <w:rsid w:val="00887DFE"/>
    <w:rsid w:val="00887E36"/>
    <w:rsid w:val="00887E48"/>
    <w:rsid w:val="00890076"/>
    <w:rsid w:val="008902EF"/>
    <w:rsid w:val="008906F7"/>
    <w:rsid w:val="0089077E"/>
    <w:rsid w:val="00890BEE"/>
    <w:rsid w:val="00890D6B"/>
    <w:rsid w:val="00891200"/>
    <w:rsid w:val="0089125C"/>
    <w:rsid w:val="0089168D"/>
    <w:rsid w:val="008916A0"/>
    <w:rsid w:val="008916D5"/>
    <w:rsid w:val="008920A1"/>
    <w:rsid w:val="008920DC"/>
    <w:rsid w:val="008926C2"/>
    <w:rsid w:val="00892BB6"/>
    <w:rsid w:val="00893518"/>
    <w:rsid w:val="0089352B"/>
    <w:rsid w:val="00893743"/>
    <w:rsid w:val="00893829"/>
    <w:rsid w:val="00893995"/>
    <w:rsid w:val="00893D78"/>
    <w:rsid w:val="008942AD"/>
    <w:rsid w:val="0089460F"/>
    <w:rsid w:val="00894A80"/>
    <w:rsid w:val="00894AF4"/>
    <w:rsid w:val="00894B81"/>
    <w:rsid w:val="00895003"/>
    <w:rsid w:val="00895817"/>
    <w:rsid w:val="0089601C"/>
    <w:rsid w:val="0089605A"/>
    <w:rsid w:val="00896085"/>
    <w:rsid w:val="00896751"/>
    <w:rsid w:val="0089687E"/>
    <w:rsid w:val="00896B19"/>
    <w:rsid w:val="008978EC"/>
    <w:rsid w:val="008979B6"/>
    <w:rsid w:val="00897F58"/>
    <w:rsid w:val="008A0453"/>
    <w:rsid w:val="008A0932"/>
    <w:rsid w:val="008A0CDB"/>
    <w:rsid w:val="008A13F9"/>
    <w:rsid w:val="008A1592"/>
    <w:rsid w:val="008A1680"/>
    <w:rsid w:val="008A1AD8"/>
    <w:rsid w:val="008A1D91"/>
    <w:rsid w:val="008A216D"/>
    <w:rsid w:val="008A21F7"/>
    <w:rsid w:val="008A2489"/>
    <w:rsid w:val="008A274A"/>
    <w:rsid w:val="008A2D57"/>
    <w:rsid w:val="008A2FE5"/>
    <w:rsid w:val="008A357F"/>
    <w:rsid w:val="008A35D8"/>
    <w:rsid w:val="008A367C"/>
    <w:rsid w:val="008A3B4F"/>
    <w:rsid w:val="008A3DB1"/>
    <w:rsid w:val="008A3F4A"/>
    <w:rsid w:val="008A4214"/>
    <w:rsid w:val="008A4274"/>
    <w:rsid w:val="008A4610"/>
    <w:rsid w:val="008A47FD"/>
    <w:rsid w:val="008A4F0C"/>
    <w:rsid w:val="008A5115"/>
    <w:rsid w:val="008A5DC2"/>
    <w:rsid w:val="008A5E34"/>
    <w:rsid w:val="008A5F4E"/>
    <w:rsid w:val="008A700C"/>
    <w:rsid w:val="008A7CCA"/>
    <w:rsid w:val="008B02FE"/>
    <w:rsid w:val="008B0823"/>
    <w:rsid w:val="008B089E"/>
    <w:rsid w:val="008B0B99"/>
    <w:rsid w:val="008B227E"/>
    <w:rsid w:val="008B25F7"/>
    <w:rsid w:val="008B27F5"/>
    <w:rsid w:val="008B2AD7"/>
    <w:rsid w:val="008B2E5D"/>
    <w:rsid w:val="008B2E70"/>
    <w:rsid w:val="008B3237"/>
    <w:rsid w:val="008B370A"/>
    <w:rsid w:val="008B3F0E"/>
    <w:rsid w:val="008B40C9"/>
    <w:rsid w:val="008B4268"/>
    <w:rsid w:val="008B429A"/>
    <w:rsid w:val="008B46FD"/>
    <w:rsid w:val="008B4C6C"/>
    <w:rsid w:val="008B55F3"/>
    <w:rsid w:val="008B5AAD"/>
    <w:rsid w:val="008B5AD9"/>
    <w:rsid w:val="008B5BD1"/>
    <w:rsid w:val="008B62E7"/>
    <w:rsid w:val="008B68BB"/>
    <w:rsid w:val="008B7048"/>
    <w:rsid w:val="008B7526"/>
    <w:rsid w:val="008B7C3A"/>
    <w:rsid w:val="008B7DB1"/>
    <w:rsid w:val="008C0178"/>
    <w:rsid w:val="008C12BB"/>
    <w:rsid w:val="008C1322"/>
    <w:rsid w:val="008C1354"/>
    <w:rsid w:val="008C14CF"/>
    <w:rsid w:val="008C1B78"/>
    <w:rsid w:val="008C1F59"/>
    <w:rsid w:val="008C2127"/>
    <w:rsid w:val="008C21C8"/>
    <w:rsid w:val="008C2526"/>
    <w:rsid w:val="008C2598"/>
    <w:rsid w:val="008C2D7B"/>
    <w:rsid w:val="008C3365"/>
    <w:rsid w:val="008C3782"/>
    <w:rsid w:val="008C3E91"/>
    <w:rsid w:val="008C3FDA"/>
    <w:rsid w:val="008C484B"/>
    <w:rsid w:val="008C51EC"/>
    <w:rsid w:val="008C5866"/>
    <w:rsid w:val="008C6238"/>
    <w:rsid w:val="008C6519"/>
    <w:rsid w:val="008C658F"/>
    <w:rsid w:val="008C6B03"/>
    <w:rsid w:val="008C6B59"/>
    <w:rsid w:val="008C6BCF"/>
    <w:rsid w:val="008C6EBC"/>
    <w:rsid w:val="008C7405"/>
    <w:rsid w:val="008C74F8"/>
    <w:rsid w:val="008C75C7"/>
    <w:rsid w:val="008C763C"/>
    <w:rsid w:val="008C7838"/>
    <w:rsid w:val="008C78A4"/>
    <w:rsid w:val="008C7D69"/>
    <w:rsid w:val="008D00A8"/>
    <w:rsid w:val="008D0562"/>
    <w:rsid w:val="008D0E85"/>
    <w:rsid w:val="008D100F"/>
    <w:rsid w:val="008D2462"/>
    <w:rsid w:val="008D2581"/>
    <w:rsid w:val="008D2F4A"/>
    <w:rsid w:val="008D3058"/>
    <w:rsid w:val="008D34D5"/>
    <w:rsid w:val="008D35A3"/>
    <w:rsid w:val="008D3606"/>
    <w:rsid w:val="008D372F"/>
    <w:rsid w:val="008D4915"/>
    <w:rsid w:val="008D4C49"/>
    <w:rsid w:val="008D5111"/>
    <w:rsid w:val="008D51CB"/>
    <w:rsid w:val="008D5321"/>
    <w:rsid w:val="008D549E"/>
    <w:rsid w:val="008D5C83"/>
    <w:rsid w:val="008D5FD0"/>
    <w:rsid w:val="008D61FC"/>
    <w:rsid w:val="008D623B"/>
    <w:rsid w:val="008D62A8"/>
    <w:rsid w:val="008D6688"/>
    <w:rsid w:val="008D6B56"/>
    <w:rsid w:val="008D6D42"/>
    <w:rsid w:val="008D7DC0"/>
    <w:rsid w:val="008E015E"/>
    <w:rsid w:val="008E0907"/>
    <w:rsid w:val="008E0AC6"/>
    <w:rsid w:val="008E1278"/>
    <w:rsid w:val="008E1B20"/>
    <w:rsid w:val="008E2115"/>
    <w:rsid w:val="008E2BB4"/>
    <w:rsid w:val="008E2C1D"/>
    <w:rsid w:val="008E2FA9"/>
    <w:rsid w:val="008E3509"/>
    <w:rsid w:val="008E3A78"/>
    <w:rsid w:val="008E3CA9"/>
    <w:rsid w:val="008E3FA6"/>
    <w:rsid w:val="008E4A41"/>
    <w:rsid w:val="008E4C5A"/>
    <w:rsid w:val="008E4F48"/>
    <w:rsid w:val="008E5069"/>
    <w:rsid w:val="008E5992"/>
    <w:rsid w:val="008E62AD"/>
    <w:rsid w:val="008E65AA"/>
    <w:rsid w:val="008E65C0"/>
    <w:rsid w:val="008E65CE"/>
    <w:rsid w:val="008E6B64"/>
    <w:rsid w:val="008E6D77"/>
    <w:rsid w:val="008E6FA6"/>
    <w:rsid w:val="008E78B6"/>
    <w:rsid w:val="008E7E01"/>
    <w:rsid w:val="008F0054"/>
    <w:rsid w:val="008F020F"/>
    <w:rsid w:val="008F0375"/>
    <w:rsid w:val="008F0BD2"/>
    <w:rsid w:val="008F11B8"/>
    <w:rsid w:val="008F12A5"/>
    <w:rsid w:val="008F170E"/>
    <w:rsid w:val="008F201D"/>
    <w:rsid w:val="008F25BB"/>
    <w:rsid w:val="008F2D3B"/>
    <w:rsid w:val="008F2E09"/>
    <w:rsid w:val="008F367A"/>
    <w:rsid w:val="008F3CE0"/>
    <w:rsid w:val="008F3EC6"/>
    <w:rsid w:val="008F3F98"/>
    <w:rsid w:val="008F44D5"/>
    <w:rsid w:val="008F4948"/>
    <w:rsid w:val="008F4E0A"/>
    <w:rsid w:val="008F5291"/>
    <w:rsid w:val="008F530F"/>
    <w:rsid w:val="008F53A9"/>
    <w:rsid w:val="008F5600"/>
    <w:rsid w:val="008F57A0"/>
    <w:rsid w:val="008F597A"/>
    <w:rsid w:val="008F5C93"/>
    <w:rsid w:val="008F617F"/>
    <w:rsid w:val="008F61B5"/>
    <w:rsid w:val="008F6981"/>
    <w:rsid w:val="008F6D91"/>
    <w:rsid w:val="008F6FDE"/>
    <w:rsid w:val="008F7061"/>
    <w:rsid w:val="008F7FB2"/>
    <w:rsid w:val="00900068"/>
    <w:rsid w:val="009004F6"/>
    <w:rsid w:val="0090081C"/>
    <w:rsid w:val="00900DD4"/>
    <w:rsid w:val="009010D3"/>
    <w:rsid w:val="009011A0"/>
    <w:rsid w:val="00901AD1"/>
    <w:rsid w:val="009025CC"/>
    <w:rsid w:val="00903149"/>
    <w:rsid w:val="0090316D"/>
    <w:rsid w:val="00903221"/>
    <w:rsid w:val="0090350B"/>
    <w:rsid w:val="00903A12"/>
    <w:rsid w:val="00903A77"/>
    <w:rsid w:val="00903D68"/>
    <w:rsid w:val="00904055"/>
    <w:rsid w:val="00904882"/>
    <w:rsid w:val="00904E2B"/>
    <w:rsid w:val="00904E8D"/>
    <w:rsid w:val="00905552"/>
    <w:rsid w:val="00905602"/>
    <w:rsid w:val="00905C57"/>
    <w:rsid w:val="00905D46"/>
    <w:rsid w:val="00905FE3"/>
    <w:rsid w:val="00905FFF"/>
    <w:rsid w:val="0090658F"/>
    <w:rsid w:val="00906AC9"/>
    <w:rsid w:val="00906C96"/>
    <w:rsid w:val="00906E59"/>
    <w:rsid w:val="00907E6C"/>
    <w:rsid w:val="0091051B"/>
    <w:rsid w:val="00910704"/>
    <w:rsid w:val="0091086D"/>
    <w:rsid w:val="00910EC3"/>
    <w:rsid w:val="009114CF"/>
    <w:rsid w:val="00911C3C"/>
    <w:rsid w:val="00911E70"/>
    <w:rsid w:val="00911EF2"/>
    <w:rsid w:val="0091228F"/>
    <w:rsid w:val="009128AB"/>
    <w:rsid w:val="00912CC7"/>
    <w:rsid w:val="0091304F"/>
    <w:rsid w:val="0091335C"/>
    <w:rsid w:val="00913C4D"/>
    <w:rsid w:val="009147A5"/>
    <w:rsid w:val="00914BD9"/>
    <w:rsid w:val="00914C19"/>
    <w:rsid w:val="00914CCB"/>
    <w:rsid w:val="0091528E"/>
    <w:rsid w:val="00915319"/>
    <w:rsid w:val="009155BF"/>
    <w:rsid w:val="00915A44"/>
    <w:rsid w:val="00915AE2"/>
    <w:rsid w:val="00915F09"/>
    <w:rsid w:val="00915F31"/>
    <w:rsid w:val="0091605A"/>
    <w:rsid w:val="009161EE"/>
    <w:rsid w:val="009164BF"/>
    <w:rsid w:val="009168FB"/>
    <w:rsid w:val="00916951"/>
    <w:rsid w:val="00916B33"/>
    <w:rsid w:val="00916D4C"/>
    <w:rsid w:val="00916FAD"/>
    <w:rsid w:val="009171AD"/>
    <w:rsid w:val="00917224"/>
    <w:rsid w:val="0091742A"/>
    <w:rsid w:val="00917448"/>
    <w:rsid w:val="0091770C"/>
    <w:rsid w:val="00920024"/>
    <w:rsid w:val="009203E8"/>
    <w:rsid w:val="00920508"/>
    <w:rsid w:val="009205B0"/>
    <w:rsid w:val="00920666"/>
    <w:rsid w:val="00920847"/>
    <w:rsid w:val="00920889"/>
    <w:rsid w:val="00920AFC"/>
    <w:rsid w:val="00920E8C"/>
    <w:rsid w:val="00920EF7"/>
    <w:rsid w:val="00920FB4"/>
    <w:rsid w:val="009213C2"/>
    <w:rsid w:val="009215B6"/>
    <w:rsid w:val="00921704"/>
    <w:rsid w:val="00921C5D"/>
    <w:rsid w:val="00921E6C"/>
    <w:rsid w:val="0092218A"/>
    <w:rsid w:val="009223C6"/>
    <w:rsid w:val="0092331D"/>
    <w:rsid w:val="009234B9"/>
    <w:rsid w:val="00923B78"/>
    <w:rsid w:val="009240CE"/>
    <w:rsid w:val="009241CE"/>
    <w:rsid w:val="00924365"/>
    <w:rsid w:val="00924987"/>
    <w:rsid w:val="009251F2"/>
    <w:rsid w:val="00925ABF"/>
    <w:rsid w:val="00925D1B"/>
    <w:rsid w:val="00926610"/>
    <w:rsid w:val="00926BB5"/>
    <w:rsid w:val="00926DD1"/>
    <w:rsid w:val="00927341"/>
    <w:rsid w:val="009273AB"/>
    <w:rsid w:val="009277B1"/>
    <w:rsid w:val="009278A1"/>
    <w:rsid w:val="00927DDE"/>
    <w:rsid w:val="00927DFC"/>
    <w:rsid w:val="00930871"/>
    <w:rsid w:val="00930C2A"/>
    <w:rsid w:val="00930CFE"/>
    <w:rsid w:val="00930F6C"/>
    <w:rsid w:val="00931018"/>
    <w:rsid w:val="009312F7"/>
    <w:rsid w:val="00931A76"/>
    <w:rsid w:val="00931BAC"/>
    <w:rsid w:val="00931CC2"/>
    <w:rsid w:val="00931FC4"/>
    <w:rsid w:val="00932058"/>
    <w:rsid w:val="0093206C"/>
    <w:rsid w:val="0093259C"/>
    <w:rsid w:val="00932A18"/>
    <w:rsid w:val="0093307D"/>
    <w:rsid w:val="0093320C"/>
    <w:rsid w:val="00933389"/>
    <w:rsid w:val="009339A6"/>
    <w:rsid w:val="00933A56"/>
    <w:rsid w:val="00933A6A"/>
    <w:rsid w:val="0093410D"/>
    <w:rsid w:val="00934682"/>
    <w:rsid w:val="009349E1"/>
    <w:rsid w:val="00934EA3"/>
    <w:rsid w:val="0093531A"/>
    <w:rsid w:val="00935689"/>
    <w:rsid w:val="00935F40"/>
    <w:rsid w:val="0093612D"/>
    <w:rsid w:val="00936325"/>
    <w:rsid w:val="00936438"/>
    <w:rsid w:val="00936AD2"/>
    <w:rsid w:val="00936B1F"/>
    <w:rsid w:val="00936D8D"/>
    <w:rsid w:val="00936DEE"/>
    <w:rsid w:val="00936FF5"/>
    <w:rsid w:val="0093708D"/>
    <w:rsid w:val="00937885"/>
    <w:rsid w:val="00937B46"/>
    <w:rsid w:val="00937F0C"/>
    <w:rsid w:val="009401D8"/>
    <w:rsid w:val="009401D9"/>
    <w:rsid w:val="0094043B"/>
    <w:rsid w:val="00940663"/>
    <w:rsid w:val="00941186"/>
    <w:rsid w:val="009415FE"/>
    <w:rsid w:val="00941618"/>
    <w:rsid w:val="0094179B"/>
    <w:rsid w:val="00941B0B"/>
    <w:rsid w:val="00941BDE"/>
    <w:rsid w:val="009422C8"/>
    <w:rsid w:val="009422F7"/>
    <w:rsid w:val="00942394"/>
    <w:rsid w:val="00942881"/>
    <w:rsid w:val="00942D22"/>
    <w:rsid w:val="009435A9"/>
    <w:rsid w:val="00943674"/>
    <w:rsid w:val="0094387B"/>
    <w:rsid w:val="00943960"/>
    <w:rsid w:val="009441BB"/>
    <w:rsid w:val="009442A0"/>
    <w:rsid w:val="0094435B"/>
    <w:rsid w:val="009448EE"/>
    <w:rsid w:val="00944CC9"/>
    <w:rsid w:val="00944DF9"/>
    <w:rsid w:val="00944E55"/>
    <w:rsid w:val="0094585F"/>
    <w:rsid w:val="009459DB"/>
    <w:rsid w:val="00945B1D"/>
    <w:rsid w:val="009467F4"/>
    <w:rsid w:val="009468F8"/>
    <w:rsid w:val="00946ABE"/>
    <w:rsid w:val="00946AF9"/>
    <w:rsid w:val="00946B0F"/>
    <w:rsid w:val="00946B67"/>
    <w:rsid w:val="00946B6D"/>
    <w:rsid w:val="00946C67"/>
    <w:rsid w:val="0094765C"/>
    <w:rsid w:val="0094792A"/>
    <w:rsid w:val="00947FA0"/>
    <w:rsid w:val="009505BB"/>
    <w:rsid w:val="00950A14"/>
    <w:rsid w:val="00950C03"/>
    <w:rsid w:val="00950EC9"/>
    <w:rsid w:val="009513E4"/>
    <w:rsid w:val="00951E3C"/>
    <w:rsid w:val="00951EE8"/>
    <w:rsid w:val="00951F29"/>
    <w:rsid w:val="00951FFB"/>
    <w:rsid w:val="0095208A"/>
    <w:rsid w:val="00953086"/>
    <w:rsid w:val="0095312C"/>
    <w:rsid w:val="009531C9"/>
    <w:rsid w:val="00953A37"/>
    <w:rsid w:val="009541E3"/>
    <w:rsid w:val="0095437D"/>
    <w:rsid w:val="009543D9"/>
    <w:rsid w:val="0095461D"/>
    <w:rsid w:val="00954E55"/>
    <w:rsid w:val="00955409"/>
    <w:rsid w:val="009555D6"/>
    <w:rsid w:val="009557C2"/>
    <w:rsid w:val="0095589F"/>
    <w:rsid w:val="00955CA8"/>
    <w:rsid w:val="00955D2E"/>
    <w:rsid w:val="009561F6"/>
    <w:rsid w:val="0095621E"/>
    <w:rsid w:val="00956642"/>
    <w:rsid w:val="00956925"/>
    <w:rsid w:val="00956B74"/>
    <w:rsid w:val="00956BC6"/>
    <w:rsid w:val="00956FFB"/>
    <w:rsid w:val="009570F7"/>
    <w:rsid w:val="0095711E"/>
    <w:rsid w:val="009573C9"/>
    <w:rsid w:val="0095776F"/>
    <w:rsid w:val="00957AC2"/>
    <w:rsid w:val="00957BC4"/>
    <w:rsid w:val="00957EA5"/>
    <w:rsid w:val="0096057B"/>
    <w:rsid w:val="00960CC1"/>
    <w:rsid w:val="00960DC5"/>
    <w:rsid w:val="009613E1"/>
    <w:rsid w:val="00962194"/>
    <w:rsid w:val="009622B6"/>
    <w:rsid w:val="009628FA"/>
    <w:rsid w:val="00962C67"/>
    <w:rsid w:val="00963370"/>
    <w:rsid w:val="009635A7"/>
    <w:rsid w:val="009638DE"/>
    <w:rsid w:val="00963C3C"/>
    <w:rsid w:val="00963DE9"/>
    <w:rsid w:val="00963DFD"/>
    <w:rsid w:val="009640B0"/>
    <w:rsid w:val="00964471"/>
    <w:rsid w:val="00964B73"/>
    <w:rsid w:val="0096501F"/>
    <w:rsid w:val="009650B2"/>
    <w:rsid w:val="009655DD"/>
    <w:rsid w:val="009657AE"/>
    <w:rsid w:val="00966982"/>
    <w:rsid w:val="00966C56"/>
    <w:rsid w:val="00967588"/>
    <w:rsid w:val="0096777D"/>
    <w:rsid w:val="00967B52"/>
    <w:rsid w:val="00967C85"/>
    <w:rsid w:val="009703B9"/>
    <w:rsid w:val="0097058A"/>
    <w:rsid w:val="0097069C"/>
    <w:rsid w:val="00971232"/>
    <w:rsid w:val="009712BE"/>
    <w:rsid w:val="00971788"/>
    <w:rsid w:val="009718C6"/>
    <w:rsid w:val="00971C76"/>
    <w:rsid w:val="00971FFB"/>
    <w:rsid w:val="00972019"/>
    <w:rsid w:val="00972633"/>
    <w:rsid w:val="00973BE0"/>
    <w:rsid w:val="00973E95"/>
    <w:rsid w:val="00974620"/>
    <w:rsid w:val="009747C3"/>
    <w:rsid w:val="009747CC"/>
    <w:rsid w:val="00974944"/>
    <w:rsid w:val="0097496E"/>
    <w:rsid w:val="00975109"/>
    <w:rsid w:val="009751B1"/>
    <w:rsid w:val="00975434"/>
    <w:rsid w:val="009757CA"/>
    <w:rsid w:val="00975EA6"/>
    <w:rsid w:val="00976191"/>
    <w:rsid w:val="00976532"/>
    <w:rsid w:val="00976D8A"/>
    <w:rsid w:val="009771A6"/>
    <w:rsid w:val="009773CD"/>
    <w:rsid w:val="00977813"/>
    <w:rsid w:val="00977C3A"/>
    <w:rsid w:val="00977EF4"/>
    <w:rsid w:val="0098090D"/>
    <w:rsid w:val="009810FA"/>
    <w:rsid w:val="0098113E"/>
    <w:rsid w:val="00981B69"/>
    <w:rsid w:val="00981C48"/>
    <w:rsid w:val="00982116"/>
    <w:rsid w:val="00982611"/>
    <w:rsid w:val="00982B7D"/>
    <w:rsid w:val="00982BB3"/>
    <w:rsid w:val="00982FC3"/>
    <w:rsid w:val="0098397F"/>
    <w:rsid w:val="00983B06"/>
    <w:rsid w:val="00983D9F"/>
    <w:rsid w:val="00983F2B"/>
    <w:rsid w:val="00984052"/>
    <w:rsid w:val="00984240"/>
    <w:rsid w:val="00984314"/>
    <w:rsid w:val="009849F8"/>
    <w:rsid w:val="00984C19"/>
    <w:rsid w:val="00984D4F"/>
    <w:rsid w:val="00984DBE"/>
    <w:rsid w:val="009853F6"/>
    <w:rsid w:val="00985447"/>
    <w:rsid w:val="00986145"/>
    <w:rsid w:val="00986899"/>
    <w:rsid w:val="00986A2E"/>
    <w:rsid w:val="00986BCA"/>
    <w:rsid w:val="009872D8"/>
    <w:rsid w:val="0098777D"/>
    <w:rsid w:val="00987788"/>
    <w:rsid w:val="009879ED"/>
    <w:rsid w:val="00987AF4"/>
    <w:rsid w:val="00987FB5"/>
    <w:rsid w:val="00990060"/>
    <w:rsid w:val="009903DB"/>
    <w:rsid w:val="0099058E"/>
    <w:rsid w:val="00990621"/>
    <w:rsid w:val="00990663"/>
    <w:rsid w:val="00990889"/>
    <w:rsid w:val="00990E13"/>
    <w:rsid w:val="00991141"/>
    <w:rsid w:val="00992D06"/>
    <w:rsid w:val="00993401"/>
    <w:rsid w:val="00993666"/>
    <w:rsid w:val="00993CC4"/>
    <w:rsid w:val="00993F20"/>
    <w:rsid w:val="00994030"/>
    <w:rsid w:val="00994194"/>
    <w:rsid w:val="009941EC"/>
    <w:rsid w:val="00994223"/>
    <w:rsid w:val="0099443B"/>
    <w:rsid w:val="00994942"/>
    <w:rsid w:val="00994F1E"/>
    <w:rsid w:val="0099539F"/>
    <w:rsid w:val="0099604C"/>
    <w:rsid w:val="00996E66"/>
    <w:rsid w:val="00997041"/>
    <w:rsid w:val="0099775D"/>
    <w:rsid w:val="00997B5D"/>
    <w:rsid w:val="009A0060"/>
    <w:rsid w:val="009A07D2"/>
    <w:rsid w:val="009A0802"/>
    <w:rsid w:val="009A14FB"/>
    <w:rsid w:val="009A15CF"/>
    <w:rsid w:val="009A1C8F"/>
    <w:rsid w:val="009A3016"/>
    <w:rsid w:val="009A304E"/>
    <w:rsid w:val="009A3511"/>
    <w:rsid w:val="009A3530"/>
    <w:rsid w:val="009A39A6"/>
    <w:rsid w:val="009A3D8E"/>
    <w:rsid w:val="009A4997"/>
    <w:rsid w:val="009A55E0"/>
    <w:rsid w:val="009A5ACD"/>
    <w:rsid w:val="009A5C1D"/>
    <w:rsid w:val="009A5D7D"/>
    <w:rsid w:val="009A5D7E"/>
    <w:rsid w:val="009A5F8B"/>
    <w:rsid w:val="009A6889"/>
    <w:rsid w:val="009A6CA9"/>
    <w:rsid w:val="009A7155"/>
    <w:rsid w:val="009A73AF"/>
    <w:rsid w:val="009A76FF"/>
    <w:rsid w:val="009A7762"/>
    <w:rsid w:val="009A78D9"/>
    <w:rsid w:val="009A7AF2"/>
    <w:rsid w:val="009A7BC2"/>
    <w:rsid w:val="009A7EDA"/>
    <w:rsid w:val="009A7F74"/>
    <w:rsid w:val="009B00E0"/>
    <w:rsid w:val="009B0110"/>
    <w:rsid w:val="009B0491"/>
    <w:rsid w:val="009B0E18"/>
    <w:rsid w:val="009B1051"/>
    <w:rsid w:val="009B1350"/>
    <w:rsid w:val="009B17A3"/>
    <w:rsid w:val="009B17F8"/>
    <w:rsid w:val="009B19C2"/>
    <w:rsid w:val="009B1C00"/>
    <w:rsid w:val="009B25C0"/>
    <w:rsid w:val="009B2683"/>
    <w:rsid w:val="009B2B46"/>
    <w:rsid w:val="009B2B56"/>
    <w:rsid w:val="009B2CA5"/>
    <w:rsid w:val="009B2D48"/>
    <w:rsid w:val="009B2E98"/>
    <w:rsid w:val="009B3035"/>
    <w:rsid w:val="009B32C5"/>
    <w:rsid w:val="009B36CB"/>
    <w:rsid w:val="009B36D8"/>
    <w:rsid w:val="009B38F9"/>
    <w:rsid w:val="009B39F5"/>
    <w:rsid w:val="009B3DCB"/>
    <w:rsid w:val="009B3F7F"/>
    <w:rsid w:val="009B45D8"/>
    <w:rsid w:val="009B4CD0"/>
    <w:rsid w:val="009B4DAB"/>
    <w:rsid w:val="009B4F14"/>
    <w:rsid w:val="009B54CD"/>
    <w:rsid w:val="009B56D4"/>
    <w:rsid w:val="009B5EA7"/>
    <w:rsid w:val="009B61B6"/>
    <w:rsid w:val="009B6269"/>
    <w:rsid w:val="009B68EA"/>
    <w:rsid w:val="009B7161"/>
    <w:rsid w:val="009B7291"/>
    <w:rsid w:val="009B73B8"/>
    <w:rsid w:val="009B742A"/>
    <w:rsid w:val="009B7952"/>
    <w:rsid w:val="009B7CF1"/>
    <w:rsid w:val="009C01F3"/>
    <w:rsid w:val="009C046A"/>
    <w:rsid w:val="009C064E"/>
    <w:rsid w:val="009C0A26"/>
    <w:rsid w:val="009C0ACE"/>
    <w:rsid w:val="009C0B40"/>
    <w:rsid w:val="009C0BBA"/>
    <w:rsid w:val="009C10F0"/>
    <w:rsid w:val="009C13E4"/>
    <w:rsid w:val="009C21D0"/>
    <w:rsid w:val="009C2257"/>
    <w:rsid w:val="009C2821"/>
    <w:rsid w:val="009C33DE"/>
    <w:rsid w:val="009C34D4"/>
    <w:rsid w:val="009C3607"/>
    <w:rsid w:val="009C4B20"/>
    <w:rsid w:val="009C4FC2"/>
    <w:rsid w:val="009C56B8"/>
    <w:rsid w:val="009C58DE"/>
    <w:rsid w:val="009C5C85"/>
    <w:rsid w:val="009C5F25"/>
    <w:rsid w:val="009C61C6"/>
    <w:rsid w:val="009C69A4"/>
    <w:rsid w:val="009C6B3E"/>
    <w:rsid w:val="009C6C15"/>
    <w:rsid w:val="009C7072"/>
    <w:rsid w:val="009C71DC"/>
    <w:rsid w:val="009C7206"/>
    <w:rsid w:val="009C75E9"/>
    <w:rsid w:val="009D0414"/>
    <w:rsid w:val="009D05EA"/>
    <w:rsid w:val="009D0C5C"/>
    <w:rsid w:val="009D0E3E"/>
    <w:rsid w:val="009D1443"/>
    <w:rsid w:val="009D1A45"/>
    <w:rsid w:val="009D1A69"/>
    <w:rsid w:val="009D1EF3"/>
    <w:rsid w:val="009D2775"/>
    <w:rsid w:val="009D2C75"/>
    <w:rsid w:val="009D3150"/>
    <w:rsid w:val="009D31CB"/>
    <w:rsid w:val="009D3205"/>
    <w:rsid w:val="009D3230"/>
    <w:rsid w:val="009D3672"/>
    <w:rsid w:val="009D3C26"/>
    <w:rsid w:val="009D3D05"/>
    <w:rsid w:val="009D4347"/>
    <w:rsid w:val="009D467A"/>
    <w:rsid w:val="009D5360"/>
    <w:rsid w:val="009D5392"/>
    <w:rsid w:val="009D5980"/>
    <w:rsid w:val="009D5B3C"/>
    <w:rsid w:val="009D61A2"/>
    <w:rsid w:val="009D64F0"/>
    <w:rsid w:val="009D6973"/>
    <w:rsid w:val="009D6DAE"/>
    <w:rsid w:val="009D6E9D"/>
    <w:rsid w:val="009D6F45"/>
    <w:rsid w:val="009D76B9"/>
    <w:rsid w:val="009D77D2"/>
    <w:rsid w:val="009E016E"/>
    <w:rsid w:val="009E072C"/>
    <w:rsid w:val="009E0DC4"/>
    <w:rsid w:val="009E105C"/>
    <w:rsid w:val="009E16AE"/>
    <w:rsid w:val="009E1921"/>
    <w:rsid w:val="009E1F1E"/>
    <w:rsid w:val="009E23FB"/>
    <w:rsid w:val="009E279C"/>
    <w:rsid w:val="009E2A6A"/>
    <w:rsid w:val="009E2DF2"/>
    <w:rsid w:val="009E2E18"/>
    <w:rsid w:val="009E3663"/>
    <w:rsid w:val="009E369A"/>
    <w:rsid w:val="009E3AD9"/>
    <w:rsid w:val="009E3B98"/>
    <w:rsid w:val="009E4359"/>
    <w:rsid w:val="009E5099"/>
    <w:rsid w:val="009E5297"/>
    <w:rsid w:val="009E5EFE"/>
    <w:rsid w:val="009E637E"/>
    <w:rsid w:val="009E662D"/>
    <w:rsid w:val="009E6A9D"/>
    <w:rsid w:val="009E70EF"/>
    <w:rsid w:val="009E7315"/>
    <w:rsid w:val="009E735E"/>
    <w:rsid w:val="009E76AE"/>
    <w:rsid w:val="009E76B0"/>
    <w:rsid w:val="009E771E"/>
    <w:rsid w:val="009F024F"/>
    <w:rsid w:val="009F03AB"/>
    <w:rsid w:val="009F0854"/>
    <w:rsid w:val="009F0D23"/>
    <w:rsid w:val="009F0F97"/>
    <w:rsid w:val="009F18F9"/>
    <w:rsid w:val="009F1947"/>
    <w:rsid w:val="009F2A80"/>
    <w:rsid w:val="009F30D6"/>
    <w:rsid w:val="009F33C8"/>
    <w:rsid w:val="009F38F8"/>
    <w:rsid w:val="009F40D2"/>
    <w:rsid w:val="009F4504"/>
    <w:rsid w:val="009F4596"/>
    <w:rsid w:val="009F4CB2"/>
    <w:rsid w:val="009F4D46"/>
    <w:rsid w:val="009F4DA3"/>
    <w:rsid w:val="009F4E6E"/>
    <w:rsid w:val="009F5533"/>
    <w:rsid w:val="009F55AD"/>
    <w:rsid w:val="009F5CD9"/>
    <w:rsid w:val="009F5D90"/>
    <w:rsid w:val="009F628D"/>
    <w:rsid w:val="009F62C5"/>
    <w:rsid w:val="009F6E62"/>
    <w:rsid w:val="009F6F15"/>
    <w:rsid w:val="009F7085"/>
    <w:rsid w:val="009F71A7"/>
    <w:rsid w:val="009F7222"/>
    <w:rsid w:val="009F7786"/>
    <w:rsid w:val="009F782E"/>
    <w:rsid w:val="009F7ADC"/>
    <w:rsid w:val="009F7BB7"/>
    <w:rsid w:val="009F7CCF"/>
    <w:rsid w:val="00A00319"/>
    <w:rsid w:val="00A00A72"/>
    <w:rsid w:val="00A00C4F"/>
    <w:rsid w:val="00A0116B"/>
    <w:rsid w:val="00A014FC"/>
    <w:rsid w:val="00A015AD"/>
    <w:rsid w:val="00A01708"/>
    <w:rsid w:val="00A01B05"/>
    <w:rsid w:val="00A01C29"/>
    <w:rsid w:val="00A02C61"/>
    <w:rsid w:val="00A02F41"/>
    <w:rsid w:val="00A0302F"/>
    <w:rsid w:val="00A0306D"/>
    <w:rsid w:val="00A0319F"/>
    <w:rsid w:val="00A03723"/>
    <w:rsid w:val="00A04439"/>
    <w:rsid w:val="00A04B78"/>
    <w:rsid w:val="00A04D6B"/>
    <w:rsid w:val="00A052CF"/>
    <w:rsid w:val="00A053BF"/>
    <w:rsid w:val="00A05630"/>
    <w:rsid w:val="00A059E8"/>
    <w:rsid w:val="00A05C13"/>
    <w:rsid w:val="00A05E34"/>
    <w:rsid w:val="00A0667B"/>
    <w:rsid w:val="00A068C2"/>
    <w:rsid w:val="00A068CC"/>
    <w:rsid w:val="00A06F18"/>
    <w:rsid w:val="00A070E9"/>
    <w:rsid w:val="00A102D6"/>
    <w:rsid w:val="00A105B3"/>
    <w:rsid w:val="00A106D1"/>
    <w:rsid w:val="00A1094B"/>
    <w:rsid w:val="00A1116E"/>
    <w:rsid w:val="00A11178"/>
    <w:rsid w:val="00A1160B"/>
    <w:rsid w:val="00A11A83"/>
    <w:rsid w:val="00A11C8B"/>
    <w:rsid w:val="00A1283E"/>
    <w:rsid w:val="00A12D88"/>
    <w:rsid w:val="00A12E48"/>
    <w:rsid w:val="00A13853"/>
    <w:rsid w:val="00A13BFB"/>
    <w:rsid w:val="00A141CA"/>
    <w:rsid w:val="00A151F5"/>
    <w:rsid w:val="00A1528D"/>
    <w:rsid w:val="00A15781"/>
    <w:rsid w:val="00A15E8F"/>
    <w:rsid w:val="00A15F3C"/>
    <w:rsid w:val="00A160DB"/>
    <w:rsid w:val="00A163E4"/>
    <w:rsid w:val="00A164E8"/>
    <w:rsid w:val="00A168AB"/>
    <w:rsid w:val="00A16972"/>
    <w:rsid w:val="00A17103"/>
    <w:rsid w:val="00A17543"/>
    <w:rsid w:val="00A17837"/>
    <w:rsid w:val="00A17870"/>
    <w:rsid w:val="00A17B25"/>
    <w:rsid w:val="00A17C2B"/>
    <w:rsid w:val="00A17F01"/>
    <w:rsid w:val="00A206A3"/>
    <w:rsid w:val="00A20A0B"/>
    <w:rsid w:val="00A20F1C"/>
    <w:rsid w:val="00A21A4D"/>
    <w:rsid w:val="00A21EE3"/>
    <w:rsid w:val="00A22039"/>
    <w:rsid w:val="00A22199"/>
    <w:rsid w:val="00A22318"/>
    <w:rsid w:val="00A22632"/>
    <w:rsid w:val="00A2280F"/>
    <w:rsid w:val="00A22961"/>
    <w:rsid w:val="00A22DF1"/>
    <w:rsid w:val="00A22EBA"/>
    <w:rsid w:val="00A237E9"/>
    <w:rsid w:val="00A2397E"/>
    <w:rsid w:val="00A23A85"/>
    <w:rsid w:val="00A23AC9"/>
    <w:rsid w:val="00A23BDA"/>
    <w:rsid w:val="00A23CA2"/>
    <w:rsid w:val="00A24502"/>
    <w:rsid w:val="00A248B7"/>
    <w:rsid w:val="00A24F6A"/>
    <w:rsid w:val="00A24FBD"/>
    <w:rsid w:val="00A2528B"/>
    <w:rsid w:val="00A257CC"/>
    <w:rsid w:val="00A26078"/>
    <w:rsid w:val="00A26212"/>
    <w:rsid w:val="00A2692F"/>
    <w:rsid w:val="00A26DEE"/>
    <w:rsid w:val="00A26EE3"/>
    <w:rsid w:val="00A27257"/>
    <w:rsid w:val="00A277A5"/>
    <w:rsid w:val="00A27C7A"/>
    <w:rsid w:val="00A300DC"/>
    <w:rsid w:val="00A302D2"/>
    <w:rsid w:val="00A30436"/>
    <w:rsid w:val="00A3084E"/>
    <w:rsid w:val="00A30F55"/>
    <w:rsid w:val="00A3146D"/>
    <w:rsid w:val="00A31563"/>
    <w:rsid w:val="00A31A1F"/>
    <w:rsid w:val="00A322F4"/>
    <w:rsid w:val="00A3281E"/>
    <w:rsid w:val="00A32B64"/>
    <w:rsid w:val="00A32BB5"/>
    <w:rsid w:val="00A338C9"/>
    <w:rsid w:val="00A34150"/>
    <w:rsid w:val="00A3435F"/>
    <w:rsid w:val="00A34974"/>
    <w:rsid w:val="00A349AC"/>
    <w:rsid w:val="00A35433"/>
    <w:rsid w:val="00A36164"/>
    <w:rsid w:val="00A36517"/>
    <w:rsid w:val="00A36987"/>
    <w:rsid w:val="00A36DA8"/>
    <w:rsid w:val="00A36EBB"/>
    <w:rsid w:val="00A36F7B"/>
    <w:rsid w:val="00A37A8A"/>
    <w:rsid w:val="00A401A8"/>
    <w:rsid w:val="00A40E36"/>
    <w:rsid w:val="00A41597"/>
    <w:rsid w:val="00A416BF"/>
    <w:rsid w:val="00A41795"/>
    <w:rsid w:val="00A41B0F"/>
    <w:rsid w:val="00A423D5"/>
    <w:rsid w:val="00A4242C"/>
    <w:rsid w:val="00A42BF5"/>
    <w:rsid w:val="00A42D50"/>
    <w:rsid w:val="00A42DB2"/>
    <w:rsid w:val="00A42DCA"/>
    <w:rsid w:val="00A42F15"/>
    <w:rsid w:val="00A42FCA"/>
    <w:rsid w:val="00A432DA"/>
    <w:rsid w:val="00A43346"/>
    <w:rsid w:val="00A4368C"/>
    <w:rsid w:val="00A43885"/>
    <w:rsid w:val="00A43DB9"/>
    <w:rsid w:val="00A43E43"/>
    <w:rsid w:val="00A44BDF"/>
    <w:rsid w:val="00A45AEC"/>
    <w:rsid w:val="00A45D82"/>
    <w:rsid w:val="00A4696B"/>
    <w:rsid w:val="00A46B18"/>
    <w:rsid w:val="00A46B2B"/>
    <w:rsid w:val="00A46B93"/>
    <w:rsid w:val="00A46CA5"/>
    <w:rsid w:val="00A47452"/>
    <w:rsid w:val="00A4751A"/>
    <w:rsid w:val="00A47C3A"/>
    <w:rsid w:val="00A47C51"/>
    <w:rsid w:val="00A47D71"/>
    <w:rsid w:val="00A47FEB"/>
    <w:rsid w:val="00A506EA"/>
    <w:rsid w:val="00A5085A"/>
    <w:rsid w:val="00A50E8C"/>
    <w:rsid w:val="00A50F88"/>
    <w:rsid w:val="00A51386"/>
    <w:rsid w:val="00A51428"/>
    <w:rsid w:val="00A5155E"/>
    <w:rsid w:val="00A51E76"/>
    <w:rsid w:val="00A51EE7"/>
    <w:rsid w:val="00A52138"/>
    <w:rsid w:val="00A5252B"/>
    <w:rsid w:val="00A52A88"/>
    <w:rsid w:val="00A52B81"/>
    <w:rsid w:val="00A5311C"/>
    <w:rsid w:val="00A532A3"/>
    <w:rsid w:val="00A538AB"/>
    <w:rsid w:val="00A54359"/>
    <w:rsid w:val="00A54476"/>
    <w:rsid w:val="00A545F2"/>
    <w:rsid w:val="00A55192"/>
    <w:rsid w:val="00A55EA3"/>
    <w:rsid w:val="00A56B2C"/>
    <w:rsid w:val="00A56C61"/>
    <w:rsid w:val="00A56D8B"/>
    <w:rsid w:val="00A57786"/>
    <w:rsid w:val="00A6013A"/>
    <w:rsid w:val="00A601F2"/>
    <w:rsid w:val="00A602BF"/>
    <w:rsid w:val="00A607A9"/>
    <w:rsid w:val="00A60897"/>
    <w:rsid w:val="00A608D1"/>
    <w:rsid w:val="00A60A0C"/>
    <w:rsid w:val="00A60B3D"/>
    <w:rsid w:val="00A60C70"/>
    <w:rsid w:val="00A6117A"/>
    <w:rsid w:val="00A61D92"/>
    <w:rsid w:val="00A62DEB"/>
    <w:rsid w:val="00A6306D"/>
    <w:rsid w:val="00A63FDF"/>
    <w:rsid w:val="00A640E7"/>
    <w:rsid w:val="00A64287"/>
    <w:rsid w:val="00A6515F"/>
    <w:rsid w:val="00A65265"/>
    <w:rsid w:val="00A65374"/>
    <w:rsid w:val="00A65EA6"/>
    <w:rsid w:val="00A65F25"/>
    <w:rsid w:val="00A660C4"/>
    <w:rsid w:val="00A66850"/>
    <w:rsid w:val="00A668F6"/>
    <w:rsid w:val="00A66DC9"/>
    <w:rsid w:val="00A66E5B"/>
    <w:rsid w:val="00A67EDF"/>
    <w:rsid w:val="00A7012A"/>
    <w:rsid w:val="00A70C38"/>
    <w:rsid w:val="00A70EFB"/>
    <w:rsid w:val="00A70FFD"/>
    <w:rsid w:val="00A7169A"/>
    <w:rsid w:val="00A719D6"/>
    <w:rsid w:val="00A71BED"/>
    <w:rsid w:val="00A71D2C"/>
    <w:rsid w:val="00A72143"/>
    <w:rsid w:val="00A72CB0"/>
    <w:rsid w:val="00A72D2E"/>
    <w:rsid w:val="00A730BB"/>
    <w:rsid w:val="00A73AF1"/>
    <w:rsid w:val="00A743D3"/>
    <w:rsid w:val="00A74E51"/>
    <w:rsid w:val="00A75554"/>
    <w:rsid w:val="00A75882"/>
    <w:rsid w:val="00A75D1A"/>
    <w:rsid w:val="00A75F6C"/>
    <w:rsid w:val="00A7605E"/>
    <w:rsid w:val="00A760BB"/>
    <w:rsid w:val="00A7645A"/>
    <w:rsid w:val="00A768E8"/>
    <w:rsid w:val="00A76F72"/>
    <w:rsid w:val="00A771F7"/>
    <w:rsid w:val="00A7723B"/>
    <w:rsid w:val="00A77315"/>
    <w:rsid w:val="00A777DA"/>
    <w:rsid w:val="00A77CEE"/>
    <w:rsid w:val="00A80056"/>
    <w:rsid w:val="00A80D47"/>
    <w:rsid w:val="00A80F9E"/>
    <w:rsid w:val="00A814AD"/>
    <w:rsid w:val="00A81AAA"/>
    <w:rsid w:val="00A81AEA"/>
    <w:rsid w:val="00A81BCF"/>
    <w:rsid w:val="00A81DE2"/>
    <w:rsid w:val="00A81E1E"/>
    <w:rsid w:val="00A82299"/>
    <w:rsid w:val="00A8263B"/>
    <w:rsid w:val="00A826F1"/>
    <w:rsid w:val="00A827C8"/>
    <w:rsid w:val="00A82D3B"/>
    <w:rsid w:val="00A83A5C"/>
    <w:rsid w:val="00A83C71"/>
    <w:rsid w:val="00A83E34"/>
    <w:rsid w:val="00A8449B"/>
    <w:rsid w:val="00A84A36"/>
    <w:rsid w:val="00A85C0A"/>
    <w:rsid w:val="00A85F44"/>
    <w:rsid w:val="00A86192"/>
    <w:rsid w:val="00A862EF"/>
    <w:rsid w:val="00A86541"/>
    <w:rsid w:val="00A8655F"/>
    <w:rsid w:val="00A868D1"/>
    <w:rsid w:val="00A86CF9"/>
    <w:rsid w:val="00A86F53"/>
    <w:rsid w:val="00A87318"/>
    <w:rsid w:val="00A87A02"/>
    <w:rsid w:val="00A900FD"/>
    <w:rsid w:val="00A902F5"/>
    <w:rsid w:val="00A904AA"/>
    <w:rsid w:val="00A906AF"/>
    <w:rsid w:val="00A909ED"/>
    <w:rsid w:val="00A90AB1"/>
    <w:rsid w:val="00A90B27"/>
    <w:rsid w:val="00A90DD4"/>
    <w:rsid w:val="00A910E2"/>
    <w:rsid w:val="00A91859"/>
    <w:rsid w:val="00A9195E"/>
    <w:rsid w:val="00A92736"/>
    <w:rsid w:val="00A928EF"/>
    <w:rsid w:val="00A92CD0"/>
    <w:rsid w:val="00A92E3A"/>
    <w:rsid w:val="00A92FD4"/>
    <w:rsid w:val="00A93360"/>
    <w:rsid w:val="00A93444"/>
    <w:rsid w:val="00A93639"/>
    <w:rsid w:val="00A936FB"/>
    <w:rsid w:val="00A93C56"/>
    <w:rsid w:val="00A947A8"/>
    <w:rsid w:val="00A947E5"/>
    <w:rsid w:val="00A94A4B"/>
    <w:rsid w:val="00A94AA7"/>
    <w:rsid w:val="00A94C4C"/>
    <w:rsid w:val="00A94C9A"/>
    <w:rsid w:val="00A95381"/>
    <w:rsid w:val="00A95AB6"/>
    <w:rsid w:val="00A95D87"/>
    <w:rsid w:val="00A95F23"/>
    <w:rsid w:val="00A96054"/>
    <w:rsid w:val="00A96122"/>
    <w:rsid w:val="00A963F5"/>
    <w:rsid w:val="00A96A8B"/>
    <w:rsid w:val="00A96B6B"/>
    <w:rsid w:val="00A96C0E"/>
    <w:rsid w:val="00A970BA"/>
    <w:rsid w:val="00A97281"/>
    <w:rsid w:val="00A9756C"/>
    <w:rsid w:val="00A97751"/>
    <w:rsid w:val="00A97B0D"/>
    <w:rsid w:val="00AA00F3"/>
    <w:rsid w:val="00AA02A9"/>
    <w:rsid w:val="00AA0517"/>
    <w:rsid w:val="00AA0776"/>
    <w:rsid w:val="00AA0822"/>
    <w:rsid w:val="00AA0BB8"/>
    <w:rsid w:val="00AA0F19"/>
    <w:rsid w:val="00AA14E9"/>
    <w:rsid w:val="00AA1617"/>
    <w:rsid w:val="00AA1631"/>
    <w:rsid w:val="00AA1728"/>
    <w:rsid w:val="00AA1754"/>
    <w:rsid w:val="00AA1813"/>
    <w:rsid w:val="00AA18AC"/>
    <w:rsid w:val="00AA2183"/>
    <w:rsid w:val="00AA27F4"/>
    <w:rsid w:val="00AA2A02"/>
    <w:rsid w:val="00AA2A0B"/>
    <w:rsid w:val="00AA2A8A"/>
    <w:rsid w:val="00AA2E91"/>
    <w:rsid w:val="00AA325F"/>
    <w:rsid w:val="00AA345D"/>
    <w:rsid w:val="00AA386E"/>
    <w:rsid w:val="00AA41D4"/>
    <w:rsid w:val="00AA4287"/>
    <w:rsid w:val="00AA430C"/>
    <w:rsid w:val="00AA46DD"/>
    <w:rsid w:val="00AA4A8C"/>
    <w:rsid w:val="00AA4B08"/>
    <w:rsid w:val="00AA5078"/>
    <w:rsid w:val="00AA519F"/>
    <w:rsid w:val="00AA5521"/>
    <w:rsid w:val="00AA585E"/>
    <w:rsid w:val="00AA5CAF"/>
    <w:rsid w:val="00AA5FED"/>
    <w:rsid w:val="00AA63B5"/>
    <w:rsid w:val="00AA668D"/>
    <w:rsid w:val="00AA7120"/>
    <w:rsid w:val="00AB0191"/>
    <w:rsid w:val="00AB033C"/>
    <w:rsid w:val="00AB0C0F"/>
    <w:rsid w:val="00AB0D62"/>
    <w:rsid w:val="00AB166D"/>
    <w:rsid w:val="00AB1793"/>
    <w:rsid w:val="00AB1C88"/>
    <w:rsid w:val="00AB2285"/>
    <w:rsid w:val="00AB238E"/>
    <w:rsid w:val="00AB244D"/>
    <w:rsid w:val="00AB2584"/>
    <w:rsid w:val="00AB25BC"/>
    <w:rsid w:val="00AB25E7"/>
    <w:rsid w:val="00AB2AAB"/>
    <w:rsid w:val="00AB2B02"/>
    <w:rsid w:val="00AB3957"/>
    <w:rsid w:val="00AB398C"/>
    <w:rsid w:val="00AB3E6E"/>
    <w:rsid w:val="00AB4B8C"/>
    <w:rsid w:val="00AB4F2A"/>
    <w:rsid w:val="00AB5113"/>
    <w:rsid w:val="00AB52B3"/>
    <w:rsid w:val="00AB545C"/>
    <w:rsid w:val="00AB591B"/>
    <w:rsid w:val="00AB5F64"/>
    <w:rsid w:val="00AB6504"/>
    <w:rsid w:val="00AB67E6"/>
    <w:rsid w:val="00AB6817"/>
    <w:rsid w:val="00AB6EF2"/>
    <w:rsid w:val="00AB742E"/>
    <w:rsid w:val="00AB7841"/>
    <w:rsid w:val="00AB7BE2"/>
    <w:rsid w:val="00AC0524"/>
    <w:rsid w:val="00AC06A5"/>
    <w:rsid w:val="00AC0E75"/>
    <w:rsid w:val="00AC10DB"/>
    <w:rsid w:val="00AC129E"/>
    <w:rsid w:val="00AC12A0"/>
    <w:rsid w:val="00AC1662"/>
    <w:rsid w:val="00AC1AF2"/>
    <w:rsid w:val="00AC2258"/>
    <w:rsid w:val="00AC271F"/>
    <w:rsid w:val="00AC28F3"/>
    <w:rsid w:val="00AC2FE1"/>
    <w:rsid w:val="00AC350C"/>
    <w:rsid w:val="00AC37F1"/>
    <w:rsid w:val="00AC3A06"/>
    <w:rsid w:val="00AC3A7B"/>
    <w:rsid w:val="00AC3A8B"/>
    <w:rsid w:val="00AC4195"/>
    <w:rsid w:val="00AC432F"/>
    <w:rsid w:val="00AC4586"/>
    <w:rsid w:val="00AC45B4"/>
    <w:rsid w:val="00AC4896"/>
    <w:rsid w:val="00AC4D00"/>
    <w:rsid w:val="00AC5563"/>
    <w:rsid w:val="00AC5840"/>
    <w:rsid w:val="00AC5D25"/>
    <w:rsid w:val="00AC61E2"/>
    <w:rsid w:val="00AC657A"/>
    <w:rsid w:val="00AC6949"/>
    <w:rsid w:val="00AC7AEF"/>
    <w:rsid w:val="00AC7C86"/>
    <w:rsid w:val="00AC7CC7"/>
    <w:rsid w:val="00AC7D7B"/>
    <w:rsid w:val="00AD01B5"/>
    <w:rsid w:val="00AD025E"/>
    <w:rsid w:val="00AD05D8"/>
    <w:rsid w:val="00AD078C"/>
    <w:rsid w:val="00AD0D8F"/>
    <w:rsid w:val="00AD17E5"/>
    <w:rsid w:val="00AD1867"/>
    <w:rsid w:val="00AD19EA"/>
    <w:rsid w:val="00AD21FD"/>
    <w:rsid w:val="00AD22AE"/>
    <w:rsid w:val="00AD26FE"/>
    <w:rsid w:val="00AD2B26"/>
    <w:rsid w:val="00AD3201"/>
    <w:rsid w:val="00AD34B1"/>
    <w:rsid w:val="00AD362F"/>
    <w:rsid w:val="00AD3BA3"/>
    <w:rsid w:val="00AD3DB5"/>
    <w:rsid w:val="00AD4ADA"/>
    <w:rsid w:val="00AD4D0F"/>
    <w:rsid w:val="00AD4F24"/>
    <w:rsid w:val="00AD51DF"/>
    <w:rsid w:val="00AD57F8"/>
    <w:rsid w:val="00AD5839"/>
    <w:rsid w:val="00AD58A4"/>
    <w:rsid w:val="00AD5BB8"/>
    <w:rsid w:val="00AD60DD"/>
    <w:rsid w:val="00AD621E"/>
    <w:rsid w:val="00AD6B49"/>
    <w:rsid w:val="00AD7DF6"/>
    <w:rsid w:val="00AE0885"/>
    <w:rsid w:val="00AE0917"/>
    <w:rsid w:val="00AE0AF5"/>
    <w:rsid w:val="00AE0B61"/>
    <w:rsid w:val="00AE16B6"/>
    <w:rsid w:val="00AE16CA"/>
    <w:rsid w:val="00AE1B19"/>
    <w:rsid w:val="00AE1C8B"/>
    <w:rsid w:val="00AE1D47"/>
    <w:rsid w:val="00AE25DE"/>
    <w:rsid w:val="00AE2A01"/>
    <w:rsid w:val="00AE2EDD"/>
    <w:rsid w:val="00AE324D"/>
    <w:rsid w:val="00AE368A"/>
    <w:rsid w:val="00AE37C5"/>
    <w:rsid w:val="00AE3AD9"/>
    <w:rsid w:val="00AE4120"/>
    <w:rsid w:val="00AE4E44"/>
    <w:rsid w:val="00AE4F63"/>
    <w:rsid w:val="00AE5026"/>
    <w:rsid w:val="00AE595F"/>
    <w:rsid w:val="00AE59D7"/>
    <w:rsid w:val="00AE5EDC"/>
    <w:rsid w:val="00AE61DB"/>
    <w:rsid w:val="00AE642D"/>
    <w:rsid w:val="00AE66A3"/>
    <w:rsid w:val="00AE6880"/>
    <w:rsid w:val="00AE699C"/>
    <w:rsid w:val="00AE6C0B"/>
    <w:rsid w:val="00AE7358"/>
    <w:rsid w:val="00AE788F"/>
    <w:rsid w:val="00AE7E0D"/>
    <w:rsid w:val="00AE7EA0"/>
    <w:rsid w:val="00AF03CF"/>
    <w:rsid w:val="00AF06C6"/>
    <w:rsid w:val="00AF1067"/>
    <w:rsid w:val="00AF162E"/>
    <w:rsid w:val="00AF191C"/>
    <w:rsid w:val="00AF191D"/>
    <w:rsid w:val="00AF25B2"/>
    <w:rsid w:val="00AF283F"/>
    <w:rsid w:val="00AF2BD6"/>
    <w:rsid w:val="00AF2E89"/>
    <w:rsid w:val="00AF2F7C"/>
    <w:rsid w:val="00AF3DB0"/>
    <w:rsid w:val="00AF3E39"/>
    <w:rsid w:val="00AF3FF4"/>
    <w:rsid w:val="00AF4803"/>
    <w:rsid w:val="00AF48B0"/>
    <w:rsid w:val="00AF4B62"/>
    <w:rsid w:val="00AF4E0C"/>
    <w:rsid w:val="00AF51A5"/>
    <w:rsid w:val="00AF588A"/>
    <w:rsid w:val="00AF59F0"/>
    <w:rsid w:val="00AF5AAC"/>
    <w:rsid w:val="00AF5ACC"/>
    <w:rsid w:val="00AF5D18"/>
    <w:rsid w:val="00AF6385"/>
    <w:rsid w:val="00AF6781"/>
    <w:rsid w:val="00AF6E3F"/>
    <w:rsid w:val="00AF6EEF"/>
    <w:rsid w:val="00AF7381"/>
    <w:rsid w:val="00AF7424"/>
    <w:rsid w:val="00AF78B9"/>
    <w:rsid w:val="00AF7CBD"/>
    <w:rsid w:val="00B00259"/>
    <w:rsid w:val="00B00507"/>
    <w:rsid w:val="00B00E5E"/>
    <w:rsid w:val="00B01132"/>
    <w:rsid w:val="00B01265"/>
    <w:rsid w:val="00B01391"/>
    <w:rsid w:val="00B01586"/>
    <w:rsid w:val="00B017F3"/>
    <w:rsid w:val="00B019CE"/>
    <w:rsid w:val="00B01B80"/>
    <w:rsid w:val="00B02BCD"/>
    <w:rsid w:val="00B02F19"/>
    <w:rsid w:val="00B03630"/>
    <w:rsid w:val="00B03AC5"/>
    <w:rsid w:val="00B03F18"/>
    <w:rsid w:val="00B04832"/>
    <w:rsid w:val="00B04C9C"/>
    <w:rsid w:val="00B05B1C"/>
    <w:rsid w:val="00B05EAA"/>
    <w:rsid w:val="00B05EE3"/>
    <w:rsid w:val="00B0664A"/>
    <w:rsid w:val="00B069E4"/>
    <w:rsid w:val="00B07744"/>
    <w:rsid w:val="00B07945"/>
    <w:rsid w:val="00B07A43"/>
    <w:rsid w:val="00B07AAE"/>
    <w:rsid w:val="00B07AC4"/>
    <w:rsid w:val="00B07BAC"/>
    <w:rsid w:val="00B07CDE"/>
    <w:rsid w:val="00B10027"/>
    <w:rsid w:val="00B10051"/>
    <w:rsid w:val="00B1152B"/>
    <w:rsid w:val="00B116BE"/>
    <w:rsid w:val="00B11986"/>
    <w:rsid w:val="00B1242C"/>
    <w:rsid w:val="00B125C9"/>
    <w:rsid w:val="00B1276D"/>
    <w:rsid w:val="00B129E3"/>
    <w:rsid w:val="00B1307B"/>
    <w:rsid w:val="00B1357F"/>
    <w:rsid w:val="00B141F8"/>
    <w:rsid w:val="00B14766"/>
    <w:rsid w:val="00B14C59"/>
    <w:rsid w:val="00B15257"/>
    <w:rsid w:val="00B152DD"/>
    <w:rsid w:val="00B15669"/>
    <w:rsid w:val="00B16171"/>
    <w:rsid w:val="00B163A2"/>
    <w:rsid w:val="00B163BA"/>
    <w:rsid w:val="00B165A1"/>
    <w:rsid w:val="00B16CBE"/>
    <w:rsid w:val="00B16CFF"/>
    <w:rsid w:val="00B16D37"/>
    <w:rsid w:val="00B16D81"/>
    <w:rsid w:val="00B16E59"/>
    <w:rsid w:val="00B16F58"/>
    <w:rsid w:val="00B17315"/>
    <w:rsid w:val="00B17A0B"/>
    <w:rsid w:val="00B17F9D"/>
    <w:rsid w:val="00B202BC"/>
    <w:rsid w:val="00B2200E"/>
    <w:rsid w:val="00B22042"/>
    <w:rsid w:val="00B2221C"/>
    <w:rsid w:val="00B2234C"/>
    <w:rsid w:val="00B22444"/>
    <w:rsid w:val="00B22BCE"/>
    <w:rsid w:val="00B22D1D"/>
    <w:rsid w:val="00B22D97"/>
    <w:rsid w:val="00B23203"/>
    <w:rsid w:val="00B23863"/>
    <w:rsid w:val="00B23E09"/>
    <w:rsid w:val="00B2492A"/>
    <w:rsid w:val="00B24B2C"/>
    <w:rsid w:val="00B24B3E"/>
    <w:rsid w:val="00B2531B"/>
    <w:rsid w:val="00B25698"/>
    <w:rsid w:val="00B25C03"/>
    <w:rsid w:val="00B26188"/>
    <w:rsid w:val="00B263B8"/>
    <w:rsid w:val="00B2648C"/>
    <w:rsid w:val="00B26556"/>
    <w:rsid w:val="00B27344"/>
    <w:rsid w:val="00B27650"/>
    <w:rsid w:val="00B277F3"/>
    <w:rsid w:val="00B2780A"/>
    <w:rsid w:val="00B27BBD"/>
    <w:rsid w:val="00B30865"/>
    <w:rsid w:val="00B3095F"/>
    <w:rsid w:val="00B30E2E"/>
    <w:rsid w:val="00B312EE"/>
    <w:rsid w:val="00B31779"/>
    <w:rsid w:val="00B31C3F"/>
    <w:rsid w:val="00B32CEF"/>
    <w:rsid w:val="00B32E8D"/>
    <w:rsid w:val="00B32FCA"/>
    <w:rsid w:val="00B332D8"/>
    <w:rsid w:val="00B333A5"/>
    <w:rsid w:val="00B336DD"/>
    <w:rsid w:val="00B3380B"/>
    <w:rsid w:val="00B3396E"/>
    <w:rsid w:val="00B34F65"/>
    <w:rsid w:val="00B34FC3"/>
    <w:rsid w:val="00B350BA"/>
    <w:rsid w:val="00B356AC"/>
    <w:rsid w:val="00B359AE"/>
    <w:rsid w:val="00B36584"/>
    <w:rsid w:val="00B36603"/>
    <w:rsid w:val="00B36DC6"/>
    <w:rsid w:val="00B3709A"/>
    <w:rsid w:val="00B377AE"/>
    <w:rsid w:val="00B378CE"/>
    <w:rsid w:val="00B37AE3"/>
    <w:rsid w:val="00B37D7B"/>
    <w:rsid w:val="00B404B6"/>
    <w:rsid w:val="00B405EB"/>
    <w:rsid w:val="00B40D2B"/>
    <w:rsid w:val="00B40E8E"/>
    <w:rsid w:val="00B41109"/>
    <w:rsid w:val="00B4155C"/>
    <w:rsid w:val="00B4159B"/>
    <w:rsid w:val="00B41708"/>
    <w:rsid w:val="00B41A30"/>
    <w:rsid w:val="00B42259"/>
    <w:rsid w:val="00B42762"/>
    <w:rsid w:val="00B4325A"/>
    <w:rsid w:val="00B43D21"/>
    <w:rsid w:val="00B43EF8"/>
    <w:rsid w:val="00B44EDD"/>
    <w:rsid w:val="00B44F03"/>
    <w:rsid w:val="00B452D6"/>
    <w:rsid w:val="00B45430"/>
    <w:rsid w:val="00B45A49"/>
    <w:rsid w:val="00B46136"/>
    <w:rsid w:val="00B466C3"/>
    <w:rsid w:val="00B46CAC"/>
    <w:rsid w:val="00B46CFA"/>
    <w:rsid w:val="00B46FF9"/>
    <w:rsid w:val="00B478A6"/>
    <w:rsid w:val="00B47A6D"/>
    <w:rsid w:val="00B47B8C"/>
    <w:rsid w:val="00B47E3F"/>
    <w:rsid w:val="00B5033F"/>
    <w:rsid w:val="00B50AAF"/>
    <w:rsid w:val="00B513D6"/>
    <w:rsid w:val="00B51BD3"/>
    <w:rsid w:val="00B52446"/>
    <w:rsid w:val="00B52C13"/>
    <w:rsid w:val="00B53411"/>
    <w:rsid w:val="00B535A8"/>
    <w:rsid w:val="00B53681"/>
    <w:rsid w:val="00B538C6"/>
    <w:rsid w:val="00B53D73"/>
    <w:rsid w:val="00B53E23"/>
    <w:rsid w:val="00B53FFE"/>
    <w:rsid w:val="00B54304"/>
    <w:rsid w:val="00B54490"/>
    <w:rsid w:val="00B54521"/>
    <w:rsid w:val="00B5479E"/>
    <w:rsid w:val="00B5491E"/>
    <w:rsid w:val="00B54B0B"/>
    <w:rsid w:val="00B54B66"/>
    <w:rsid w:val="00B54C8E"/>
    <w:rsid w:val="00B54E42"/>
    <w:rsid w:val="00B550FF"/>
    <w:rsid w:val="00B5511E"/>
    <w:rsid w:val="00B553C5"/>
    <w:rsid w:val="00B55F1A"/>
    <w:rsid w:val="00B55FB3"/>
    <w:rsid w:val="00B564B4"/>
    <w:rsid w:val="00B56571"/>
    <w:rsid w:val="00B565EB"/>
    <w:rsid w:val="00B569F6"/>
    <w:rsid w:val="00B56D64"/>
    <w:rsid w:val="00B56DAF"/>
    <w:rsid w:val="00B57499"/>
    <w:rsid w:val="00B575DD"/>
    <w:rsid w:val="00B579F1"/>
    <w:rsid w:val="00B57E82"/>
    <w:rsid w:val="00B60227"/>
    <w:rsid w:val="00B60445"/>
    <w:rsid w:val="00B609F5"/>
    <w:rsid w:val="00B612DD"/>
    <w:rsid w:val="00B61467"/>
    <w:rsid w:val="00B61486"/>
    <w:rsid w:val="00B615BC"/>
    <w:rsid w:val="00B61868"/>
    <w:rsid w:val="00B61A73"/>
    <w:rsid w:val="00B61BF9"/>
    <w:rsid w:val="00B61E1E"/>
    <w:rsid w:val="00B62651"/>
    <w:rsid w:val="00B629F7"/>
    <w:rsid w:val="00B62D02"/>
    <w:rsid w:val="00B631ED"/>
    <w:rsid w:val="00B634B6"/>
    <w:rsid w:val="00B63508"/>
    <w:rsid w:val="00B636AD"/>
    <w:rsid w:val="00B63F1B"/>
    <w:rsid w:val="00B6404B"/>
    <w:rsid w:val="00B640BD"/>
    <w:rsid w:val="00B64194"/>
    <w:rsid w:val="00B656EA"/>
    <w:rsid w:val="00B65AB9"/>
    <w:rsid w:val="00B65ECA"/>
    <w:rsid w:val="00B660E2"/>
    <w:rsid w:val="00B66234"/>
    <w:rsid w:val="00B662DD"/>
    <w:rsid w:val="00B66713"/>
    <w:rsid w:val="00B66847"/>
    <w:rsid w:val="00B670DA"/>
    <w:rsid w:val="00B6712A"/>
    <w:rsid w:val="00B67337"/>
    <w:rsid w:val="00B6739C"/>
    <w:rsid w:val="00B673B0"/>
    <w:rsid w:val="00B67893"/>
    <w:rsid w:val="00B67EFE"/>
    <w:rsid w:val="00B70437"/>
    <w:rsid w:val="00B704CF"/>
    <w:rsid w:val="00B70C67"/>
    <w:rsid w:val="00B70CE9"/>
    <w:rsid w:val="00B70E60"/>
    <w:rsid w:val="00B71452"/>
    <w:rsid w:val="00B7160A"/>
    <w:rsid w:val="00B71FC9"/>
    <w:rsid w:val="00B72058"/>
    <w:rsid w:val="00B720F6"/>
    <w:rsid w:val="00B72953"/>
    <w:rsid w:val="00B731C0"/>
    <w:rsid w:val="00B7326B"/>
    <w:rsid w:val="00B732BD"/>
    <w:rsid w:val="00B740F3"/>
    <w:rsid w:val="00B7425B"/>
    <w:rsid w:val="00B74632"/>
    <w:rsid w:val="00B746BE"/>
    <w:rsid w:val="00B747F6"/>
    <w:rsid w:val="00B74EDE"/>
    <w:rsid w:val="00B74F0D"/>
    <w:rsid w:val="00B7548D"/>
    <w:rsid w:val="00B754F0"/>
    <w:rsid w:val="00B76260"/>
    <w:rsid w:val="00B76508"/>
    <w:rsid w:val="00B766ED"/>
    <w:rsid w:val="00B76856"/>
    <w:rsid w:val="00B76902"/>
    <w:rsid w:val="00B76E4C"/>
    <w:rsid w:val="00B76EE9"/>
    <w:rsid w:val="00B76F20"/>
    <w:rsid w:val="00B7707D"/>
    <w:rsid w:val="00B7726D"/>
    <w:rsid w:val="00B7753D"/>
    <w:rsid w:val="00B7797A"/>
    <w:rsid w:val="00B805DF"/>
    <w:rsid w:val="00B806BF"/>
    <w:rsid w:val="00B80F57"/>
    <w:rsid w:val="00B81285"/>
    <w:rsid w:val="00B81373"/>
    <w:rsid w:val="00B8158E"/>
    <w:rsid w:val="00B818CB"/>
    <w:rsid w:val="00B81927"/>
    <w:rsid w:val="00B81F77"/>
    <w:rsid w:val="00B820AF"/>
    <w:rsid w:val="00B825D3"/>
    <w:rsid w:val="00B82648"/>
    <w:rsid w:val="00B82DCA"/>
    <w:rsid w:val="00B82DFA"/>
    <w:rsid w:val="00B83BA1"/>
    <w:rsid w:val="00B84408"/>
    <w:rsid w:val="00B8491E"/>
    <w:rsid w:val="00B84E93"/>
    <w:rsid w:val="00B85336"/>
    <w:rsid w:val="00B856D3"/>
    <w:rsid w:val="00B85DCA"/>
    <w:rsid w:val="00B860DA"/>
    <w:rsid w:val="00B86889"/>
    <w:rsid w:val="00B869D0"/>
    <w:rsid w:val="00B869D2"/>
    <w:rsid w:val="00B86C88"/>
    <w:rsid w:val="00B86EB7"/>
    <w:rsid w:val="00B87B09"/>
    <w:rsid w:val="00B87C6B"/>
    <w:rsid w:val="00B903CB"/>
    <w:rsid w:val="00B905CF"/>
    <w:rsid w:val="00B90F0B"/>
    <w:rsid w:val="00B90FCA"/>
    <w:rsid w:val="00B9122C"/>
    <w:rsid w:val="00B914A9"/>
    <w:rsid w:val="00B919BF"/>
    <w:rsid w:val="00B91B06"/>
    <w:rsid w:val="00B9242A"/>
    <w:rsid w:val="00B92C59"/>
    <w:rsid w:val="00B92D64"/>
    <w:rsid w:val="00B92D87"/>
    <w:rsid w:val="00B92DCD"/>
    <w:rsid w:val="00B93307"/>
    <w:rsid w:val="00B93AB9"/>
    <w:rsid w:val="00B93ED8"/>
    <w:rsid w:val="00B93F92"/>
    <w:rsid w:val="00B9444F"/>
    <w:rsid w:val="00B94F5C"/>
    <w:rsid w:val="00B950CD"/>
    <w:rsid w:val="00B95371"/>
    <w:rsid w:val="00B956C8"/>
    <w:rsid w:val="00B95E2F"/>
    <w:rsid w:val="00B95F0C"/>
    <w:rsid w:val="00B963C3"/>
    <w:rsid w:val="00B969E3"/>
    <w:rsid w:val="00B96B6F"/>
    <w:rsid w:val="00B96C24"/>
    <w:rsid w:val="00B97065"/>
    <w:rsid w:val="00B972EF"/>
    <w:rsid w:val="00B97408"/>
    <w:rsid w:val="00B9766E"/>
    <w:rsid w:val="00B977CD"/>
    <w:rsid w:val="00B978A5"/>
    <w:rsid w:val="00B97A95"/>
    <w:rsid w:val="00B97BDD"/>
    <w:rsid w:val="00BA047A"/>
    <w:rsid w:val="00BA0643"/>
    <w:rsid w:val="00BA0994"/>
    <w:rsid w:val="00BA0D8D"/>
    <w:rsid w:val="00BA0ED5"/>
    <w:rsid w:val="00BA0F70"/>
    <w:rsid w:val="00BA21D3"/>
    <w:rsid w:val="00BA221C"/>
    <w:rsid w:val="00BA2885"/>
    <w:rsid w:val="00BA3AFE"/>
    <w:rsid w:val="00BA4235"/>
    <w:rsid w:val="00BA4730"/>
    <w:rsid w:val="00BA5423"/>
    <w:rsid w:val="00BA5718"/>
    <w:rsid w:val="00BA5A6F"/>
    <w:rsid w:val="00BA5BE9"/>
    <w:rsid w:val="00BA6034"/>
    <w:rsid w:val="00BA6261"/>
    <w:rsid w:val="00BA627B"/>
    <w:rsid w:val="00BA6904"/>
    <w:rsid w:val="00BA7294"/>
    <w:rsid w:val="00BA72B3"/>
    <w:rsid w:val="00BA755A"/>
    <w:rsid w:val="00BA7747"/>
    <w:rsid w:val="00BA7881"/>
    <w:rsid w:val="00BA7BC8"/>
    <w:rsid w:val="00BA7CAF"/>
    <w:rsid w:val="00BA7E37"/>
    <w:rsid w:val="00BB00FA"/>
    <w:rsid w:val="00BB0858"/>
    <w:rsid w:val="00BB1465"/>
    <w:rsid w:val="00BB161F"/>
    <w:rsid w:val="00BB1CCB"/>
    <w:rsid w:val="00BB1EEE"/>
    <w:rsid w:val="00BB270F"/>
    <w:rsid w:val="00BB3288"/>
    <w:rsid w:val="00BB38BF"/>
    <w:rsid w:val="00BB3992"/>
    <w:rsid w:val="00BB39E2"/>
    <w:rsid w:val="00BB3A3C"/>
    <w:rsid w:val="00BB475B"/>
    <w:rsid w:val="00BB4D37"/>
    <w:rsid w:val="00BB515A"/>
    <w:rsid w:val="00BB556F"/>
    <w:rsid w:val="00BB5F71"/>
    <w:rsid w:val="00BB64B7"/>
    <w:rsid w:val="00BB6856"/>
    <w:rsid w:val="00BB7190"/>
    <w:rsid w:val="00BB72D3"/>
    <w:rsid w:val="00BB72E0"/>
    <w:rsid w:val="00BB798B"/>
    <w:rsid w:val="00BC0071"/>
    <w:rsid w:val="00BC0338"/>
    <w:rsid w:val="00BC03C5"/>
    <w:rsid w:val="00BC03EF"/>
    <w:rsid w:val="00BC04D4"/>
    <w:rsid w:val="00BC0A09"/>
    <w:rsid w:val="00BC0FA4"/>
    <w:rsid w:val="00BC130F"/>
    <w:rsid w:val="00BC149B"/>
    <w:rsid w:val="00BC1937"/>
    <w:rsid w:val="00BC19AC"/>
    <w:rsid w:val="00BC2477"/>
    <w:rsid w:val="00BC280E"/>
    <w:rsid w:val="00BC2920"/>
    <w:rsid w:val="00BC2955"/>
    <w:rsid w:val="00BC2A1E"/>
    <w:rsid w:val="00BC2CD5"/>
    <w:rsid w:val="00BC31AB"/>
    <w:rsid w:val="00BC3311"/>
    <w:rsid w:val="00BC337D"/>
    <w:rsid w:val="00BC361C"/>
    <w:rsid w:val="00BC3C0C"/>
    <w:rsid w:val="00BC3F0E"/>
    <w:rsid w:val="00BC4381"/>
    <w:rsid w:val="00BC446C"/>
    <w:rsid w:val="00BC4FF4"/>
    <w:rsid w:val="00BC4FF9"/>
    <w:rsid w:val="00BC5641"/>
    <w:rsid w:val="00BC567F"/>
    <w:rsid w:val="00BC595F"/>
    <w:rsid w:val="00BC5B97"/>
    <w:rsid w:val="00BC5E03"/>
    <w:rsid w:val="00BC5EBA"/>
    <w:rsid w:val="00BC5EEC"/>
    <w:rsid w:val="00BC5EEF"/>
    <w:rsid w:val="00BC6277"/>
    <w:rsid w:val="00BC652C"/>
    <w:rsid w:val="00BC6A1E"/>
    <w:rsid w:val="00BC7011"/>
    <w:rsid w:val="00BC743F"/>
    <w:rsid w:val="00BC75DC"/>
    <w:rsid w:val="00BC78F9"/>
    <w:rsid w:val="00BC791F"/>
    <w:rsid w:val="00BC797F"/>
    <w:rsid w:val="00BC7EC2"/>
    <w:rsid w:val="00BC7F92"/>
    <w:rsid w:val="00BD015D"/>
    <w:rsid w:val="00BD038C"/>
    <w:rsid w:val="00BD052A"/>
    <w:rsid w:val="00BD05CD"/>
    <w:rsid w:val="00BD081C"/>
    <w:rsid w:val="00BD0A60"/>
    <w:rsid w:val="00BD0B6E"/>
    <w:rsid w:val="00BD1590"/>
    <w:rsid w:val="00BD187E"/>
    <w:rsid w:val="00BD1C99"/>
    <w:rsid w:val="00BD2EBD"/>
    <w:rsid w:val="00BD3A50"/>
    <w:rsid w:val="00BD3D16"/>
    <w:rsid w:val="00BD421E"/>
    <w:rsid w:val="00BD48CC"/>
    <w:rsid w:val="00BD4B89"/>
    <w:rsid w:val="00BD4BE2"/>
    <w:rsid w:val="00BD51F4"/>
    <w:rsid w:val="00BD5F31"/>
    <w:rsid w:val="00BD6185"/>
    <w:rsid w:val="00BD6D85"/>
    <w:rsid w:val="00BD7560"/>
    <w:rsid w:val="00BD78F4"/>
    <w:rsid w:val="00BD78F7"/>
    <w:rsid w:val="00BD7C09"/>
    <w:rsid w:val="00BD7D9D"/>
    <w:rsid w:val="00BE00E2"/>
    <w:rsid w:val="00BE0D4F"/>
    <w:rsid w:val="00BE1632"/>
    <w:rsid w:val="00BE17BA"/>
    <w:rsid w:val="00BE1ABE"/>
    <w:rsid w:val="00BE1AD4"/>
    <w:rsid w:val="00BE1F59"/>
    <w:rsid w:val="00BE2776"/>
    <w:rsid w:val="00BE2A3F"/>
    <w:rsid w:val="00BE2C15"/>
    <w:rsid w:val="00BE2CA6"/>
    <w:rsid w:val="00BE37F5"/>
    <w:rsid w:val="00BE3924"/>
    <w:rsid w:val="00BE399A"/>
    <w:rsid w:val="00BE3CA2"/>
    <w:rsid w:val="00BE476B"/>
    <w:rsid w:val="00BE4827"/>
    <w:rsid w:val="00BE541A"/>
    <w:rsid w:val="00BE5470"/>
    <w:rsid w:val="00BE5763"/>
    <w:rsid w:val="00BE5AA0"/>
    <w:rsid w:val="00BE5B69"/>
    <w:rsid w:val="00BE5D7B"/>
    <w:rsid w:val="00BE5ECF"/>
    <w:rsid w:val="00BE636D"/>
    <w:rsid w:val="00BE67C5"/>
    <w:rsid w:val="00BE6CD9"/>
    <w:rsid w:val="00BE6DBC"/>
    <w:rsid w:val="00BE6EAD"/>
    <w:rsid w:val="00BE7188"/>
    <w:rsid w:val="00BE729B"/>
    <w:rsid w:val="00BE7FBF"/>
    <w:rsid w:val="00BF05B3"/>
    <w:rsid w:val="00BF072C"/>
    <w:rsid w:val="00BF08AB"/>
    <w:rsid w:val="00BF0B3F"/>
    <w:rsid w:val="00BF0FC9"/>
    <w:rsid w:val="00BF1134"/>
    <w:rsid w:val="00BF11F4"/>
    <w:rsid w:val="00BF1202"/>
    <w:rsid w:val="00BF1752"/>
    <w:rsid w:val="00BF1831"/>
    <w:rsid w:val="00BF1926"/>
    <w:rsid w:val="00BF19B2"/>
    <w:rsid w:val="00BF1D7B"/>
    <w:rsid w:val="00BF22DC"/>
    <w:rsid w:val="00BF2BA8"/>
    <w:rsid w:val="00BF2F84"/>
    <w:rsid w:val="00BF32A3"/>
    <w:rsid w:val="00BF360F"/>
    <w:rsid w:val="00BF382E"/>
    <w:rsid w:val="00BF3C39"/>
    <w:rsid w:val="00BF3C3E"/>
    <w:rsid w:val="00BF3EFF"/>
    <w:rsid w:val="00BF43AF"/>
    <w:rsid w:val="00BF43F2"/>
    <w:rsid w:val="00BF4870"/>
    <w:rsid w:val="00BF4A3C"/>
    <w:rsid w:val="00BF4D68"/>
    <w:rsid w:val="00BF512F"/>
    <w:rsid w:val="00BF5802"/>
    <w:rsid w:val="00BF5852"/>
    <w:rsid w:val="00BF65B4"/>
    <w:rsid w:val="00BF6A39"/>
    <w:rsid w:val="00BF6E5A"/>
    <w:rsid w:val="00C00281"/>
    <w:rsid w:val="00C00925"/>
    <w:rsid w:val="00C00C54"/>
    <w:rsid w:val="00C00E02"/>
    <w:rsid w:val="00C00FA2"/>
    <w:rsid w:val="00C010E8"/>
    <w:rsid w:val="00C016E6"/>
    <w:rsid w:val="00C01ABC"/>
    <w:rsid w:val="00C01C36"/>
    <w:rsid w:val="00C02662"/>
    <w:rsid w:val="00C02887"/>
    <w:rsid w:val="00C031DC"/>
    <w:rsid w:val="00C03574"/>
    <w:rsid w:val="00C03964"/>
    <w:rsid w:val="00C03A1D"/>
    <w:rsid w:val="00C03C98"/>
    <w:rsid w:val="00C03DA2"/>
    <w:rsid w:val="00C040A5"/>
    <w:rsid w:val="00C04146"/>
    <w:rsid w:val="00C0469D"/>
    <w:rsid w:val="00C0513F"/>
    <w:rsid w:val="00C05619"/>
    <w:rsid w:val="00C05921"/>
    <w:rsid w:val="00C05BA0"/>
    <w:rsid w:val="00C062A4"/>
    <w:rsid w:val="00C06338"/>
    <w:rsid w:val="00C06C38"/>
    <w:rsid w:val="00C07076"/>
    <w:rsid w:val="00C07122"/>
    <w:rsid w:val="00C0796F"/>
    <w:rsid w:val="00C07ECE"/>
    <w:rsid w:val="00C100D4"/>
    <w:rsid w:val="00C1039F"/>
    <w:rsid w:val="00C10701"/>
    <w:rsid w:val="00C10D9C"/>
    <w:rsid w:val="00C1249B"/>
    <w:rsid w:val="00C12C39"/>
    <w:rsid w:val="00C130C4"/>
    <w:rsid w:val="00C13391"/>
    <w:rsid w:val="00C133D8"/>
    <w:rsid w:val="00C133EE"/>
    <w:rsid w:val="00C135EC"/>
    <w:rsid w:val="00C136EA"/>
    <w:rsid w:val="00C13907"/>
    <w:rsid w:val="00C13F6C"/>
    <w:rsid w:val="00C13F85"/>
    <w:rsid w:val="00C14009"/>
    <w:rsid w:val="00C1431A"/>
    <w:rsid w:val="00C147B3"/>
    <w:rsid w:val="00C14985"/>
    <w:rsid w:val="00C1511C"/>
    <w:rsid w:val="00C154C9"/>
    <w:rsid w:val="00C159FF"/>
    <w:rsid w:val="00C16038"/>
    <w:rsid w:val="00C16C80"/>
    <w:rsid w:val="00C16E0B"/>
    <w:rsid w:val="00C170CE"/>
    <w:rsid w:val="00C17CA7"/>
    <w:rsid w:val="00C17CDC"/>
    <w:rsid w:val="00C17E31"/>
    <w:rsid w:val="00C17F0B"/>
    <w:rsid w:val="00C20149"/>
    <w:rsid w:val="00C201A5"/>
    <w:rsid w:val="00C20F85"/>
    <w:rsid w:val="00C21014"/>
    <w:rsid w:val="00C21346"/>
    <w:rsid w:val="00C2136A"/>
    <w:rsid w:val="00C21742"/>
    <w:rsid w:val="00C21B57"/>
    <w:rsid w:val="00C21C5C"/>
    <w:rsid w:val="00C22356"/>
    <w:rsid w:val="00C22C51"/>
    <w:rsid w:val="00C22D36"/>
    <w:rsid w:val="00C22D75"/>
    <w:rsid w:val="00C22DFF"/>
    <w:rsid w:val="00C22E14"/>
    <w:rsid w:val="00C2304E"/>
    <w:rsid w:val="00C2336F"/>
    <w:rsid w:val="00C23811"/>
    <w:rsid w:val="00C23A73"/>
    <w:rsid w:val="00C23AD9"/>
    <w:rsid w:val="00C23D8A"/>
    <w:rsid w:val="00C24762"/>
    <w:rsid w:val="00C2489D"/>
    <w:rsid w:val="00C24978"/>
    <w:rsid w:val="00C24B94"/>
    <w:rsid w:val="00C25203"/>
    <w:rsid w:val="00C2536A"/>
    <w:rsid w:val="00C26903"/>
    <w:rsid w:val="00C2695E"/>
    <w:rsid w:val="00C26F2F"/>
    <w:rsid w:val="00C30321"/>
    <w:rsid w:val="00C3039F"/>
    <w:rsid w:val="00C30942"/>
    <w:rsid w:val="00C3099A"/>
    <w:rsid w:val="00C30B60"/>
    <w:rsid w:val="00C31454"/>
    <w:rsid w:val="00C314C2"/>
    <w:rsid w:val="00C31B2B"/>
    <w:rsid w:val="00C31FBB"/>
    <w:rsid w:val="00C3267A"/>
    <w:rsid w:val="00C328FC"/>
    <w:rsid w:val="00C32964"/>
    <w:rsid w:val="00C329BA"/>
    <w:rsid w:val="00C32ABD"/>
    <w:rsid w:val="00C32F28"/>
    <w:rsid w:val="00C33692"/>
    <w:rsid w:val="00C33FB5"/>
    <w:rsid w:val="00C340BE"/>
    <w:rsid w:val="00C3469B"/>
    <w:rsid w:val="00C34E78"/>
    <w:rsid w:val="00C350C5"/>
    <w:rsid w:val="00C359D4"/>
    <w:rsid w:val="00C35BF0"/>
    <w:rsid w:val="00C35C8D"/>
    <w:rsid w:val="00C360DC"/>
    <w:rsid w:val="00C36690"/>
    <w:rsid w:val="00C366EB"/>
    <w:rsid w:val="00C36F62"/>
    <w:rsid w:val="00C37A96"/>
    <w:rsid w:val="00C37B1E"/>
    <w:rsid w:val="00C37F99"/>
    <w:rsid w:val="00C4005A"/>
    <w:rsid w:val="00C40D47"/>
    <w:rsid w:val="00C418BD"/>
    <w:rsid w:val="00C41B5D"/>
    <w:rsid w:val="00C42731"/>
    <w:rsid w:val="00C42E6A"/>
    <w:rsid w:val="00C43612"/>
    <w:rsid w:val="00C43618"/>
    <w:rsid w:val="00C43672"/>
    <w:rsid w:val="00C4392D"/>
    <w:rsid w:val="00C439BF"/>
    <w:rsid w:val="00C43B8D"/>
    <w:rsid w:val="00C44070"/>
    <w:rsid w:val="00C442BB"/>
    <w:rsid w:val="00C44785"/>
    <w:rsid w:val="00C458A6"/>
    <w:rsid w:val="00C45DD9"/>
    <w:rsid w:val="00C45E75"/>
    <w:rsid w:val="00C4627A"/>
    <w:rsid w:val="00C4675A"/>
    <w:rsid w:val="00C47406"/>
    <w:rsid w:val="00C474E9"/>
    <w:rsid w:val="00C4782E"/>
    <w:rsid w:val="00C47AB8"/>
    <w:rsid w:val="00C50420"/>
    <w:rsid w:val="00C50A99"/>
    <w:rsid w:val="00C50FC6"/>
    <w:rsid w:val="00C511C0"/>
    <w:rsid w:val="00C51772"/>
    <w:rsid w:val="00C52561"/>
    <w:rsid w:val="00C53314"/>
    <w:rsid w:val="00C539EB"/>
    <w:rsid w:val="00C53B0F"/>
    <w:rsid w:val="00C53DA9"/>
    <w:rsid w:val="00C5402D"/>
    <w:rsid w:val="00C5415A"/>
    <w:rsid w:val="00C542AD"/>
    <w:rsid w:val="00C54CE5"/>
    <w:rsid w:val="00C54DB9"/>
    <w:rsid w:val="00C551DA"/>
    <w:rsid w:val="00C5541A"/>
    <w:rsid w:val="00C5560F"/>
    <w:rsid w:val="00C559B0"/>
    <w:rsid w:val="00C55ABB"/>
    <w:rsid w:val="00C55CC7"/>
    <w:rsid w:val="00C56277"/>
    <w:rsid w:val="00C56382"/>
    <w:rsid w:val="00C56C92"/>
    <w:rsid w:val="00C56D3A"/>
    <w:rsid w:val="00C572C0"/>
    <w:rsid w:val="00C573DC"/>
    <w:rsid w:val="00C573F5"/>
    <w:rsid w:val="00C57718"/>
    <w:rsid w:val="00C57F68"/>
    <w:rsid w:val="00C60472"/>
    <w:rsid w:val="00C60A67"/>
    <w:rsid w:val="00C60BC3"/>
    <w:rsid w:val="00C60D5A"/>
    <w:rsid w:val="00C60FB1"/>
    <w:rsid w:val="00C60FBB"/>
    <w:rsid w:val="00C6101E"/>
    <w:rsid w:val="00C61384"/>
    <w:rsid w:val="00C61910"/>
    <w:rsid w:val="00C61BEB"/>
    <w:rsid w:val="00C61D6F"/>
    <w:rsid w:val="00C61E9E"/>
    <w:rsid w:val="00C61FC7"/>
    <w:rsid w:val="00C624C8"/>
    <w:rsid w:val="00C62D3E"/>
    <w:rsid w:val="00C62DF2"/>
    <w:rsid w:val="00C63570"/>
    <w:rsid w:val="00C6361E"/>
    <w:rsid w:val="00C63918"/>
    <w:rsid w:val="00C63B05"/>
    <w:rsid w:val="00C63DCD"/>
    <w:rsid w:val="00C63ECB"/>
    <w:rsid w:val="00C64B86"/>
    <w:rsid w:val="00C652AC"/>
    <w:rsid w:val="00C65398"/>
    <w:rsid w:val="00C656BD"/>
    <w:rsid w:val="00C65728"/>
    <w:rsid w:val="00C660A1"/>
    <w:rsid w:val="00C661B1"/>
    <w:rsid w:val="00C664DE"/>
    <w:rsid w:val="00C664E7"/>
    <w:rsid w:val="00C667DC"/>
    <w:rsid w:val="00C66C5D"/>
    <w:rsid w:val="00C66D62"/>
    <w:rsid w:val="00C66EA8"/>
    <w:rsid w:val="00C6743B"/>
    <w:rsid w:val="00C675FB"/>
    <w:rsid w:val="00C67661"/>
    <w:rsid w:val="00C677EA"/>
    <w:rsid w:val="00C6798D"/>
    <w:rsid w:val="00C679A8"/>
    <w:rsid w:val="00C67EBA"/>
    <w:rsid w:val="00C70060"/>
    <w:rsid w:val="00C703D6"/>
    <w:rsid w:val="00C7068C"/>
    <w:rsid w:val="00C70CD1"/>
    <w:rsid w:val="00C70D5C"/>
    <w:rsid w:val="00C70EBF"/>
    <w:rsid w:val="00C71280"/>
    <w:rsid w:val="00C71A16"/>
    <w:rsid w:val="00C71D28"/>
    <w:rsid w:val="00C72000"/>
    <w:rsid w:val="00C7258B"/>
    <w:rsid w:val="00C72C5D"/>
    <w:rsid w:val="00C72F83"/>
    <w:rsid w:val="00C73046"/>
    <w:rsid w:val="00C739C3"/>
    <w:rsid w:val="00C73C9D"/>
    <w:rsid w:val="00C752E7"/>
    <w:rsid w:val="00C7558C"/>
    <w:rsid w:val="00C757A3"/>
    <w:rsid w:val="00C759E8"/>
    <w:rsid w:val="00C75A8B"/>
    <w:rsid w:val="00C76260"/>
    <w:rsid w:val="00C762B7"/>
    <w:rsid w:val="00C7642A"/>
    <w:rsid w:val="00C7642C"/>
    <w:rsid w:val="00C7643C"/>
    <w:rsid w:val="00C765D9"/>
    <w:rsid w:val="00C76B4E"/>
    <w:rsid w:val="00C76F4A"/>
    <w:rsid w:val="00C76F59"/>
    <w:rsid w:val="00C77110"/>
    <w:rsid w:val="00C771D5"/>
    <w:rsid w:val="00C77462"/>
    <w:rsid w:val="00C77A0C"/>
    <w:rsid w:val="00C77CE7"/>
    <w:rsid w:val="00C77EC0"/>
    <w:rsid w:val="00C80322"/>
    <w:rsid w:val="00C805DD"/>
    <w:rsid w:val="00C80955"/>
    <w:rsid w:val="00C80A4B"/>
    <w:rsid w:val="00C80C7C"/>
    <w:rsid w:val="00C80CB3"/>
    <w:rsid w:val="00C80E18"/>
    <w:rsid w:val="00C81335"/>
    <w:rsid w:val="00C817A7"/>
    <w:rsid w:val="00C8187B"/>
    <w:rsid w:val="00C82067"/>
    <w:rsid w:val="00C825BF"/>
    <w:rsid w:val="00C8270F"/>
    <w:rsid w:val="00C82F52"/>
    <w:rsid w:val="00C8302B"/>
    <w:rsid w:val="00C83F74"/>
    <w:rsid w:val="00C8449C"/>
    <w:rsid w:val="00C84A63"/>
    <w:rsid w:val="00C8502E"/>
    <w:rsid w:val="00C851E4"/>
    <w:rsid w:val="00C854DF"/>
    <w:rsid w:val="00C85631"/>
    <w:rsid w:val="00C85684"/>
    <w:rsid w:val="00C85784"/>
    <w:rsid w:val="00C85D96"/>
    <w:rsid w:val="00C85F63"/>
    <w:rsid w:val="00C86046"/>
    <w:rsid w:val="00C8689A"/>
    <w:rsid w:val="00C869A5"/>
    <w:rsid w:val="00C86D35"/>
    <w:rsid w:val="00C86D62"/>
    <w:rsid w:val="00C87047"/>
    <w:rsid w:val="00C872C7"/>
    <w:rsid w:val="00C8749B"/>
    <w:rsid w:val="00C875C5"/>
    <w:rsid w:val="00C8792A"/>
    <w:rsid w:val="00C87C01"/>
    <w:rsid w:val="00C90158"/>
    <w:rsid w:val="00C905CF"/>
    <w:rsid w:val="00C9094A"/>
    <w:rsid w:val="00C9121F"/>
    <w:rsid w:val="00C9140E"/>
    <w:rsid w:val="00C914BA"/>
    <w:rsid w:val="00C916E2"/>
    <w:rsid w:val="00C917E1"/>
    <w:rsid w:val="00C91AEA"/>
    <w:rsid w:val="00C91E7C"/>
    <w:rsid w:val="00C9291C"/>
    <w:rsid w:val="00C92A29"/>
    <w:rsid w:val="00C92C68"/>
    <w:rsid w:val="00C933D3"/>
    <w:rsid w:val="00C93F86"/>
    <w:rsid w:val="00C941B6"/>
    <w:rsid w:val="00C944FE"/>
    <w:rsid w:val="00C94D22"/>
    <w:rsid w:val="00C951BB"/>
    <w:rsid w:val="00C9533B"/>
    <w:rsid w:val="00C95FFC"/>
    <w:rsid w:val="00C96105"/>
    <w:rsid w:val="00C961A3"/>
    <w:rsid w:val="00C96D08"/>
    <w:rsid w:val="00C96E5D"/>
    <w:rsid w:val="00C976AC"/>
    <w:rsid w:val="00C97866"/>
    <w:rsid w:val="00CA006D"/>
    <w:rsid w:val="00CA014B"/>
    <w:rsid w:val="00CA030E"/>
    <w:rsid w:val="00CA03CC"/>
    <w:rsid w:val="00CA08D3"/>
    <w:rsid w:val="00CA09C9"/>
    <w:rsid w:val="00CA0C0E"/>
    <w:rsid w:val="00CA1E4F"/>
    <w:rsid w:val="00CA2102"/>
    <w:rsid w:val="00CA2344"/>
    <w:rsid w:val="00CA265C"/>
    <w:rsid w:val="00CA27B3"/>
    <w:rsid w:val="00CA2D61"/>
    <w:rsid w:val="00CA3005"/>
    <w:rsid w:val="00CA319B"/>
    <w:rsid w:val="00CA3340"/>
    <w:rsid w:val="00CA3472"/>
    <w:rsid w:val="00CA3873"/>
    <w:rsid w:val="00CA3B9B"/>
    <w:rsid w:val="00CA4237"/>
    <w:rsid w:val="00CA4626"/>
    <w:rsid w:val="00CA4FE9"/>
    <w:rsid w:val="00CA5ACA"/>
    <w:rsid w:val="00CA5E4E"/>
    <w:rsid w:val="00CA61D8"/>
    <w:rsid w:val="00CA629D"/>
    <w:rsid w:val="00CA62D0"/>
    <w:rsid w:val="00CA642F"/>
    <w:rsid w:val="00CA652C"/>
    <w:rsid w:val="00CA662C"/>
    <w:rsid w:val="00CA6948"/>
    <w:rsid w:val="00CA762C"/>
    <w:rsid w:val="00CA78C4"/>
    <w:rsid w:val="00CB017C"/>
    <w:rsid w:val="00CB03AB"/>
    <w:rsid w:val="00CB0436"/>
    <w:rsid w:val="00CB057D"/>
    <w:rsid w:val="00CB05D5"/>
    <w:rsid w:val="00CB0626"/>
    <w:rsid w:val="00CB0BA6"/>
    <w:rsid w:val="00CB0F57"/>
    <w:rsid w:val="00CB131B"/>
    <w:rsid w:val="00CB13AC"/>
    <w:rsid w:val="00CB1CEB"/>
    <w:rsid w:val="00CB1E1F"/>
    <w:rsid w:val="00CB31B4"/>
    <w:rsid w:val="00CB40F8"/>
    <w:rsid w:val="00CB42D2"/>
    <w:rsid w:val="00CB48C5"/>
    <w:rsid w:val="00CB4B69"/>
    <w:rsid w:val="00CB54FF"/>
    <w:rsid w:val="00CB5600"/>
    <w:rsid w:val="00CB5BAE"/>
    <w:rsid w:val="00CB5C13"/>
    <w:rsid w:val="00CB5C75"/>
    <w:rsid w:val="00CB5DDD"/>
    <w:rsid w:val="00CB5E77"/>
    <w:rsid w:val="00CB630C"/>
    <w:rsid w:val="00CB66EE"/>
    <w:rsid w:val="00CB67A8"/>
    <w:rsid w:val="00CB67D6"/>
    <w:rsid w:val="00CB67DA"/>
    <w:rsid w:val="00CB7838"/>
    <w:rsid w:val="00CB7E7C"/>
    <w:rsid w:val="00CC0278"/>
    <w:rsid w:val="00CC059F"/>
    <w:rsid w:val="00CC065E"/>
    <w:rsid w:val="00CC0EAD"/>
    <w:rsid w:val="00CC1DD4"/>
    <w:rsid w:val="00CC27FD"/>
    <w:rsid w:val="00CC281A"/>
    <w:rsid w:val="00CC2D47"/>
    <w:rsid w:val="00CC2F6C"/>
    <w:rsid w:val="00CC2FE4"/>
    <w:rsid w:val="00CC42FE"/>
    <w:rsid w:val="00CC4417"/>
    <w:rsid w:val="00CC47E7"/>
    <w:rsid w:val="00CC47F2"/>
    <w:rsid w:val="00CC48F5"/>
    <w:rsid w:val="00CC4E46"/>
    <w:rsid w:val="00CC516C"/>
    <w:rsid w:val="00CC54D9"/>
    <w:rsid w:val="00CC5663"/>
    <w:rsid w:val="00CC59DD"/>
    <w:rsid w:val="00CC5BB1"/>
    <w:rsid w:val="00CC5DFF"/>
    <w:rsid w:val="00CC6054"/>
    <w:rsid w:val="00CC626E"/>
    <w:rsid w:val="00CC6F56"/>
    <w:rsid w:val="00CC7C54"/>
    <w:rsid w:val="00CD0152"/>
    <w:rsid w:val="00CD0D3A"/>
    <w:rsid w:val="00CD1178"/>
    <w:rsid w:val="00CD1419"/>
    <w:rsid w:val="00CD1666"/>
    <w:rsid w:val="00CD166B"/>
    <w:rsid w:val="00CD1783"/>
    <w:rsid w:val="00CD191F"/>
    <w:rsid w:val="00CD1BF9"/>
    <w:rsid w:val="00CD24C8"/>
    <w:rsid w:val="00CD268D"/>
    <w:rsid w:val="00CD26C6"/>
    <w:rsid w:val="00CD288D"/>
    <w:rsid w:val="00CD30B9"/>
    <w:rsid w:val="00CD37AF"/>
    <w:rsid w:val="00CD39F5"/>
    <w:rsid w:val="00CD4383"/>
    <w:rsid w:val="00CD4AD4"/>
    <w:rsid w:val="00CD4BBA"/>
    <w:rsid w:val="00CD4D62"/>
    <w:rsid w:val="00CD4F61"/>
    <w:rsid w:val="00CD542E"/>
    <w:rsid w:val="00CD56EA"/>
    <w:rsid w:val="00CD65B0"/>
    <w:rsid w:val="00CD67C7"/>
    <w:rsid w:val="00CD6CDE"/>
    <w:rsid w:val="00CD6FCB"/>
    <w:rsid w:val="00CD7508"/>
    <w:rsid w:val="00CD7746"/>
    <w:rsid w:val="00CD78D4"/>
    <w:rsid w:val="00CD7BCB"/>
    <w:rsid w:val="00CD7D99"/>
    <w:rsid w:val="00CD7EA4"/>
    <w:rsid w:val="00CD7FAB"/>
    <w:rsid w:val="00CE00B1"/>
    <w:rsid w:val="00CE0736"/>
    <w:rsid w:val="00CE0BD4"/>
    <w:rsid w:val="00CE0F80"/>
    <w:rsid w:val="00CE12A7"/>
    <w:rsid w:val="00CE1D12"/>
    <w:rsid w:val="00CE1E26"/>
    <w:rsid w:val="00CE23CE"/>
    <w:rsid w:val="00CE2700"/>
    <w:rsid w:val="00CE2A4C"/>
    <w:rsid w:val="00CE3F3B"/>
    <w:rsid w:val="00CE4078"/>
    <w:rsid w:val="00CE4321"/>
    <w:rsid w:val="00CE4399"/>
    <w:rsid w:val="00CE4405"/>
    <w:rsid w:val="00CE497D"/>
    <w:rsid w:val="00CE4AA9"/>
    <w:rsid w:val="00CE4F37"/>
    <w:rsid w:val="00CE50C5"/>
    <w:rsid w:val="00CE5165"/>
    <w:rsid w:val="00CE5353"/>
    <w:rsid w:val="00CE5525"/>
    <w:rsid w:val="00CE559F"/>
    <w:rsid w:val="00CE5A69"/>
    <w:rsid w:val="00CE643B"/>
    <w:rsid w:val="00CE6697"/>
    <w:rsid w:val="00CE6849"/>
    <w:rsid w:val="00CE6D06"/>
    <w:rsid w:val="00CE6D70"/>
    <w:rsid w:val="00CE70FA"/>
    <w:rsid w:val="00CE7257"/>
    <w:rsid w:val="00CE7725"/>
    <w:rsid w:val="00CE794A"/>
    <w:rsid w:val="00CE79C6"/>
    <w:rsid w:val="00CE7A76"/>
    <w:rsid w:val="00CE7F21"/>
    <w:rsid w:val="00CE7F5D"/>
    <w:rsid w:val="00CF026A"/>
    <w:rsid w:val="00CF0469"/>
    <w:rsid w:val="00CF0C7D"/>
    <w:rsid w:val="00CF0FC5"/>
    <w:rsid w:val="00CF11AF"/>
    <w:rsid w:val="00CF198B"/>
    <w:rsid w:val="00CF2254"/>
    <w:rsid w:val="00CF28DB"/>
    <w:rsid w:val="00CF2A14"/>
    <w:rsid w:val="00CF2ADD"/>
    <w:rsid w:val="00CF2D00"/>
    <w:rsid w:val="00CF352C"/>
    <w:rsid w:val="00CF3D43"/>
    <w:rsid w:val="00CF439F"/>
    <w:rsid w:val="00CF45D7"/>
    <w:rsid w:val="00CF4A1A"/>
    <w:rsid w:val="00CF4A74"/>
    <w:rsid w:val="00CF4B88"/>
    <w:rsid w:val="00CF4E12"/>
    <w:rsid w:val="00CF4FC9"/>
    <w:rsid w:val="00CF5AA0"/>
    <w:rsid w:val="00CF5C15"/>
    <w:rsid w:val="00CF5D25"/>
    <w:rsid w:val="00CF616C"/>
    <w:rsid w:val="00CF645F"/>
    <w:rsid w:val="00CF66F2"/>
    <w:rsid w:val="00CF68EC"/>
    <w:rsid w:val="00CF6D7C"/>
    <w:rsid w:val="00CF73FB"/>
    <w:rsid w:val="00CF7564"/>
    <w:rsid w:val="00CF78C6"/>
    <w:rsid w:val="00CF7E48"/>
    <w:rsid w:val="00CF7ECC"/>
    <w:rsid w:val="00D00579"/>
    <w:rsid w:val="00D005DE"/>
    <w:rsid w:val="00D00976"/>
    <w:rsid w:val="00D0098B"/>
    <w:rsid w:val="00D00BC1"/>
    <w:rsid w:val="00D00EE0"/>
    <w:rsid w:val="00D01F1E"/>
    <w:rsid w:val="00D022A5"/>
    <w:rsid w:val="00D02388"/>
    <w:rsid w:val="00D029C2"/>
    <w:rsid w:val="00D02FFE"/>
    <w:rsid w:val="00D0310E"/>
    <w:rsid w:val="00D032B3"/>
    <w:rsid w:val="00D03669"/>
    <w:rsid w:val="00D0379C"/>
    <w:rsid w:val="00D03954"/>
    <w:rsid w:val="00D04C28"/>
    <w:rsid w:val="00D04D09"/>
    <w:rsid w:val="00D04E30"/>
    <w:rsid w:val="00D04EC3"/>
    <w:rsid w:val="00D05D03"/>
    <w:rsid w:val="00D05D81"/>
    <w:rsid w:val="00D05E2C"/>
    <w:rsid w:val="00D05FF8"/>
    <w:rsid w:val="00D06164"/>
    <w:rsid w:val="00D06249"/>
    <w:rsid w:val="00D067C9"/>
    <w:rsid w:val="00D069A6"/>
    <w:rsid w:val="00D0768C"/>
    <w:rsid w:val="00D078F1"/>
    <w:rsid w:val="00D079AA"/>
    <w:rsid w:val="00D07B15"/>
    <w:rsid w:val="00D07E6C"/>
    <w:rsid w:val="00D10465"/>
    <w:rsid w:val="00D10C52"/>
    <w:rsid w:val="00D11562"/>
    <w:rsid w:val="00D11A73"/>
    <w:rsid w:val="00D11AAD"/>
    <w:rsid w:val="00D11CF6"/>
    <w:rsid w:val="00D120E3"/>
    <w:rsid w:val="00D121DA"/>
    <w:rsid w:val="00D129A2"/>
    <w:rsid w:val="00D13405"/>
    <w:rsid w:val="00D13646"/>
    <w:rsid w:val="00D13945"/>
    <w:rsid w:val="00D13AEE"/>
    <w:rsid w:val="00D13B0A"/>
    <w:rsid w:val="00D13B84"/>
    <w:rsid w:val="00D14056"/>
    <w:rsid w:val="00D14216"/>
    <w:rsid w:val="00D14D9B"/>
    <w:rsid w:val="00D15495"/>
    <w:rsid w:val="00D15689"/>
    <w:rsid w:val="00D15AC9"/>
    <w:rsid w:val="00D15E4A"/>
    <w:rsid w:val="00D1632E"/>
    <w:rsid w:val="00D164D7"/>
    <w:rsid w:val="00D167C1"/>
    <w:rsid w:val="00D168C0"/>
    <w:rsid w:val="00D16A0B"/>
    <w:rsid w:val="00D16AFA"/>
    <w:rsid w:val="00D16D88"/>
    <w:rsid w:val="00D1718D"/>
    <w:rsid w:val="00D1735B"/>
    <w:rsid w:val="00D17863"/>
    <w:rsid w:val="00D1799E"/>
    <w:rsid w:val="00D17EB2"/>
    <w:rsid w:val="00D20953"/>
    <w:rsid w:val="00D20D11"/>
    <w:rsid w:val="00D20D6A"/>
    <w:rsid w:val="00D20ED7"/>
    <w:rsid w:val="00D21118"/>
    <w:rsid w:val="00D2114B"/>
    <w:rsid w:val="00D211F1"/>
    <w:rsid w:val="00D213ED"/>
    <w:rsid w:val="00D2147D"/>
    <w:rsid w:val="00D21EDD"/>
    <w:rsid w:val="00D21EE4"/>
    <w:rsid w:val="00D21F14"/>
    <w:rsid w:val="00D222D9"/>
    <w:rsid w:val="00D228EA"/>
    <w:rsid w:val="00D229DE"/>
    <w:rsid w:val="00D2321D"/>
    <w:rsid w:val="00D234AA"/>
    <w:rsid w:val="00D234B3"/>
    <w:rsid w:val="00D23EDC"/>
    <w:rsid w:val="00D241B1"/>
    <w:rsid w:val="00D24260"/>
    <w:rsid w:val="00D2469C"/>
    <w:rsid w:val="00D2539A"/>
    <w:rsid w:val="00D25709"/>
    <w:rsid w:val="00D260B1"/>
    <w:rsid w:val="00D2610F"/>
    <w:rsid w:val="00D268F5"/>
    <w:rsid w:val="00D26E10"/>
    <w:rsid w:val="00D26F8C"/>
    <w:rsid w:val="00D27102"/>
    <w:rsid w:val="00D2720C"/>
    <w:rsid w:val="00D2735E"/>
    <w:rsid w:val="00D27364"/>
    <w:rsid w:val="00D275AF"/>
    <w:rsid w:val="00D275BA"/>
    <w:rsid w:val="00D276D1"/>
    <w:rsid w:val="00D27AF0"/>
    <w:rsid w:val="00D3035C"/>
    <w:rsid w:val="00D30453"/>
    <w:rsid w:val="00D3070A"/>
    <w:rsid w:val="00D307FE"/>
    <w:rsid w:val="00D309BA"/>
    <w:rsid w:val="00D30B1D"/>
    <w:rsid w:val="00D30BD3"/>
    <w:rsid w:val="00D30CC0"/>
    <w:rsid w:val="00D31A17"/>
    <w:rsid w:val="00D3240C"/>
    <w:rsid w:val="00D32441"/>
    <w:rsid w:val="00D324BA"/>
    <w:rsid w:val="00D325D5"/>
    <w:rsid w:val="00D32B6C"/>
    <w:rsid w:val="00D32BAD"/>
    <w:rsid w:val="00D33B7A"/>
    <w:rsid w:val="00D33C02"/>
    <w:rsid w:val="00D33D37"/>
    <w:rsid w:val="00D33E62"/>
    <w:rsid w:val="00D345A1"/>
    <w:rsid w:val="00D34C27"/>
    <w:rsid w:val="00D34EF5"/>
    <w:rsid w:val="00D35157"/>
    <w:rsid w:val="00D353E1"/>
    <w:rsid w:val="00D356E1"/>
    <w:rsid w:val="00D35D18"/>
    <w:rsid w:val="00D36083"/>
    <w:rsid w:val="00D366FF"/>
    <w:rsid w:val="00D37373"/>
    <w:rsid w:val="00D37D99"/>
    <w:rsid w:val="00D37F93"/>
    <w:rsid w:val="00D40265"/>
    <w:rsid w:val="00D4043F"/>
    <w:rsid w:val="00D40A78"/>
    <w:rsid w:val="00D40CA8"/>
    <w:rsid w:val="00D42C7B"/>
    <w:rsid w:val="00D43058"/>
    <w:rsid w:val="00D432A6"/>
    <w:rsid w:val="00D437D2"/>
    <w:rsid w:val="00D437EE"/>
    <w:rsid w:val="00D43D8C"/>
    <w:rsid w:val="00D440B6"/>
    <w:rsid w:val="00D44717"/>
    <w:rsid w:val="00D44C00"/>
    <w:rsid w:val="00D44F3B"/>
    <w:rsid w:val="00D451B0"/>
    <w:rsid w:val="00D4583E"/>
    <w:rsid w:val="00D46065"/>
    <w:rsid w:val="00D462E1"/>
    <w:rsid w:val="00D46605"/>
    <w:rsid w:val="00D46671"/>
    <w:rsid w:val="00D4770A"/>
    <w:rsid w:val="00D4778E"/>
    <w:rsid w:val="00D478B3"/>
    <w:rsid w:val="00D507D1"/>
    <w:rsid w:val="00D50DC4"/>
    <w:rsid w:val="00D50F8D"/>
    <w:rsid w:val="00D50FBA"/>
    <w:rsid w:val="00D5145E"/>
    <w:rsid w:val="00D51460"/>
    <w:rsid w:val="00D515D6"/>
    <w:rsid w:val="00D51C49"/>
    <w:rsid w:val="00D51CDD"/>
    <w:rsid w:val="00D52218"/>
    <w:rsid w:val="00D532E5"/>
    <w:rsid w:val="00D538C8"/>
    <w:rsid w:val="00D53C3D"/>
    <w:rsid w:val="00D542CB"/>
    <w:rsid w:val="00D5448C"/>
    <w:rsid w:val="00D54692"/>
    <w:rsid w:val="00D5477B"/>
    <w:rsid w:val="00D547C2"/>
    <w:rsid w:val="00D5483E"/>
    <w:rsid w:val="00D54A6E"/>
    <w:rsid w:val="00D54A90"/>
    <w:rsid w:val="00D550B4"/>
    <w:rsid w:val="00D55332"/>
    <w:rsid w:val="00D55474"/>
    <w:rsid w:val="00D55537"/>
    <w:rsid w:val="00D55F74"/>
    <w:rsid w:val="00D5669B"/>
    <w:rsid w:val="00D566E2"/>
    <w:rsid w:val="00D56789"/>
    <w:rsid w:val="00D56915"/>
    <w:rsid w:val="00D5742D"/>
    <w:rsid w:val="00D576BB"/>
    <w:rsid w:val="00D57D41"/>
    <w:rsid w:val="00D60570"/>
    <w:rsid w:val="00D605FB"/>
    <w:rsid w:val="00D609F1"/>
    <w:rsid w:val="00D60F04"/>
    <w:rsid w:val="00D61225"/>
    <w:rsid w:val="00D61267"/>
    <w:rsid w:val="00D6197C"/>
    <w:rsid w:val="00D61A6C"/>
    <w:rsid w:val="00D61CD3"/>
    <w:rsid w:val="00D62085"/>
    <w:rsid w:val="00D6210D"/>
    <w:rsid w:val="00D62906"/>
    <w:rsid w:val="00D62C73"/>
    <w:rsid w:val="00D62ECD"/>
    <w:rsid w:val="00D62EDE"/>
    <w:rsid w:val="00D632CF"/>
    <w:rsid w:val="00D634D8"/>
    <w:rsid w:val="00D63660"/>
    <w:rsid w:val="00D637CA"/>
    <w:rsid w:val="00D63A00"/>
    <w:rsid w:val="00D63ABA"/>
    <w:rsid w:val="00D63B36"/>
    <w:rsid w:val="00D63B83"/>
    <w:rsid w:val="00D645F3"/>
    <w:rsid w:val="00D64713"/>
    <w:rsid w:val="00D64AF5"/>
    <w:rsid w:val="00D64F50"/>
    <w:rsid w:val="00D65C25"/>
    <w:rsid w:val="00D6618D"/>
    <w:rsid w:val="00D662E0"/>
    <w:rsid w:val="00D66519"/>
    <w:rsid w:val="00D66A61"/>
    <w:rsid w:val="00D66B07"/>
    <w:rsid w:val="00D67016"/>
    <w:rsid w:val="00D6790D"/>
    <w:rsid w:val="00D67DDD"/>
    <w:rsid w:val="00D67EE6"/>
    <w:rsid w:val="00D67FE7"/>
    <w:rsid w:val="00D7076F"/>
    <w:rsid w:val="00D707B1"/>
    <w:rsid w:val="00D70B0B"/>
    <w:rsid w:val="00D70FBF"/>
    <w:rsid w:val="00D70FC7"/>
    <w:rsid w:val="00D71A62"/>
    <w:rsid w:val="00D72042"/>
    <w:rsid w:val="00D720FB"/>
    <w:rsid w:val="00D726C4"/>
    <w:rsid w:val="00D72D2C"/>
    <w:rsid w:val="00D7329A"/>
    <w:rsid w:val="00D7342C"/>
    <w:rsid w:val="00D73534"/>
    <w:rsid w:val="00D73B15"/>
    <w:rsid w:val="00D74126"/>
    <w:rsid w:val="00D74139"/>
    <w:rsid w:val="00D74152"/>
    <w:rsid w:val="00D741B5"/>
    <w:rsid w:val="00D7440B"/>
    <w:rsid w:val="00D7484E"/>
    <w:rsid w:val="00D74F22"/>
    <w:rsid w:val="00D75035"/>
    <w:rsid w:val="00D752FE"/>
    <w:rsid w:val="00D75575"/>
    <w:rsid w:val="00D757AD"/>
    <w:rsid w:val="00D761EF"/>
    <w:rsid w:val="00D768B1"/>
    <w:rsid w:val="00D76A8B"/>
    <w:rsid w:val="00D76A9A"/>
    <w:rsid w:val="00D76E81"/>
    <w:rsid w:val="00D7718E"/>
    <w:rsid w:val="00D7735F"/>
    <w:rsid w:val="00D77691"/>
    <w:rsid w:val="00D77A44"/>
    <w:rsid w:val="00D81308"/>
    <w:rsid w:val="00D81787"/>
    <w:rsid w:val="00D81C16"/>
    <w:rsid w:val="00D81E1C"/>
    <w:rsid w:val="00D81F71"/>
    <w:rsid w:val="00D81F9B"/>
    <w:rsid w:val="00D82406"/>
    <w:rsid w:val="00D824AB"/>
    <w:rsid w:val="00D82580"/>
    <w:rsid w:val="00D82A21"/>
    <w:rsid w:val="00D832D6"/>
    <w:rsid w:val="00D8397D"/>
    <w:rsid w:val="00D8421A"/>
    <w:rsid w:val="00D84455"/>
    <w:rsid w:val="00D84501"/>
    <w:rsid w:val="00D8463E"/>
    <w:rsid w:val="00D8470C"/>
    <w:rsid w:val="00D854A7"/>
    <w:rsid w:val="00D85574"/>
    <w:rsid w:val="00D85863"/>
    <w:rsid w:val="00D862C8"/>
    <w:rsid w:val="00D864EA"/>
    <w:rsid w:val="00D864F8"/>
    <w:rsid w:val="00D865A1"/>
    <w:rsid w:val="00D86C11"/>
    <w:rsid w:val="00D86D94"/>
    <w:rsid w:val="00D86D98"/>
    <w:rsid w:val="00D86DE9"/>
    <w:rsid w:val="00D8710C"/>
    <w:rsid w:val="00D87130"/>
    <w:rsid w:val="00D8735E"/>
    <w:rsid w:val="00D87461"/>
    <w:rsid w:val="00D8787E"/>
    <w:rsid w:val="00D902A4"/>
    <w:rsid w:val="00D902AB"/>
    <w:rsid w:val="00D90363"/>
    <w:rsid w:val="00D90ECF"/>
    <w:rsid w:val="00D91353"/>
    <w:rsid w:val="00D9183C"/>
    <w:rsid w:val="00D91915"/>
    <w:rsid w:val="00D91B00"/>
    <w:rsid w:val="00D9265E"/>
    <w:rsid w:val="00D92DA1"/>
    <w:rsid w:val="00D93335"/>
    <w:rsid w:val="00D93988"/>
    <w:rsid w:val="00D93BD5"/>
    <w:rsid w:val="00D93C1D"/>
    <w:rsid w:val="00D93EF6"/>
    <w:rsid w:val="00D93F85"/>
    <w:rsid w:val="00D945B4"/>
    <w:rsid w:val="00D9485A"/>
    <w:rsid w:val="00D94DF5"/>
    <w:rsid w:val="00D94E72"/>
    <w:rsid w:val="00D94EB8"/>
    <w:rsid w:val="00D95208"/>
    <w:rsid w:val="00D95AF9"/>
    <w:rsid w:val="00D9608D"/>
    <w:rsid w:val="00D96EA5"/>
    <w:rsid w:val="00D970E0"/>
    <w:rsid w:val="00D9753E"/>
    <w:rsid w:val="00D978C8"/>
    <w:rsid w:val="00D97DB4"/>
    <w:rsid w:val="00DA003D"/>
    <w:rsid w:val="00DA03CC"/>
    <w:rsid w:val="00DA12FC"/>
    <w:rsid w:val="00DA178F"/>
    <w:rsid w:val="00DA2323"/>
    <w:rsid w:val="00DA28C2"/>
    <w:rsid w:val="00DA28E7"/>
    <w:rsid w:val="00DA2A0A"/>
    <w:rsid w:val="00DA30C4"/>
    <w:rsid w:val="00DA3133"/>
    <w:rsid w:val="00DA379A"/>
    <w:rsid w:val="00DA3905"/>
    <w:rsid w:val="00DA41A4"/>
    <w:rsid w:val="00DA42FD"/>
    <w:rsid w:val="00DA4307"/>
    <w:rsid w:val="00DA435B"/>
    <w:rsid w:val="00DA49A5"/>
    <w:rsid w:val="00DA54EE"/>
    <w:rsid w:val="00DA5947"/>
    <w:rsid w:val="00DA635A"/>
    <w:rsid w:val="00DA6475"/>
    <w:rsid w:val="00DA6AEC"/>
    <w:rsid w:val="00DA6BF4"/>
    <w:rsid w:val="00DA6E95"/>
    <w:rsid w:val="00DA756B"/>
    <w:rsid w:val="00DA7794"/>
    <w:rsid w:val="00DA781B"/>
    <w:rsid w:val="00DA78F1"/>
    <w:rsid w:val="00DA7C94"/>
    <w:rsid w:val="00DB04DF"/>
    <w:rsid w:val="00DB05FD"/>
    <w:rsid w:val="00DB0B18"/>
    <w:rsid w:val="00DB1166"/>
    <w:rsid w:val="00DB14E6"/>
    <w:rsid w:val="00DB1606"/>
    <w:rsid w:val="00DB184A"/>
    <w:rsid w:val="00DB1C04"/>
    <w:rsid w:val="00DB1C37"/>
    <w:rsid w:val="00DB1D07"/>
    <w:rsid w:val="00DB1E26"/>
    <w:rsid w:val="00DB1FAA"/>
    <w:rsid w:val="00DB2664"/>
    <w:rsid w:val="00DB26F8"/>
    <w:rsid w:val="00DB2777"/>
    <w:rsid w:val="00DB2862"/>
    <w:rsid w:val="00DB2AFB"/>
    <w:rsid w:val="00DB329A"/>
    <w:rsid w:val="00DB360A"/>
    <w:rsid w:val="00DB3F02"/>
    <w:rsid w:val="00DB43B9"/>
    <w:rsid w:val="00DB44F7"/>
    <w:rsid w:val="00DB4CD2"/>
    <w:rsid w:val="00DB4D78"/>
    <w:rsid w:val="00DB4E33"/>
    <w:rsid w:val="00DB5793"/>
    <w:rsid w:val="00DB5AEE"/>
    <w:rsid w:val="00DB6451"/>
    <w:rsid w:val="00DB67CB"/>
    <w:rsid w:val="00DB6C27"/>
    <w:rsid w:val="00DB7841"/>
    <w:rsid w:val="00DB7A01"/>
    <w:rsid w:val="00DB7CB5"/>
    <w:rsid w:val="00DC02AF"/>
    <w:rsid w:val="00DC085E"/>
    <w:rsid w:val="00DC08F3"/>
    <w:rsid w:val="00DC195E"/>
    <w:rsid w:val="00DC1A07"/>
    <w:rsid w:val="00DC1D1A"/>
    <w:rsid w:val="00DC25B6"/>
    <w:rsid w:val="00DC2757"/>
    <w:rsid w:val="00DC280C"/>
    <w:rsid w:val="00DC2A9A"/>
    <w:rsid w:val="00DC306C"/>
    <w:rsid w:val="00DC30E3"/>
    <w:rsid w:val="00DC327E"/>
    <w:rsid w:val="00DC351C"/>
    <w:rsid w:val="00DC3563"/>
    <w:rsid w:val="00DC3808"/>
    <w:rsid w:val="00DC3937"/>
    <w:rsid w:val="00DC3A7F"/>
    <w:rsid w:val="00DC3D27"/>
    <w:rsid w:val="00DC3D76"/>
    <w:rsid w:val="00DC485D"/>
    <w:rsid w:val="00DC4A76"/>
    <w:rsid w:val="00DC5587"/>
    <w:rsid w:val="00DC58E2"/>
    <w:rsid w:val="00DC63B6"/>
    <w:rsid w:val="00DC6AFA"/>
    <w:rsid w:val="00DC7756"/>
    <w:rsid w:val="00DC7996"/>
    <w:rsid w:val="00DC7A8D"/>
    <w:rsid w:val="00DD0A98"/>
    <w:rsid w:val="00DD150F"/>
    <w:rsid w:val="00DD18BF"/>
    <w:rsid w:val="00DD19F8"/>
    <w:rsid w:val="00DD240A"/>
    <w:rsid w:val="00DD27BC"/>
    <w:rsid w:val="00DD297A"/>
    <w:rsid w:val="00DD2E3F"/>
    <w:rsid w:val="00DD303A"/>
    <w:rsid w:val="00DD322A"/>
    <w:rsid w:val="00DD3309"/>
    <w:rsid w:val="00DD3ABA"/>
    <w:rsid w:val="00DD3C0C"/>
    <w:rsid w:val="00DD3C1D"/>
    <w:rsid w:val="00DD4009"/>
    <w:rsid w:val="00DD41B4"/>
    <w:rsid w:val="00DD4D4A"/>
    <w:rsid w:val="00DD535E"/>
    <w:rsid w:val="00DD57A4"/>
    <w:rsid w:val="00DD59D6"/>
    <w:rsid w:val="00DD615A"/>
    <w:rsid w:val="00DD6AA6"/>
    <w:rsid w:val="00DD6B52"/>
    <w:rsid w:val="00DD70C0"/>
    <w:rsid w:val="00DD7105"/>
    <w:rsid w:val="00DD7294"/>
    <w:rsid w:val="00DD729F"/>
    <w:rsid w:val="00DD7421"/>
    <w:rsid w:val="00DD7CEF"/>
    <w:rsid w:val="00DD7FC9"/>
    <w:rsid w:val="00DE08AE"/>
    <w:rsid w:val="00DE093A"/>
    <w:rsid w:val="00DE0CB1"/>
    <w:rsid w:val="00DE0D80"/>
    <w:rsid w:val="00DE1226"/>
    <w:rsid w:val="00DE161F"/>
    <w:rsid w:val="00DE1A36"/>
    <w:rsid w:val="00DE1E48"/>
    <w:rsid w:val="00DE272C"/>
    <w:rsid w:val="00DE331A"/>
    <w:rsid w:val="00DE3D56"/>
    <w:rsid w:val="00DE4158"/>
    <w:rsid w:val="00DE42B7"/>
    <w:rsid w:val="00DE43B0"/>
    <w:rsid w:val="00DE4777"/>
    <w:rsid w:val="00DE482D"/>
    <w:rsid w:val="00DE49A0"/>
    <w:rsid w:val="00DE4AF2"/>
    <w:rsid w:val="00DE4BF9"/>
    <w:rsid w:val="00DE4FD5"/>
    <w:rsid w:val="00DE587F"/>
    <w:rsid w:val="00DE5F12"/>
    <w:rsid w:val="00DE6076"/>
    <w:rsid w:val="00DE61ED"/>
    <w:rsid w:val="00DE6299"/>
    <w:rsid w:val="00DE6328"/>
    <w:rsid w:val="00DE633E"/>
    <w:rsid w:val="00DE68CC"/>
    <w:rsid w:val="00DE6C3E"/>
    <w:rsid w:val="00DE7E1D"/>
    <w:rsid w:val="00DF0203"/>
    <w:rsid w:val="00DF0456"/>
    <w:rsid w:val="00DF0806"/>
    <w:rsid w:val="00DF0AFE"/>
    <w:rsid w:val="00DF0B24"/>
    <w:rsid w:val="00DF18E8"/>
    <w:rsid w:val="00DF1950"/>
    <w:rsid w:val="00DF1A63"/>
    <w:rsid w:val="00DF1D1C"/>
    <w:rsid w:val="00DF280E"/>
    <w:rsid w:val="00DF2836"/>
    <w:rsid w:val="00DF2895"/>
    <w:rsid w:val="00DF28D8"/>
    <w:rsid w:val="00DF2E1C"/>
    <w:rsid w:val="00DF2E35"/>
    <w:rsid w:val="00DF2E70"/>
    <w:rsid w:val="00DF2F96"/>
    <w:rsid w:val="00DF39E7"/>
    <w:rsid w:val="00DF3C7D"/>
    <w:rsid w:val="00DF3C89"/>
    <w:rsid w:val="00DF403D"/>
    <w:rsid w:val="00DF54FF"/>
    <w:rsid w:val="00DF56C0"/>
    <w:rsid w:val="00DF612E"/>
    <w:rsid w:val="00DF64FD"/>
    <w:rsid w:val="00DF65DF"/>
    <w:rsid w:val="00DF668D"/>
    <w:rsid w:val="00DF6744"/>
    <w:rsid w:val="00DF68CB"/>
    <w:rsid w:val="00DF78C5"/>
    <w:rsid w:val="00DF79EB"/>
    <w:rsid w:val="00E00391"/>
    <w:rsid w:val="00E00441"/>
    <w:rsid w:val="00E0052E"/>
    <w:rsid w:val="00E00598"/>
    <w:rsid w:val="00E008FC"/>
    <w:rsid w:val="00E00A2C"/>
    <w:rsid w:val="00E00F89"/>
    <w:rsid w:val="00E0189F"/>
    <w:rsid w:val="00E01A87"/>
    <w:rsid w:val="00E02A70"/>
    <w:rsid w:val="00E02AF0"/>
    <w:rsid w:val="00E02D2A"/>
    <w:rsid w:val="00E033D3"/>
    <w:rsid w:val="00E035DA"/>
    <w:rsid w:val="00E043E1"/>
    <w:rsid w:val="00E0443F"/>
    <w:rsid w:val="00E048FC"/>
    <w:rsid w:val="00E04A86"/>
    <w:rsid w:val="00E04C1E"/>
    <w:rsid w:val="00E0510E"/>
    <w:rsid w:val="00E055DF"/>
    <w:rsid w:val="00E0588A"/>
    <w:rsid w:val="00E058B7"/>
    <w:rsid w:val="00E05C7F"/>
    <w:rsid w:val="00E0672F"/>
    <w:rsid w:val="00E068FE"/>
    <w:rsid w:val="00E06E44"/>
    <w:rsid w:val="00E07179"/>
    <w:rsid w:val="00E07986"/>
    <w:rsid w:val="00E07A45"/>
    <w:rsid w:val="00E07ECD"/>
    <w:rsid w:val="00E10444"/>
    <w:rsid w:val="00E10AE9"/>
    <w:rsid w:val="00E10CBE"/>
    <w:rsid w:val="00E1121F"/>
    <w:rsid w:val="00E113A4"/>
    <w:rsid w:val="00E11FAB"/>
    <w:rsid w:val="00E120C9"/>
    <w:rsid w:val="00E12304"/>
    <w:rsid w:val="00E12650"/>
    <w:rsid w:val="00E12A17"/>
    <w:rsid w:val="00E12EF4"/>
    <w:rsid w:val="00E13567"/>
    <w:rsid w:val="00E136AA"/>
    <w:rsid w:val="00E137FC"/>
    <w:rsid w:val="00E13D6D"/>
    <w:rsid w:val="00E14450"/>
    <w:rsid w:val="00E15009"/>
    <w:rsid w:val="00E15448"/>
    <w:rsid w:val="00E15889"/>
    <w:rsid w:val="00E161C4"/>
    <w:rsid w:val="00E16A85"/>
    <w:rsid w:val="00E16B64"/>
    <w:rsid w:val="00E172F5"/>
    <w:rsid w:val="00E17AD4"/>
    <w:rsid w:val="00E17CF5"/>
    <w:rsid w:val="00E20128"/>
    <w:rsid w:val="00E203B8"/>
    <w:rsid w:val="00E203D3"/>
    <w:rsid w:val="00E20412"/>
    <w:rsid w:val="00E2058F"/>
    <w:rsid w:val="00E208FA"/>
    <w:rsid w:val="00E20E2A"/>
    <w:rsid w:val="00E210E5"/>
    <w:rsid w:val="00E21315"/>
    <w:rsid w:val="00E22377"/>
    <w:rsid w:val="00E223BE"/>
    <w:rsid w:val="00E22F54"/>
    <w:rsid w:val="00E23063"/>
    <w:rsid w:val="00E23069"/>
    <w:rsid w:val="00E238E4"/>
    <w:rsid w:val="00E23BC2"/>
    <w:rsid w:val="00E23C20"/>
    <w:rsid w:val="00E23E74"/>
    <w:rsid w:val="00E241CE"/>
    <w:rsid w:val="00E242EE"/>
    <w:rsid w:val="00E24BB1"/>
    <w:rsid w:val="00E24BDC"/>
    <w:rsid w:val="00E24F4B"/>
    <w:rsid w:val="00E250AE"/>
    <w:rsid w:val="00E25AC0"/>
    <w:rsid w:val="00E25C9E"/>
    <w:rsid w:val="00E2606A"/>
    <w:rsid w:val="00E260C7"/>
    <w:rsid w:val="00E26130"/>
    <w:rsid w:val="00E2668F"/>
    <w:rsid w:val="00E267F3"/>
    <w:rsid w:val="00E26927"/>
    <w:rsid w:val="00E26A16"/>
    <w:rsid w:val="00E26B2A"/>
    <w:rsid w:val="00E27704"/>
    <w:rsid w:val="00E27AA6"/>
    <w:rsid w:val="00E303C5"/>
    <w:rsid w:val="00E30474"/>
    <w:rsid w:val="00E308C1"/>
    <w:rsid w:val="00E30A0A"/>
    <w:rsid w:val="00E30CA1"/>
    <w:rsid w:val="00E30D83"/>
    <w:rsid w:val="00E310D1"/>
    <w:rsid w:val="00E31191"/>
    <w:rsid w:val="00E31372"/>
    <w:rsid w:val="00E31653"/>
    <w:rsid w:val="00E31DD8"/>
    <w:rsid w:val="00E31F31"/>
    <w:rsid w:val="00E32194"/>
    <w:rsid w:val="00E3244D"/>
    <w:rsid w:val="00E32C1F"/>
    <w:rsid w:val="00E32F20"/>
    <w:rsid w:val="00E32FC6"/>
    <w:rsid w:val="00E32FF4"/>
    <w:rsid w:val="00E330D5"/>
    <w:rsid w:val="00E3399F"/>
    <w:rsid w:val="00E3419E"/>
    <w:rsid w:val="00E34D60"/>
    <w:rsid w:val="00E35033"/>
    <w:rsid w:val="00E35652"/>
    <w:rsid w:val="00E35F6A"/>
    <w:rsid w:val="00E3601E"/>
    <w:rsid w:val="00E3666E"/>
    <w:rsid w:val="00E36D19"/>
    <w:rsid w:val="00E36E8E"/>
    <w:rsid w:val="00E36F1B"/>
    <w:rsid w:val="00E37415"/>
    <w:rsid w:val="00E37740"/>
    <w:rsid w:val="00E37999"/>
    <w:rsid w:val="00E379BD"/>
    <w:rsid w:val="00E37F57"/>
    <w:rsid w:val="00E40041"/>
    <w:rsid w:val="00E401B7"/>
    <w:rsid w:val="00E4049F"/>
    <w:rsid w:val="00E408A3"/>
    <w:rsid w:val="00E40AAC"/>
    <w:rsid w:val="00E40AC6"/>
    <w:rsid w:val="00E41051"/>
    <w:rsid w:val="00E4175C"/>
    <w:rsid w:val="00E41958"/>
    <w:rsid w:val="00E41C37"/>
    <w:rsid w:val="00E41E1D"/>
    <w:rsid w:val="00E4229A"/>
    <w:rsid w:val="00E42529"/>
    <w:rsid w:val="00E42624"/>
    <w:rsid w:val="00E42DDB"/>
    <w:rsid w:val="00E4314A"/>
    <w:rsid w:val="00E431BC"/>
    <w:rsid w:val="00E433C4"/>
    <w:rsid w:val="00E433DF"/>
    <w:rsid w:val="00E436E5"/>
    <w:rsid w:val="00E436FC"/>
    <w:rsid w:val="00E43A1F"/>
    <w:rsid w:val="00E442F7"/>
    <w:rsid w:val="00E44575"/>
    <w:rsid w:val="00E445F9"/>
    <w:rsid w:val="00E44BE5"/>
    <w:rsid w:val="00E45133"/>
    <w:rsid w:val="00E45332"/>
    <w:rsid w:val="00E455C3"/>
    <w:rsid w:val="00E45B6E"/>
    <w:rsid w:val="00E4696F"/>
    <w:rsid w:val="00E46B4E"/>
    <w:rsid w:val="00E4706C"/>
    <w:rsid w:val="00E471C2"/>
    <w:rsid w:val="00E4733B"/>
    <w:rsid w:val="00E47663"/>
    <w:rsid w:val="00E47725"/>
    <w:rsid w:val="00E50B37"/>
    <w:rsid w:val="00E50B9E"/>
    <w:rsid w:val="00E50EB0"/>
    <w:rsid w:val="00E50EE3"/>
    <w:rsid w:val="00E51083"/>
    <w:rsid w:val="00E510D0"/>
    <w:rsid w:val="00E510F7"/>
    <w:rsid w:val="00E5162E"/>
    <w:rsid w:val="00E51822"/>
    <w:rsid w:val="00E52378"/>
    <w:rsid w:val="00E52534"/>
    <w:rsid w:val="00E5278C"/>
    <w:rsid w:val="00E53000"/>
    <w:rsid w:val="00E53A00"/>
    <w:rsid w:val="00E53C42"/>
    <w:rsid w:val="00E54125"/>
    <w:rsid w:val="00E5415E"/>
    <w:rsid w:val="00E5467D"/>
    <w:rsid w:val="00E54DDF"/>
    <w:rsid w:val="00E54E64"/>
    <w:rsid w:val="00E55214"/>
    <w:rsid w:val="00E5524F"/>
    <w:rsid w:val="00E55309"/>
    <w:rsid w:val="00E556B3"/>
    <w:rsid w:val="00E559DF"/>
    <w:rsid w:val="00E55E63"/>
    <w:rsid w:val="00E56044"/>
    <w:rsid w:val="00E564F9"/>
    <w:rsid w:val="00E56C6C"/>
    <w:rsid w:val="00E57063"/>
    <w:rsid w:val="00E57261"/>
    <w:rsid w:val="00E574C1"/>
    <w:rsid w:val="00E57FAC"/>
    <w:rsid w:val="00E60481"/>
    <w:rsid w:val="00E604C6"/>
    <w:rsid w:val="00E60603"/>
    <w:rsid w:val="00E60E6A"/>
    <w:rsid w:val="00E6135A"/>
    <w:rsid w:val="00E6150C"/>
    <w:rsid w:val="00E616FB"/>
    <w:rsid w:val="00E617C9"/>
    <w:rsid w:val="00E6194C"/>
    <w:rsid w:val="00E61F8C"/>
    <w:rsid w:val="00E62F69"/>
    <w:rsid w:val="00E63154"/>
    <w:rsid w:val="00E631FD"/>
    <w:rsid w:val="00E63648"/>
    <w:rsid w:val="00E63957"/>
    <w:rsid w:val="00E63D24"/>
    <w:rsid w:val="00E64DF8"/>
    <w:rsid w:val="00E64ECB"/>
    <w:rsid w:val="00E64ECE"/>
    <w:rsid w:val="00E64F61"/>
    <w:rsid w:val="00E653A1"/>
    <w:rsid w:val="00E6572C"/>
    <w:rsid w:val="00E65CE2"/>
    <w:rsid w:val="00E667B7"/>
    <w:rsid w:val="00E66A52"/>
    <w:rsid w:val="00E66BE0"/>
    <w:rsid w:val="00E671F8"/>
    <w:rsid w:val="00E67AEA"/>
    <w:rsid w:val="00E67D4C"/>
    <w:rsid w:val="00E7057E"/>
    <w:rsid w:val="00E706EE"/>
    <w:rsid w:val="00E70E51"/>
    <w:rsid w:val="00E7169B"/>
    <w:rsid w:val="00E71AEE"/>
    <w:rsid w:val="00E71B2A"/>
    <w:rsid w:val="00E71F8E"/>
    <w:rsid w:val="00E721D7"/>
    <w:rsid w:val="00E723D5"/>
    <w:rsid w:val="00E7299D"/>
    <w:rsid w:val="00E72BD3"/>
    <w:rsid w:val="00E72E71"/>
    <w:rsid w:val="00E7397B"/>
    <w:rsid w:val="00E73E68"/>
    <w:rsid w:val="00E740BC"/>
    <w:rsid w:val="00E74149"/>
    <w:rsid w:val="00E7457A"/>
    <w:rsid w:val="00E74857"/>
    <w:rsid w:val="00E749FA"/>
    <w:rsid w:val="00E751CC"/>
    <w:rsid w:val="00E75636"/>
    <w:rsid w:val="00E75B56"/>
    <w:rsid w:val="00E75FAF"/>
    <w:rsid w:val="00E76ABF"/>
    <w:rsid w:val="00E76B38"/>
    <w:rsid w:val="00E76BDE"/>
    <w:rsid w:val="00E76E45"/>
    <w:rsid w:val="00E77AA2"/>
    <w:rsid w:val="00E77D0B"/>
    <w:rsid w:val="00E80185"/>
    <w:rsid w:val="00E80530"/>
    <w:rsid w:val="00E807AB"/>
    <w:rsid w:val="00E809B6"/>
    <w:rsid w:val="00E80F8D"/>
    <w:rsid w:val="00E81615"/>
    <w:rsid w:val="00E82869"/>
    <w:rsid w:val="00E82BB7"/>
    <w:rsid w:val="00E83024"/>
    <w:rsid w:val="00E8315B"/>
    <w:rsid w:val="00E83A11"/>
    <w:rsid w:val="00E8411F"/>
    <w:rsid w:val="00E845FC"/>
    <w:rsid w:val="00E846B1"/>
    <w:rsid w:val="00E8476E"/>
    <w:rsid w:val="00E8518E"/>
    <w:rsid w:val="00E85686"/>
    <w:rsid w:val="00E8590D"/>
    <w:rsid w:val="00E86026"/>
    <w:rsid w:val="00E86263"/>
    <w:rsid w:val="00E87076"/>
    <w:rsid w:val="00E8744D"/>
    <w:rsid w:val="00E8792D"/>
    <w:rsid w:val="00E87996"/>
    <w:rsid w:val="00E87D96"/>
    <w:rsid w:val="00E87E2D"/>
    <w:rsid w:val="00E9036C"/>
    <w:rsid w:val="00E907E5"/>
    <w:rsid w:val="00E918F0"/>
    <w:rsid w:val="00E91D25"/>
    <w:rsid w:val="00E92312"/>
    <w:rsid w:val="00E92684"/>
    <w:rsid w:val="00E926B8"/>
    <w:rsid w:val="00E92793"/>
    <w:rsid w:val="00E92E5F"/>
    <w:rsid w:val="00E93377"/>
    <w:rsid w:val="00E93505"/>
    <w:rsid w:val="00E9409D"/>
    <w:rsid w:val="00E9456D"/>
    <w:rsid w:val="00E9456F"/>
    <w:rsid w:val="00E94E10"/>
    <w:rsid w:val="00E95023"/>
    <w:rsid w:val="00E956A9"/>
    <w:rsid w:val="00E962AF"/>
    <w:rsid w:val="00E96698"/>
    <w:rsid w:val="00E96C4A"/>
    <w:rsid w:val="00E9724D"/>
    <w:rsid w:val="00E97714"/>
    <w:rsid w:val="00EA017A"/>
    <w:rsid w:val="00EA027F"/>
    <w:rsid w:val="00EA02D9"/>
    <w:rsid w:val="00EA02F0"/>
    <w:rsid w:val="00EA0462"/>
    <w:rsid w:val="00EA0652"/>
    <w:rsid w:val="00EA0757"/>
    <w:rsid w:val="00EA0BBF"/>
    <w:rsid w:val="00EA124A"/>
    <w:rsid w:val="00EA1701"/>
    <w:rsid w:val="00EA1913"/>
    <w:rsid w:val="00EA1CC2"/>
    <w:rsid w:val="00EA1CEE"/>
    <w:rsid w:val="00EA24BA"/>
    <w:rsid w:val="00EA2769"/>
    <w:rsid w:val="00EA2848"/>
    <w:rsid w:val="00EA2CAE"/>
    <w:rsid w:val="00EA2E4C"/>
    <w:rsid w:val="00EA3B8D"/>
    <w:rsid w:val="00EA3E3C"/>
    <w:rsid w:val="00EA3E7A"/>
    <w:rsid w:val="00EA4116"/>
    <w:rsid w:val="00EA43D8"/>
    <w:rsid w:val="00EA4498"/>
    <w:rsid w:val="00EA4A29"/>
    <w:rsid w:val="00EA4AFC"/>
    <w:rsid w:val="00EA4BB2"/>
    <w:rsid w:val="00EA513C"/>
    <w:rsid w:val="00EA531C"/>
    <w:rsid w:val="00EA58CF"/>
    <w:rsid w:val="00EA5C57"/>
    <w:rsid w:val="00EA5DFD"/>
    <w:rsid w:val="00EA5E6E"/>
    <w:rsid w:val="00EA611F"/>
    <w:rsid w:val="00EA6239"/>
    <w:rsid w:val="00EA6815"/>
    <w:rsid w:val="00EA6B4F"/>
    <w:rsid w:val="00EA7EA3"/>
    <w:rsid w:val="00EA7EA5"/>
    <w:rsid w:val="00EB0453"/>
    <w:rsid w:val="00EB058A"/>
    <w:rsid w:val="00EB0647"/>
    <w:rsid w:val="00EB0978"/>
    <w:rsid w:val="00EB0BE2"/>
    <w:rsid w:val="00EB0E32"/>
    <w:rsid w:val="00EB1791"/>
    <w:rsid w:val="00EB17D9"/>
    <w:rsid w:val="00EB1A21"/>
    <w:rsid w:val="00EB1A8D"/>
    <w:rsid w:val="00EB1B35"/>
    <w:rsid w:val="00EB1DA3"/>
    <w:rsid w:val="00EB1DC5"/>
    <w:rsid w:val="00EB1EBB"/>
    <w:rsid w:val="00EB1F61"/>
    <w:rsid w:val="00EB1F89"/>
    <w:rsid w:val="00EB212B"/>
    <w:rsid w:val="00EB2194"/>
    <w:rsid w:val="00EB2290"/>
    <w:rsid w:val="00EB2362"/>
    <w:rsid w:val="00EB263C"/>
    <w:rsid w:val="00EB2952"/>
    <w:rsid w:val="00EB2D47"/>
    <w:rsid w:val="00EB2D8E"/>
    <w:rsid w:val="00EB3877"/>
    <w:rsid w:val="00EB3C09"/>
    <w:rsid w:val="00EB40A0"/>
    <w:rsid w:val="00EB416A"/>
    <w:rsid w:val="00EB4294"/>
    <w:rsid w:val="00EB4335"/>
    <w:rsid w:val="00EB439D"/>
    <w:rsid w:val="00EB45F8"/>
    <w:rsid w:val="00EB473B"/>
    <w:rsid w:val="00EB47D1"/>
    <w:rsid w:val="00EB4A45"/>
    <w:rsid w:val="00EB519F"/>
    <w:rsid w:val="00EB5C5F"/>
    <w:rsid w:val="00EB5EFE"/>
    <w:rsid w:val="00EB6196"/>
    <w:rsid w:val="00EB6960"/>
    <w:rsid w:val="00EB696A"/>
    <w:rsid w:val="00EB6ACA"/>
    <w:rsid w:val="00EB6E6F"/>
    <w:rsid w:val="00EB721F"/>
    <w:rsid w:val="00EB74C0"/>
    <w:rsid w:val="00EB7683"/>
    <w:rsid w:val="00EB7C08"/>
    <w:rsid w:val="00EB7CDA"/>
    <w:rsid w:val="00EB7F08"/>
    <w:rsid w:val="00EC035D"/>
    <w:rsid w:val="00EC04B9"/>
    <w:rsid w:val="00EC0872"/>
    <w:rsid w:val="00EC09A1"/>
    <w:rsid w:val="00EC0B23"/>
    <w:rsid w:val="00EC0BBC"/>
    <w:rsid w:val="00EC102F"/>
    <w:rsid w:val="00EC13BB"/>
    <w:rsid w:val="00EC1840"/>
    <w:rsid w:val="00EC2474"/>
    <w:rsid w:val="00EC2509"/>
    <w:rsid w:val="00EC2C37"/>
    <w:rsid w:val="00EC2E36"/>
    <w:rsid w:val="00EC2E98"/>
    <w:rsid w:val="00EC30EF"/>
    <w:rsid w:val="00EC327F"/>
    <w:rsid w:val="00EC35AC"/>
    <w:rsid w:val="00EC363E"/>
    <w:rsid w:val="00EC3BA8"/>
    <w:rsid w:val="00EC3FAE"/>
    <w:rsid w:val="00EC3FEC"/>
    <w:rsid w:val="00EC4559"/>
    <w:rsid w:val="00EC45BE"/>
    <w:rsid w:val="00EC4735"/>
    <w:rsid w:val="00EC49AE"/>
    <w:rsid w:val="00EC4F6F"/>
    <w:rsid w:val="00EC5504"/>
    <w:rsid w:val="00EC5565"/>
    <w:rsid w:val="00EC56E6"/>
    <w:rsid w:val="00EC58E6"/>
    <w:rsid w:val="00EC5F34"/>
    <w:rsid w:val="00EC6046"/>
    <w:rsid w:val="00EC6217"/>
    <w:rsid w:val="00EC63C5"/>
    <w:rsid w:val="00EC66D6"/>
    <w:rsid w:val="00EC6897"/>
    <w:rsid w:val="00EC6FA0"/>
    <w:rsid w:val="00EC721A"/>
    <w:rsid w:val="00EC7D51"/>
    <w:rsid w:val="00EC7DAC"/>
    <w:rsid w:val="00ED0736"/>
    <w:rsid w:val="00ED0DF8"/>
    <w:rsid w:val="00ED155D"/>
    <w:rsid w:val="00ED19AE"/>
    <w:rsid w:val="00ED1BA6"/>
    <w:rsid w:val="00ED2462"/>
    <w:rsid w:val="00ED282F"/>
    <w:rsid w:val="00ED29E5"/>
    <w:rsid w:val="00ED2C77"/>
    <w:rsid w:val="00ED2EAF"/>
    <w:rsid w:val="00ED342F"/>
    <w:rsid w:val="00ED3D43"/>
    <w:rsid w:val="00ED3D66"/>
    <w:rsid w:val="00ED4498"/>
    <w:rsid w:val="00ED47D3"/>
    <w:rsid w:val="00ED4BA5"/>
    <w:rsid w:val="00ED4DA4"/>
    <w:rsid w:val="00ED51B8"/>
    <w:rsid w:val="00ED53E7"/>
    <w:rsid w:val="00ED572B"/>
    <w:rsid w:val="00ED5873"/>
    <w:rsid w:val="00ED5A29"/>
    <w:rsid w:val="00ED5C4D"/>
    <w:rsid w:val="00ED642F"/>
    <w:rsid w:val="00ED6735"/>
    <w:rsid w:val="00ED718B"/>
    <w:rsid w:val="00ED7211"/>
    <w:rsid w:val="00ED72B0"/>
    <w:rsid w:val="00ED7307"/>
    <w:rsid w:val="00ED7532"/>
    <w:rsid w:val="00ED7C28"/>
    <w:rsid w:val="00ED7CE3"/>
    <w:rsid w:val="00EE039C"/>
    <w:rsid w:val="00EE090D"/>
    <w:rsid w:val="00EE0CE1"/>
    <w:rsid w:val="00EE23F6"/>
    <w:rsid w:val="00EE243A"/>
    <w:rsid w:val="00EE25B0"/>
    <w:rsid w:val="00EE28C7"/>
    <w:rsid w:val="00EE2EB3"/>
    <w:rsid w:val="00EE3387"/>
    <w:rsid w:val="00EE3970"/>
    <w:rsid w:val="00EE3E21"/>
    <w:rsid w:val="00EE4046"/>
    <w:rsid w:val="00EE45D1"/>
    <w:rsid w:val="00EE4726"/>
    <w:rsid w:val="00EE4A10"/>
    <w:rsid w:val="00EE4D1D"/>
    <w:rsid w:val="00EE4D3B"/>
    <w:rsid w:val="00EE56DE"/>
    <w:rsid w:val="00EE5916"/>
    <w:rsid w:val="00EE6312"/>
    <w:rsid w:val="00EE656A"/>
    <w:rsid w:val="00EE67F4"/>
    <w:rsid w:val="00EE6E50"/>
    <w:rsid w:val="00EE6F8F"/>
    <w:rsid w:val="00EE716F"/>
    <w:rsid w:val="00EE7515"/>
    <w:rsid w:val="00EE79B9"/>
    <w:rsid w:val="00EE7CE8"/>
    <w:rsid w:val="00EE7FE2"/>
    <w:rsid w:val="00EF00FD"/>
    <w:rsid w:val="00EF0223"/>
    <w:rsid w:val="00EF04B4"/>
    <w:rsid w:val="00EF09B4"/>
    <w:rsid w:val="00EF0C30"/>
    <w:rsid w:val="00EF1574"/>
    <w:rsid w:val="00EF19CF"/>
    <w:rsid w:val="00EF1F09"/>
    <w:rsid w:val="00EF2823"/>
    <w:rsid w:val="00EF284E"/>
    <w:rsid w:val="00EF2889"/>
    <w:rsid w:val="00EF2ABA"/>
    <w:rsid w:val="00EF2AFA"/>
    <w:rsid w:val="00EF2E16"/>
    <w:rsid w:val="00EF2E8F"/>
    <w:rsid w:val="00EF3751"/>
    <w:rsid w:val="00EF39C3"/>
    <w:rsid w:val="00EF3B84"/>
    <w:rsid w:val="00EF412F"/>
    <w:rsid w:val="00EF4652"/>
    <w:rsid w:val="00EF48B7"/>
    <w:rsid w:val="00EF4B1B"/>
    <w:rsid w:val="00EF4F33"/>
    <w:rsid w:val="00EF5205"/>
    <w:rsid w:val="00EF5653"/>
    <w:rsid w:val="00EF578B"/>
    <w:rsid w:val="00EF5FE8"/>
    <w:rsid w:val="00EF6102"/>
    <w:rsid w:val="00EF635D"/>
    <w:rsid w:val="00EF655C"/>
    <w:rsid w:val="00EF657F"/>
    <w:rsid w:val="00EF6982"/>
    <w:rsid w:val="00EF6AB2"/>
    <w:rsid w:val="00EF726C"/>
    <w:rsid w:val="00EF7A2C"/>
    <w:rsid w:val="00EF7D89"/>
    <w:rsid w:val="00EF7F33"/>
    <w:rsid w:val="00F0093A"/>
    <w:rsid w:val="00F01041"/>
    <w:rsid w:val="00F01043"/>
    <w:rsid w:val="00F0127C"/>
    <w:rsid w:val="00F018DA"/>
    <w:rsid w:val="00F01C0D"/>
    <w:rsid w:val="00F01EB5"/>
    <w:rsid w:val="00F01EFD"/>
    <w:rsid w:val="00F02688"/>
    <w:rsid w:val="00F02CEF"/>
    <w:rsid w:val="00F0337D"/>
    <w:rsid w:val="00F03452"/>
    <w:rsid w:val="00F03526"/>
    <w:rsid w:val="00F045C7"/>
    <w:rsid w:val="00F04622"/>
    <w:rsid w:val="00F047FD"/>
    <w:rsid w:val="00F048D5"/>
    <w:rsid w:val="00F04D4C"/>
    <w:rsid w:val="00F04DF6"/>
    <w:rsid w:val="00F055F7"/>
    <w:rsid w:val="00F057AD"/>
    <w:rsid w:val="00F0674C"/>
    <w:rsid w:val="00F06AD2"/>
    <w:rsid w:val="00F07166"/>
    <w:rsid w:val="00F075FF"/>
    <w:rsid w:val="00F07841"/>
    <w:rsid w:val="00F07CA4"/>
    <w:rsid w:val="00F07EB4"/>
    <w:rsid w:val="00F07F18"/>
    <w:rsid w:val="00F07F97"/>
    <w:rsid w:val="00F10285"/>
    <w:rsid w:val="00F10A1A"/>
    <w:rsid w:val="00F10FD3"/>
    <w:rsid w:val="00F1102D"/>
    <w:rsid w:val="00F11CCA"/>
    <w:rsid w:val="00F1264F"/>
    <w:rsid w:val="00F128D0"/>
    <w:rsid w:val="00F12B3F"/>
    <w:rsid w:val="00F12FC8"/>
    <w:rsid w:val="00F13366"/>
    <w:rsid w:val="00F133C4"/>
    <w:rsid w:val="00F133C9"/>
    <w:rsid w:val="00F136F9"/>
    <w:rsid w:val="00F13830"/>
    <w:rsid w:val="00F13843"/>
    <w:rsid w:val="00F13B42"/>
    <w:rsid w:val="00F13D62"/>
    <w:rsid w:val="00F13EAC"/>
    <w:rsid w:val="00F14306"/>
    <w:rsid w:val="00F144F6"/>
    <w:rsid w:val="00F1468B"/>
    <w:rsid w:val="00F147BC"/>
    <w:rsid w:val="00F14D35"/>
    <w:rsid w:val="00F14E53"/>
    <w:rsid w:val="00F15197"/>
    <w:rsid w:val="00F152BD"/>
    <w:rsid w:val="00F1536F"/>
    <w:rsid w:val="00F15498"/>
    <w:rsid w:val="00F156A4"/>
    <w:rsid w:val="00F15738"/>
    <w:rsid w:val="00F159BD"/>
    <w:rsid w:val="00F1640F"/>
    <w:rsid w:val="00F16AD1"/>
    <w:rsid w:val="00F16BEC"/>
    <w:rsid w:val="00F16F14"/>
    <w:rsid w:val="00F17909"/>
    <w:rsid w:val="00F1794A"/>
    <w:rsid w:val="00F201C5"/>
    <w:rsid w:val="00F202A3"/>
    <w:rsid w:val="00F202D1"/>
    <w:rsid w:val="00F207F5"/>
    <w:rsid w:val="00F20B6F"/>
    <w:rsid w:val="00F20B8B"/>
    <w:rsid w:val="00F20DBA"/>
    <w:rsid w:val="00F20E68"/>
    <w:rsid w:val="00F211F8"/>
    <w:rsid w:val="00F219DE"/>
    <w:rsid w:val="00F2276D"/>
    <w:rsid w:val="00F22810"/>
    <w:rsid w:val="00F232A6"/>
    <w:rsid w:val="00F2395E"/>
    <w:rsid w:val="00F23BAD"/>
    <w:rsid w:val="00F23BE9"/>
    <w:rsid w:val="00F23E90"/>
    <w:rsid w:val="00F24178"/>
    <w:rsid w:val="00F24387"/>
    <w:rsid w:val="00F24470"/>
    <w:rsid w:val="00F24820"/>
    <w:rsid w:val="00F248F0"/>
    <w:rsid w:val="00F24A89"/>
    <w:rsid w:val="00F24D7D"/>
    <w:rsid w:val="00F251B6"/>
    <w:rsid w:val="00F251F5"/>
    <w:rsid w:val="00F25CF2"/>
    <w:rsid w:val="00F25DE0"/>
    <w:rsid w:val="00F264C5"/>
    <w:rsid w:val="00F27D3A"/>
    <w:rsid w:val="00F300E3"/>
    <w:rsid w:val="00F3021F"/>
    <w:rsid w:val="00F30B2D"/>
    <w:rsid w:val="00F30B4D"/>
    <w:rsid w:val="00F31DCE"/>
    <w:rsid w:val="00F31DDB"/>
    <w:rsid w:val="00F324BF"/>
    <w:rsid w:val="00F3250B"/>
    <w:rsid w:val="00F327F6"/>
    <w:rsid w:val="00F32D75"/>
    <w:rsid w:val="00F32FE4"/>
    <w:rsid w:val="00F335B1"/>
    <w:rsid w:val="00F33B38"/>
    <w:rsid w:val="00F33E92"/>
    <w:rsid w:val="00F34033"/>
    <w:rsid w:val="00F3479E"/>
    <w:rsid w:val="00F347EE"/>
    <w:rsid w:val="00F349D2"/>
    <w:rsid w:val="00F3500E"/>
    <w:rsid w:val="00F35189"/>
    <w:rsid w:val="00F36483"/>
    <w:rsid w:val="00F367C2"/>
    <w:rsid w:val="00F36883"/>
    <w:rsid w:val="00F369B4"/>
    <w:rsid w:val="00F36E82"/>
    <w:rsid w:val="00F37190"/>
    <w:rsid w:val="00F37520"/>
    <w:rsid w:val="00F375C9"/>
    <w:rsid w:val="00F37827"/>
    <w:rsid w:val="00F37AE2"/>
    <w:rsid w:val="00F40583"/>
    <w:rsid w:val="00F40802"/>
    <w:rsid w:val="00F4089E"/>
    <w:rsid w:val="00F4093E"/>
    <w:rsid w:val="00F40C52"/>
    <w:rsid w:val="00F40EA7"/>
    <w:rsid w:val="00F411A0"/>
    <w:rsid w:val="00F414D0"/>
    <w:rsid w:val="00F41592"/>
    <w:rsid w:val="00F4213F"/>
    <w:rsid w:val="00F42305"/>
    <w:rsid w:val="00F424CB"/>
    <w:rsid w:val="00F427A3"/>
    <w:rsid w:val="00F42851"/>
    <w:rsid w:val="00F43537"/>
    <w:rsid w:val="00F43A0C"/>
    <w:rsid w:val="00F4413D"/>
    <w:rsid w:val="00F44325"/>
    <w:rsid w:val="00F4432B"/>
    <w:rsid w:val="00F444AF"/>
    <w:rsid w:val="00F445F8"/>
    <w:rsid w:val="00F44AE3"/>
    <w:rsid w:val="00F4502F"/>
    <w:rsid w:val="00F45340"/>
    <w:rsid w:val="00F45780"/>
    <w:rsid w:val="00F45883"/>
    <w:rsid w:val="00F45E44"/>
    <w:rsid w:val="00F45E95"/>
    <w:rsid w:val="00F460EB"/>
    <w:rsid w:val="00F46133"/>
    <w:rsid w:val="00F46385"/>
    <w:rsid w:val="00F46841"/>
    <w:rsid w:val="00F47019"/>
    <w:rsid w:val="00F4702D"/>
    <w:rsid w:val="00F470A7"/>
    <w:rsid w:val="00F47540"/>
    <w:rsid w:val="00F4771E"/>
    <w:rsid w:val="00F47D70"/>
    <w:rsid w:val="00F50210"/>
    <w:rsid w:val="00F50BAC"/>
    <w:rsid w:val="00F515DF"/>
    <w:rsid w:val="00F519B5"/>
    <w:rsid w:val="00F519C7"/>
    <w:rsid w:val="00F51A20"/>
    <w:rsid w:val="00F532F4"/>
    <w:rsid w:val="00F53B37"/>
    <w:rsid w:val="00F53C68"/>
    <w:rsid w:val="00F544B6"/>
    <w:rsid w:val="00F54CF4"/>
    <w:rsid w:val="00F54E0C"/>
    <w:rsid w:val="00F55FC5"/>
    <w:rsid w:val="00F5626D"/>
    <w:rsid w:val="00F5699C"/>
    <w:rsid w:val="00F569B7"/>
    <w:rsid w:val="00F56DF1"/>
    <w:rsid w:val="00F57313"/>
    <w:rsid w:val="00F57579"/>
    <w:rsid w:val="00F5764E"/>
    <w:rsid w:val="00F60343"/>
    <w:rsid w:val="00F6068B"/>
    <w:rsid w:val="00F60B4C"/>
    <w:rsid w:val="00F60B97"/>
    <w:rsid w:val="00F60E35"/>
    <w:rsid w:val="00F60E3B"/>
    <w:rsid w:val="00F60EB0"/>
    <w:rsid w:val="00F6128F"/>
    <w:rsid w:val="00F6181D"/>
    <w:rsid w:val="00F61864"/>
    <w:rsid w:val="00F619BE"/>
    <w:rsid w:val="00F61ED4"/>
    <w:rsid w:val="00F61F0E"/>
    <w:rsid w:val="00F61FD4"/>
    <w:rsid w:val="00F62409"/>
    <w:rsid w:val="00F62A5D"/>
    <w:rsid w:val="00F62B4A"/>
    <w:rsid w:val="00F62B95"/>
    <w:rsid w:val="00F634CD"/>
    <w:rsid w:val="00F64A3C"/>
    <w:rsid w:val="00F6501D"/>
    <w:rsid w:val="00F6504A"/>
    <w:rsid w:val="00F65324"/>
    <w:rsid w:val="00F65440"/>
    <w:rsid w:val="00F654C6"/>
    <w:rsid w:val="00F65515"/>
    <w:rsid w:val="00F6555A"/>
    <w:rsid w:val="00F655E2"/>
    <w:rsid w:val="00F6635B"/>
    <w:rsid w:val="00F66981"/>
    <w:rsid w:val="00F66A47"/>
    <w:rsid w:val="00F66F2D"/>
    <w:rsid w:val="00F670B3"/>
    <w:rsid w:val="00F6727D"/>
    <w:rsid w:val="00F674CC"/>
    <w:rsid w:val="00F67CF4"/>
    <w:rsid w:val="00F67D8A"/>
    <w:rsid w:val="00F70078"/>
    <w:rsid w:val="00F70409"/>
    <w:rsid w:val="00F70A9B"/>
    <w:rsid w:val="00F71471"/>
    <w:rsid w:val="00F717B7"/>
    <w:rsid w:val="00F718F8"/>
    <w:rsid w:val="00F71C6D"/>
    <w:rsid w:val="00F71E05"/>
    <w:rsid w:val="00F71EBC"/>
    <w:rsid w:val="00F72E3C"/>
    <w:rsid w:val="00F73181"/>
    <w:rsid w:val="00F731FE"/>
    <w:rsid w:val="00F738AD"/>
    <w:rsid w:val="00F738CF"/>
    <w:rsid w:val="00F743D2"/>
    <w:rsid w:val="00F74558"/>
    <w:rsid w:val="00F74B8C"/>
    <w:rsid w:val="00F74BFB"/>
    <w:rsid w:val="00F74C4F"/>
    <w:rsid w:val="00F75251"/>
    <w:rsid w:val="00F752CF"/>
    <w:rsid w:val="00F752F3"/>
    <w:rsid w:val="00F75653"/>
    <w:rsid w:val="00F7574A"/>
    <w:rsid w:val="00F7593C"/>
    <w:rsid w:val="00F75A28"/>
    <w:rsid w:val="00F75CBB"/>
    <w:rsid w:val="00F75D20"/>
    <w:rsid w:val="00F76962"/>
    <w:rsid w:val="00F774A6"/>
    <w:rsid w:val="00F775B5"/>
    <w:rsid w:val="00F776A8"/>
    <w:rsid w:val="00F777D5"/>
    <w:rsid w:val="00F7787B"/>
    <w:rsid w:val="00F77CF6"/>
    <w:rsid w:val="00F77DB1"/>
    <w:rsid w:val="00F77DD3"/>
    <w:rsid w:val="00F80194"/>
    <w:rsid w:val="00F809F3"/>
    <w:rsid w:val="00F80C31"/>
    <w:rsid w:val="00F81016"/>
    <w:rsid w:val="00F818D7"/>
    <w:rsid w:val="00F81A4A"/>
    <w:rsid w:val="00F81C54"/>
    <w:rsid w:val="00F81E8C"/>
    <w:rsid w:val="00F82379"/>
    <w:rsid w:val="00F82388"/>
    <w:rsid w:val="00F829E2"/>
    <w:rsid w:val="00F82FEB"/>
    <w:rsid w:val="00F8315A"/>
    <w:rsid w:val="00F836FD"/>
    <w:rsid w:val="00F83E1D"/>
    <w:rsid w:val="00F8412C"/>
    <w:rsid w:val="00F841A2"/>
    <w:rsid w:val="00F843CF"/>
    <w:rsid w:val="00F8489B"/>
    <w:rsid w:val="00F84A76"/>
    <w:rsid w:val="00F84D08"/>
    <w:rsid w:val="00F84ED5"/>
    <w:rsid w:val="00F84F0D"/>
    <w:rsid w:val="00F850AC"/>
    <w:rsid w:val="00F858EA"/>
    <w:rsid w:val="00F85A1C"/>
    <w:rsid w:val="00F85BA6"/>
    <w:rsid w:val="00F85D7C"/>
    <w:rsid w:val="00F86085"/>
    <w:rsid w:val="00F86225"/>
    <w:rsid w:val="00F863FE"/>
    <w:rsid w:val="00F8644E"/>
    <w:rsid w:val="00F86534"/>
    <w:rsid w:val="00F865E1"/>
    <w:rsid w:val="00F86621"/>
    <w:rsid w:val="00F86ABC"/>
    <w:rsid w:val="00F872BA"/>
    <w:rsid w:val="00F8739F"/>
    <w:rsid w:val="00F875B8"/>
    <w:rsid w:val="00F876CC"/>
    <w:rsid w:val="00F87AD4"/>
    <w:rsid w:val="00F87B97"/>
    <w:rsid w:val="00F87FA0"/>
    <w:rsid w:val="00F90969"/>
    <w:rsid w:val="00F909E8"/>
    <w:rsid w:val="00F90F6F"/>
    <w:rsid w:val="00F9112D"/>
    <w:rsid w:val="00F9120B"/>
    <w:rsid w:val="00F9126F"/>
    <w:rsid w:val="00F914FD"/>
    <w:rsid w:val="00F91518"/>
    <w:rsid w:val="00F91933"/>
    <w:rsid w:val="00F91ABE"/>
    <w:rsid w:val="00F91BC8"/>
    <w:rsid w:val="00F91DF9"/>
    <w:rsid w:val="00F91F09"/>
    <w:rsid w:val="00F91F18"/>
    <w:rsid w:val="00F92163"/>
    <w:rsid w:val="00F92438"/>
    <w:rsid w:val="00F9247B"/>
    <w:rsid w:val="00F92A31"/>
    <w:rsid w:val="00F92B55"/>
    <w:rsid w:val="00F92CD4"/>
    <w:rsid w:val="00F92DAD"/>
    <w:rsid w:val="00F92F9F"/>
    <w:rsid w:val="00F930DA"/>
    <w:rsid w:val="00F9320F"/>
    <w:rsid w:val="00F9372F"/>
    <w:rsid w:val="00F9374D"/>
    <w:rsid w:val="00F93829"/>
    <w:rsid w:val="00F93A1F"/>
    <w:rsid w:val="00F93D21"/>
    <w:rsid w:val="00F93FB3"/>
    <w:rsid w:val="00F94F7B"/>
    <w:rsid w:val="00F953E7"/>
    <w:rsid w:val="00F95968"/>
    <w:rsid w:val="00F96204"/>
    <w:rsid w:val="00F965B7"/>
    <w:rsid w:val="00F9692F"/>
    <w:rsid w:val="00F96F25"/>
    <w:rsid w:val="00F97326"/>
    <w:rsid w:val="00F97327"/>
    <w:rsid w:val="00F97457"/>
    <w:rsid w:val="00F9792E"/>
    <w:rsid w:val="00F97BA4"/>
    <w:rsid w:val="00FA0350"/>
    <w:rsid w:val="00FA0602"/>
    <w:rsid w:val="00FA0EEB"/>
    <w:rsid w:val="00FA15B0"/>
    <w:rsid w:val="00FA197D"/>
    <w:rsid w:val="00FA1C0C"/>
    <w:rsid w:val="00FA1E60"/>
    <w:rsid w:val="00FA1E6C"/>
    <w:rsid w:val="00FA2129"/>
    <w:rsid w:val="00FA21DF"/>
    <w:rsid w:val="00FA226E"/>
    <w:rsid w:val="00FA23D4"/>
    <w:rsid w:val="00FA2570"/>
    <w:rsid w:val="00FA2A09"/>
    <w:rsid w:val="00FA2B40"/>
    <w:rsid w:val="00FA358B"/>
    <w:rsid w:val="00FA3709"/>
    <w:rsid w:val="00FA39A1"/>
    <w:rsid w:val="00FA3A78"/>
    <w:rsid w:val="00FA44AF"/>
    <w:rsid w:val="00FA4648"/>
    <w:rsid w:val="00FA47D5"/>
    <w:rsid w:val="00FA4AF6"/>
    <w:rsid w:val="00FA58AB"/>
    <w:rsid w:val="00FA5B0A"/>
    <w:rsid w:val="00FA5F3B"/>
    <w:rsid w:val="00FA628C"/>
    <w:rsid w:val="00FA62AF"/>
    <w:rsid w:val="00FA669E"/>
    <w:rsid w:val="00FA70A6"/>
    <w:rsid w:val="00FA7422"/>
    <w:rsid w:val="00FA7848"/>
    <w:rsid w:val="00FA792C"/>
    <w:rsid w:val="00FA7D85"/>
    <w:rsid w:val="00FA7EC1"/>
    <w:rsid w:val="00FB0226"/>
    <w:rsid w:val="00FB06BA"/>
    <w:rsid w:val="00FB0C90"/>
    <w:rsid w:val="00FB0CD7"/>
    <w:rsid w:val="00FB11F7"/>
    <w:rsid w:val="00FB1A01"/>
    <w:rsid w:val="00FB1C08"/>
    <w:rsid w:val="00FB2041"/>
    <w:rsid w:val="00FB22AD"/>
    <w:rsid w:val="00FB23A0"/>
    <w:rsid w:val="00FB240E"/>
    <w:rsid w:val="00FB25F5"/>
    <w:rsid w:val="00FB26F3"/>
    <w:rsid w:val="00FB2F95"/>
    <w:rsid w:val="00FB30A9"/>
    <w:rsid w:val="00FB43BD"/>
    <w:rsid w:val="00FB43F2"/>
    <w:rsid w:val="00FB459E"/>
    <w:rsid w:val="00FB47B6"/>
    <w:rsid w:val="00FB4CC3"/>
    <w:rsid w:val="00FB584E"/>
    <w:rsid w:val="00FB618B"/>
    <w:rsid w:val="00FB6439"/>
    <w:rsid w:val="00FB6B7D"/>
    <w:rsid w:val="00FB6DD0"/>
    <w:rsid w:val="00FB7C4B"/>
    <w:rsid w:val="00FB7E1F"/>
    <w:rsid w:val="00FB7E8F"/>
    <w:rsid w:val="00FC0699"/>
    <w:rsid w:val="00FC0943"/>
    <w:rsid w:val="00FC0DE4"/>
    <w:rsid w:val="00FC0FF9"/>
    <w:rsid w:val="00FC169D"/>
    <w:rsid w:val="00FC1A89"/>
    <w:rsid w:val="00FC20E7"/>
    <w:rsid w:val="00FC23A9"/>
    <w:rsid w:val="00FC293E"/>
    <w:rsid w:val="00FC2C1A"/>
    <w:rsid w:val="00FC3345"/>
    <w:rsid w:val="00FC3556"/>
    <w:rsid w:val="00FC36D1"/>
    <w:rsid w:val="00FC388F"/>
    <w:rsid w:val="00FC3DBF"/>
    <w:rsid w:val="00FC3F86"/>
    <w:rsid w:val="00FC40F4"/>
    <w:rsid w:val="00FC480E"/>
    <w:rsid w:val="00FC4962"/>
    <w:rsid w:val="00FC4FA3"/>
    <w:rsid w:val="00FC56E6"/>
    <w:rsid w:val="00FC5BFD"/>
    <w:rsid w:val="00FC5E05"/>
    <w:rsid w:val="00FC6D29"/>
    <w:rsid w:val="00FC6F1B"/>
    <w:rsid w:val="00FC7189"/>
    <w:rsid w:val="00FC71EF"/>
    <w:rsid w:val="00FC742F"/>
    <w:rsid w:val="00FC764E"/>
    <w:rsid w:val="00FC7ABA"/>
    <w:rsid w:val="00FC7BBD"/>
    <w:rsid w:val="00FC7D6A"/>
    <w:rsid w:val="00FD0045"/>
    <w:rsid w:val="00FD01B3"/>
    <w:rsid w:val="00FD0264"/>
    <w:rsid w:val="00FD07E2"/>
    <w:rsid w:val="00FD0A48"/>
    <w:rsid w:val="00FD0F7C"/>
    <w:rsid w:val="00FD1647"/>
    <w:rsid w:val="00FD16B0"/>
    <w:rsid w:val="00FD1D21"/>
    <w:rsid w:val="00FD1D35"/>
    <w:rsid w:val="00FD1D89"/>
    <w:rsid w:val="00FD1FA7"/>
    <w:rsid w:val="00FD234C"/>
    <w:rsid w:val="00FD24EB"/>
    <w:rsid w:val="00FD2632"/>
    <w:rsid w:val="00FD2856"/>
    <w:rsid w:val="00FD2876"/>
    <w:rsid w:val="00FD2AF6"/>
    <w:rsid w:val="00FD2BD0"/>
    <w:rsid w:val="00FD2F8A"/>
    <w:rsid w:val="00FD30B4"/>
    <w:rsid w:val="00FD3388"/>
    <w:rsid w:val="00FD3DEE"/>
    <w:rsid w:val="00FD4A35"/>
    <w:rsid w:val="00FD4C5E"/>
    <w:rsid w:val="00FD532A"/>
    <w:rsid w:val="00FD54D1"/>
    <w:rsid w:val="00FD59FD"/>
    <w:rsid w:val="00FD5A11"/>
    <w:rsid w:val="00FD5C42"/>
    <w:rsid w:val="00FD5C67"/>
    <w:rsid w:val="00FD5D51"/>
    <w:rsid w:val="00FD5D7A"/>
    <w:rsid w:val="00FD62B2"/>
    <w:rsid w:val="00FD64B3"/>
    <w:rsid w:val="00FD6583"/>
    <w:rsid w:val="00FD66BB"/>
    <w:rsid w:val="00FD6828"/>
    <w:rsid w:val="00FD6BDF"/>
    <w:rsid w:val="00FD6CBC"/>
    <w:rsid w:val="00FD6D24"/>
    <w:rsid w:val="00FD6D5B"/>
    <w:rsid w:val="00FD714B"/>
    <w:rsid w:val="00FD77DD"/>
    <w:rsid w:val="00FD7FE0"/>
    <w:rsid w:val="00FE07C4"/>
    <w:rsid w:val="00FE09EC"/>
    <w:rsid w:val="00FE0B91"/>
    <w:rsid w:val="00FE1042"/>
    <w:rsid w:val="00FE1124"/>
    <w:rsid w:val="00FE16DE"/>
    <w:rsid w:val="00FE20F1"/>
    <w:rsid w:val="00FE294E"/>
    <w:rsid w:val="00FE310F"/>
    <w:rsid w:val="00FE37FB"/>
    <w:rsid w:val="00FE3853"/>
    <w:rsid w:val="00FE3E72"/>
    <w:rsid w:val="00FE45AF"/>
    <w:rsid w:val="00FE46B4"/>
    <w:rsid w:val="00FE49B6"/>
    <w:rsid w:val="00FE4A6C"/>
    <w:rsid w:val="00FE4BB5"/>
    <w:rsid w:val="00FE62A2"/>
    <w:rsid w:val="00FE63BE"/>
    <w:rsid w:val="00FE66EE"/>
    <w:rsid w:val="00FE6996"/>
    <w:rsid w:val="00FE69E5"/>
    <w:rsid w:val="00FE6C9A"/>
    <w:rsid w:val="00FE6DF8"/>
    <w:rsid w:val="00FE6EA4"/>
    <w:rsid w:val="00FE7105"/>
    <w:rsid w:val="00FE74C1"/>
    <w:rsid w:val="00FE78B0"/>
    <w:rsid w:val="00FE7CCB"/>
    <w:rsid w:val="00FE7E79"/>
    <w:rsid w:val="00FE7F11"/>
    <w:rsid w:val="00FF031E"/>
    <w:rsid w:val="00FF0605"/>
    <w:rsid w:val="00FF08C5"/>
    <w:rsid w:val="00FF0A07"/>
    <w:rsid w:val="00FF0AA5"/>
    <w:rsid w:val="00FF1376"/>
    <w:rsid w:val="00FF14AD"/>
    <w:rsid w:val="00FF168D"/>
    <w:rsid w:val="00FF29D7"/>
    <w:rsid w:val="00FF2E9A"/>
    <w:rsid w:val="00FF39CB"/>
    <w:rsid w:val="00FF3B12"/>
    <w:rsid w:val="00FF423D"/>
    <w:rsid w:val="00FF42F1"/>
    <w:rsid w:val="00FF4748"/>
    <w:rsid w:val="00FF4752"/>
    <w:rsid w:val="00FF4BBD"/>
    <w:rsid w:val="00FF5099"/>
    <w:rsid w:val="00FF520F"/>
    <w:rsid w:val="00FF523B"/>
    <w:rsid w:val="00FF527A"/>
    <w:rsid w:val="00FF55FA"/>
    <w:rsid w:val="00FF5A8C"/>
    <w:rsid w:val="00FF5BEF"/>
    <w:rsid w:val="00FF608E"/>
    <w:rsid w:val="00FF61E1"/>
    <w:rsid w:val="00FF64D0"/>
    <w:rsid w:val="00FF65FE"/>
    <w:rsid w:val="00FF668F"/>
    <w:rsid w:val="00FF6E26"/>
    <w:rsid w:val="00FF6E96"/>
    <w:rsid w:val="00FF725F"/>
    <w:rsid w:val="00FF768E"/>
    <w:rsid w:val="00FF7DA7"/>
    <w:rsid w:val="00FF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794AB7"/>
  <w15:chartTrackingRefBased/>
  <w15:docId w15:val="{99432D7A-0EEA-4FC2-BEBA-A4435B12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Plain Text" w:uiPriority="99"/>
    <w:lsdException w:name="Normal (Web)" w:uiPriority="99"/>
    <w:lsdException w:name="HTML Preformatted" w:semiHidden="1" w:uiPriority="99"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75D"/>
    <w:pPr>
      <w:spacing w:after="240"/>
    </w:pPr>
    <w:rPr>
      <w:rFonts w:ascii="Times New Roman" w:hAnsi="Times New Roman"/>
      <w:noProof/>
      <w:sz w:val="24"/>
    </w:rPr>
  </w:style>
  <w:style w:type="paragraph" w:styleId="Heading1">
    <w:name w:val="heading 1"/>
    <w:next w:val="Normal"/>
    <w:link w:val="Heading1Char"/>
    <w:autoRedefine/>
    <w:qFormat/>
    <w:rsid w:val="00724EFE"/>
    <w:pPr>
      <w:keepNext/>
      <w:tabs>
        <w:tab w:val="left" w:pos="90"/>
      </w:tabs>
      <w:spacing w:after="240"/>
      <w:outlineLvl w:val="0"/>
    </w:pPr>
    <w:rPr>
      <w:b/>
      <w:bCs/>
      <w:caps/>
      <w:noProof/>
      <w:sz w:val="26"/>
      <w:szCs w:val="26"/>
    </w:rPr>
  </w:style>
  <w:style w:type="paragraph" w:styleId="Heading2">
    <w:name w:val="heading 2"/>
    <w:next w:val="Normal"/>
    <w:link w:val="Heading2Char"/>
    <w:autoRedefine/>
    <w:qFormat/>
    <w:rsid w:val="007610FD"/>
    <w:pPr>
      <w:keepNext/>
      <w:tabs>
        <w:tab w:val="left" w:pos="540"/>
        <w:tab w:val="left" w:pos="630"/>
      </w:tabs>
      <w:spacing w:after="120"/>
      <w:outlineLvl w:val="1"/>
    </w:pPr>
    <w:rPr>
      <w:b/>
      <w:noProof/>
      <w:sz w:val="24"/>
    </w:rPr>
  </w:style>
  <w:style w:type="paragraph" w:styleId="Heading3">
    <w:name w:val="heading 3"/>
    <w:next w:val="Normal"/>
    <w:link w:val="Heading3Char"/>
    <w:qFormat/>
    <w:rsid w:val="00C57F68"/>
    <w:pPr>
      <w:keepNext/>
      <w:spacing w:after="120"/>
      <w:ind w:left="907" w:hanging="547"/>
      <w:outlineLvl w:val="2"/>
    </w:pPr>
    <w:rPr>
      <w:b/>
      <w:noProof/>
      <w:sz w:val="22"/>
    </w:rPr>
  </w:style>
  <w:style w:type="paragraph" w:styleId="Heading4">
    <w:name w:val="heading 4"/>
    <w:next w:val="Normal"/>
    <w:link w:val="Heading4Char"/>
    <w:qFormat/>
    <w:rsid w:val="00A17103"/>
    <w:pPr>
      <w:keepNext/>
      <w:spacing w:after="120"/>
      <w:ind w:left="1440" w:hanging="720"/>
      <w:outlineLvl w:val="3"/>
    </w:pPr>
    <w:rPr>
      <w:b/>
      <w:i/>
      <w:noProof/>
    </w:rPr>
  </w:style>
  <w:style w:type="paragraph" w:styleId="Heading5">
    <w:name w:val="heading 5"/>
    <w:next w:val="Normal"/>
    <w:link w:val="Heading5Char"/>
    <w:autoRedefine/>
    <w:qFormat/>
    <w:rsid w:val="00C2136A"/>
    <w:pPr>
      <w:keepNext/>
      <w:spacing w:after="120"/>
      <w:ind w:left="1008"/>
      <w:outlineLvl w:val="4"/>
    </w:pPr>
    <w:rPr>
      <w:i/>
      <w:noProof/>
    </w:rPr>
  </w:style>
  <w:style w:type="paragraph" w:styleId="Heading6">
    <w:name w:val="heading 6"/>
    <w:next w:val="Normal"/>
    <w:link w:val="Heading6Char"/>
    <w:qFormat/>
    <w:pPr>
      <w:outlineLvl w:val="5"/>
    </w:pPr>
    <w:rPr>
      <w:noProof/>
    </w:rPr>
  </w:style>
  <w:style w:type="paragraph" w:styleId="Heading7">
    <w:name w:val="heading 7"/>
    <w:next w:val="Normal"/>
    <w:link w:val="Heading7Char"/>
    <w:qFormat/>
    <w:pPr>
      <w:outlineLvl w:val="6"/>
    </w:pPr>
    <w:rPr>
      <w:noProof/>
    </w:rPr>
  </w:style>
  <w:style w:type="paragraph" w:styleId="Heading8">
    <w:name w:val="heading 8"/>
    <w:next w:val="Normal"/>
    <w:link w:val="Heading8Char"/>
    <w:qFormat/>
    <w:pPr>
      <w:outlineLvl w:val="7"/>
    </w:pPr>
    <w:rPr>
      <w:noProof/>
    </w:rPr>
  </w:style>
  <w:style w:type="paragraph" w:styleId="Heading9">
    <w:name w:val="heading 9"/>
    <w:next w:val="Normal"/>
    <w:link w:val="Heading9Char"/>
    <w:qFormat/>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autoRedefine/>
    <w:rsid w:val="00096A5D"/>
    <w:pPr>
      <w:tabs>
        <w:tab w:val="left" w:pos="0"/>
        <w:tab w:val="left" w:pos="50"/>
        <w:tab w:val="left" w:pos="698"/>
        <w:tab w:val="left" w:pos="9180"/>
      </w:tabs>
      <w:spacing w:before="120" w:after="120"/>
    </w:pPr>
    <w:rPr>
      <w:noProof w:val="0"/>
      <w:szCs w:val="24"/>
    </w:rPr>
  </w:style>
  <w:style w:type="paragraph" w:styleId="Title">
    <w:name w:val="Title"/>
    <w:basedOn w:val="Normal"/>
    <w:link w:val="TitleChar"/>
    <w:qFormat/>
    <w:pPr>
      <w:tabs>
        <w:tab w:val="left" w:pos="0"/>
        <w:tab w:val="right" w:pos="6797"/>
      </w:tabs>
      <w:jc w:val="center"/>
    </w:pPr>
    <w:rPr>
      <w:noProof w:val="0"/>
      <w:sz w:val="26"/>
    </w:rPr>
  </w:style>
  <w:style w:type="paragraph" w:styleId="Subtitle">
    <w:name w:val="Subtitle"/>
    <w:basedOn w:val="Normal"/>
    <w:link w:val="SubtitleChar"/>
    <w:qFormat/>
    <w:pPr>
      <w:tabs>
        <w:tab w:val="left" w:pos="0"/>
        <w:tab w:val="right" w:pos="6797"/>
      </w:tabs>
      <w:jc w:val="center"/>
    </w:pPr>
    <w:rPr>
      <w:b/>
      <w:noProof w:val="0"/>
      <w:sz w:val="26"/>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link w:val="BodyTextIndentChar"/>
    <w:pPr>
      <w:tabs>
        <w:tab w:val="left" w:pos="360"/>
        <w:tab w:val="left" w:pos="720"/>
        <w:tab w:val="right" w:pos="8664"/>
      </w:tabs>
      <w:ind w:left="360"/>
    </w:pPr>
    <w:rPr>
      <w:noProof w:val="0"/>
    </w:rPr>
  </w:style>
  <w:style w:type="paragraph" w:styleId="BodyTextIndent2">
    <w:name w:val="Body Text Indent 2"/>
    <w:basedOn w:val="Normal"/>
    <w:link w:val="BodyTextIndent2Char"/>
    <w:rPr>
      <w:noProof w:val="0"/>
    </w:rPr>
  </w:style>
  <w:style w:type="paragraph" w:styleId="BodyTextIndent3">
    <w:name w:val="Body Text Indent 3"/>
    <w:basedOn w:val="Normal"/>
    <w:link w:val="BodyTextIndent3Char"/>
    <w:pPr>
      <w:tabs>
        <w:tab w:val="left" w:pos="720"/>
        <w:tab w:val="left" w:pos="1080"/>
        <w:tab w:val="left" w:pos="1440"/>
        <w:tab w:val="right" w:pos="5138"/>
      </w:tabs>
      <w:ind w:left="1440" w:hanging="360"/>
    </w:pPr>
  </w:style>
  <w:style w:type="paragraph" w:styleId="BodyText2">
    <w:name w:val="Body Text 2"/>
    <w:basedOn w:val="Normal"/>
    <w:link w:val="BodyText2Char"/>
    <w:rPr>
      <w:noProof w:val="0"/>
    </w:rPr>
  </w:style>
  <w:style w:type="paragraph" w:styleId="Header">
    <w:name w:val="header"/>
    <w:basedOn w:val="Normal"/>
    <w:link w:val="HeaderChar"/>
    <w:uiPriority w:val="99"/>
    <w:pPr>
      <w:tabs>
        <w:tab w:val="center" w:pos="4320"/>
        <w:tab w:val="right" w:pos="8640"/>
      </w:tabs>
    </w:pPr>
  </w:style>
  <w:style w:type="paragraph" w:styleId="TOC1">
    <w:name w:val="toc 1"/>
    <w:basedOn w:val="Normal"/>
    <w:next w:val="Normal"/>
    <w:autoRedefine/>
    <w:uiPriority w:val="39"/>
    <w:rsid w:val="008F44D5"/>
    <w:pPr>
      <w:tabs>
        <w:tab w:val="right" w:leader="dot" w:pos="9540"/>
      </w:tabs>
      <w:spacing w:before="120" w:after="80"/>
    </w:pPr>
    <w:rPr>
      <w:b/>
      <w:caps/>
    </w:rPr>
  </w:style>
  <w:style w:type="paragraph" w:styleId="TOC2">
    <w:name w:val="toc 2"/>
    <w:basedOn w:val="Normal"/>
    <w:next w:val="Normal"/>
    <w:autoRedefine/>
    <w:uiPriority w:val="39"/>
    <w:rsid w:val="00637769"/>
    <w:pPr>
      <w:tabs>
        <w:tab w:val="left" w:pos="800"/>
        <w:tab w:val="right" w:leader="dot" w:pos="9360"/>
      </w:tabs>
      <w:spacing w:before="80" w:after="80"/>
      <w:ind w:left="202" w:right="-274"/>
    </w:pPr>
    <w:rPr>
      <w:smallCaps/>
    </w:rPr>
  </w:style>
  <w:style w:type="paragraph" w:styleId="TOC3">
    <w:name w:val="toc 3"/>
    <w:basedOn w:val="Normal"/>
    <w:next w:val="Normal"/>
    <w:autoRedefine/>
    <w:uiPriority w:val="39"/>
    <w:rsid w:val="001C500D"/>
    <w:pPr>
      <w:tabs>
        <w:tab w:val="left" w:pos="1000"/>
        <w:tab w:val="right" w:leader="dot" w:pos="9540"/>
      </w:tabs>
      <w:spacing w:after="0"/>
      <w:ind w:left="403"/>
    </w:pPr>
    <w:rPr>
      <w:i/>
    </w:rPr>
  </w:style>
  <w:style w:type="paragraph" w:styleId="TOC4">
    <w:name w:val="toc 4"/>
    <w:basedOn w:val="Normal"/>
    <w:next w:val="Normal"/>
    <w:autoRedefine/>
    <w:uiPriority w:val="39"/>
    <w:pPr>
      <w:ind w:left="600"/>
    </w:pPr>
    <w:rPr>
      <w:sz w:val="18"/>
    </w:rPr>
  </w:style>
  <w:style w:type="paragraph" w:styleId="TOC5">
    <w:name w:val="toc 5"/>
    <w:basedOn w:val="Normal"/>
    <w:next w:val="Normal"/>
    <w:autoRedefine/>
    <w:uiPriority w:val="39"/>
    <w:pPr>
      <w:ind w:left="800"/>
    </w:pPr>
    <w:rPr>
      <w:sz w:val="18"/>
    </w:rPr>
  </w:style>
  <w:style w:type="paragraph" w:styleId="TOC6">
    <w:name w:val="toc 6"/>
    <w:basedOn w:val="Normal"/>
    <w:next w:val="Normal"/>
    <w:autoRedefine/>
    <w:uiPriority w:val="39"/>
    <w:pPr>
      <w:ind w:left="1000"/>
    </w:pPr>
    <w:rPr>
      <w:sz w:val="18"/>
    </w:rPr>
  </w:style>
  <w:style w:type="paragraph" w:styleId="TOC7">
    <w:name w:val="toc 7"/>
    <w:basedOn w:val="Normal"/>
    <w:next w:val="Normal"/>
    <w:autoRedefine/>
    <w:uiPriority w:val="39"/>
    <w:pPr>
      <w:ind w:left="1200"/>
    </w:pPr>
    <w:rPr>
      <w:sz w:val="18"/>
    </w:rPr>
  </w:style>
  <w:style w:type="paragraph" w:styleId="TOC8">
    <w:name w:val="toc 8"/>
    <w:basedOn w:val="Normal"/>
    <w:next w:val="Normal"/>
    <w:autoRedefine/>
    <w:uiPriority w:val="39"/>
    <w:pPr>
      <w:ind w:left="1400"/>
    </w:pPr>
    <w:rPr>
      <w:sz w:val="18"/>
    </w:rPr>
  </w:style>
  <w:style w:type="paragraph" w:styleId="TOC9">
    <w:name w:val="toc 9"/>
    <w:basedOn w:val="Normal"/>
    <w:next w:val="Normal"/>
    <w:autoRedefine/>
    <w:uiPriority w:val="39"/>
    <w:pPr>
      <w:ind w:left="1600"/>
    </w:pPr>
    <w:rPr>
      <w:sz w:val="18"/>
    </w:rPr>
  </w:style>
  <w:style w:type="paragraph" w:styleId="BodyText3">
    <w:name w:val="Body Text 3"/>
    <w:basedOn w:val="Normal"/>
    <w:link w:val="BodyText3Char"/>
    <w:pPr>
      <w:tabs>
        <w:tab w:val="left" w:pos="0"/>
        <w:tab w:val="left" w:pos="360"/>
        <w:tab w:val="left" w:pos="720"/>
        <w:tab w:val="right" w:pos="7700"/>
      </w:tabs>
    </w:pPr>
    <w:rPr>
      <w:noProof w:val="0"/>
      <w:u w:val="single"/>
    </w:rPr>
  </w:style>
  <w:style w:type="paragraph" w:styleId="FootnoteText">
    <w:name w:val="footnote text"/>
    <w:basedOn w:val="Normal"/>
    <w:link w:val="FootnoteTextChar"/>
    <w:semiHidden/>
    <w:rPr>
      <w:noProof w:val="0"/>
    </w:rPr>
  </w:style>
  <w:style w:type="character" w:styleId="FootnoteReference">
    <w:name w:val="footnote reference"/>
    <w:semiHidden/>
    <w:rPr>
      <w:vertAlign w:val="superscript"/>
    </w:rPr>
  </w:style>
  <w:style w:type="paragraph" w:styleId="BalloonText">
    <w:name w:val="Balloon Text"/>
    <w:basedOn w:val="Normal"/>
    <w:link w:val="BalloonTextChar"/>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tyle>
  <w:style w:type="paragraph" w:styleId="CommentSubject">
    <w:name w:val="annotation subject"/>
    <w:basedOn w:val="CommentText"/>
    <w:next w:val="CommentText"/>
    <w:link w:val="CommentSubjectChar"/>
    <w:semiHidden/>
    <w:rPr>
      <w:b/>
      <w:bCs/>
    </w:rPr>
  </w:style>
  <w:style w:type="paragraph" w:styleId="EndnoteText">
    <w:name w:val="endnote text"/>
    <w:basedOn w:val="Normal"/>
    <w:link w:val="EndnoteTextChar"/>
    <w:semiHidden/>
  </w:style>
  <w:style w:type="character" w:styleId="EndnoteReference">
    <w:name w:val="endnote reference"/>
    <w:semiHidden/>
    <w:rPr>
      <w:vertAlign w:val="superscript"/>
    </w:rPr>
  </w:style>
  <w:style w:type="paragraph" w:customStyle="1" w:styleId="StyleHeading311ptBoldUnderlineLeft025">
    <w:name w:val="Style Heading 3 + 11 pt Bold Underline Left:  0.25&quot;"/>
    <w:basedOn w:val="Heading3"/>
    <w:pPr>
      <w:ind w:left="360"/>
    </w:pPr>
    <w:rPr>
      <w:b w:val="0"/>
      <w:bCs/>
    </w:rPr>
  </w:style>
  <w:style w:type="paragraph" w:customStyle="1" w:styleId="StyleHeading311ptBoldUnderlineLeft025Hanging0">
    <w:name w:val="Style Heading 3 + 11 pt Bold Underline Left:  0.25&quot; Hanging:  0..."/>
    <w:basedOn w:val="Heading3"/>
    <w:pPr>
      <w:ind w:left="1440" w:hanging="1080"/>
    </w:pPr>
    <w:rPr>
      <w:b w:val="0"/>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rPr>
  </w:style>
  <w:style w:type="paragraph" w:styleId="DocumentMap">
    <w:name w:val="Document Map"/>
    <w:basedOn w:val="Normal"/>
    <w:link w:val="DocumentMapChar"/>
    <w:semiHidden/>
    <w:pPr>
      <w:shd w:val="clear" w:color="auto" w:fill="000080"/>
    </w:pPr>
    <w:rPr>
      <w:rFonts w:ascii="Tahoma" w:hAnsi="Tahoma" w:cs="Tahoma"/>
    </w:rPr>
  </w:style>
  <w:style w:type="paragraph" w:customStyle="1" w:styleId="Style11ptUnderlineLeft2">
    <w:name w:val="Style 11 pt Underline Left:  2&quot;"/>
    <w:basedOn w:val="Normal"/>
    <w:pPr>
      <w:ind w:left="2880"/>
    </w:pPr>
    <w:rPr>
      <w:u w:val="single"/>
    </w:rPr>
  </w:style>
  <w:style w:type="paragraph" w:customStyle="1" w:styleId="RFAheading1">
    <w:name w:val="RFAheading1"/>
    <w:basedOn w:val="Normal"/>
    <w:pPr>
      <w:tabs>
        <w:tab w:val="num" w:pos="1080"/>
        <w:tab w:val="center" w:pos="4680"/>
      </w:tabs>
      <w:suppressAutoHyphens/>
      <w:ind w:left="360" w:hanging="360"/>
      <w:jc w:val="center"/>
      <w:outlineLvl w:val="0"/>
    </w:pPr>
    <w:rPr>
      <w:rFonts w:ascii="Arial" w:hAnsi="Arial"/>
      <w:b/>
      <w:noProof w:val="0"/>
    </w:rPr>
  </w:style>
  <w:style w:type="paragraph" w:customStyle="1" w:styleId="RFAHeading2">
    <w:name w:val="RFAHeading2"/>
    <w:basedOn w:val="Normal"/>
    <w:pPr>
      <w:tabs>
        <w:tab w:val="left" w:pos="0"/>
        <w:tab w:val="left" w:pos="720"/>
        <w:tab w:val="num" w:pos="1080"/>
      </w:tabs>
      <w:suppressAutoHyphens/>
      <w:ind w:left="792" w:hanging="432"/>
      <w:outlineLvl w:val="1"/>
    </w:pPr>
    <w:rPr>
      <w:rFonts w:ascii="Arial" w:hAnsi="Arial"/>
      <w:b/>
      <w:caps/>
      <w:noProof w:val="0"/>
    </w:rPr>
  </w:style>
  <w:style w:type="character" w:customStyle="1" w:styleId="Style">
    <w:name w:val="Style"/>
    <w:rPr>
      <w:rFonts w:ascii="Times New Roman" w:hAnsi="Times New Roman"/>
      <w:position w:val="6"/>
      <w:sz w:val="20"/>
      <w:szCs w:val="20"/>
      <w:vertAlign w:val="superscript"/>
    </w:rPr>
  </w:style>
  <w:style w:type="paragraph" w:customStyle="1" w:styleId="StyleAfter12pt">
    <w:name w:val="Style After:  12 pt"/>
    <w:basedOn w:val="Normal"/>
    <w:rPr>
      <w:noProof w:val="0"/>
    </w:rPr>
  </w:style>
  <w:style w:type="paragraph" w:customStyle="1" w:styleId="StyleBodyTextIndentTimesNewRoman12ptLeftAfter6pt">
    <w:name w:val="Style Body Text Indent + Times New Roman 12 pt Left After:  6 pt"/>
    <w:basedOn w:val="BodyTextIndent"/>
    <w:link w:val="StyleBodyTextIndentTimesNewRoman12ptLeftAfter6ptChar"/>
    <w:pPr>
      <w:widowControl w:val="0"/>
      <w:tabs>
        <w:tab w:val="clear" w:pos="360"/>
        <w:tab w:val="clear" w:pos="8664"/>
        <w:tab w:val="left" w:pos="-720"/>
        <w:tab w:val="left" w:pos="0"/>
      </w:tabs>
      <w:suppressAutoHyphens/>
      <w:spacing w:after="120"/>
      <w:ind w:left="1440" w:hanging="1440"/>
    </w:pPr>
    <w:rPr>
      <w:spacing w:val="-3"/>
    </w:rPr>
  </w:style>
  <w:style w:type="paragraph" w:customStyle="1" w:styleId="StyleAfter6ptLinespacingAtleast12pt">
    <w:name w:val="Style After:  6 pt Line spacing:  At least 12 pt"/>
    <w:basedOn w:val="Normal"/>
    <w:pPr>
      <w:spacing w:after="120" w:line="240" w:lineRule="atLeast"/>
    </w:pPr>
    <w:rPr>
      <w:noProof w:val="0"/>
    </w:rPr>
  </w:style>
  <w:style w:type="paragraph" w:customStyle="1" w:styleId="StyleBodyTextIndentTimesNewRoman12ptLeftAfter12pt">
    <w:name w:val="Style Body Text Indent + Times New Roman 12 pt Left After:  12 pt"/>
    <w:basedOn w:val="BodyTextIndent"/>
    <w:pPr>
      <w:widowControl w:val="0"/>
      <w:tabs>
        <w:tab w:val="clear" w:pos="360"/>
        <w:tab w:val="clear" w:pos="8664"/>
        <w:tab w:val="left" w:pos="-720"/>
        <w:tab w:val="left" w:pos="0"/>
      </w:tabs>
      <w:suppressAutoHyphens/>
      <w:ind w:left="1440" w:hanging="1440"/>
    </w:pPr>
    <w:rPr>
      <w:spacing w:val="-3"/>
    </w:rPr>
  </w:style>
  <w:style w:type="paragraph" w:customStyle="1" w:styleId="StyleBodyTextIndentTimesNewRoman12pt">
    <w:name w:val="Style Body Text Indent + Times New Roman 12 pt"/>
    <w:basedOn w:val="BodyTextIndent"/>
    <w:link w:val="StyleBodyTextIndentTimesNewRoman12ptChar"/>
    <w:pPr>
      <w:widowControl w:val="0"/>
      <w:tabs>
        <w:tab w:val="clear" w:pos="360"/>
        <w:tab w:val="clear" w:pos="8664"/>
        <w:tab w:val="left" w:pos="-720"/>
        <w:tab w:val="left" w:pos="0"/>
      </w:tabs>
      <w:suppressAutoHyphens/>
      <w:ind w:left="1440" w:hanging="1440"/>
      <w:jc w:val="both"/>
    </w:pPr>
    <w:rPr>
      <w:noProof/>
      <w:spacing w:val="-3"/>
    </w:rPr>
  </w:style>
  <w:style w:type="character" w:customStyle="1" w:styleId="BodyTextIndentChar">
    <w:name w:val="Body Text Indent Char"/>
    <w:link w:val="BodyTextIndent"/>
    <w:rPr>
      <w:rFonts w:ascii="Book Antiqua" w:hAnsi="Book Antiqua"/>
      <w:sz w:val="22"/>
      <w:lang w:val="en-US" w:eastAsia="en-US" w:bidi="ar-SA"/>
    </w:rPr>
  </w:style>
  <w:style w:type="character" w:customStyle="1" w:styleId="StyleBodyTextIndentTimesNewRoman12ptChar">
    <w:name w:val="Style Body Text Indent + Times New Roman 12 pt Char"/>
    <w:link w:val="StyleBodyTextIndentTimesNewRoman12pt"/>
    <w:rPr>
      <w:rFonts w:ascii="Book Antiqua" w:hAnsi="Book Antiqua"/>
      <w:noProof/>
      <w:spacing w:val="-3"/>
      <w:sz w:val="22"/>
      <w:lang w:val="en-US" w:eastAsia="en-US" w:bidi="ar-SA"/>
    </w:rPr>
  </w:style>
  <w:style w:type="paragraph" w:customStyle="1" w:styleId="StyleBodyTextIndentTimesNewRoman12ptLeftLeft0F">
    <w:name w:val="Style Body Text Indent + Times New Roman 12 pt Left Left:  0&quot; F..."/>
    <w:basedOn w:val="BodyTextIndent"/>
    <w:pPr>
      <w:widowControl w:val="0"/>
      <w:tabs>
        <w:tab w:val="clear" w:pos="360"/>
        <w:tab w:val="clear" w:pos="8664"/>
        <w:tab w:val="left" w:pos="-720"/>
        <w:tab w:val="left" w:pos="0"/>
      </w:tabs>
      <w:suppressAutoHyphens/>
      <w:ind w:left="0"/>
    </w:pPr>
    <w:rPr>
      <w:spacing w:val="-3"/>
    </w:rPr>
  </w:style>
  <w:style w:type="paragraph" w:customStyle="1" w:styleId="StyleBodyTextIndentTimesNewRoman12ptStrikethrough">
    <w:name w:val="Style Body Text Indent + Times New Roman 12 pt Strikethrough"/>
    <w:basedOn w:val="BodyTextIndent"/>
    <w:link w:val="StyleBodyTextIndentTimesNewRoman12ptStrikethroughChar"/>
    <w:pPr>
      <w:widowControl w:val="0"/>
      <w:tabs>
        <w:tab w:val="clear" w:pos="360"/>
        <w:tab w:val="clear" w:pos="8664"/>
        <w:tab w:val="left" w:pos="-720"/>
        <w:tab w:val="left" w:pos="0"/>
      </w:tabs>
      <w:suppressAutoHyphens/>
      <w:ind w:left="1440" w:hanging="1440"/>
      <w:jc w:val="both"/>
    </w:pPr>
    <w:rPr>
      <w:strike/>
      <w:noProof/>
    </w:rPr>
  </w:style>
  <w:style w:type="character" w:customStyle="1" w:styleId="StyleBodyTextIndentTimesNewRoman12ptStrikethroughChar">
    <w:name w:val="Style Body Text Indent + Times New Roman 12 pt Strikethrough Char"/>
    <w:link w:val="StyleBodyTextIndentTimesNewRoman12ptStrikethrough"/>
    <w:rPr>
      <w:rFonts w:ascii="Book Antiqua" w:hAnsi="Book Antiqua"/>
      <w:strike/>
      <w:noProof/>
      <w:sz w:val="22"/>
      <w:lang w:val="en-US" w:eastAsia="en-US" w:bidi="ar-SA"/>
    </w:rPr>
  </w:style>
  <w:style w:type="paragraph" w:customStyle="1" w:styleId="StyleBodyTextIndentTimesNewRoman12ptUnderline">
    <w:name w:val="Style Body Text Indent + Times New Roman 12 pt Underline"/>
    <w:basedOn w:val="BodyTextIndent"/>
    <w:pPr>
      <w:widowControl w:val="0"/>
      <w:tabs>
        <w:tab w:val="clear" w:pos="360"/>
        <w:tab w:val="clear" w:pos="8664"/>
        <w:tab w:val="left" w:pos="-720"/>
        <w:tab w:val="left" w:pos="0"/>
      </w:tabs>
      <w:suppressAutoHyphens/>
      <w:ind w:left="1440" w:hanging="1440"/>
      <w:jc w:val="both"/>
    </w:pPr>
    <w:rPr>
      <w:spacing w:val="-3"/>
      <w:u w:val="single"/>
    </w:rPr>
  </w:style>
  <w:style w:type="paragraph" w:customStyle="1" w:styleId="StyleBodyTextIndentTimesNewRoman12ptLeft0Firstl">
    <w:name w:val="Style Body Text Indent + Times New Roman 12 pt Left:  0&quot; First l..."/>
    <w:basedOn w:val="BodyTextIndent"/>
    <w:pPr>
      <w:widowControl w:val="0"/>
      <w:tabs>
        <w:tab w:val="clear" w:pos="360"/>
        <w:tab w:val="clear" w:pos="8664"/>
        <w:tab w:val="left" w:pos="-720"/>
        <w:tab w:val="left" w:pos="0"/>
      </w:tabs>
      <w:suppressAutoHyphens/>
      <w:ind w:left="0"/>
      <w:jc w:val="both"/>
    </w:pPr>
    <w:rPr>
      <w:spacing w:val="-3"/>
    </w:rPr>
  </w:style>
  <w:style w:type="paragraph" w:customStyle="1" w:styleId="StyleBodyTextIndentTimesNewRoman12ptUnderlineLeft">
    <w:name w:val="Style Body Text Indent + Times New Roman 12 pt Underline Left:  ..."/>
    <w:basedOn w:val="BodyTextIndent"/>
    <w:pPr>
      <w:widowControl w:val="0"/>
      <w:tabs>
        <w:tab w:val="clear" w:pos="360"/>
        <w:tab w:val="clear" w:pos="8664"/>
        <w:tab w:val="left" w:pos="-720"/>
        <w:tab w:val="left" w:pos="0"/>
      </w:tabs>
      <w:suppressAutoHyphens/>
      <w:ind w:left="0"/>
      <w:jc w:val="both"/>
    </w:pPr>
    <w:rPr>
      <w:spacing w:val="-3"/>
      <w:u w:val="single"/>
    </w:rPr>
  </w:style>
  <w:style w:type="paragraph" w:customStyle="1" w:styleId="StyleTimesNewRoman12ptAfter6pt">
    <w:name w:val="Style Times New Roman 12 pt After:  6 pt"/>
    <w:basedOn w:val="Normal"/>
    <w:pPr>
      <w:spacing w:after="120"/>
    </w:pPr>
    <w:rPr>
      <w:noProof w:val="0"/>
    </w:rPr>
  </w:style>
  <w:style w:type="character" w:customStyle="1" w:styleId="StyleTimesNewRoman12pt">
    <w:name w:val="Style Times New Roman 12 pt"/>
    <w:rPr>
      <w:rFonts w:ascii="Book Antiqua" w:hAnsi="Book Antiqua"/>
      <w:sz w:val="22"/>
    </w:rPr>
  </w:style>
  <w:style w:type="paragraph" w:customStyle="1" w:styleId="StyleHeading2Left0Firstline0">
    <w:name w:val="Style Heading 2 + Left:  0&quot; First line:  0&quot;"/>
    <w:basedOn w:val="Heading2"/>
    <w:pPr>
      <w:numPr>
        <w:numId w:val="14"/>
      </w:numPr>
      <w:spacing w:before="120"/>
    </w:pPr>
    <w:rPr>
      <w:bCs/>
      <w:noProof w:val="0"/>
      <w:sz w:val="22"/>
    </w:rPr>
  </w:style>
  <w:style w:type="paragraph" w:customStyle="1" w:styleId="StyleHeading4Left025Hanging025After12pt">
    <w:name w:val="Style Heading 4 + Left:  0.25&quot; Hanging:  0.25&quot; After:  12 pt"/>
    <w:basedOn w:val="Heading4"/>
    <w:pPr>
      <w:ind w:left="360" w:hanging="360"/>
    </w:pPr>
    <w:rPr>
      <w:bCs/>
      <w:iCs/>
    </w:rPr>
  </w:style>
  <w:style w:type="table" w:styleId="TableGrid">
    <w:name w:val="Table Grid"/>
    <w:basedOn w:val="TableNormal"/>
    <w:uiPriority w:val="59"/>
    <w:rsid w:val="00944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fter12pt0">
    <w:name w:val="styleafter12pt"/>
    <w:basedOn w:val="Normal"/>
    <w:rsid w:val="004001C1"/>
    <w:pPr>
      <w:spacing w:before="100" w:beforeAutospacing="1" w:after="100" w:afterAutospacing="1"/>
    </w:pPr>
    <w:rPr>
      <w:noProof w:val="0"/>
      <w:szCs w:val="24"/>
    </w:rPr>
  </w:style>
  <w:style w:type="paragraph" w:styleId="ListParagraph">
    <w:name w:val="List Paragraph"/>
    <w:basedOn w:val="Normal"/>
    <w:uiPriority w:val="34"/>
    <w:qFormat/>
    <w:rsid w:val="005D039E"/>
    <w:pPr>
      <w:spacing w:after="200" w:line="276" w:lineRule="auto"/>
      <w:ind w:left="720"/>
      <w:contextualSpacing/>
    </w:pPr>
    <w:rPr>
      <w:rFonts w:ascii="Calibri" w:hAnsi="Calibri"/>
      <w:noProof w:val="0"/>
      <w:szCs w:val="22"/>
    </w:rPr>
  </w:style>
  <w:style w:type="character" w:styleId="Hyperlink">
    <w:name w:val="Hyperlink"/>
    <w:rsid w:val="000751C3"/>
    <w:rPr>
      <w:color w:val="0000FF"/>
      <w:u w:val="single"/>
    </w:rPr>
  </w:style>
  <w:style w:type="paragraph" w:customStyle="1" w:styleId="Default">
    <w:name w:val="Default"/>
    <w:rsid w:val="00340FBA"/>
    <w:pPr>
      <w:autoSpaceDE w:val="0"/>
      <w:autoSpaceDN w:val="0"/>
      <w:adjustRightInd w:val="0"/>
    </w:pPr>
    <w:rPr>
      <w:rFonts w:ascii="Times New Roman" w:hAnsi="Times New Roman"/>
      <w:color w:val="000000"/>
      <w:sz w:val="24"/>
      <w:szCs w:val="24"/>
    </w:rPr>
  </w:style>
  <w:style w:type="paragraph" w:customStyle="1" w:styleId="StyleHeading3After0pt">
    <w:name w:val="Style Heading 3 + After:  0 pt"/>
    <w:basedOn w:val="Heading3"/>
    <w:rsid w:val="007B06AB"/>
    <w:rPr>
      <w:bCs/>
    </w:rPr>
  </w:style>
  <w:style w:type="paragraph" w:customStyle="1" w:styleId="StyleHeading4After0pt">
    <w:name w:val="Style Heading 4 + After:  0 pt"/>
    <w:basedOn w:val="Heading4"/>
    <w:rsid w:val="00382584"/>
    <w:rPr>
      <w:bCs/>
      <w:iCs/>
    </w:rPr>
  </w:style>
  <w:style w:type="numbering" w:customStyle="1" w:styleId="StyleBulleted2">
    <w:name w:val="Style Bulleted2"/>
    <w:basedOn w:val="NoList"/>
    <w:rsid w:val="00496D91"/>
    <w:pPr>
      <w:numPr>
        <w:numId w:val="45"/>
      </w:numPr>
    </w:pPr>
  </w:style>
  <w:style w:type="numbering" w:customStyle="1" w:styleId="StyleBulleted">
    <w:name w:val="Style Bulleted"/>
    <w:basedOn w:val="NoList"/>
    <w:rsid w:val="00F06AD2"/>
    <w:pPr>
      <w:numPr>
        <w:numId w:val="47"/>
      </w:numPr>
    </w:pPr>
  </w:style>
  <w:style w:type="paragraph" w:customStyle="1" w:styleId="StyleAfter6pt">
    <w:name w:val="Style After:  6 pt"/>
    <w:basedOn w:val="Normal"/>
    <w:rsid w:val="00DF1D1C"/>
    <w:pPr>
      <w:spacing w:after="120"/>
      <w:ind w:left="360"/>
    </w:pPr>
  </w:style>
  <w:style w:type="paragraph" w:customStyle="1" w:styleId="StyleAfter6pt1">
    <w:name w:val="Style After:  6 pt1"/>
    <w:basedOn w:val="Normal"/>
    <w:rsid w:val="00DF1D1C"/>
    <w:pPr>
      <w:numPr>
        <w:numId w:val="48"/>
      </w:numPr>
      <w:spacing w:after="120"/>
    </w:pPr>
  </w:style>
  <w:style w:type="paragraph" w:styleId="Revision">
    <w:name w:val="Revision"/>
    <w:hidden/>
    <w:uiPriority w:val="99"/>
    <w:semiHidden/>
    <w:rsid w:val="00F43537"/>
    <w:rPr>
      <w:rFonts w:ascii="Book Antiqua" w:hAnsi="Book Antiqua"/>
      <w:noProof/>
      <w:sz w:val="22"/>
    </w:rPr>
  </w:style>
  <w:style w:type="paragraph" w:styleId="NormalWeb">
    <w:name w:val="Normal (Web)"/>
    <w:basedOn w:val="Normal"/>
    <w:uiPriority w:val="99"/>
    <w:unhideWhenUsed/>
    <w:rsid w:val="0001100C"/>
    <w:pPr>
      <w:spacing w:before="100" w:beforeAutospacing="1" w:after="100" w:afterAutospacing="1"/>
    </w:pPr>
    <w:rPr>
      <w:noProof w:val="0"/>
      <w:szCs w:val="24"/>
    </w:rPr>
  </w:style>
  <w:style w:type="character" w:customStyle="1" w:styleId="HTMLPreformattedChar">
    <w:name w:val="HTML Preformatted Char"/>
    <w:link w:val="HTMLPreformatted"/>
    <w:uiPriority w:val="99"/>
    <w:rsid w:val="00630CDB"/>
    <w:rPr>
      <w:rFonts w:ascii="Courier New" w:hAnsi="Courier New" w:cs="Courier New"/>
      <w:sz w:val="22"/>
    </w:rPr>
  </w:style>
  <w:style w:type="character" w:customStyle="1" w:styleId="CommentTextChar">
    <w:name w:val="Comment Text Char"/>
    <w:link w:val="CommentText"/>
    <w:uiPriority w:val="99"/>
    <w:rsid w:val="00F414D0"/>
    <w:rPr>
      <w:rFonts w:ascii="Book Antiqua" w:hAnsi="Book Antiqua"/>
      <w:noProof/>
      <w:sz w:val="22"/>
    </w:rPr>
  </w:style>
  <w:style w:type="character" w:customStyle="1" w:styleId="FootnoteTextChar">
    <w:name w:val="Footnote Text Char"/>
    <w:link w:val="FootnoteText"/>
    <w:uiPriority w:val="99"/>
    <w:semiHidden/>
    <w:rsid w:val="00F414D0"/>
    <w:rPr>
      <w:rFonts w:ascii="Times New Roman" w:hAnsi="Times New Roman"/>
      <w:sz w:val="22"/>
    </w:rPr>
  </w:style>
  <w:style w:type="paragraph" w:styleId="NoSpacing">
    <w:name w:val="No Spacing"/>
    <w:uiPriority w:val="1"/>
    <w:qFormat/>
    <w:rsid w:val="00E113A4"/>
    <w:rPr>
      <w:rFonts w:ascii="Book Antiqua" w:hAnsi="Book Antiqua"/>
      <w:noProof/>
      <w:sz w:val="22"/>
    </w:rPr>
  </w:style>
  <w:style w:type="paragraph" w:styleId="PlainText">
    <w:name w:val="Plain Text"/>
    <w:basedOn w:val="Normal"/>
    <w:link w:val="PlainTextChar"/>
    <w:uiPriority w:val="99"/>
    <w:unhideWhenUsed/>
    <w:rsid w:val="00A83C71"/>
    <w:rPr>
      <w:rFonts w:ascii="Calibri" w:eastAsia="Calibri" w:hAnsi="Calibri"/>
      <w:noProof w:val="0"/>
      <w:szCs w:val="21"/>
    </w:rPr>
  </w:style>
  <w:style w:type="character" w:customStyle="1" w:styleId="PlainTextChar">
    <w:name w:val="Plain Text Char"/>
    <w:link w:val="PlainText"/>
    <w:uiPriority w:val="99"/>
    <w:rsid w:val="00A83C71"/>
    <w:rPr>
      <w:rFonts w:ascii="Calibri" w:eastAsia="Calibri" w:hAnsi="Calibri"/>
      <w:sz w:val="22"/>
      <w:szCs w:val="21"/>
    </w:rPr>
  </w:style>
  <w:style w:type="character" w:styleId="FollowedHyperlink">
    <w:name w:val="FollowedHyperlink"/>
    <w:rsid w:val="00BE3924"/>
    <w:rPr>
      <w:color w:val="800080"/>
      <w:u w:val="single"/>
    </w:rPr>
  </w:style>
  <w:style w:type="character" w:styleId="Emphasis">
    <w:name w:val="Emphasis"/>
    <w:qFormat/>
    <w:rsid w:val="00825EF1"/>
    <w:rPr>
      <w:i/>
      <w:iCs/>
    </w:rPr>
  </w:style>
  <w:style w:type="character" w:customStyle="1" w:styleId="FooterChar">
    <w:name w:val="Footer Char"/>
    <w:link w:val="Footer"/>
    <w:uiPriority w:val="99"/>
    <w:rsid w:val="0087673B"/>
    <w:rPr>
      <w:rFonts w:ascii="Book Antiqua" w:hAnsi="Book Antiqua"/>
      <w:noProof/>
      <w:sz w:val="22"/>
    </w:rPr>
  </w:style>
  <w:style w:type="character" w:customStyle="1" w:styleId="HeaderChar">
    <w:name w:val="Header Char"/>
    <w:link w:val="Header"/>
    <w:uiPriority w:val="99"/>
    <w:rsid w:val="0087673B"/>
    <w:rPr>
      <w:rFonts w:ascii="Book Antiqua" w:hAnsi="Book Antiqua"/>
      <w:noProof/>
      <w:sz w:val="22"/>
    </w:rPr>
  </w:style>
  <w:style w:type="numbering" w:customStyle="1" w:styleId="Style2">
    <w:name w:val="Style2"/>
    <w:uiPriority w:val="99"/>
    <w:rsid w:val="0087673B"/>
    <w:pPr>
      <w:numPr>
        <w:numId w:val="52"/>
      </w:numPr>
    </w:pPr>
  </w:style>
  <w:style w:type="character" w:styleId="Strong">
    <w:name w:val="Strong"/>
    <w:uiPriority w:val="22"/>
    <w:qFormat/>
    <w:rsid w:val="006676F0"/>
    <w:rPr>
      <w:b/>
      <w:bCs/>
    </w:rPr>
  </w:style>
  <w:style w:type="paragraph" w:customStyle="1" w:styleId="bullet1">
    <w:name w:val="bullet 1"/>
    <w:basedOn w:val="StyleBodyTextIndentTimesNewRoman12ptLeftAfter6pt"/>
    <w:link w:val="bullet1Char"/>
    <w:qFormat/>
    <w:rsid w:val="00737F8F"/>
    <w:pPr>
      <w:widowControl/>
      <w:numPr>
        <w:numId w:val="12"/>
      </w:numPr>
      <w:tabs>
        <w:tab w:val="clear" w:pos="720"/>
      </w:tabs>
    </w:pPr>
    <w:rPr>
      <w:spacing w:val="0"/>
      <w:szCs w:val="22"/>
    </w:rPr>
  </w:style>
  <w:style w:type="paragraph" w:customStyle="1" w:styleId="lastbullet">
    <w:name w:val="last bullet"/>
    <w:basedOn w:val="StyleBodyTextIndentTimesNewRoman12ptLeftAfter6pt"/>
    <w:link w:val="lastbulletChar"/>
    <w:qFormat/>
    <w:rsid w:val="00551F8A"/>
    <w:pPr>
      <w:widowControl/>
      <w:tabs>
        <w:tab w:val="num" w:pos="360"/>
      </w:tabs>
      <w:spacing w:after="240"/>
      <w:ind w:left="360" w:hanging="360"/>
    </w:pPr>
    <w:rPr>
      <w:spacing w:val="0"/>
    </w:rPr>
  </w:style>
  <w:style w:type="character" w:customStyle="1" w:styleId="StyleBodyTextIndentTimesNewRoman12ptLeftAfter6ptChar">
    <w:name w:val="Style Body Text Indent + Times New Roman 12 pt Left After:  6 pt Char"/>
    <w:link w:val="StyleBodyTextIndentTimesNewRoman12ptLeftAfter6pt"/>
    <w:rsid w:val="00551F8A"/>
    <w:rPr>
      <w:rFonts w:ascii="Book Antiqua" w:hAnsi="Book Antiqua"/>
      <w:spacing w:val="-3"/>
      <w:sz w:val="22"/>
      <w:lang w:val="en-US" w:eastAsia="en-US" w:bidi="ar-SA"/>
    </w:rPr>
  </w:style>
  <w:style w:type="character" w:customStyle="1" w:styleId="bullet1Char">
    <w:name w:val="bullet 1 Char"/>
    <w:link w:val="bullet1"/>
    <w:rsid w:val="00737F8F"/>
    <w:rPr>
      <w:rFonts w:ascii="Times New Roman" w:hAnsi="Times New Roman"/>
      <w:sz w:val="24"/>
      <w:szCs w:val="22"/>
    </w:rPr>
  </w:style>
  <w:style w:type="character" w:customStyle="1" w:styleId="Heading4Char">
    <w:name w:val="Heading 4 Char"/>
    <w:link w:val="Heading4"/>
    <w:rsid w:val="00A17103"/>
    <w:rPr>
      <w:b/>
      <w:i/>
      <w:noProof/>
    </w:rPr>
  </w:style>
  <w:style w:type="character" w:customStyle="1" w:styleId="lastbulletChar">
    <w:name w:val="last bullet Char"/>
    <w:basedOn w:val="StyleBodyTextIndentTimesNewRoman12ptLeftAfter6ptChar"/>
    <w:link w:val="lastbullet"/>
    <w:rsid w:val="00551F8A"/>
    <w:rPr>
      <w:rFonts w:ascii="Book Antiqua" w:hAnsi="Book Antiqua"/>
      <w:spacing w:val="-3"/>
      <w:sz w:val="22"/>
      <w:lang w:val="en-US" w:eastAsia="en-US" w:bidi="ar-SA"/>
    </w:rPr>
  </w:style>
  <w:style w:type="paragraph" w:customStyle="1" w:styleId="fp">
    <w:name w:val="fp"/>
    <w:basedOn w:val="Normal"/>
    <w:rsid w:val="00A053BF"/>
    <w:pPr>
      <w:spacing w:before="200" w:after="100" w:afterAutospacing="1"/>
    </w:pPr>
    <w:rPr>
      <w:noProof w:val="0"/>
      <w:szCs w:val="24"/>
    </w:rPr>
  </w:style>
  <w:style w:type="paragraph" w:customStyle="1" w:styleId="paragraph">
    <w:name w:val="paragraph"/>
    <w:basedOn w:val="Normal"/>
    <w:rsid w:val="009B3F7F"/>
    <w:pPr>
      <w:spacing w:before="24" w:after="24"/>
      <w:ind w:left="480" w:firstLine="240"/>
    </w:pPr>
    <w:rPr>
      <w:noProof w:val="0"/>
      <w:szCs w:val="24"/>
    </w:rPr>
  </w:style>
  <w:style w:type="paragraph" w:customStyle="1" w:styleId="subpara">
    <w:name w:val="subpara"/>
    <w:basedOn w:val="Normal"/>
    <w:rsid w:val="009B3F7F"/>
    <w:pPr>
      <w:spacing w:before="24" w:after="24"/>
      <w:ind w:left="960" w:firstLine="240"/>
    </w:pPr>
    <w:rPr>
      <w:noProof w:val="0"/>
      <w:szCs w:val="24"/>
    </w:rPr>
  </w:style>
  <w:style w:type="character" w:customStyle="1" w:styleId="sc1">
    <w:name w:val="sc1"/>
    <w:rsid w:val="009B3F7F"/>
    <w:rPr>
      <w:smallCaps/>
    </w:rPr>
  </w:style>
  <w:style w:type="character" w:styleId="LineNumber">
    <w:name w:val="line number"/>
    <w:basedOn w:val="DefaultParagraphFont"/>
    <w:rsid w:val="003F0232"/>
  </w:style>
  <w:style w:type="character" w:customStyle="1" w:styleId="Heading3Char">
    <w:name w:val="Heading 3 Char"/>
    <w:link w:val="Heading3"/>
    <w:rsid w:val="00C57F68"/>
    <w:rPr>
      <w:b/>
      <w:noProof/>
      <w:sz w:val="22"/>
    </w:rPr>
  </w:style>
  <w:style w:type="paragraph" w:customStyle="1" w:styleId="normal6">
    <w:name w:val="normal 6"/>
    <w:basedOn w:val="Normal"/>
    <w:link w:val="normal6Char"/>
    <w:qFormat/>
    <w:rsid w:val="004658AC"/>
    <w:pPr>
      <w:spacing w:after="120"/>
    </w:pPr>
  </w:style>
  <w:style w:type="character" w:customStyle="1" w:styleId="normal6Char">
    <w:name w:val="normal 6 Char"/>
    <w:basedOn w:val="DefaultParagraphFont"/>
    <w:link w:val="normal6"/>
    <w:rsid w:val="004658AC"/>
    <w:rPr>
      <w:rFonts w:ascii="Times New Roman" w:hAnsi="Times New Roman"/>
      <w:noProof/>
      <w:sz w:val="24"/>
    </w:rPr>
  </w:style>
  <w:style w:type="paragraph" w:customStyle="1" w:styleId="bullet1last">
    <w:name w:val="bullet 1 last"/>
    <w:basedOn w:val="bullet1"/>
    <w:link w:val="bullet1lastChar"/>
    <w:qFormat/>
    <w:rsid w:val="00737F8F"/>
    <w:pPr>
      <w:tabs>
        <w:tab w:val="clear" w:pos="1440"/>
      </w:tabs>
      <w:spacing w:after="240"/>
    </w:pPr>
  </w:style>
  <w:style w:type="character" w:customStyle="1" w:styleId="bullet1lastChar">
    <w:name w:val="bullet 1 last Char"/>
    <w:basedOn w:val="bullet1Char"/>
    <w:link w:val="bullet1last"/>
    <w:rsid w:val="00737F8F"/>
    <w:rPr>
      <w:rFonts w:ascii="Times New Roman" w:hAnsi="Times New Roman"/>
      <w:sz w:val="24"/>
      <w:szCs w:val="22"/>
    </w:rPr>
  </w:style>
  <w:style w:type="character" w:customStyle="1" w:styleId="Heading1Char">
    <w:name w:val="Heading 1 Char"/>
    <w:basedOn w:val="DefaultParagraphFont"/>
    <w:link w:val="Heading1"/>
    <w:rsid w:val="00724EFE"/>
    <w:rPr>
      <w:b/>
      <w:bCs/>
      <w:caps/>
      <w:noProof/>
      <w:sz w:val="26"/>
      <w:szCs w:val="26"/>
    </w:rPr>
  </w:style>
  <w:style w:type="character" w:customStyle="1" w:styleId="Heading2Char">
    <w:name w:val="Heading 2 Char"/>
    <w:basedOn w:val="DefaultParagraphFont"/>
    <w:link w:val="Heading2"/>
    <w:rsid w:val="007610FD"/>
    <w:rPr>
      <w:b/>
      <w:noProof/>
      <w:sz w:val="24"/>
    </w:rPr>
  </w:style>
  <w:style w:type="character" w:customStyle="1" w:styleId="Heading5Char">
    <w:name w:val="Heading 5 Char"/>
    <w:basedOn w:val="DefaultParagraphFont"/>
    <w:link w:val="Heading5"/>
    <w:rsid w:val="00C2136A"/>
    <w:rPr>
      <w:i/>
      <w:noProof/>
    </w:rPr>
  </w:style>
  <w:style w:type="character" w:customStyle="1" w:styleId="Heading6Char">
    <w:name w:val="Heading 6 Char"/>
    <w:basedOn w:val="DefaultParagraphFont"/>
    <w:link w:val="Heading6"/>
    <w:rsid w:val="002E372C"/>
    <w:rPr>
      <w:noProof/>
    </w:rPr>
  </w:style>
  <w:style w:type="character" w:customStyle="1" w:styleId="Heading7Char">
    <w:name w:val="Heading 7 Char"/>
    <w:basedOn w:val="DefaultParagraphFont"/>
    <w:link w:val="Heading7"/>
    <w:rsid w:val="002E372C"/>
    <w:rPr>
      <w:noProof/>
    </w:rPr>
  </w:style>
  <w:style w:type="character" w:customStyle="1" w:styleId="Heading8Char">
    <w:name w:val="Heading 8 Char"/>
    <w:basedOn w:val="DefaultParagraphFont"/>
    <w:link w:val="Heading8"/>
    <w:rsid w:val="002E372C"/>
    <w:rPr>
      <w:noProof/>
    </w:rPr>
  </w:style>
  <w:style w:type="character" w:customStyle="1" w:styleId="Heading9Char">
    <w:name w:val="Heading 9 Char"/>
    <w:basedOn w:val="DefaultParagraphFont"/>
    <w:link w:val="Heading9"/>
    <w:rsid w:val="002E372C"/>
    <w:rPr>
      <w:noProof/>
    </w:rPr>
  </w:style>
  <w:style w:type="paragraph" w:styleId="Index1">
    <w:name w:val="index 1"/>
    <w:basedOn w:val="Normal"/>
    <w:next w:val="Normal"/>
    <w:autoRedefine/>
    <w:rsid w:val="00657128"/>
    <w:pPr>
      <w:widowControl w:val="0"/>
      <w:numPr>
        <w:numId w:val="531"/>
      </w:numPr>
      <w:spacing w:after="0"/>
      <w:jc w:val="both"/>
    </w:pPr>
    <w:rPr>
      <w:noProof w:val="0"/>
      <w:sz w:val="22"/>
      <w:szCs w:val="22"/>
    </w:rPr>
  </w:style>
  <w:style w:type="paragraph" w:styleId="IndexHeading">
    <w:name w:val="index heading"/>
    <w:basedOn w:val="Normal"/>
    <w:next w:val="Index1"/>
    <w:rsid w:val="002E372C"/>
    <w:pPr>
      <w:keepNext/>
      <w:spacing w:after="0" w:line="480" w:lineRule="atLeast"/>
    </w:pPr>
    <w:rPr>
      <w:rFonts w:ascii="Arial Black" w:hAnsi="Arial Black"/>
      <w:noProof w:val="0"/>
      <w:spacing w:val="-5"/>
    </w:rPr>
  </w:style>
  <w:style w:type="character" w:customStyle="1" w:styleId="BodyTextIndent3Char">
    <w:name w:val="Body Text Indent 3 Char"/>
    <w:basedOn w:val="DefaultParagraphFont"/>
    <w:link w:val="BodyTextIndent3"/>
    <w:rsid w:val="002E372C"/>
    <w:rPr>
      <w:rFonts w:ascii="Times New Roman" w:hAnsi="Times New Roman"/>
      <w:noProof/>
      <w:sz w:val="24"/>
    </w:rPr>
  </w:style>
  <w:style w:type="character" w:customStyle="1" w:styleId="BodyTextChar">
    <w:name w:val="Body Text Char"/>
    <w:basedOn w:val="DefaultParagraphFont"/>
    <w:rsid w:val="002E372C"/>
    <w:rPr>
      <w:rFonts w:ascii="Arial" w:hAnsi="Arial" w:cs="Arial"/>
      <w:sz w:val="24"/>
      <w:szCs w:val="24"/>
    </w:rPr>
  </w:style>
  <w:style w:type="character" w:customStyle="1" w:styleId="BodyText3Char">
    <w:name w:val="Body Text 3 Char"/>
    <w:basedOn w:val="DefaultParagraphFont"/>
    <w:link w:val="BodyText3"/>
    <w:rsid w:val="002E372C"/>
    <w:rPr>
      <w:rFonts w:ascii="Times New Roman" w:hAnsi="Times New Roman"/>
      <w:sz w:val="24"/>
      <w:u w:val="single"/>
    </w:rPr>
  </w:style>
  <w:style w:type="character" w:customStyle="1" w:styleId="BodyText2Char">
    <w:name w:val="Body Text 2 Char"/>
    <w:basedOn w:val="DefaultParagraphFont"/>
    <w:link w:val="BodyText2"/>
    <w:rsid w:val="002E372C"/>
    <w:rPr>
      <w:rFonts w:ascii="Times New Roman" w:hAnsi="Times New Roman"/>
      <w:sz w:val="24"/>
    </w:rPr>
  </w:style>
  <w:style w:type="character" w:customStyle="1" w:styleId="BodyTextIndent2Char">
    <w:name w:val="Body Text Indent 2 Char"/>
    <w:basedOn w:val="DefaultParagraphFont"/>
    <w:link w:val="BodyTextIndent2"/>
    <w:rsid w:val="002E372C"/>
    <w:rPr>
      <w:rFonts w:ascii="Times New Roman" w:hAnsi="Times New Roman"/>
      <w:sz w:val="24"/>
    </w:rPr>
  </w:style>
  <w:style w:type="character" w:customStyle="1" w:styleId="TitleChar">
    <w:name w:val="Title Char"/>
    <w:basedOn w:val="DefaultParagraphFont"/>
    <w:link w:val="Title"/>
    <w:rsid w:val="002E372C"/>
    <w:rPr>
      <w:rFonts w:ascii="Times New Roman" w:hAnsi="Times New Roman"/>
      <w:sz w:val="26"/>
    </w:rPr>
  </w:style>
  <w:style w:type="paragraph" w:styleId="ListNumber">
    <w:name w:val="List Number"/>
    <w:basedOn w:val="Normal"/>
    <w:rsid w:val="002E372C"/>
    <w:pPr>
      <w:numPr>
        <w:numId w:val="861"/>
      </w:numPr>
      <w:tabs>
        <w:tab w:val="clear" w:pos="360"/>
        <w:tab w:val="num" w:pos="720"/>
      </w:tabs>
      <w:spacing w:after="0"/>
      <w:ind w:left="720"/>
    </w:pPr>
    <w:rPr>
      <w:rFonts w:ascii="Arial" w:hAnsi="Arial" w:cs="Arial"/>
      <w:noProof w:val="0"/>
      <w:szCs w:val="24"/>
    </w:rPr>
  </w:style>
  <w:style w:type="paragraph" w:styleId="BlockText">
    <w:name w:val="Block Text"/>
    <w:basedOn w:val="Normal"/>
    <w:rsid w:val="002E372C"/>
    <w:pPr>
      <w:tabs>
        <w:tab w:val="left" w:leader="dot" w:pos="1083"/>
        <w:tab w:val="decimal" w:leader="dot" w:pos="8208"/>
      </w:tabs>
      <w:spacing w:after="0"/>
      <w:ind w:left="2166" w:right="1173" w:hanging="570"/>
    </w:pPr>
    <w:rPr>
      <w:rFonts w:ascii="Arial" w:hAnsi="Arial" w:cs="Arial"/>
      <w:noProof w:val="0"/>
      <w:sz w:val="20"/>
      <w:szCs w:val="24"/>
    </w:rPr>
  </w:style>
  <w:style w:type="paragraph" w:customStyle="1" w:styleId="CompanyName">
    <w:name w:val="Company Name"/>
    <w:basedOn w:val="Normal"/>
    <w:next w:val="Normal"/>
    <w:rsid w:val="002E372C"/>
    <w:pPr>
      <w:spacing w:before="420" w:after="60" w:line="320" w:lineRule="exact"/>
    </w:pPr>
    <w:rPr>
      <w:rFonts w:ascii="Garamond" w:hAnsi="Garamond"/>
      <w:caps/>
      <w:noProof w:val="0"/>
      <w:kern w:val="36"/>
      <w:sz w:val="38"/>
    </w:rPr>
  </w:style>
  <w:style w:type="paragraph" w:customStyle="1" w:styleId="SubtitleCover">
    <w:name w:val="Subtitle Cover"/>
    <w:basedOn w:val="Normal"/>
    <w:next w:val="Normal"/>
    <w:rsid w:val="002E372C"/>
    <w:pPr>
      <w:keepNext/>
      <w:pBdr>
        <w:top w:val="single" w:sz="6" w:space="1" w:color="auto"/>
      </w:pBdr>
      <w:spacing w:after="5280" w:line="480" w:lineRule="exact"/>
    </w:pPr>
    <w:rPr>
      <w:rFonts w:ascii="Garamond" w:hAnsi="Garamond"/>
      <w:noProof w:val="0"/>
      <w:spacing w:val="-15"/>
      <w:kern w:val="28"/>
      <w:sz w:val="44"/>
    </w:rPr>
  </w:style>
  <w:style w:type="character" w:customStyle="1" w:styleId="BalloonTextChar">
    <w:name w:val="Balloon Text Char"/>
    <w:basedOn w:val="DefaultParagraphFont"/>
    <w:link w:val="BalloonText"/>
    <w:semiHidden/>
    <w:rsid w:val="002E372C"/>
    <w:rPr>
      <w:rFonts w:ascii="Tahoma" w:hAnsi="Tahoma" w:cs="Tahoma"/>
      <w:noProof/>
      <w:sz w:val="16"/>
      <w:szCs w:val="16"/>
    </w:rPr>
  </w:style>
  <w:style w:type="paragraph" w:styleId="BodyTextFirstIndent">
    <w:name w:val="Body Text First Indent"/>
    <w:basedOn w:val="BodyText"/>
    <w:link w:val="BodyTextFirstIndentChar"/>
    <w:rsid w:val="002E372C"/>
    <w:pPr>
      <w:tabs>
        <w:tab w:val="clear" w:pos="0"/>
        <w:tab w:val="clear" w:pos="50"/>
        <w:tab w:val="clear" w:pos="698"/>
        <w:tab w:val="clear" w:pos="9180"/>
      </w:tabs>
      <w:ind w:firstLine="210"/>
    </w:pPr>
  </w:style>
  <w:style w:type="character" w:customStyle="1" w:styleId="BodyTextChar1">
    <w:name w:val="Body Text Char1"/>
    <w:basedOn w:val="DefaultParagraphFont"/>
    <w:link w:val="BodyText"/>
    <w:rsid w:val="00096A5D"/>
    <w:rPr>
      <w:rFonts w:ascii="Times New Roman" w:hAnsi="Times New Roman"/>
      <w:sz w:val="24"/>
      <w:szCs w:val="24"/>
    </w:rPr>
  </w:style>
  <w:style w:type="character" w:customStyle="1" w:styleId="BodyTextFirstIndentChar">
    <w:name w:val="Body Text First Indent Char"/>
    <w:basedOn w:val="BodyTextChar1"/>
    <w:link w:val="BodyTextFirstIndent"/>
    <w:rsid w:val="002E372C"/>
    <w:rPr>
      <w:rFonts w:ascii="Times New Roman" w:hAnsi="Times New Roman"/>
      <w:sz w:val="24"/>
      <w:szCs w:val="24"/>
    </w:rPr>
  </w:style>
  <w:style w:type="paragraph" w:styleId="BodyTextFirstIndent2">
    <w:name w:val="Body Text First Indent 2"/>
    <w:basedOn w:val="BodyTextIndent"/>
    <w:link w:val="BodyTextFirstIndent2Char"/>
    <w:rsid w:val="002E372C"/>
    <w:pPr>
      <w:tabs>
        <w:tab w:val="clear" w:pos="360"/>
        <w:tab w:val="clear" w:pos="720"/>
        <w:tab w:val="clear" w:pos="8664"/>
      </w:tabs>
      <w:spacing w:after="120"/>
      <w:ind w:firstLine="210"/>
    </w:pPr>
    <w:rPr>
      <w:szCs w:val="24"/>
    </w:rPr>
  </w:style>
  <w:style w:type="character" w:customStyle="1" w:styleId="BodyTextFirstIndent2Char">
    <w:name w:val="Body Text First Indent 2 Char"/>
    <w:basedOn w:val="BodyTextIndentChar"/>
    <w:link w:val="BodyTextFirstIndent2"/>
    <w:rsid w:val="002E372C"/>
    <w:rPr>
      <w:rFonts w:ascii="Times New Roman" w:hAnsi="Times New Roman"/>
      <w:sz w:val="24"/>
      <w:szCs w:val="24"/>
      <w:lang w:val="en-US" w:eastAsia="en-US" w:bidi="ar-SA"/>
    </w:rPr>
  </w:style>
  <w:style w:type="paragraph" w:styleId="Caption">
    <w:name w:val="caption"/>
    <w:basedOn w:val="Normal"/>
    <w:next w:val="Normal"/>
    <w:qFormat/>
    <w:rsid w:val="002E372C"/>
    <w:pPr>
      <w:spacing w:after="0"/>
    </w:pPr>
    <w:rPr>
      <w:b/>
      <w:bCs/>
      <w:noProof w:val="0"/>
      <w:sz w:val="20"/>
    </w:rPr>
  </w:style>
  <w:style w:type="paragraph" w:styleId="Closing">
    <w:name w:val="Closing"/>
    <w:basedOn w:val="Normal"/>
    <w:link w:val="ClosingChar"/>
    <w:rsid w:val="002E372C"/>
    <w:pPr>
      <w:spacing w:after="0"/>
      <w:ind w:left="4320"/>
    </w:pPr>
    <w:rPr>
      <w:noProof w:val="0"/>
      <w:szCs w:val="24"/>
    </w:rPr>
  </w:style>
  <w:style w:type="character" w:customStyle="1" w:styleId="ClosingChar">
    <w:name w:val="Closing Char"/>
    <w:basedOn w:val="DefaultParagraphFont"/>
    <w:link w:val="Closing"/>
    <w:rsid w:val="002E372C"/>
    <w:rPr>
      <w:rFonts w:ascii="Times New Roman" w:hAnsi="Times New Roman"/>
      <w:sz w:val="24"/>
      <w:szCs w:val="24"/>
    </w:rPr>
  </w:style>
  <w:style w:type="character" w:customStyle="1" w:styleId="CommentSubjectChar">
    <w:name w:val="Comment Subject Char"/>
    <w:basedOn w:val="CommentTextChar"/>
    <w:link w:val="CommentSubject"/>
    <w:semiHidden/>
    <w:rsid w:val="002E372C"/>
    <w:rPr>
      <w:rFonts w:ascii="Times New Roman" w:hAnsi="Times New Roman"/>
      <w:b/>
      <w:bCs/>
      <w:noProof/>
      <w:sz w:val="24"/>
    </w:rPr>
  </w:style>
  <w:style w:type="paragraph" w:styleId="Date">
    <w:name w:val="Date"/>
    <w:basedOn w:val="Normal"/>
    <w:next w:val="Normal"/>
    <w:link w:val="DateChar"/>
    <w:rsid w:val="002E372C"/>
    <w:pPr>
      <w:spacing w:after="0"/>
    </w:pPr>
    <w:rPr>
      <w:noProof w:val="0"/>
      <w:szCs w:val="24"/>
    </w:rPr>
  </w:style>
  <w:style w:type="character" w:customStyle="1" w:styleId="DateChar">
    <w:name w:val="Date Char"/>
    <w:basedOn w:val="DefaultParagraphFont"/>
    <w:link w:val="Date"/>
    <w:rsid w:val="002E372C"/>
    <w:rPr>
      <w:rFonts w:ascii="Times New Roman" w:hAnsi="Times New Roman"/>
      <w:sz w:val="24"/>
      <w:szCs w:val="24"/>
    </w:rPr>
  </w:style>
  <w:style w:type="character" w:customStyle="1" w:styleId="DocumentMapChar">
    <w:name w:val="Document Map Char"/>
    <w:basedOn w:val="DefaultParagraphFont"/>
    <w:link w:val="DocumentMap"/>
    <w:semiHidden/>
    <w:rsid w:val="002E372C"/>
    <w:rPr>
      <w:rFonts w:ascii="Tahoma" w:hAnsi="Tahoma" w:cs="Tahoma"/>
      <w:noProof/>
      <w:sz w:val="24"/>
      <w:shd w:val="clear" w:color="auto" w:fill="000080"/>
    </w:rPr>
  </w:style>
  <w:style w:type="paragraph" w:styleId="E-mailSignature">
    <w:name w:val="E-mail Signature"/>
    <w:basedOn w:val="Normal"/>
    <w:link w:val="E-mailSignatureChar"/>
    <w:rsid w:val="002E372C"/>
    <w:pPr>
      <w:spacing w:after="0"/>
    </w:pPr>
    <w:rPr>
      <w:noProof w:val="0"/>
      <w:szCs w:val="24"/>
    </w:rPr>
  </w:style>
  <w:style w:type="character" w:customStyle="1" w:styleId="E-mailSignatureChar">
    <w:name w:val="E-mail Signature Char"/>
    <w:basedOn w:val="DefaultParagraphFont"/>
    <w:link w:val="E-mailSignature"/>
    <w:rsid w:val="002E372C"/>
    <w:rPr>
      <w:rFonts w:ascii="Times New Roman" w:hAnsi="Times New Roman"/>
      <w:sz w:val="24"/>
      <w:szCs w:val="24"/>
    </w:rPr>
  </w:style>
  <w:style w:type="character" w:customStyle="1" w:styleId="EndnoteTextChar">
    <w:name w:val="Endnote Text Char"/>
    <w:basedOn w:val="DefaultParagraphFont"/>
    <w:link w:val="EndnoteText"/>
    <w:semiHidden/>
    <w:rsid w:val="002E372C"/>
    <w:rPr>
      <w:rFonts w:ascii="Times New Roman" w:hAnsi="Times New Roman"/>
      <w:noProof/>
      <w:sz w:val="24"/>
    </w:rPr>
  </w:style>
  <w:style w:type="paragraph" w:styleId="EnvelopeAddress">
    <w:name w:val="envelope address"/>
    <w:basedOn w:val="Normal"/>
    <w:rsid w:val="002E372C"/>
    <w:pPr>
      <w:framePr w:w="7920" w:h="1980" w:hRule="exact" w:hSpace="180" w:wrap="auto" w:hAnchor="page" w:xAlign="center" w:yAlign="bottom"/>
      <w:spacing w:after="0"/>
      <w:ind w:left="2880"/>
    </w:pPr>
    <w:rPr>
      <w:rFonts w:ascii="Arial" w:hAnsi="Arial" w:cs="Arial"/>
      <w:noProof w:val="0"/>
      <w:szCs w:val="24"/>
    </w:rPr>
  </w:style>
  <w:style w:type="paragraph" w:styleId="EnvelopeReturn">
    <w:name w:val="envelope return"/>
    <w:basedOn w:val="Normal"/>
    <w:rsid w:val="002E372C"/>
    <w:pPr>
      <w:spacing w:after="0"/>
    </w:pPr>
    <w:rPr>
      <w:rFonts w:ascii="Arial" w:hAnsi="Arial" w:cs="Arial"/>
      <w:noProof w:val="0"/>
      <w:sz w:val="20"/>
    </w:rPr>
  </w:style>
  <w:style w:type="paragraph" w:styleId="HTMLAddress">
    <w:name w:val="HTML Address"/>
    <w:basedOn w:val="Normal"/>
    <w:link w:val="HTMLAddressChar"/>
    <w:rsid w:val="002E372C"/>
    <w:pPr>
      <w:spacing w:after="0"/>
    </w:pPr>
    <w:rPr>
      <w:i/>
      <w:iCs/>
      <w:noProof w:val="0"/>
      <w:szCs w:val="24"/>
    </w:rPr>
  </w:style>
  <w:style w:type="character" w:customStyle="1" w:styleId="HTMLAddressChar">
    <w:name w:val="HTML Address Char"/>
    <w:basedOn w:val="DefaultParagraphFont"/>
    <w:link w:val="HTMLAddress"/>
    <w:rsid w:val="002E372C"/>
    <w:rPr>
      <w:rFonts w:ascii="Times New Roman" w:hAnsi="Times New Roman"/>
      <w:i/>
      <w:iCs/>
      <w:sz w:val="24"/>
      <w:szCs w:val="24"/>
    </w:rPr>
  </w:style>
  <w:style w:type="paragraph" w:styleId="Index2">
    <w:name w:val="index 2"/>
    <w:basedOn w:val="Normal"/>
    <w:next w:val="Normal"/>
    <w:autoRedefine/>
    <w:rsid w:val="002E372C"/>
    <w:pPr>
      <w:spacing w:after="0"/>
      <w:ind w:left="480" w:hanging="240"/>
    </w:pPr>
    <w:rPr>
      <w:noProof w:val="0"/>
      <w:szCs w:val="24"/>
    </w:rPr>
  </w:style>
  <w:style w:type="paragraph" w:styleId="Index3">
    <w:name w:val="index 3"/>
    <w:basedOn w:val="Normal"/>
    <w:next w:val="Normal"/>
    <w:autoRedefine/>
    <w:rsid w:val="002E372C"/>
    <w:pPr>
      <w:spacing w:after="0"/>
      <w:ind w:left="720" w:hanging="240"/>
    </w:pPr>
    <w:rPr>
      <w:noProof w:val="0"/>
      <w:szCs w:val="24"/>
    </w:rPr>
  </w:style>
  <w:style w:type="paragraph" w:styleId="Index4">
    <w:name w:val="index 4"/>
    <w:basedOn w:val="Normal"/>
    <w:next w:val="Normal"/>
    <w:autoRedefine/>
    <w:rsid w:val="002E372C"/>
    <w:pPr>
      <w:spacing w:after="0"/>
      <w:ind w:left="960" w:hanging="240"/>
    </w:pPr>
    <w:rPr>
      <w:noProof w:val="0"/>
      <w:szCs w:val="24"/>
    </w:rPr>
  </w:style>
  <w:style w:type="paragraph" w:styleId="Index5">
    <w:name w:val="index 5"/>
    <w:basedOn w:val="Normal"/>
    <w:next w:val="Normal"/>
    <w:autoRedefine/>
    <w:rsid w:val="002E372C"/>
    <w:pPr>
      <w:spacing w:after="0"/>
      <w:ind w:left="1200" w:hanging="240"/>
    </w:pPr>
    <w:rPr>
      <w:noProof w:val="0"/>
      <w:szCs w:val="24"/>
    </w:rPr>
  </w:style>
  <w:style w:type="paragraph" w:styleId="Index6">
    <w:name w:val="index 6"/>
    <w:basedOn w:val="Normal"/>
    <w:next w:val="Normal"/>
    <w:autoRedefine/>
    <w:rsid w:val="002E372C"/>
    <w:pPr>
      <w:spacing w:after="0"/>
      <w:ind w:left="1440" w:hanging="240"/>
    </w:pPr>
    <w:rPr>
      <w:noProof w:val="0"/>
      <w:szCs w:val="24"/>
    </w:rPr>
  </w:style>
  <w:style w:type="paragraph" w:styleId="Index7">
    <w:name w:val="index 7"/>
    <w:basedOn w:val="Normal"/>
    <w:next w:val="Normal"/>
    <w:autoRedefine/>
    <w:rsid w:val="002E372C"/>
    <w:pPr>
      <w:spacing w:after="0"/>
      <w:ind w:left="1680" w:hanging="240"/>
    </w:pPr>
    <w:rPr>
      <w:noProof w:val="0"/>
      <w:szCs w:val="24"/>
    </w:rPr>
  </w:style>
  <w:style w:type="paragraph" w:styleId="Index8">
    <w:name w:val="index 8"/>
    <w:basedOn w:val="Normal"/>
    <w:next w:val="Normal"/>
    <w:autoRedefine/>
    <w:rsid w:val="002E372C"/>
    <w:pPr>
      <w:spacing w:after="0"/>
      <w:ind w:left="1920" w:hanging="240"/>
    </w:pPr>
    <w:rPr>
      <w:noProof w:val="0"/>
      <w:szCs w:val="24"/>
    </w:rPr>
  </w:style>
  <w:style w:type="paragraph" w:styleId="Index9">
    <w:name w:val="index 9"/>
    <w:basedOn w:val="Normal"/>
    <w:next w:val="Normal"/>
    <w:autoRedefine/>
    <w:rsid w:val="002E372C"/>
    <w:pPr>
      <w:spacing w:after="0"/>
      <w:ind w:left="2160" w:hanging="240"/>
    </w:pPr>
    <w:rPr>
      <w:noProof w:val="0"/>
      <w:szCs w:val="24"/>
    </w:rPr>
  </w:style>
  <w:style w:type="paragraph" w:styleId="List">
    <w:name w:val="List"/>
    <w:basedOn w:val="Normal"/>
    <w:rsid w:val="002E372C"/>
    <w:pPr>
      <w:spacing w:after="0"/>
      <w:ind w:left="360" w:hanging="360"/>
    </w:pPr>
    <w:rPr>
      <w:noProof w:val="0"/>
      <w:szCs w:val="24"/>
    </w:rPr>
  </w:style>
  <w:style w:type="paragraph" w:styleId="List2">
    <w:name w:val="List 2"/>
    <w:basedOn w:val="Normal"/>
    <w:rsid w:val="002E372C"/>
    <w:pPr>
      <w:spacing w:after="0"/>
      <w:ind w:left="720" w:hanging="360"/>
    </w:pPr>
    <w:rPr>
      <w:noProof w:val="0"/>
      <w:szCs w:val="24"/>
    </w:rPr>
  </w:style>
  <w:style w:type="paragraph" w:styleId="List3">
    <w:name w:val="List 3"/>
    <w:basedOn w:val="Normal"/>
    <w:rsid w:val="002E372C"/>
    <w:pPr>
      <w:spacing w:after="0"/>
      <w:ind w:left="1080" w:hanging="360"/>
    </w:pPr>
    <w:rPr>
      <w:noProof w:val="0"/>
      <w:szCs w:val="24"/>
    </w:rPr>
  </w:style>
  <w:style w:type="paragraph" w:styleId="List4">
    <w:name w:val="List 4"/>
    <w:basedOn w:val="Normal"/>
    <w:rsid w:val="002E372C"/>
    <w:pPr>
      <w:spacing w:after="0"/>
      <w:ind w:left="1440" w:hanging="360"/>
    </w:pPr>
    <w:rPr>
      <w:noProof w:val="0"/>
      <w:szCs w:val="24"/>
    </w:rPr>
  </w:style>
  <w:style w:type="paragraph" w:styleId="List5">
    <w:name w:val="List 5"/>
    <w:basedOn w:val="Normal"/>
    <w:rsid w:val="002E372C"/>
    <w:pPr>
      <w:spacing w:after="0"/>
      <w:ind w:left="1800" w:hanging="360"/>
    </w:pPr>
    <w:rPr>
      <w:noProof w:val="0"/>
      <w:szCs w:val="24"/>
    </w:rPr>
  </w:style>
  <w:style w:type="paragraph" w:styleId="ListBullet">
    <w:name w:val="List Bullet"/>
    <w:basedOn w:val="Normal"/>
    <w:rsid w:val="002E372C"/>
    <w:pPr>
      <w:numPr>
        <w:numId w:val="845"/>
      </w:numPr>
      <w:spacing w:after="0"/>
    </w:pPr>
    <w:rPr>
      <w:noProof w:val="0"/>
      <w:szCs w:val="24"/>
    </w:rPr>
  </w:style>
  <w:style w:type="paragraph" w:styleId="ListBullet2">
    <w:name w:val="List Bullet 2"/>
    <w:basedOn w:val="Normal"/>
    <w:rsid w:val="002E372C"/>
    <w:pPr>
      <w:numPr>
        <w:numId w:val="846"/>
      </w:numPr>
      <w:spacing w:after="0"/>
    </w:pPr>
    <w:rPr>
      <w:noProof w:val="0"/>
      <w:szCs w:val="24"/>
    </w:rPr>
  </w:style>
  <w:style w:type="paragraph" w:styleId="ListBullet3">
    <w:name w:val="List Bullet 3"/>
    <w:basedOn w:val="Normal"/>
    <w:rsid w:val="002E372C"/>
    <w:pPr>
      <w:numPr>
        <w:numId w:val="847"/>
      </w:numPr>
      <w:spacing w:after="0"/>
    </w:pPr>
    <w:rPr>
      <w:noProof w:val="0"/>
      <w:szCs w:val="24"/>
    </w:rPr>
  </w:style>
  <w:style w:type="paragraph" w:styleId="ListBullet4">
    <w:name w:val="List Bullet 4"/>
    <w:basedOn w:val="Normal"/>
    <w:rsid w:val="002E372C"/>
    <w:pPr>
      <w:numPr>
        <w:numId w:val="848"/>
      </w:numPr>
      <w:spacing w:after="0"/>
    </w:pPr>
    <w:rPr>
      <w:noProof w:val="0"/>
      <w:szCs w:val="24"/>
    </w:rPr>
  </w:style>
  <w:style w:type="paragraph" w:styleId="ListBullet5">
    <w:name w:val="List Bullet 5"/>
    <w:basedOn w:val="Normal"/>
    <w:rsid w:val="002E372C"/>
    <w:pPr>
      <w:numPr>
        <w:numId w:val="849"/>
      </w:numPr>
      <w:spacing w:after="0"/>
    </w:pPr>
    <w:rPr>
      <w:noProof w:val="0"/>
      <w:szCs w:val="24"/>
    </w:rPr>
  </w:style>
  <w:style w:type="paragraph" w:styleId="ListContinue">
    <w:name w:val="List Continue"/>
    <w:basedOn w:val="Normal"/>
    <w:rsid w:val="002E372C"/>
    <w:pPr>
      <w:spacing w:after="120"/>
      <w:ind w:left="360"/>
    </w:pPr>
    <w:rPr>
      <w:noProof w:val="0"/>
      <w:szCs w:val="24"/>
    </w:rPr>
  </w:style>
  <w:style w:type="paragraph" w:styleId="ListContinue2">
    <w:name w:val="List Continue 2"/>
    <w:basedOn w:val="Normal"/>
    <w:rsid w:val="002E372C"/>
    <w:pPr>
      <w:spacing w:after="120"/>
      <w:ind w:left="720"/>
    </w:pPr>
    <w:rPr>
      <w:noProof w:val="0"/>
      <w:szCs w:val="24"/>
    </w:rPr>
  </w:style>
  <w:style w:type="paragraph" w:styleId="ListContinue3">
    <w:name w:val="List Continue 3"/>
    <w:basedOn w:val="Normal"/>
    <w:rsid w:val="002E372C"/>
    <w:pPr>
      <w:spacing w:after="120"/>
      <w:ind w:left="1080"/>
    </w:pPr>
    <w:rPr>
      <w:noProof w:val="0"/>
      <w:szCs w:val="24"/>
    </w:rPr>
  </w:style>
  <w:style w:type="paragraph" w:styleId="ListContinue4">
    <w:name w:val="List Continue 4"/>
    <w:basedOn w:val="Normal"/>
    <w:rsid w:val="002E372C"/>
    <w:pPr>
      <w:spacing w:after="120"/>
      <w:ind w:left="1440"/>
    </w:pPr>
    <w:rPr>
      <w:noProof w:val="0"/>
      <w:szCs w:val="24"/>
    </w:rPr>
  </w:style>
  <w:style w:type="paragraph" w:styleId="ListContinue5">
    <w:name w:val="List Continue 5"/>
    <w:basedOn w:val="Normal"/>
    <w:rsid w:val="002E372C"/>
    <w:pPr>
      <w:spacing w:after="120"/>
      <w:ind w:left="1800"/>
    </w:pPr>
    <w:rPr>
      <w:noProof w:val="0"/>
      <w:szCs w:val="24"/>
    </w:rPr>
  </w:style>
  <w:style w:type="paragraph" w:styleId="ListNumber2">
    <w:name w:val="List Number 2"/>
    <w:basedOn w:val="Normal"/>
    <w:rsid w:val="002E372C"/>
    <w:pPr>
      <w:numPr>
        <w:numId w:val="850"/>
      </w:numPr>
      <w:spacing w:after="0"/>
    </w:pPr>
    <w:rPr>
      <w:noProof w:val="0"/>
      <w:szCs w:val="24"/>
    </w:rPr>
  </w:style>
  <w:style w:type="paragraph" w:styleId="ListNumber3">
    <w:name w:val="List Number 3"/>
    <w:basedOn w:val="Normal"/>
    <w:rsid w:val="002E372C"/>
    <w:pPr>
      <w:numPr>
        <w:numId w:val="851"/>
      </w:numPr>
      <w:spacing w:after="0"/>
    </w:pPr>
    <w:rPr>
      <w:noProof w:val="0"/>
      <w:szCs w:val="24"/>
    </w:rPr>
  </w:style>
  <w:style w:type="paragraph" w:styleId="ListNumber4">
    <w:name w:val="List Number 4"/>
    <w:basedOn w:val="Normal"/>
    <w:rsid w:val="002E372C"/>
    <w:pPr>
      <w:numPr>
        <w:numId w:val="852"/>
      </w:numPr>
      <w:spacing w:after="0"/>
    </w:pPr>
    <w:rPr>
      <w:noProof w:val="0"/>
      <w:szCs w:val="24"/>
    </w:rPr>
  </w:style>
  <w:style w:type="paragraph" w:styleId="ListNumber5">
    <w:name w:val="List Number 5"/>
    <w:basedOn w:val="Normal"/>
    <w:rsid w:val="002E372C"/>
    <w:pPr>
      <w:numPr>
        <w:numId w:val="853"/>
      </w:numPr>
      <w:spacing w:after="0"/>
    </w:pPr>
    <w:rPr>
      <w:noProof w:val="0"/>
      <w:szCs w:val="24"/>
    </w:rPr>
  </w:style>
  <w:style w:type="paragraph" w:styleId="MacroText">
    <w:name w:val="macro"/>
    <w:link w:val="MacroTextChar"/>
    <w:rsid w:val="002E372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2E372C"/>
    <w:rPr>
      <w:rFonts w:ascii="Courier New" w:hAnsi="Courier New" w:cs="Courier New"/>
    </w:rPr>
  </w:style>
  <w:style w:type="paragraph" w:styleId="MessageHeader">
    <w:name w:val="Message Header"/>
    <w:basedOn w:val="Normal"/>
    <w:link w:val="MessageHeaderChar"/>
    <w:rsid w:val="002E372C"/>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Arial" w:hAnsi="Arial" w:cs="Arial"/>
      <w:noProof w:val="0"/>
      <w:szCs w:val="24"/>
    </w:rPr>
  </w:style>
  <w:style w:type="character" w:customStyle="1" w:styleId="MessageHeaderChar">
    <w:name w:val="Message Header Char"/>
    <w:basedOn w:val="DefaultParagraphFont"/>
    <w:link w:val="MessageHeader"/>
    <w:rsid w:val="002E372C"/>
    <w:rPr>
      <w:rFonts w:cs="Arial"/>
      <w:sz w:val="24"/>
      <w:szCs w:val="24"/>
      <w:shd w:val="pct20" w:color="auto" w:fill="auto"/>
    </w:rPr>
  </w:style>
  <w:style w:type="paragraph" w:styleId="NormalIndent">
    <w:name w:val="Normal Indent"/>
    <w:basedOn w:val="Normal"/>
    <w:rsid w:val="002E372C"/>
    <w:pPr>
      <w:spacing w:after="0"/>
      <w:ind w:left="720"/>
    </w:pPr>
    <w:rPr>
      <w:noProof w:val="0"/>
      <w:szCs w:val="24"/>
    </w:rPr>
  </w:style>
  <w:style w:type="paragraph" w:styleId="NoteHeading">
    <w:name w:val="Note Heading"/>
    <w:basedOn w:val="Normal"/>
    <w:next w:val="Normal"/>
    <w:link w:val="NoteHeadingChar"/>
    <w:rsid w:val="002E372C"/>
    <w:pPr>
      <w:spacing w:after="0"/>
    </w:pPr>
    <w:rPr>
      <w:noProof w:val="0"/>
      <w:szCs w:val="24"/>
    </w:rPr>
  </w:style>
  <w:style w:type="character" w:customStyle="1" w:styleId="NoteHeadingChar">
    <w:name w:val="Note Heading Char"/>
    <w:basedOn w:val="DefaultParagraphFont"/>
    <w:link w:val="NoteHeading"/>
    <w:rsid w:val="002E372C"/>
    <w:rPr>
      <w:rFonts w:ascii="Times New Roman" w:hAnsi="Times New Roman"/>
      <w:sz w:val="24"/>
      <w:szCs w:val="24"/>
    </w:rPr>
  </w:style>
  <w:style w:type="paragraph" w:styleId="Salutation">
    <w:name w:val="Salutation"/>
    <w:basedOn w:val="Normal"/>
    <w:next w:val="Normal"/>
    <w:link w:val="SalutationChar"/>
    <w:rsid w:val="002E372C"/>
    <w:pPr>
      <w:spacing w:after="0"/>
    </w:pPr>
    <w:rPr>
      <w:noProof w:val="0"/>
      <w:szCs w:val="24"/>
    </w:rPr>
  </w:style>
  <w:style w:type="character" w:customStyle="1" w:styleId="SalutationChar">
    <w:name w:val="Salutation Char"/>
    <w:basedOn w:val="DefaultParagraphFont"/>
    <w:link w:val="Salutation"/>
    <w:rsid w:val="002E372C"/>
    <w:rPr>
      <w:rFonts w:ascii="Times New Roman" w:hAnsi="Times New Roman"/>
      <w:sz w:val="24"/>
      <w:szCs w:val="24"/>
    </w:rPr>
  </w:style>
  <w:style w:type="paragraph" w:styleId="Signature">
    <w:name w:val="Signature"/>
    <w:basedOn w:val="Normal"/>
    <w:link w:val="SignatureChar"/>
    <w:rsid w:val="002E372C"/>
    <w:pPr>
      <w:spacing w:after="0"/>
      <w:ind w:left="4320"/>
    </w:pPr>
    <w:rPr>
      <w:noProof w:val="0"/>
      <w:szCs w:val="24"/>
    </w:rPr>
  </w:style>
  <w:style w:type="character" w:customStyle="1" w:styleId="SignatureChar">
    <w:name w:val="Signature Char"/>
    <w:basedOn w:val="DefaultParagraphFont"/>
    <w:link w:val="Signature"/>
    <w:rsid w:val="002E372C"/>
    <w:rPr>
      <w:rFonts w:ascii="Times New Roman" w:hAnsi="Times New Roman"/>
      <w:sz w:val="24"/>
      <w:szCs w:val="24"/>
    </w:rPr>
  </w:style>
  <w:style w:type="character" w:customStyle="1" w:styleId="SubtitleChar">
    <w:name w:val="Subtitle Char"/>
    <w:basedOn w:val="DefaultParagraphFont"/>
    <w:link w:val="Subtitle"/>
    <w:rsid w:val="002E372C"/>
    <w:rPr>
      <w:rFonts w:ascii="Times New Roman" w:hAnsi="Times New Roman"/>
      <w:b/>
      <w:sz w:val="26"/>
    </w:rPr>
  </w:style>
  <w:style w:type="paragraph" w:styleId="TableofAuthorities">
    <w:name w:val="table of authorities"/>
    <w:basedOn w:val="Normal"/>
    <w:next w:val="Normal"/>
    <w:rsid w:val="002E372C"/>
    <w:pPr>
      <w:spacing w:after="0"/>
      <w:ind w:left="240" w:hanging="240"/>
    </w:pPr>
    <w:rPr>
      <w:noProof w:val="0"/>
      <w:szCs w:val="24"/>
    </w:rPr>
  </w:style>
  <w:style w:type="paragraph" w:styleId="TableofFigures">
    <w:name w:val="table of figures"/>
    <w:basedOn w:val="Normal"/>
    <w:next w:val="Normal"/>
    <w:rsid w:val="002E372C"/>
    <w:pPr>
      <w:spacing w:after="0"/>
    </w:pPr>
    <w:rPr>
      <w:noProof w:val="0"/>
      <w:szCs w:val="24"/>
    </w:rPr>
  </w:style>
  <w:style w:type="paragraph" w:styleId="TOAHeading">
    <w:name w:val="toa heading"/>
    <w:basedOn w:val="Normal"/>
    <w:next w:val="Normal"/>
    <w:rsid w:val="002E372C"/>
    <w:pPr>
      <w:spacing w:before="120" w:after="0"/>
    </w:pPr>
    <w:rPr>
      <w:rFonts w:ascii="Arial" w:hAnsi="Arial" w:cs="Arial"/>
      <w:b/>
      <w:bCs/>
      <w:noProof w:val="0"/>
      <w:szCs w:val="24"/>
    </w:rPr>
  </w:style>
  <w:style w:type="paragraph" w:customStyle="1" w:styleId="outputtextnb1">
    <w:name w:val="outputtextnb1"/>
    <w:basedOn w:val="Normal"/>
    <w:rsid w:val="008853A7"/>
    <w:pPr>
      <w:spacing w:before="100" w:beforeAutospacing="1" w:after="100" w:afterAutospacing="1"/>
    </w:pPr>
    <w:rPr>
      <w:noProof w:val="0"/>
      <w:szCs w:val="24"/>
    </w:rPr>
  </w:style>
  <w:style w:type="paragraph" w:customStyle="1" w:styleId="bulletlast">
    <w:name w:val="bullet last"/>
    <w:basedOn w:val="bullet1"/>
    <w:link w:val="bulletlastChar"/>
    <w:qFormat/>
    <w:rsid w:val="003E35A9"/>
    <w:pPr>
      <w:numPr>
        <w:numId w:val="0"/>
      </w:numPr>
      <w:spacing w:after="240"/>
    </w:pPr>
  </w:style>
  <w:style w:type="paragraph" w:customStyle="1" w:styleId="tabletitle">
    <w:name w:val="table title"/>
    <w:basedOn w:val="Normal"/>
    <w:link w:val="tabletitleChar"/>
    <w:qFormat/>
    <w:rsid w:val="003E35A9"/>
    <w:pPr>
      <w:keepNext/>
      <w:keepLines/>
      <w:jc w:val="center"/>
      <w:outlineLvl w:val="2"/>
    </w:pPr>
    <w:rPr>
      <w:rFonts w:ascii="Arial" w:hAnsi="Arial" w:cs="Arial"/>
      <w:b/>
      <w:bCs/>
      <w:noProof w:val="0"/>
      <w:sz w:val="22"/>
      <w:szCs w:val="22"/>
    </w:rPr>
  </w:style>
  <w:style w:type="character" w:customStyle="1" w:styleId="bulletlastChar">
    <w:name w:val="bullet last Char"/>
    <w:basedOn w:val="bullet1Char"/>
    <w:link w:val="bulletlast"/>
    <w:rsid w:val="003E35A9"/>
    <w:rPr>
      <w:rFonts w:ascii="Times New Roman" w:hAnsi="Times New Roman"/>
      <w:sz w:val="24"/>
      <w:szCs w:val="22"/>
    </w:rPr>
  </w:style>
  <w:style w:type="paragraph" w:customStyle="1" w:styleId="StyleTOC2Right0">
    <w:name w:val="Style TOC 2 + Right:  0&quot;"/>
    <w:basedOn w:val="TOC2"/>
    <w:rsid w:val="003E35A9"/>
    <w:pPr>
      <w:spacing w:before="0" w:after="120"/>
      <w:ind w:right="0"/>
    </w:pPr>
  </w:style>
  <w:style w:type="character" w:customStyle="1" w:styleId="tabletitleChar">
    <w:name w:val="table title Char"/>
    <w:basedOn w:val="DefaultParagraphFont"/>
    <w:link w:val="tabletitle"/>
    <w:rsid w:val="003E35A9"/>
    <w:rPr>
      <w:rFonts w:cs="Arial"/>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9902">
      <w:bodyDiv w:val="1"/>
      <w:marLeft w:val="0"/>
      <w:marRight w:val="0"/>
      <w:marTop w:val="0"/>
      <w:marBottom w:val="0"/>
      <w:divBdr>
        <w:top w:val="none" w:sz="0" w:space="0" w:color="auto"/>
        <w:left w:val="none" w:sz="0" w:space="0" w:color="auto"/>
        <w:bottom w:val="none" w:sz="0" w:space="0" w:color="auto"/>
        <w:right w:val="none" w:sz="0" w:space="0" w:color="auto"/>
      </w:divBdr>
    </w:div>
    <w:div w:id="63070937">
      <w:bodyDiv w:val="1"/>
      <w:marLeft w:val="0"/>
      <w:marRight w:val="0"/>
      <w:marTop w:val="0"/>
      <w:marBottom w:val="0"/>
      <w:divBdr>
        <w:top w:val="none" w:sz="0" w:space="0" w:color="auto"/>
        <w:left w:val="none" w:sz="0" w:space="0" w:color="auto"/>
        <w:bottom w:val="none" w:sz="0" w:space="0" w:color="auto"/>
        <w:right w:val="none" w:sz="0" w:space="0" w:color="auto"/>
      </w:divBdr>
    </w:div>
    <w:div w:id="68843164">
      <w:bodyDiv w:val="1"/>
      <w:marLeft w:val="0"/>
      <w:marRight w:val="0"/>
      <w:marTop w:val="0"/>
      <w:marBottom w:val="0"/>
      <w:divBdr>
        <w:top w:val="none" w:sz="0" w:space="0" w:color="auto"/>
        <w:left w:val="none" w:sz="0" w:space="0" w:color="auto"/>
        <w:bottom w:val="none" w:sz="0" w:space="0" w:color="auto"/>
        <w:right w:val="none" w:sz="0" w:space="0" w:color="auto"/>
      </w:divBdr>
    </w:div>
    <w:div w:id="86969050">
      <w:bodyDiv w:val="1"/>
      <w:marLeft w:val="0"/>
      <w:marRight w:val="0"/>
      <w:marTop w:val="30"/>
      <w:marBottom w:val="750"/>
      <w:divBdr>
        <w:top w:val="none" w:sz="0" w:space="0" w:color="auto"/>
        <w:left w:val="none" w:sz="0" w:space="0" w:color="auto"/>
        <w:bottom w:val="none" w:sz="0" w:space="0" w:color="auto"/>
        <w:right w:val="none" w:sz="0" w:space="0" w:color="auto"/>
      </w:divBdr>
      <w:divsChild>
        <w:div w:id="34627713">
          <w:marLeft w:val="0"/>
          <w:marRight w:val="0"/>
          <w:marTop w:val="0"/>
          <w:marBottom w:val="0"/>
          <w:divBdr>
            <w:top w:val="none" w:sz="0" w:space="0" w:color="auto"/>
            <w:left w:val="none" w:sz="0" w:space="0" w:color="auto"/>
            <w:bottom w:val="none" w:sz="0" w:space="0" w:color="auto"/>
            <w:right w:val="none" w:sz="0" w:space="0" w:color="auto"/>
          </w:divBdr>
          <w:divsChild>
            <w:div w:id="13958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473">
      <w:bodyDiv w:val="1"/>
      <w:marLeft w:val="0"/>
      <w:marRight w:val="0"/>
      <w:marTop w:val="0"/>
      <w:marBottom w:val="0"/>
      <w:divBdr>
        <w:top w:val="none" w:sz="0" w:space="0" w:color="auto"/>
        <w:left w:val="none" w:sz="0" w:space="0" w:color="auto"/>
        <w:bottom w:val="none" w:sz="0" w:space="0" w:color="auto"/>
        <w:right w:val="none" w:sz="0" w:space="0" w:color="auto"/>
      </w:divBdr>
    </w:div>
    <w:div w:id="126706249">
      <w:bodyDiv w:val="1"/>
      <w:marLeft w:val="0"/>
      <w:marRight w:val="0"/>
      <w:marTop w:val="0"/>
      <w:marBottom w:val="0"/>
      <w:divBdr>
        <w:top w:val="none" w:sz="0" w:space="0" w:color="auto"/>
        <w:left w:val="none" w:sz="0" w:space="0" w:color="auto"/>
        <w:bottom w:val="none" w:sz="0" w:space="0" w:color="auto"/>
        <w:right w:val="none" w:sz="0" w:space="0" w:color="auto"/>
      </w:divBdr>
    </w:div>
    <w:div w:id="131363972">
      <w:bodyDiv w:val="1"/>
      <w:marLeft w:val="0"/>
      <w:marRight w:val="0"/>
      <w:marTop w:val="0"/>
      <w:marBottom w:val="0"/>
      <w:divBdr>
        <w:top w:val="none" w:sz="0" w:space="0" w:color="auto"/>
        <w:left w:val="none" w:sz="0" w:space="0" w:color="auto"/>
        <w:bottom w:val="none" w:sz="0" w:space="0" w:color="auto"/>
        <w:right w:val="none" w:sz="0" w:space="0" w:color="auto"/>
      </w:divBdr>
    </w:div>
    <w:div w:id="145366867">
      <w:bodyDiv w:val="1"/>
      <w:marLeft w:val="0"/>
      <w:marRight w:val="0"/>
      <w:marTop w:val="0"/>
      <w:marBottom w:val="0"/>
      <w:divBdr>
        <w:top w:val="none" w:sz="0" w:space="0" w:color="auto"/>
        <w:left w:val="none" w:sz="0" w:space="0" w:color="auto"/>
        <w:bottom w:val="none" w:sz="0" w:space="0" w:color="auto"/>
        <w:right w:val="none" w:sz="0" w:space="0" w:color="auto"/>
      </w:divBdr>
    </w:div>
    <w:div w:id="146367551">
      <w:bodyDiv w:val="1"/>
      <w:marLeft w:val="0"/>
      <w:marRight w:val="0"/>
      <w:marTop w:val="0"/>
      <w:marBottom w:val="0"/>
      <w:divBdr>
        <w:top w:val="none" w:sz="0" w:space="0" w:color="auto"/>
        <w:left w:val="none" w:sz="0" w:space="0" w:color="auto"/>
        <w:bottom w:val="none" w:sz="0" w:space="0" w:color="auto"/>
        <w:right w:val="none" w:sz="0" w:space="0" w:color="auto"/>
      </w:divBdr>
    </w:div>
    <w:div w:id="155650715">
      <w:bodyDiv w:val="1"/>
      <w:marLeft w:val="0"/>
      <w:marRight w:val="0"/>
      <w:marTop w:val="0"/>
      <w:marBottom w:val="0"/>
      <w:divBdr>
        <w:top w:val="none" w:sz="0" w:space="0" w:color="auto"/>
        <w:left w:val="none" w:sz="0" w:space="0" w:color="auto"/>
        <w:bottom w:val="none" w:sz="0" w:space="0" w:color="auto"/>
        <w:right w:val="none" w:sz="0" w:space="0" w:color="auto"/>
      </w:divBdr>
    </w:div>
    <w:div w:id="164590121">
      <w:bodyDiv w:val="1"/>
      <w:marLeft w:val="0"/>
      <w:marRight w:val="0"/>
      <w:marTop w:val="0"/>
      <w:marBottom w:val="0"/>
      <w:divBdr>
        <w:top w:val="none" w:sz="0" w:space="0" w:color="auto"/>
        <w:left w:val="none" w:sz="0" w:space="0" w:color="auto"/>
        <w:bottom w:val="none" w:sz="0" w:space="0" w:color="auto"/>
        <w:right w:val="none" w:sz="0" w:space="0" w:color="auto"/>
      </w:divBdr>
    </w:div>
    <w:div w:id="179318512">
      <w:bodyDiv w:val="1"/>
      <w:marLeft w:val="0"/>
      <w:marRight w:val="0"/>
      <w:marTop w:val="0"/>
      <w:marBottom w:val="0"/>
      <w:divBdr>
        <w:top w:val="none" w:sz="0" w:space="0" w:color="auto"/>
        <w:left w:val="none" w:sz="0" w:space="0" w:color="auto"/>
        <w:bottom w:val="none" w:sz="0" w:space="0" w:color="auto"/>
        <w:right w:val="none" w:sz="0" w:space="0" w:color="auto"/>
      </w:divBdr>
    </w:div>
    <w:div w:id="183370249">
      <w:bodyDiv w:val="1"/>
      <w:marLeft w:val="0"/>
      <w:marRight w:val="0"/>
      <w:marTop w:val="0"/>
      <w:marBottom w:val="0"/>
      <w:divBdr>
        <w:top w:val="none" w:sz="0" w:space="0" w:color="auto"/>
        <w:left w:val="none" w:sz="0" w:space="0" w:color="auto"/>
        <w:bottom w:val="none" w:sz="0" w:space="0" w:color="auto"/>
        <w:right w:val="none" w:sz="0" w:space="0" w:color="auto"/>
      </w:divBdr>
    </w:div>
    <w:div w:id="202905961">
      <w:bodyDiv w:val="1"/>
      <w:marLeft w:val="0"/>
      <w:marRight w:val="0"/>
      <w:marTop w:val="0"/>
      <w:marBottom w:val="0"/>
      <w:divBdr>
        <w:top w:val="none" w:sz="0" w:space="0" w:color="auto"/>
        <w:left w:val="none" w:sz="0" w:space="0" w:color="auto"/>
        <w:bottom w:val="none" w:sz="0" w:space="0" w:color="auto"/>
        <w:right w:val="none" w:sz="0" w:space="0" w:color="auto"/>
      </w:divBdr>
    </w:div>
    <w:div w:id="218326267">
      <w:bodyDiv w:val="1"/>
      <w:marLeft w:val="0"/>
      <w:marRight w:val="0"/>
      <w:marTop w:val="0"/>
      <w:marBottom w:val="0"/>
      <w:divBdr>
        <w:top w:val="none" w:sz="0" w:space="0" w:color="auto"/>
        <w:left w:val="none" w:sz="0" w:space="0" w:color="auto"/>
        <w:bottom w:val="none" w:sz="0" w:space="0" w:color="auto"/>
        <w:right w:val="none" w:sz="0" w:space="0" w:color="auto"/>
      </w:divBdr>
    </w:div>
    <w:div w:id="228616014">
      <w:bodyDiv w:val="1"/>
      <w:marLeft w:val="0"/>
      <w:marRight w:val="0"/>
      <w:marTop w:val="0"/>
      <w:marBottom w:val="0"/>
      <w:divBdr>
        <w:top w:val="none" w:sz="0" w:space="0" w:color="auto"/>
        <w:left w:val="none" w:sz="0" w:space="0" w:color="auto"/>
        <w:bottom w:val="none" w:sz="0" w:space="0" w:color="auto"/>
        <w:right w:val="none" w:sz="0" w:space="0" w:color="auto"/>
      </w:divBdr>
    </w:div>
    <w:div w:id="260794751">
      <w:bodyDiv w:val="1"/>
      <w:marLeft w:val="0"/>
      <w:marRight w:val="0"/>
      <w:marTop w:val="0"/>
      <w:marBottom w:val="0"/>
      <w:divBdr>
        <w:top w:val="none" w:sz="0" w:space="0" w:color="auto"/>
        <w:left w:val="none" w:sz="0" w:space="0" w:color="auto"/>
        <w:bottom w:val="none" w:sz="0" w:space="0" w:color="auto"/>
        <w:right w:val="none" w:sz="0" w:space="0" w:color="auto"/>
      </w:divBdr>
    </w:div>
    <w:div w:id="293291613">
      <w:bodyDiv w:val="1"/>
      <w:marLeft w:val="0"/>
      <w:marRight w:val="0"/>
      <w:marTop w:val="0"/>
      <w:marBottom w:val="0"/>
      <w:divBdr>
        <w:top w:val="none" w:sz="0" w:space="0" w:color="auto"/>
        <w:left w:val="none" w:sz="0" w:space="0" w:color="auto"/>
        <w:bottom w:val="none" w:sz="0" w:space="0" w:color="auto"/>
        <w:right w:val="none" w:sz="0" w:space="0" w:color="auto"/>
      </w:divBdr>
    </w:div>
    <w:div w:id="300499861">
      <w:bodyDiv w:val="1"/>
      <w:marLeft w:val="0"/>
      <w:marRight w:val="0"/>
      <w:marTop w:val="0"/>
      <w:marBottom w:val="0"/>
      <w:divBdr>
        <w:top w:val="none" w:sz="0" w:space="0" w:color="auto"/>
        <w:left w:val="none" w:sz="0" w:space="0" w:color="auto"/>
        <w:bottom w:val="none" w:sz="0" w:space="0" w:color="auto"/>
        <w:right w:val="none" w:sz="0" w:space="0" w:color="auto"/>
      </w:divBdr>
    </w:div>
    <w:div w:id="306009595">
      <w:bodyDiv w:val="1"/>
      <w:marLeft w:val="0"/>
      <w:marRight w:val="0"/>
      <w:marTop w:val="0"/>
      <w:marBottom w:val="0"/>
      <w:divBdr>
        <w:top w:val="none" w:sz="0" w:space="0" w:color="auto"/>
        <w:left w:val="none" w:sz="0" w:space="0" w:color="auto"/>
        <w:bottom w:val="none" w:sz="0" w:space="0" w:color="auto"/>
        <w:right w:val="none" w:sz="0" w:space="0" w:color="auto"/>
      </w:divBdr>
    </w:div>
    <w:div w:id="336076463">
      <w:bodyDiv w:val="1"/>
      <w:marLeft w:val="0"/>
      <w:marRight w:val="0"/>
      <w:marTop w:val="0"/>
      <w:marBottom w:val="0"/>
      <w:divBdr>
        <w:top w:val="none" w:sz="0" w:space="0" w:color="auto"/>
        <w:left w:val="none" w:sz="0" w:space="0" w:color="auto"/>
        <w:bottom w:val="none" w:sz="0" w:space="0" w:color="auto"/>
        <w:right w:val="none" w:sz="0" w:space="0" w:color="auto"/>
      </w:divBdr>
    </w:div>
    <w:div w:id="359815643">
      <w:bodyDiv w:val="1"/>
      <w:marLeft w:val="0"/>
      <w:marRight w:val="0"/>
      <w:marTop w:val="0"/>
      <w:marBottom w:val="0"/>
      <w:divBdr>
        <w:top w:val="none" w:sz="0" w:space="0" w:color="auto"/>
        <w:left w:val="none" w:sz="0" w:space="0" w:color="auto"/>
        <w:bottom w:val="none" w:sz="0" w:space="0" w:color="auto"/>
        <w:right w:val="none" w:sz="0" w:space="0" w:color="auto"/>
      </w:divBdr>
      <w:divsChild>
        <w:div w:id="945237523">
          <w:marLeft w:val="0"/>
          <w:marRight w:val="0"/>
          <w:marTop w:val="0"/>
          <w:marBottom w:val="0"/>
          <w:divBdr>
            <w:top w:val="none" w:sz="0" w:space="0" w:color="auto"/>
            <w:left w:val="none" w:sz="0" w:space="0" w:color="auto"/>
            <w:bottom w:val="none" w:sz="0" w:space="0" w:color="auto"/>
            <w:right w:val="none" w:sz="0" w:space="0" w:color="auto"/>
          </w:divBdr>
          <w:divsChild>
            <w:div w:id="301229822">
              <w:marLeft w:val="0"/>
              <w:marRight w:val="0"/>
              <w:marTop w:val="0"/>
              <w:marBottom w:val="0"/>
              <w:divBdr>
                <w:top w:val="none" w:sz="0" w:space="0" w:color="auto"/>
                <w:left w:val="none" w:sz="0" w:space="0" w:color="auto"/>
                <w:bottom w:val="none" w:sz="0" w:space="0" w:color="auto"/>
                <w:right w:val="none" w:sz="0" w:space="0" w:color="auto"/>
              </w:divBdr>
              <w:divsChild>
                <w:div w:id="1399088359">
                  <w:marLeft w:val="0"/>
                  <w:marRight w:val="0"/>
                  <w:marTop w:val="0"/>
                  <w:marBottom w:val="0"/>
                  <w:divBdr>
                    <w:top w:val="none" w:sz="0" w:space="0" w:color="auto"/>
                    <w:left w:val="none" w:sz="0" w:space="0" w:color="auto"/>
                    <w:bottom w:val="none" w:sz="0" w:space="0" w:color="auto"/>
                    <w:right w:val="none" w:sz="0" w:space="0" w:color="auto"/>
                  </w:divBdr>
                  <w:divsChild>
                    <w:div w:id="1836412928">
                      <w:marLeft w:val="0"/>
                      <w:marRight w:val="0"/>
                      <w:marTop w:val="0"/>
                      <w:marBottom w:val="0"/>
                      <w:divBdr>
                        <w:top w:val="none" w:sz="0" w:space="0" w:color="auto"/>
                        <w:left w:val="none" w:sz="0" w:space="0" w:color="auto"/>
                        <w:bottom w:val="none" w:sz="0" w:space="0" w:color="auto"/>
                        <w:right w:val="none" w:sz="0" w:space="0" w:color="auto"/>
                      </w:divBdr>
                      <w:divsChild>
                        <w:div w:id="798306607">
                          <w:marLeft w:val="1"/>
                          <w:marRight w:val="1"/>
                          <w:marTop w:val="0"/>
                          <w:marBottom w:val="0"/>
                          <w:divBdr>
                            <w:top w:val="none" w:sz="0" w:space="0" w:color="auto"/>
                            <w:left w:val="none" w:sz="0" w:space="0" w:color="auto"/>
                            <w:bottom w:val="none" w:sz="0" w:space="0" w:color="auto"/>
                            <w:right w:val="none" w:sz="0" w:space="0" w:color="auto"/>
                          </w:divBdr>
                          <w:divsChild>
                            <w:div w:id="14412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556305">
      <w:bodyDiv w:val="1"/>
      <w:marLeft w:val="0"/>
      <w:marRight w:val="0"/>
      <w:marTop w:val="0"/>
      <w:marBottom w:val="0"/>
      <w:divBdr>
        <w:top w:val="none" w:sz="0" w:space="0" w:color="auto"/>
        <w:left w:val="none" w:sz="0" w:space="0" w:color="auto"/>
        <w:bottom w:val="none" w:sz="0" w:space="0" w:color="auto"/>
        <w:right w:val="none" w:sz="0" w:space="0" w:color="auto"/>
      </w:divBdr>
    </w:div>
    <w:div w:id="388694540">
      <w:bodyDiv w:val="1"/>
      <w:marLeft w:val="0"/>
      <w:marRight w:val="0"/>
      <w:marTop w:val="0"/>
      <w:marBottom w:val="0"/>
      <w:divBdr>
        <w:top w:val="none" w:sz="0" w:space="0" w:color="auto"/>
        <w:left w:val="none" w:sz="0" w:space="0" w:color="auto"/>
        <w:bottom w:val="none" w:sz="0" w:space="0" w:color="auto"/>
        <w:right w:val="none" w:sz="0" w:space="0" w:color="auto"/>
      </w:divBdr>
    </w:div>
    <w:div w:id="446506854">
      <w:bodyDiv w:val="1"/>
      <w:marLeft w:val="0"/>
      <w:marRight w:val="0"/>
      <w:marTop w:val="0"/>
      <w:marBottom w:val="0"/>
      <w:divBdr>
        <w:top w:val="none" w:sz="0" w:space="0" w:color="auto"/>
        <w:left w:val="none" w:sz="0" w:space="0" w:color="auto"/>
        <w:bottom w:val="none" w:sz="0" w:space="0" w:color="auto"/>
        <w:right w:val="none" w:sz="0" w:space="0" w:color="auto"/>
      </w:divBdr>
    </w:div>
    <w:div w:id="500199120">
      <w:bodyDiv w:val="1"/>
      <w:marLeft w:val="0"/>
      <w:marRight w:val="0"/>
      <w:marTop w:val="0"/>
      <w:marBottom w:val="0"/>
      <w:divBdr>
        <w:top w:val="none" w:sz="0" w:space="0" w:color="auto"/>
        <w:left w:val="none" w:sz="0" w:space="0" w:color="auto"/>
        <w:bottom w:val="none" w:sz="0" w:space="0" w:color="auto"/>
        <w:right w:val="none" w:sz="0" w:space="0" w:color="auto"/>
      </w:divBdr>
    </w:div>
    <w:div w:id="512839368">
      <w:bodyDiv w:val="1"/>
      <w:marLeft w:val="0"/>
      <w:marRight w:val="0"/>
      <w:marTop w:val="0"/>
      <w:marBottom w:val="0"/>
      <w:divBdr>
        <w:top w:val="none" w:sz="0" w:space="0" w:color="auto"/>
        <w:left w:val="none" w:sz="0" w:space="0" w:color="auto"/>
        <w:bottom w:val="none" w:sz="0" w:space="0" w:color="auto"/>
        <w:right w:val="none" w:sz="0" w:space="0" w:color="auto"/>
      </w:divBdr>
    </w:div>
    <w:div w:id="521239676">
      <w:bodyDiv w:val="1"/>
      <w:marLeft w:val="0"/>
      <w:marRight w:val="0"/>
      <w:marTop w:val="0"/>
      <w:marBottom w:val="0"/>
      <w:divBdr>
        <w:top w:val="none" w:sz="0" w:space="0" w:color="auto"/>
        <w:left w:val="none" w:sz="0" w:space="0" w:color="auto"/>
        <w:bottom w:val="none" w:sz="0" w:space="0" w:color="auto"/>
        <w:right w:val="none" w:sz="0" w:space="0" w:color="auto"/>
      </w:divBdr>
    </w:div>
    <w:div w:id="524707642">
      <w:bodyDiv w:val="1"/>
      <w:marLeft w:val="0"/>
      <w:marRight w:val="0"/>
      <w:marTop w:val="0"/>
      <w:marBottom w:val="0"/>
      <w:divBdr>
        <w:top w:val="none" w:sz="0" w:space="0" w:color="auto"/>
        <w:left w:val="none" w:sz="0" w:space="0" w:color="auto"/>
        <w:bottom w:val="none" w:sz="0" w:space="0" w:color="auto"/>
        <w:right w:val="none" w:sz="0" w:space="0" w:color="auto"/>
      </w:divBdr>
    </w:div>
    <w:div w:id="546644260">
      <w:bodyDiv w:val="1"/>
      <w:marLeft w:val="0"/>
      <w:marRight w:val="0"/>
      <w:marTop w:val="0"/>
      <w:marBottom w:val="0"/>
      <w:divBdr>
        <w:top w:val="none" w:sz="0" w:space="0" w:color="auto"/>
        <w:left w:val="none" w:sz="0" w:space="0" w:color="auto"/>
        <w:bottom w:val="none" w:sz="0" w:space="0" w:color="auto"/>
        <w:right w:val="none" w:sz="0" w:space="0" w:color="auto"/>
      </w:divBdr>
    </w:div>
    <w:div w:id="563637921">
      <w:bodyDiv w:val="1"/>
      <w:marLeft w:val="0"/>
      <w:marRight w:val="0"/>
      <w:marTop w:val="0"/>
      <w:marBottom w:val="0"/>
      <w:divBdr>
        <w:top w:val="none" w:sz="0" w:space="0" w:color="auto"/>
        <w:left w:val="none" w:sz="0" w:space="0" w:color="auto"/>
        <w:bottom w:val="none" w:sz="0" w:space="0" w:color="auto"/>
        <w:right w:val="none" w:sz="0" w:space="0" w:color="auto"/>
      </w:divBdr>
    </w:div>
    <w:div w:id="566184539">
      <w:bodyDiv w:val="1"/>
      <w:marLeft w:val="0"/>
      <w:marRight w:val="0"/>
      <w:marTop w:val="0"/>
      <w:marBottom w:val="0"/>
      <w:divBdr>
        <w:top w:val="none" w:sz="0" w:space="0" w:color="auto"/>
        <w:left w:val="none" w:sz="0" w:space="0" w:color="auto"/>
        <w:bottom w:val="none" w:sz="0" w:space="0" w:color="auto"/>
        <w:right w:val="none" w:sz="0" w:space="0" w:color="auto"/>
      </w:divBdr>
    </w:div>
    <w:div w:id="588078645">
      <w:bodyDiv w:val="1"/>
      <w:marLeft w:val="0"/>
      <w:marRight w:val="0"/>
      <w:marTop w:val="30"/>
      <w:marBottom w:val="750"/>
      <w:divBdr>
        <w:top w:val="none" w:sz="0" w:space="0" w:color="auto"/>
        <w:left w:val="none" w:sz="0" w:space="0" w:color="auto"/>
        <w:bottom w:val="none" w:sz="0" w:space="0" w:color="auto"/>
        <w:right w:val="none" w:sz="0" w:space="0" w:color="auto"/>
      </w:divBdr>
      <w:divsChild>
        <w:div w:id="386027530">
          <w:marLeft w:val="0"/>
          <w:marRight w:val="0"/>
          <w:marTop w:val="0"/>
          <w:marBottom w:val="0"/>
          <w:divBdr>
            <w:top w:val="none" w:sz="0" w:space="0" w:color="auto"/>
            <w:left w:val="none" w:sz="0" w:space="0" w:color="auto"/>
            <w:bottom w:val="none" w:sz="0" w:space="0" w:color="auto"/>
            <w:right w:val="none" w:sz="0" w:space="0" w:color="auto"/>
          </w:divBdr>
        </w:div>
      </w:divsChild>
    </w:div>
    <w:div w:id="593712416">
      <w:bodyDiv w:val="1"/>
      <w:marLeft w:val="0"/>
      <w:marRight w:val="0"/>
      <w:marTop w:val="0"/>
      <w:marBottom w:val="0"/>
      <w:divBdr>
        <w:top w:val="none" w:sz="0" w:space="0" w:color="auto"/>
        <w:left w:val="none" w:sz="0" w:space="0" w:color="auto"/>
        <w:bottom w:val="none" w:sz="0" w:space="0" w:color="auto"/>
        <w:right w:val="none" w:sz="0" w:space="0" w:color="auto"/>
      </w:divBdr>
    </w:div>
    <w:div w:id="604507346">
      <w:bodyDiv w:val="1"/>
      <w:marLeft w:val="0"/>
      <w:marRight w:val="0"/>
      <w:marTop w:val="0"/>
      <w:marBottom w:val="0"/>
      <w:divBdr>
        <w:top w:val="none" w:sz="0" w:space="0" w:color="auto"/>
        <w:left w:val="none" w:sz="0" w:space="0" w:color="auto"/>
        <w:bottom w:val="none" w:sz="0" w:space="0" w:color="auto"/>
        <w:right w:val="none" w:sz="0" w:space="0" w:color="auto"/>
      </w:divBdr>
    </w:div>
    <w:div w:id="633025639">
      <w:bodyDiv w:val="1"/>
      <w:marLeft w:val="0"/>
      <w:marRight w:val="0"/>
      <w:marTop w:val="0"/>
      <w:marBottom w:val="0"/>
      <w:divBdr>
        <w:top w:val="none" w:sz="0" w:space="0" w:color="auto"/>
        <w:left w:val="none" w:sz="0" w:space="0" w:color="auto"/>
        <w:bottom w:val="none" w:sz="0" w:space="0" w:color="auto"/>
        <w:right w:val="none" w:sz="0" w:space="0" w:color="auto"/>
      </w:divBdr>
    </w:div>
    <w:div w:id="672345657">
      <w:bodyDiv w:val="1"/>
      <w:marLeft w:val="0"/>
      <w:marRight w:val="0"/>
      <w:marTop w:val="0"/>
      <w:marBottom w:val="0"/>
      <w:divBdr>
        <w:top w:val="none" w:sz="0" w:space="0" w:color="auto"/>
        <w:left w:val="none" w:sz="0" w:space="0" w:color="auto"/>
        <w:bottom w:val="none" w:sz="0" w:space="0" w:color="auto"/>
        <w:right w:val="none" w:sz="0" w:space="0" w:color="auto"/>
      </w:divBdr>
    </w:div>
    <w:div w:id="714737815">
      <w:bodyDiv w:val="1"/>
      <w:marLeft w:val="0"/>
      <w:marRight w:val="0"/>
      <w:marTop w:val="0"/>
      <w:marBottom w:val="0"/>
      <w:divBdr>
        <w:top w:val="none" w:sz="0" w:space="0" w:color="auto"/>
        <w:left w:val="none" w:sz="0" w:space="0" w:color="auto"/>
        <w:bottom w:val="none" w:sz="0" w:space="0" w:color="auto"/>
        <w:right w:val="none" w:sz="0" w:space="0" w:color="auto"/>
      </w:divBdr>
    </w:div>
    <w:div w:id="721439481">
      <w:bodyDiv w:val="1"/>
      <w:marLeft w:val="0"/>
      <w:marRight w:val="0"/>
      <w:marTop w:val="0"/>
      <w:marBottom w:val="0"/>
      <w:divBdr>
        <w:top w:val="none" w:sz="0" w:space="0" w:color="auto"/>
        <w:left w:val="none" w:sz="0" w:space="0" w:color="auto"/>
        <w:bottom w:val="none" w:sz="0" w:space="0" w:color="auto"/>
        <w:right w:val="none" w:sz="0" w:space="0" w:color="auto"/>
      </w:divBdr>
    </w:div>
    <w:div w:id="728384354">
      <w:bodyDiv w:val="1"/>
      <w:marLeft w:val="0"/>
      <w:marRight w:val="0"/>
      <w:marTop w:val="0"/>
      <w:marBottom w:val="0"/>
      <w:divBdr>
        <w:top w:val="none" w:sz="0" w:space="0" w:color="auto"/>
        <w:left w:val="none" w:sz="0" w:space="0" w:color="auto"/>
        <w:bottom w:val="none" w:sz="0" w:space="0" w:color="auto"/>
        <w:right w:val="none" w:sz="0" w:space="0" w:color="auto"/>
      </w:divBdr>
    </w:div>
    <w:div w:id="732704816">
      <w:bodyDiv w:val="1"/>
      <w:marLeft w:val="0"/>
      <w:marRight w:val="0"/>
      <w:marTop w:val="0"/>
      <w:marBottom w:val="0"/>
      <w:divBdr>
        <w:top w:val="none" w:sz="0" w:space="0" w:color="auto"/>
        <w:left w:val="none" w:sz="0" w:space="0" w:color="auto"/>
        <w:bottom w:val="none" w:sz="0" w:space="0" w:color="auto"/>
        <w:right w:val="none" w:sz="0" w:space="0" w:color="auto"/>
      </w:divBdr>
    </w:div>
    <w:div w:id="734355967">
      <w:bodyDiv w:val="1"/>
      <w:marLeft w:val="0"/>
      <w:marRight w:val="0"/>
      <w:marTop w:val="0"/>
      <w:marBottom w:val="0"/>
      <w:divBdr>
        <w:top w:val="none" w:sz="0" w:space="0" w:color="auto"/>
        <w:left w:val="none" w:sz="0" w:space="0" w:color="auto"/>
        <w:bottom w:val="none" w:sz="0" w:space="0" w:color="auto"/>
        <w:right w:val="none" w:sz="0" w:space="0" w:color="auto"/>
      </w:divBdr>
    </w:div>
    <w:div w:id="759104528">
      <w:bodyDiv w:val="1"/>
      <w:marLeft w:val="0"/>
      <w:marRight w:val="0"/>
      <w:marTop w:val="0"/>
      <w:marBottom w:val="0"/>
      <w:divBdr>
        <w:top w:val="none" w:sz="0" w:space="0" w:color="auto"/>
        <w:left w:val="none" w:sz="0" w:space="0" w:color="auto"/>
        <w:bottom w:val="none" w:sz="0" w:space="0" w:color="auto"/>
        <w:right w:val="none" w:sz="0" w:space="0" w:color="auto"/>
      </w:divBdr>
    </w:div>
    <w:div w:id="763769492">
      <w:bodyDiv w:val="1"/>
      <w:marLeft w:val="0"/>
      <w:marRight w:val="0"/>
      <w:marTop w:val="0"/>
      <w:marBottom w:val="0"/>
      <w:divBdr>
        <w:top w:val="none" w:sz="0" w:space="0" w:color="auto"/>
        <w:left w:val="none" w:sz="0" w:space="0" w:color="auto"/>
        <w:bottom w:val="none" w:sz="0" w:space="0" w:color="auto"/>
        <w:right w:val="none" w:sz="0" w:space="0" w:color="auto"/>
      </w:divBdr>
    </w:div>
    <w:div w:id="765886193">
      <w:bodyDiv w:val="1"/>
      <w:marLeft w:val="0"/>
      <w:marRight w:val="0"/>
      <w:marTop w:val="30"/>
      <w:marBottom w:val="750"/>
      <w:divBdr>
        <w:top w:val="none" w:sz="0" w:space="0" w:color="auto"/>
        <w:left w:val="none" w:sz="0" w:space="0" w:color="auto"/>
        <w:bottom w:val="none" w:sz="0" w:space="0" w:color="auto"/>
        <w:right w:val="none" w:sz="0" w:space="0" w:color="auto"/>
      </w:divBdr>
      <w:divsChild>
        <w:div w:id="1717198786">
          <w:marLeft w:val="0"/>
          <w:marRight w:val="0"/>
          <w:marTop w:val="0"/>
          <w:marBottom w:val="0"/>
          <w:divBdr>
            <w:top w:val="none" w:sz="0" w:space="0" w:color="auto"/>
            <w:left w:val="none" w:sz="0" w:space="0" w:color="auto"/>
            <w:bottom w:val="none" w:sz="0" w:space="0" w:color="auto"/>
            <w:right w:val="none" w:sz="0" w:space="0" w:color="auto"/>
          </w:divBdr>
        </w:div>
      </w:divsChild>
    </w:div>
    <w:div w:id="808132401">
      <w:bodyDiv w:val="1"/>
      <w:marLeft w:val="0"/>
      <w:marRight w:val="0"/>
      <w:marTop w:val="0"/>
      <w:marBottom w:val="0"/>
      <w:divBdr>
        <w:top w:val="none" w:sz="0" w:space="0" w:color="auto"/>
        <w:left w:val="none" w:sz="0" w:space="0" w:color="auto"/>
        <w:bottom w:val="none" w:sz="0" w:space="0" w:color="auto"/>
        <w:right w:val="none" w:sz="0" w:space="0" w:color="auto"/>
      </w:divBdr>
    </w:div>
    <w:div w:id="810949456">
      <w:bodyDiv w:val="1"/>
      <w:marLeft w:val="0"/>
      <w:marRight w:val="0"/>
      <w:marTop w:val="0"/>
      <w:marBottom w:val="0"/>
      <w:divBdr>
        <w:top w:val="none" w:sz="0" w:space="0" w:color="auto"/>
        <w:left w:val="none" w:sz="0" w:space="0" w:color="auto"/>
        <w:bottom w:val="none" w:sz="0" w:space="0" w:color="auto"/>
        <w:right w:val="none" w:sz="0" w:space="0" w:color="auto"/>
      </w:divBdr>
    </w:div>
    <w:div w:id="813106611">
      <w:bodyDiv w:val="1"/>
      <w:marLeft w:val="0"/>
      <w:marRight w:val="0"/>
      <w:marTop w:val="0"/>
      <w:marBottom w:val="0"/>
      <w:divBdr>
        <w:top w:val="none" w:sz="0" w:space="0" w:color="auto"/>
        <w:left w:val="none" w:sz="0" w:space="0" w:color="auto"/>
        <w:bottom w:val="none" w:sz="0" w:space="0" w:color="auto"/>
        <w:right w:val="none" w:sz="0" w:space="0" w:color="auto"/>
      </w:divBdr>
    </w:div>
    <w:div w:id="822282630">
      <w:bodyDiv w:val="1"/>
      <w:marLeft w:val="0"/>
      <w:marRight w:val="0"/>
      <w:marTop w:val="0"/>
      <w:marBottom w:val="0"/>
      <w:divBdr>
        <w:top w:val="none" w:sz="0" w:space="0" w:color="auto"/>
        <w:left w:val="none" w:sz="0" w:space="0" w:color="auto"/>
        <w:bottom w:val="none" w:sz="0" w:space="0" w:color="auto"/>
        <w:right w:val="none" w:sz="0" w:space="0" w:color="auto"/>
      </w:divBdr>
    </w:div>
    <w:div w:id="831869606">
      <w:bodyDiv w:val="1"/>
      <w:marLeft w:val="0"/>
      <w:marRight w:val="0"/>
      <w:marTop w:val="0"/>
      <w:marBottom w:val="0"/>
      <w:divBdr>
        <w:top w:val="none" w:sz="0" w:space="0" w:color="auto"/>
        <w:left w:val="none" w:sz="0" w:space="0" w:color="auto"/>
        <w:bottom w:val="none" w:sz="0" w:space="0" w:color="auto"/>
        <w:right w:val="none" w:sz="0" w:space="0" w:color="auto"/>
      </w:divBdr>
    </w:div>
    <w:div w:id="833029237">
      <w:bodyDiv w:val="1"/>
      <w:marLeft w:val="0"/>
      <w:marRight w:val="0"/>
      <w:marTop w:val="0"/>
      <w:marBottom w:val="0"/>
      <w:divBdr>
        <w:top w:val="none" w:sz="0" w:space="0" w:color="auto"/>
        <w:left w:val="none" w:sz="0" w:space="0" w:color="auto"/>
        <w:bottom w:val="none" w:sz="0" w:space="0" w:color="auto"/>
        <w:right w:val="none" w:sz="0" w:space="0" w:color="auto"/>
      </w:divBdr>
    </w:div>
    <w:div w:id="837234000">
      <w:bodyDiv w:val="1"/>
      <w:marLeft w:val="0"/>
      <w:marRight w:val="0"/>
      <w:marTop w:val="0"/>
      <w:marBottom w:val="0"/>
      <w:divBdr>
        <w:top w:val="none" w:sz="0" w:space="0" w:color="auto"/>
        <w:left w:val="none" w:sz="0" w:space="0" w:color="auto"/>
        <w:bottom w:val="none" w:sz="0" w:space="0" w:color="auto"/>
        <w:right w:val="none" w:sz="0" w:space="0" w:color="auto"/>
      </w:divBdr>
    </w:div>
    <w:div w:id="837697480">
      <w:bodyDiv w:val="1"/>
      <w:marLeft w:val="0"/>
      <w:marRight w:val="0"/>
      <w:marTop w:val="0"/>
      <w:marBottom w:val="0"/>
      <w:divBdr>
        <w:top w:val="none" w:sz="0" w:space="0" w:color="auto"/>
        <w:left w:val="none" w:sz="0" w:space="0" w:color="auto"/>
        <w:bottom w:val="none" w:sz="0" w:space="0" w:color="auto"/>
        <w:right w:val="none" w:sz="0" w:space="0" w:color="auto"/>
      </w:divBdr>
    </w:div>
    <w:div w:id="841505343">
      <w:bodyDiv w:val="1"/>
      <w:marLeft w:val="0"/>
      <w:marRight w:val="0"/>
      <w:marTop w:val="0"/>
      <w:marBottom w:val="0"/>
      <w:divBdr>
        <w:top w:val="none" w:sz="0" w:space="0" w:color="auto"/>
        <w:left w:val="none" w:sz="0" w:space="0" w:color="auto"/>
        <w:bottom w:val="none" w:sz="0" w:space="0" w:color="auto"/>
        <w:right w:val="none" w:sz="0" w:space="0" w:color="auto"/>
      </w:divBdr>
    </w:div>
    <w:div w:id="848176152">
      <w:bodyDiv w:val="1"/>
      <w:marLeft w:val="0"/>
      <w:marRight w:val="0"/>
      <w:marTop w:val="0"/>
      <w:marBottom w:val="0"/>
      <w:divBdr>
        <w:top w:val="none" w:sz="0" w:space="0" w:color="auto"/>
        <w:left w:val="none" w:sz="0" w:space="0" w:color="auto"/>
        <w:bottom w:val="none" w:sz="0" w:space="0" w:color="auto"/>
        <w:right w:val="none" w:sz="0" w:space="0" w:color="auto"/>
      </w:divBdr>
    </w:div>
    <w:div w:id="857743552">
      <w:bodyDiv w:val="1"/>
      <w:marLeft w:val="0"/>
      <w:marRight w:val="0"/>
      <w:marTop w:val="0"/>
      <w:marBottom w:val="0"/>
      <w:divBdr>
        <w:top w:val="none" w:sz="0" w:space="0" w:color="auto"/>
        <w:left w:val="none" w:sz="0" w:space="0" w:color="auto"/>
        <w:bottom w:val="none" w:sz="0" w:space="0" w:color="auto"/>
        <w:right w:val="none" w:sz="0" w:space="0" w:color="auto"/>
      </w:divBdr>
    </w:div>
    <w:div w:id="871528283">
      <w:bodyDiv w:val="1"/>
      <w:marLeft w:val="0"/>
      <w:marRight w:val="0"/>
      <w:marTop w:val="0"/>
      <w:marBottom w:val="0"/>
      <w:divBdr>
        <w:top w:val="none" w:sz="0" w:space="0" w:color="auto"/>
        <w:left w:val="none" w:sz="0" w:space="0" w:color="auto"/>
        <w:bottom w:val="none" w:sz="0" w:space="0" w:color="auto"/>
        <w:right w:val="none" w:sz="0" w:space="0" w:color="auto"/>
      </w:divBdr>
    </w:div>
    <w:div w:id="874737204">
      <w:bodyDiv w:val="1"/>
      <w:marLeft w:val="0"/>
      <w:marRight w:val="0"/>
      <w:marTop w:val="0"/>
      <w:marBottom w:val="0"/>
      <w:divBdr>
        <w:top w:val="none" w:sz="0" w:space="0" w:color="auto"/>
        <w:left w:val="none" w:sz="0" w:space="0" w:color="auto"/>
        <w:bottom w:val="none" w:sz="0" w:space="0" w:color="auto"/>
        <w:right w:val="none" w:sz="0" w:space="0" w:color="auto"/>
      </w:divBdr>
    </w:div>
    <w:div w:id="896815634">
      <w:bodyDiv w:val="1"/>
      <w:marLeft w:val="0"/>
      <w:marRight w:val="0"/>
      <w:marTop w:val="0"/>
      <w:marBottom w:val="0"/>
      <w:divBdr>
        <w:top w:val="none" w:sz="0" w:space="0" w:color="auto"/>
        <w:left w:val="none" w:sz="0" w:space="0" w:color="auto"/>
        <w:bottom w:val="none" w:sz="0" w:space="0" w:color="auto"/>
        <w:right w:val="none" w:sz="0" w:space="0" w:color="auto"/>
      </w:divBdr>
    </w:div>
    <w:div w:id="911354649">
      <w:bodyDiv w:val="1"/>
      <w:marLeft w:val="0"/>
      <w:marRight w:val="0"/>
      <w:marTop w:val="0"/>
      <w:marBottom w:val="0"/>
      <w:divBdr>
        <w:top w:val="none" w:sz="0" w:space="0" w:color="auto"/>
        <w:left w:val="none" w:sz="0" w:space="0" w:color="auto"/>
        <w:bottom w:val="none" w:sz="0" w:space="0" w:color="auto"/>
        <w:right w:val="none" w:sz="0" w:space="0" w:color="auto"/>
      </w:divBdr>
    </w:div>
    <w:div w:id="924269617">
      <w:bodyDiv w:val="1"/>
      <w:marLeft w:val="0"/>
      <w:marRight w:val="0"/>
      <w:marTop w:val="0"/>
      <w:marBottom w:val="0"/>
      <w:divBdr>
        <w:top w:val="none" w:sz="0" w:space="0" w:color="auto"/>
        <w:left w:val="none" w:sz="0" w:space="0" w:color="auto"/>
        <w:bottom w:val="none" w:sz="0" w:space="0" w:color="auto"/>
        <w:right w:val="none" w:sz="0" w:space="0" w:color="auto"/>
      </w:divBdr>
    </w:div>
    <w:div w:id="963534793">
      <w:bodyDiv w:val="1"/>
      <w:marLeft w:val="0"/>
      <w:marRight w:val="0"/>
      <w:marTop w:val="0"/>
      <w:marBottom w:val="0"/>
      <w:divBdr>
        <w:top w:val="none" w:sz="0" w:space="0" w:color="auto"/>
        <w:left w:val="none" w:sz="0" w:space="0" w:color="auto"/>
        <w:bottom w:val="none" w:sz="0" w:space="0" w:color="auto"/>
        <w:right w:val="none" w:sz="0" w:space="0" w:color="auto"/>
      </w:divBdr>
    </w:div>
    <w:div w:id="994995290">
      <w:bodyDiv w:val="1"/>
      <w:marLeft w:val="0"/>
      <w:marRight w:val="0"/>
      <w:marTop w:val="0"/>
      <w:marBottom w:val="0"/>
      <w:divBdr>
        <w:top w:val="none" w:sz="0" w:space="0" w:color="auto"/>
        <w:left w:val="none" w:sz="0" w:space="0" w:color="auto"/>
        <w:bottom w:val="none" w:sz="0" w:space="0" w:color="auto"/>
        <w:right w:val="none" w:sz="0" w:space="0" w:color="auto"/>
      </w:divBdr>
    </w:div>
    <w:div w:id="995300201">
      <w:bodyDiv w:val="1"/>
      <w:marLeft w:val="0"/>
      <w:marRight w:val="0"/>
      <w:marTop w:val="0"/>
      <w:marBottom w:val="0"/>
      <w:divBdr>
        <w:top w:val="none" w:sz="0" w:space="0" w:color="auto"/>
        <w:left w:val="none" w:sz="0" w:space="0" w:color="auto"/>
        <w:bottom w:val="none" w:sz="0" w:space="0" w:color="auto"/>
        <w:right w:val="none" w:sz="0" w:space="0" w:color="auto"/>
      </w:divBdr>
    </w:div>
    <w:div w:id="1009870574">
      <w:bodyDiv w:val="1"/>
      <w:marLeft w:val="0"/>
      <w:marRight w:val="0"/>
      <w:marTop w:val="0"/>
      <w:marBottom w:val="0"/>
      <w:divBdr>
        <w:top w:val="none" w:sz="0" w:space="0" w:color="auto"/>
        <w:left w:val="none" w:sz="0" w:space="0" w:color="auto"/>
        <w:bottom w:val="none" w:sz="0" w:space="0" w:color="auto"/>
        <w:right w:val="none" w:sz="0" w:space="0" w:color="auto"/>
      </w:divBdr>
    </w:div>
    <w:div w:id="1011418543">
      <w:bodyDiv w:val="1"/>
      <w:marLeft w:val="0"/>
      <w:marRight w:val="0"/>
      <w:marTop w:val="0"/>
      <w:marBottom w:val="0"/>
      <w:divBdr>
        <w:top w:val="none" w:sz="0" w:space="0" w:color="auto"/>
        <w:left w:val="none" w:sz="0" w:space="0" w:color="auto"/>
        <w:bottom w:val="none" w:sz="0" w:space="0" w:color="auto"/>
        <w:right w:val="none" w:sz="0" w:space="0" w:color="auto"/>
      </w:divBdr>
    </w:div>
    <w:div w:id="1012103317">
      <w:bodyDiv w:val="1"/>
      <w:marLeft w:val="0"/>
      <w:marRight w:val="0"/>
      <w:marTop w:val="0"/>
      <w:marBottom w:val="0"/>
      <w:divBdr>
        <w:top w:val="none" w:sz="0" w:space="0" w:color="auto"/>
        <w:left w:val="none" w:sz="0" w:space="0" w:color="auto"/>
        <w:bottom w:val="none" w:sz="0" w:space="0" w:color="auto"/>
        <w:right w:val="none" w:sz="0" w:space="0" w:color="auto"/>
      </w:divBdr>
    </w:div>
    <w:div w:id="1017391588">
      <w:bodyDiv w:val="1"/>
      <w:marLeft w:val="0"/>
      <w:marRight w:val="0"/>
      <w:marTop w:val="0"/>
      <w:marBottom w:val="0"/>
      <w:divBdr>
        <w:top w:val="none" w:sz="0" w:space="0" w:color="auto"/>
        <w:left w:val="none" w:sz="0" w:space="0" w:color="auto"/>
        <w:bottom w:val="none" w:sz="0" w:space="0" w:color="auto"/>
        <w:right w:val="none" w:sz="0" w:space="0" w:color="auto"/>
      </w:divBdr>
    </w:div>
    <w:div w:id="1040133857">
      <w:bodyDiv w:val="1"/>
      <w:marLeft w:val="0"/>
      <w:marRight w:val="0"/>
      <w:marTop w:val="0"/>
      <w:marBottom w:val="0"/>
      <w:divBdr>
        <w:top w:val="none" w:sz="0" w:space="0" w:color="auto"/>
        <w:left w:val="none" w:sz="0" w:space="0" w:color="auto"/>
        <w:bottom w:val="none" w:sz="0" w:space="0" w:color="auto"/>
        <w:right w:val="none" w:sz="0" w:space="0" w:color="auto"/>
      </w:divBdr>
    </w:div>
    <w:div w:id="1051001711">
      <w:bodyDiv w:val="1"/>
      <w:marLeft w:val="0"/>
      <w:marRight w:val="0"/>
      <w:marTop w:val="0"/>
      <w:marBottom w:val="0"/>
      <w:divBdr>
        <w:top w:val="none" w:sz="0" w:space="0" w:color="auto"/>
        <w:left w:val="none" w:sz="0" w:space="0" w:color="auto"/>
        <w:bottom w:val="none" w:sz="0" w:space="0" w:color="auto"/>
        <w:right w:val="none" w:sz="0" w:space="0" w:color="auto"/>
      </w:divBdr>
    </w:div>
    <w:div w:id="1069427353">
      <w:bodyDiv w:val="1"/>
      <w:marLeft w:val="0"/>
      <w:marRight w:val="0"/>
      <w:marTop w:val="0"/>
      <w:marBottom w:val="0"/>
      <w:divBdr>
        <w:top w:val="none" w:sz="0" w:space="0" w:color="auto"/>
        <w:left w:val="none" w:sz="0" w:space="0" w:color="auto"/>
        <w:bottom w:val="none" w:sz="0" w:space="0" w:color="auto"/>
        <w:right w:val="none" w:sz="0" w:space="0" w:color="auto"/>
      </w:divBdr>
    </w:div>
    <w:div w:id="1090657741">
      <w:bodyDiv w:val="1"/>
      <w:marLeft w:val="0"/>
      <w:marRight w:val="0"/>
      <w:marTop w:val="30"/>
      <w:marBottom w:val="750"/>
      <w:divBdr>
        <w:top w:val="none" w:sz="0" w:space="0" w:color="auto"/>
        <w:left w:val="none" w:sz="0" w:space="0" w:color="auto"/>
        <w:bottom w:val="none" w:sz="0" w:space="0" w:color="auto"/>
        <w:right w:val="none" w:sz="0" w:space="0" w:color="auto"/>
      </w:divBdr>
      <w:divsChild>
        <w:div w:id="16082010">
          <w:marLeft w:val="0"/>
          <w:marRight w:val="0"/>
          <w:marTop w:val="0"/>
          <w:marBottom w:val="0"/>
          <w:divBdr>
            <w:top w:val="none" w:sz="0" w:space="0" w:color="auto"/>
            <w:left w:val="none" w:sz="0" w:space="0" w:color="auto"/>
            <w:bottom w:val="none" w:sz="0" w:space="0" w:color="auto"/>
            <w:right w:val="none" w:sz="0" w:space="0" w:color="auto"/>
          </w:divBdr>
        </w:div>
      </w:divsChild>
    </w:div>
    <w:div w:id="1105535322">
      <w:bodyDiv w:val="1"/>
      <w:marLeft w:val="0"/>
      <w:marRight w:val="0"/>
      <w:marTop w:val="0"/>
      <w:marBottom w:val="0"/>
      <w:divBdr>
        <w:top w:val="none" w:sz="0" w:space="0" w:color="auto"/>
        <w:left w:val="none" w:sz="0" w:space="0" w:color="auto"/>
        <w:bottom w:val="none" w:sz="0" w:space="0" w:color="auto"/>
        <w:right w:val="none" w:sz="0" w:space="0" w:color="auto"/>
      </w:divBdr>
    </w:div>
    <w:div w:id="1137527589">
      <w:bodyDiv w:val="1"/>
      <w:marLeft w:val="0"/>
      <w:marRight w:val="0"/>
      <w:marTop w:val="0"/>
      <w:marBottom w:val="0"/>
      <w:divBdr>
        <w:top w:val="none" w:sz="0" w:space="0" w:color="auto"/>
        <w:left w:val="none" w:sz="0" w:space="0" w:color="auto"/>
        <w:bottom w:val="none" w:sz="0" w:space="0" w:color="auto"/>
        <w:right w:val="none" w:sz="0" w:space="0" w:color="auto"/>
      </w:divBdr>
    </w:div>
    <w:div w:id="1164247204">
      <w:bodyDiv w:val="1"/>
      <w:marLeft w:val="0"/>
      <w:marRight w:val="0"/>
      <w:marTop w:val="30"/>
      <w:marBottom w:val="750"/>
      <w:divBdr>
        <w:top w:val="none" w:sz="0" w:space="0" w:color="auto"/>
        <w:left w:val="none" w:sz="0" w:space="0" w:color="auto"/>
        <w:bottom w:val="none" w:sz="0" w:space="0" w:color="auto"/>
        <w:right w:val="none" w:sz="0" w:space="0" w:color="auto"/>
      </w:divBdr>
      <w:divsChild>
        <w:div w:id="363944195">
          <w:marLeft w:val="0"/>
          <w:marRight w:val="0"/>
          <w:marTop w:val="0"/>
          <w:marBottom w:val="0"/>
          <w:divBdr>
            <w:top w:val="none" w:sz="0" w:space="0" w:color="auto"/>
            <w:left w:val="none" w:sz="0" w:space="0" w:color="auto"/>
            <w:bottom w:val="none" w:sz="0" w:space="0" w:color="auto"/>
            <w:right w:val="none" w:sz="0" w:space="0" w:color="auto"/>
          </w:divBdr>
        </w:div>
      </w:divsChild>
    </w:div>
    <w:div w:id="1175146660">
      <w:bodyDiv w:val="1"/>
      <w:marLeft w:val="0"/>
      <w:marRight w:val="0"/>
      <w:marTop w:val="0"/>
      <w:marBottom w:val="0"/>
      <w:divBdr>
        <w:top w:val="none" w:sz="0" w:space="0" w:color="auto"/>
        <w:left w:val="none" w:sz="0" w:space="0" w:color="auto"/>
        <w:bottom w:val="none" w:sz="0" w:space="0" w:color="auto"/>
        <w:right w:val="none" w:sz="0" w:space="0" w:color="auto"/>
      </w:divBdr>
    </w:div>
    <w:div w:id="1214345687">
      <w:bodyDiv w:val="1"/>
      <w:marLeft w:val="0"/>
      <w:marRight w:val="0"/>
      <w:marTop w:val="0"/>
      <w:marBottom w:val="0"/>
      <w:divBdr>
        <w:top w:val="none" w:sz="0" w:space="0" w:color="auto"/>
        <w:left w:val="none" w:sz="0" w:space="0" w:color="auto"/>
        <w:bottom w:val="none" w:sz="0" w:space="0" w:color="auto"/>
        <w:right w:val="none" w:sz="0" w:space="0" w:color="auto"/>
      </w:divBdr>
    </w:div>
    <w:div w:id="1224171725">
      <w:bodyDiv w:val="1"/>
      <w:marLeft w:val="0"/>
      <w:marRight w:val="0"/>
      <w:marTop w:val="0"/>
      <w:marBottom w:val="0"/>
      <w:divBdr>
        <w:top w:val="none" w:sz="0" w:space="0" w:color="auto"/>
        <w:left w:val="none" w:sz="0" w:space="0" w:color="auto"/>
        <w:bottom w:val="none" w:sz="0" w:space="0" w:color="auto"/>
        <w:right w:val="none" w:sz="0" w:space="0" w:color="auto"/>
      </w:divBdr>
    </w:div>
    <w:div w:id="1244411646">
      <w:bodyDiv w:val="1"/>
      <w:marLeft w:val="0"/>
      <w:marRight w:val="0"/>
      <w:marTop w:val="0"/>
      <w:marBottom w:val="0"/>
      <w:divBdr>
        <w:top w:val="none" w:sz="0" w:space="0" w:color="auto"/>
        <w:left w:val="none" w:sz="0" w:space="0" w:color="auto"/>
        <w:bottom w:val="none" w:sz="0" w:space="0" w:color="auto"/>
        <w:right w:val="none" w:sz="0" w:space="0" w:color="auto"/>
      </w:divBdr>
    </w:div>
    <w:div w:id="1250312327">
      <w:bodyDiv w:val="1"/>
      <w:marLeft w:val="0"/>
      <w:marRight w:val="0"/>
      <w:marTop w:val="0"/>
      <w:marBottom w:val="0"/>
      <w:divBdr>
        <w:top w:val="none" w:sz="0" w:space="0" w:color="auto"/>
        <w:left w:val="none" w:sz="0" w:space="0" w:color="auto"/>
        <w:bottom w:val="none" w:sz="0" w:space="0" w:color="auto"/>
        <w:right w:val="none" w:sz="0" w:space="0" w:color="auto"/>
      </w:divBdr>
    </w:div>
    <w:div w:id="1281886193">
      <w:bodyDiv w:val="1"/>
      <w:marLeft w:val="0"/>
      <w:marRight w:val="0"/>
      <w:marTop w:val="0"/>
      <w:marBottom w:val="0"/>
      <w:divBdr>
        <w:top w:val="none" w:sz="0" w:space="0" w:color="auto"/>
        <w:left w:val="none" w:sz="0" w:space="0" w:color="auto"/>
        <w:bottom w:val="none" w:sz="0" w:space="0" w:color="auto"/>
        <w:right w:val="none" w:sz="0" w:space="0" w:color="auto"/>
      </w:divBdr>
    </w:div>
    <w:div w:id="1299529872">
      <w:bodyDiv w:val="1"/>
      <w:marLeft w:val="0"/>
      <w:marRight w:val="0"/>
      <w:marTop w:val="0"/>
      <w:marBottom w:val="0"/>
      <w:divBdr>
        <w:top w:val="none" w:sz="0" w:space="0" w:color="auto"/>
        <w:left w:val="none" w:sz="0" w:space="0" w:color="auto"/>
        <w:bottom w:val="none" w:sz="0" w:space="0" w:color="auto"/>
        <w:right w:val="none" w:sz="0" w:space="0" w:color="auto"/>
      </w:divBdr>
    </w:div>
    <w:div w:id="1328287990">
      <w:bodyDiv w:val="1"/>
      <w:marLeft w:val="0"/>
      <w:marRight w:val="0"/>
      <w:marTop w:val="0"/>
      <w:marBottom w:val="0"/>
      <w:divBdr>
        <w:top w:val="none" w:sz="0" w:space="0" w:color="auto"/>
        <w:left w:val="none" w:sz="0" w:space="0" w:color="auto"/>
        <w:bottom w:val="none" w:sz="0" w:space="0" w:color="auto"/>
        <w:right w:val="none" w:sz="0" w:space="0" w:color="auto"/>
      </w:divBdr>
    </w:div>
    <w:div w:id="1336297423">
      <w:bodyDiv w:val="1"/>
      <w:marLeft w:val="0"/>
      <w:marRight w:val="0"/>
      <w:marTop w:val="0"/>
      <w:marBottom w:val="0"/>
      <w:divBdr>
        <w:top w:val="none" w:sz="0" w:space="0" w:color="auto"/>
        <w:left w:val="none" w:sz="0" w:space="0" w:color="auto"/>
        <w:bottom w:val="none" w:sz="0" w:space="0" w:color="auto"/>
        <w:right w:val="none" w:sz="0" w:space="0" w:color="auto"/>
      </w:divBdr>
    </w:div>
    <w:div w:id="1354460869">
      <w:bodyDiv w:val="1"/>
      <w:marLeft w:val="0"/>
      <w:marRight w:val="0"/>
      <w:marTop w:val="0"/>
      <w:marBottom w:val="0"/>
      <w:divBdr>
        <w:top w:val="none" w:sz="0" w:space="0" w:color="auto"/>
        <w:left w:val="none" w:sz="0" w:space="0" w:color="auto"/>
        <w:bottom w:val="none" w:sz="0" w:space="0" w:color="auto"/>
        <w:right w:val="none" w:sz="0" w:space="0" w:color="auto"/>
      </w:divBdr>
    </w:div>
    <w:div w:id="1369600901">
      <w:bodyDiv w:val="1"/>
      <w:marLeft w:val="0"/>
      <w:marRight w:val="0"/>
      <w:marTop w:val="30"/>
      <w:marBottom w:val="750"/>
      <w:divBdr>
        <w:top w:val="none" w:sz="0" w:space="0" w:color="auto"/>
        <w:left w:val="none" w:sz="0" w:space="0" w:color="auto"/>
        <w:bottom w:val="none" w:sz="0" w:space="0" w:color="auto"/>
        <w:right w:val="none" w:sz="0" w:space="0" w:color="auto"/>
      </w:divBdr>
      <w:divsChild>
        <w:div w:id="1203977616">
          <w:marLeft w:val="0"/>
          <w:marRight w:val="0"/>
          <w:marTop w:val="0"/>
          <w:marBottom w:val="0"/>
          <w:divBdr>
            <w:top w:val="none" w:sz="0" w:space="0" w:color="auto"/>
            <w:left w:val="none" w:sz="0" w:space="0" w:color="auto"/>
            <w:bottom w:val="none" w:sz="0" w:space="0" w:color="auto"/>
            <w:right w:val="none" w:sz="0" w:space="0" w:color="auto"/>
          </w:divBdr>
        </w:div>
      </w:divsChild>
    </w:div>
    <w:div w:id="1397120790">
      <w:bodyDiv w:val="1"/>
      <w:marLeft w:val="0"/>
      <w:marRight w:val="0"/>
      <w:marTop w:val="0"/>
      <w:marBottom w:val="0"/>
      <w:divBdr>
        <w:top w:val="none" w:sz="0" w:space="0" w:color="auto"/>
        <w:left w:val="none" w:sz="0" w:space="0" w:color="auto"/>
        <w:bottom w:val="none" w:sz="0" w:space="0" w:color="auto"/>
        <w:right w:val="none" w:sz="0" w:space="0" w:color="auto"/>
      </w:divBdr>
    </w:div>
    <w:div w:id="1397238768">
      <w:bodyDiv w:val="1"/>
      <w:marLeft w:val="0"/>
      <w:marRight w:val="0"/>
      <w:marTop w:val="0"/>
      <w:marBottom w:val="0"/>
      <w:divBdr>
        <w:top w:val="none" w:sz="0" w:space="0" w:color="auto"/>
        <w:left w:val="none" w:sz="0" w:space="0" w:color="auto"/>
        <w:bottom w:val="none" w:sz="0" w:space="0" w:color="auto"/>
        <w:right w:val="none" w:sz="0" w:space="0" w:color="auto"/>
      </w:divBdr>
    </w:div>
    <w:div w:id="1412435409">
      <w:bodyDiv w:val="1"/>
      <w:marLeft w:val="0"/>
      <w:marRight w:val="0"/>
      <w:marTop w:val="0"/>
      <w:marBottom w:val="0"/>
      <w:divBdr>
        <w:top w:val="none" w:sz="0" w:space="0" w:color="auto"/>
        <w:left w:val="none" w:sz="0" w:space="0" w:color="auto"/>
        <w:bottom w:val="none" w:sz="0" w:space="0" w:color="auto"/>
        <w:right w:val="none" w:sz="0" w:space="0" w:color="auto"/>
      </w:divBdr>
    </w:div>
    <w:div w:id="1432629190">
      <w:bodyDiv w:val="1"/>
      <w:marLeft w:val="0"/>
      <w:marRight w:val="0"/>
      <w:marTop w:val="0"/>
      <w:marBottom w:val="0"/>
      <w:divBdr>
        <w:top w:val="none" w:sz="0" w:space="0" w:color="auto"/>
        <w:left w:val="none" w:sz="0" w:space="0" w:color="auto"/>
        <w:bottom w:val="none" w:sz="0" w:space="0" w:color="auto"/>
        <w:right w:val="none" w:sz="0" w:space="0" w:color="auto"/>
      </w:divBdr>
    </w:div>
    <w:div w:id="1438020075">
      <w:bodyDiv w:val="1"/>
      <w:marLeft w:val="0"/>
      <w:marRight w:val="0"/>
      <w:marTop w:val="0"/>
      <w:marBottom w:val="0"/>
      <w:divBdr>
        <w:top w:val="none" w:sz="0" w:space="0" w:color="auto"/>
        <w:left w:val="none" w:sz="0" w:space="0" w:color="auto"/>
        <w:bottom w:val="none" w:sz="0" w:space="0" w:color="auto"/>
        <w:right w:val="none" w:sz="0" w:space="0" w:color="auto"/>
      </w:divBdr>
    </w:div>
    <w:div w:id="1462766571">
      <w:bodyDiv w:val="1"/>
      <w:marLeft w:val="0"/>
      <w:marRight w:val="0"/>
      <w:marTop w:val="0"/>
      <w:marBottom w:val="0"/>
      <w:divBdr>
        <w:top w:val="none" w:sz="0" w:space="0" w:color="auto"/>
        <w:left w:val="none" w:sz="0" w:space="0" w:color="auto"/>
        <w:bottom w:val="none" w:sz="0" w:space="0" w:color="auto"/>
        <w:right w:val="none" w:sz="0" w:space="0" w:color="auto"/>
      </w:divBdr>
    </w:div>
    <w:div w:id="1483155786">
      <w:bodyDiv w:val="1"/>
      <w:marLeft w:val="0"/>
      <w:marRight w:val="0"/>
      <w:marTop w:val="0"/>
      <w:marBottom w:val="0"/>
      <w:divBdr>
        <w:top w:val="none" w:sz="0" w:space="0" w:color="auto"/>
        <w:left w:val="none" w:sz="0" w:space="0" w:color="auto"/>
        <w:bottom w:val="none" w:sz="0" w:space="0" w:color="auto"/>
        <w:right w:val="none" w:sz="0" w:space="0" w:color="auto"/>
      </w:divBdr>
    </w:div>
    <w:div w:id="1498644367">
      <w:bodyDiv w:val="1"/>
      <w:marLeft w:val="0"/>
      <w:marRight w:val="0"/>
      <w:marTop w:val="0"/>
      <w:marBottom w:val="0"/>
      <w:divBdr>
        <w:top w:val="none" w:sz="0" w:space="0" w:color="auto"/>
        <w:left w:val="none" w:sz="0" w:space="0" w:color="auto"/>
        <w:bottom w:val="none" w:sz="0" w:space="0" w:color="auto"/>
        <w:right w:val="none" w:sz="0" w:space="0" w:color="auto"/>
      </w:divBdr>
    </w:div>
    <w:div w:id="1524399197">
      <w:bodyDiv w:val="1"/>
      <w:marLeft w:val="0"/>
      <w:marRight w:val="0"/>
      <w:marTop w:val="0"/>
      <w:marBottom w:val="0"/>
      <w:divBdr>
        <w:top w:val="none" w:sz="0" w:space="0" w:color="auto"/>
        <w:left w:val="none" w:sz="0" w:space="0" w:color="auto"/>
        <w:bottom w:val="none" w:sz="0" w:space="0" w:color="auto"/>
        <w:right w:val="none" w:sz="0" w:space="0" w:color="auto"/>
      </w:divBdr>
    </w:div>
    <w:div w:id="1539658019">
      <w:bodyDiv w:val="1"/>
      <w:marLeft w:val="0"/>
      <w:marRight w:val="0"/>
      <w:marTop w:val="0"/>
      <w:marBottom w:val="0"/>
      <w:divBdr>
        <w:top w:val="none" w:sz="0" w:space="0" w:color="auto"/>
        <w:left w:val="none" w:sz="0" w:space="0" w:color="auto"/>
        <w:bottom w:val="none" w:sz="0" w:space="0" w:color="auto"/>
        <w:right w:val="none" w:sz="0" w:space="0" w:color="auto"/>
      </w:divBdr>
    </w:div>
    <w:div w:id="1542862392">
      <w:bodyDiv w:val="1"/>
      <w:marLeft w:val="0"/>
      <w:marRight w:val="0"/>
      <w:marTop w:val="0"/>
      <w:marBottom w:val="0"/>
      <w:divBdr>
        <w:top w:val="none" w:sz="0" w:space="0" w:color="auto"/>
        <w:left w:val="none" w:sz="0" w:space="0" w:color="auto"/>
        <w:bottom w:val="none" w:sz="0" w:space="0" w:color="auto"/>
        <w:right w:val="none" w:sz="0" w:space="0" w:color="auto"/>
      </w:divBdr>
    </w:div>
    <w:div w:id="1546454322">
      <w:bodyDiv w:val="1"/>
      <w:marLeft w:val="0"/>
      <w:marRight w:val="0"/>
      <w:marTop w:val="0"/>
      <w:marBottom w:val="0"/>
      <w:divBdr>
        <w:top w:val="none" w:sz="0" w:space="0" w:color="auto"/>
        <w:left w:val="none" w:sz="0" w:space="0" w:color="auto"/>
        <w:bottom w:val="none" w:sz="0" w:space="0" w:color="auto"/>
        <w:right w:val="none" w:sz="0" w:space="0" w:color="auto"/>
      </w:divBdr>
    </w:div>
    <w:div w:id="1563786078">
      <w:bodyDiv w:val="1"/>
      <w:marLeft w:val="0"/>
      <w:marRight w:val="0"/>
      <w:marTop w:val="0"/>
      <w:marBottom w:val="0"/>
      <w:divBdr>
        <w:top w:val="none" w:sz="0" w:space="0" w:color="auto"/>
        <w:left w:val="none" w:sz="0" w:space="0" w:color="auto"/>
        <w:bottom w:val="none" w:sz="0" w:space="0" w:color="auto"/>
        <w:right w:val="none" w:sz="0" w:space="0" w:color="auto"/>
      </w:divBdr>
    </w:div>
    <w:div w:id="1574973993">
      <w:bodyDiv w:val="1"/>
      <w:marLeft w:val="0"/>
      <w:marRight w:val="0"/>
      <w:marTop w:val="0"/>
      <w:marBottom w:val="0"/>
      <w:divBdr>
        <w:top w:val="none" w:sz="0" w:space="0" w:color="auto"/>
        <w:left w:val="none" w:sz="0" w:space="0" w:color="auto"/>
        <w:bottom w:val="none" w:sz="0" w:space="0" w:color="auto"/>
        <w:right w:val="none" w:sz="0" w:space="0" w:color="auto"/>
      </w:divBdr>
    </w:div>
    <w:div w:id="1581449672">
      <w:bodyDiv w:val="1"/>
      <w:marLeft w:val="0"/>
      <w:marRight w:val="0"/>
      <w:marTop w:val="0"/>
      <w:marBottom w:val="0"/>
      <w:divBdr>
        <w:top w:val="none" w:sz="0" w:space="0" w:color="auto"/>
        <w:left w:val="none" w:sz="0" w:space="0" w:color="auto"/>
        <w:bottom w:val="none" w:sz="0" w:space="0" w:color="auto"/>
        <w:right w:val="none" w:sz="0" w:space="0" w:color="auto"/>
      </w:divBdr>
    </w:div>
    <w:div w:id="1590967725">
      <w:bodyDiv w:val="1"/>
      <w:marLeft w:val="0"/>
      <w:marRight w:val="0"/>
      <w:marTop w:val="0"/>
      <w:marBottom w:val="0"/>
      <w:divBdr>
        <w:top w:val="none" w:sz="0" w:space="0" w:color="auto"/>
        <w:left w:val="none" w:sz="0" w:space="0" w:color="auto"/>
        <w:bottom w:val="none" w:sz="0" w:space="0" w:color="auto"/>
        <w:right w:val="none" w:sz="0" w:space="0" w:color="auto"/>
      </w:divBdr>
    </w:div>
    <w:div w:id="1601836990">
      <w:bodyDiv w:val="1"/>
      <w:marLeft w:val="0"/>
      <w:marRight w:val="0"/>
      <w:marTop w:val="0"/>
      <w:marBottom w:val="0"/>
      <w:divBdr>
        <w:top w:val="none" w:sz="0" w:space="0" w:color="auto"/>
        <w:left w:val="none" w:sz="0" w:space="0" w:color="auto"/>
        <w:bottom w:val="none" w:sz="0" w:space="0" w:color="auto"/>
        <w:right w:val="none" w:sz="0" w:space="0" w:color="auto"/>
      </w:divBdr>
    </w:div>
    <w:div w:id="1615331694">
      <w:bodyDiv w:val="1"/>
      <w:marLeft w:val="0"/>
      <w:marRight w:val="0"/>
      <w:marTop w:val="0"/>
      <w:marBottom w:val="0"/>
      <w:divBdr>
        <w:top w:val="none" w:sz="0" w:space="0" w:color="auto"/>
        <w:left w:val="none" w:sz="0" w:space="0" w:color="auto"/>
        <w:bottom w:val="none" w:sz="0" w:space="0" w:color="auto"/>
        <w:right w:val="none" w:sz="0" w:space="0" w:color="auto"/>
      </w:divBdr>
    </w:div>
    <w:div w:id="1624768995">
      <w:bodyDiv w:val="1"/>
      <w:marLeft w:val="0"/>
      <w:marRight w:val="0"/>
      <w:marTop w:val="0"/>
      <w:marBottom w:val="0"/>
      <w:divBdr>
        <w:top w:val="none" w:sz="0" w:space="0" w:color="auto"/>
        <w:left w:val="none" w:sz="0" w:space="0" w:color="auto"/>
        <w:bottom w:val="none" w:sz="0" w:space="0" w:color="auto"/>
        <w:right w:val="none" w:sz="0" w:space="0" w:color="auto"/>
      </w:divBdr>
    </w:div>
    <w:div w:id="1630545848">
      <w:bodyDiv w:val="1"/>
      <w:marLeft w:val="0"/>
      <w:marRight w:val="0"/>
      <w:marTop w:val="0"/>
      <w:marBottom w:val="0"/>
      <w:divBdr>
        <w:top w:val="none" w:sz="0" w:space="0" w:color="auto"/>
        <w:left w:val="none" w:sz="0" w:space="0" w:color="auto"/>
        <w:bottom w:val="none" w:sz="0" w:space="0" w:color="auto"/>
        <w:right w:val="none" w:sz="0" w:space="0" w:color="auto"/>
      </w:divBdr>
    </w:div>
    <w:div w:id="1647662785">
      <w:bodyDiv w:val="1"/>
      <w:marLeft w:val="0"/>
      <w:marRight w:val="0"/>
      <w:marTop w:val="0"/>
      <w:marBottom w:val="0"/>
      <w:divBdr>
        <w:top w:val="none" w:sz="0" w:space="0" w:color="auto"/>
        <w:left w:val="none" w:sz="0" w:space="0" w:color="auto"/>
        <w:bottom w:val="none" w:sz="0" w:space="0" w:color="auto"/>
        <w:right w:val="none" w:sz="0" w:space="0" w:color="auto"/>
      </w:divBdr>
    </w:div>
    <w:div w:id="1666784767">
      <w:bodyDiv w:val="1"/>
      <w:marLeft w:val="0"/>
      <w:marRight w:val="0"/>
      <w:marTop w:val="0"/>
      <w:marBottom w:val="0"/>
      <w:divBdr>
        <w:top w:val="none" w:sz="0" w:space="0" w:color="auto"/>
        <w:left w:val="none" w:sz="0" w:space="0" w:color="auto"/>
        <w:bottom w:val="none" w:sz="0" w:space="0" w:color="auto"/>
        <w:right w:val="none" w:sz="0" w:space="0" w:color="auto"/>
      </w:divBdr>
    </w:div>
    <w:div w:id="1715613648">
      <w:bodyDiv w:val="1"/>
      <w:marLeft w:val="0"/>
      <w:marRight w:val="0"/>
      <w:marTop w:val="0"/>
      <w:marBottom w:val="0"/>
      <w:divBdr>
        <w:top w:val="none" w:sz="0" w:space="0" w:color="auto"/>
        <w:left w:val="none" w:sz="0" w:space="0" w:color="auto"/>
        <w:bottom w:val="none" w:sz="0" w:space="0" w:color="auto"/>
        <w:right w:val="none" w:sz="0" w:space="0" w:color="auto"/>
      </w:divBdr>
    </w:div>
    <w:div w:id="1733381552">
      <w:bodyDiv w:val="1"/>
      <w:marLeft w:val="0"/>
      <w:marRight w:val="0"/>
      <w:marTop w:val="0"/>
      <w:marBottom w:val="0"/>
      <w:divBdr>
        <w:top w:val="none" w:sz="0" w:space="0" w:color="auto"/>
        <w:left w:val="none" w:sz="0" w:space="0" w:color="auto"/>
        <w:bottom w:val="none" w:sz="0" w:space="0" w:color="auto"/>
        <w:right w:val="none" w:sz="0" w:space="0" w:color="auto"/>
      </w:divBdr>
    </w:div>
    <w:div w:id="1761488520">
      <w:bodyDiv w:val="1"/>
      <w:marLeft w:val="0"/>
      <w:marRight w:val="0"/>
      <w:marTop w:val="0"/>
      <w:marBottom w:val="0"/>
      <w:divBdr>
        <w:top w:val="none" w:sz="0" w:space="0" w:color="auto"/>
        <w:left w:val="none" w:sz="0" w:space="0" w:color="auto"/>
        <w:bottom w:val="none" w:sz="0" w:space="0" w:color="auto"/>
        <w:right w:val="none" w:sz="0" w:space="0" w:color="auto"/>
      </w:divBdr>
    </w:div>
    <w:div w:id="1774670049">
      <w:bodyDiv w:val="1"/>
      <w:marLeft w:val="0"/>
      <w:marRight w:val="0"/>
      <w:marTop w:val="0"/>
      <w:marBottom w:val="0"/>
      <w:divBdr>
        <w:top w:val="none" w:sz="0" w:space="0" w:color="auto"/>
        <w:left w:val="none" w:sz="0" w:space="0" w:color="auto"/>
        <w:bottom w:val="none" w:sz="0" w:space="0" w:color="auto"/>
        <w:right w:val="none" w:sz="0" w:space="0" w:color="auto"/>
      </w:divBdr>
    </w:div>
    <w:div w:id="1783765404">
      <w:bodyDiv w:val="1"/>
      <w:marLeft w:val="0"/>
      <w:marRight w:val="0"/>
      <w:marTop w:val="0"/>
      <w:marBottom w:val="0"/>
      <w:divBdr>
        <w:top w:val="none" w:sz="0" w:space="0" w:color="auto"/>
        <w:left w:val="none" w:sz="0" w:space="0" w:color="auto"/>
        <w:bottom w:val="none" w:sz="0" w:space="0" w:color="auto"/>
        <w:right w:val="none" w:sz="0" w:space="0" w:color="auto"/>
      </w:divBdr>
    </w:div>
    <w:div w:id="1784222654">
      <w:bodyDiv w:val="1"/>
      <w:marLeft w:val="0"/>
      <w:marRight w:val="0"/>
      <w:marTop w:val="0"/>
      <w:marBottom w:val="0"/>
      <w:divBdr>
        <w:top w:val="none" w:sz="0" w:space="0" w:color="auto"/>
        <w:left w:val="none" w:sz="0" w:space="0" w:color="auto"/>
        <w:bottom w:val="none" w:sz="0" w:space="0" w:color="auto"/>
        <w:right w:val="none" w:sz="0" w:space="0" w:color="auto"/>
      </w:divBdr>
    </w:div>
    <w:div w:id="1799759895">
      <w:bodyDiv w:val="1"/>
      <w:marLeft w:val="0"/>
      <w:marRight w:val="0"/>
      <w:marTop w:val="0"/>
      <w:marBottom w:val="0"/>
      <w:divBdr>
        <w:top w:val="none" w:sz="0" w:space="0" w:color="auto"/>
        <w:left w:val="none" w:sz="0" w:space="0" w:color="auto"/>
        <w:bottom w:val="none" w:sz="0" w:space="0" w:color="auto"/>
        <w:right w:val="none" w:sz="0" w:space="0" w:color="auto"/>
      </w:divBdr>
    </w:div>
    <w:div w:id="1811825262">
      <w:bodyDiv w:val="1"/>
      <w:marLeft w:val="0"/>
      <w:marRight w:val="0"/>
      <w:marTop w:val="0"/>
      <w:marBottom w:val="0"/>
      <w:divBdr>
        <w:top w:val="none" w:sz="0" w:space="0" w:color="auto"/>
        <w:left w:val="none" w:sz="0" w:space="0" w:color="auto"/>
        <w:bottom w:val="none" w:sz="0" w:space="0" w:color="auto"/>
        <w:right w:val="none" w:sz="0" w:space="0" w:color="auto"/>
      </w:divBdr>
    </w:div>
    <w:div w:id="1856655248">
      <w:bodyDiv w:val="1"/>
      <w:marLeft w:val="0"/>
      <w:marRight w:val="0"/>
      <w:marTop w:val="0"/>
      <w:marBottom w:val="0"/>
      <w:divBdr>
        <w:top w:val="none" w:sz="0" w:space="0" w:color="auto"/>
        <w:left w:val="none" w:sz="0" w:space="0" w:color="auto"/>
        <w:bottom w:val="none" w:sz="0" w:space="0" w:color="auto"/>
        <w:right w:val="none" w:sz="0" w:space="0" w:color="auto"/>
      </w:divBdr>
    </w:div>
    <w:div w:id="1867524272">
      <w:bodyDiv w:val="1"/>
      <w:marLeft w:val="0"/>
      <w:marRight w:val="0"/>
      <w:marTop w:val="0"/>
      <w:marBottom w:val="0"/>
      <w:divBdr>
        <w:top w:val="none" w:sz="0" w:space="0" w:color="auto"/>
        <w:left w:val="none" w:sz="0" w:space="0" w:color="auto"/>
        <w:bottom w:val="none" w:sz="0" w:space="0" w:color="auto"/>
        <w:right w:val="none" w:sz="0" w:space="0" w:color="auto"/>
      </w:divBdr>
    </w:div>
    <w:div w:id="1881893254">
      <w:bodyDiv w:val="1"/>
      <w:marLeft w:val="0"/>
      <w:marRight w:val="0"/>
      <w:marTop w:val="0"/>
      <w:marBottom w:val="0"/>
      <w:divBdr>
        <w:top w:val="none" w:sz="0" w:space="0" w:color="auto"/>
        <w:left w:val="none" w:sz="0" w:space="0" w:color="auto"/>
        <w:bottom w:val="none" w:sz="0" w:space="0" w:color="auto"/>
        <w:right w:val="none" w:sz="0" w:space="0" w:color="auto"/>
      </w:divBdr>
    </w:div>
    <w:div w:id="1895575794">
      <w:bodyDiv w:val="1"/>
      <w:marLeft w:val="0"/>
      <w:marRight w:val="0"/>
      <w:marTop w:val="0"/>
      <w:marBottom w:val="0"/>
      <w:divBdr>
        <w:top w:val="none" w:sz="0" w:space="0" w:color="auto"/>
        <w:left w:val="none" w:sz="0" w:space="0" w:color="auto"/>
        <w:bottom w:val="none" w:sz="0" w:space="0" w:color="auto"/>
        <w:right w:val="none" w:sz="0" w:space="0" w:color="auto"/>
      </w:divBdr>
    </w:div>
    <w:div w:id="1915626737">
      <w:bodyDiv w:val="1"/>
      <w:marLeft w:val="0"/>
      <w:marRight w:val="0"/>
      <w:marTop w:val="0"/>
      <w:marBottom w:val="0"/>
      <w:divBdr>
        <w:top w:val="none" w:sz="0" w:space="0" w:color="auto"/>
        <w:left w:val="none" w:sz="0" w:space="0" w:color="auto"/>
        <w:bottom w:val="none" w:sz="0" w:space="0" w:color="auto"/>
        <w:right w:val="none" w:sz="0" w:space="0" w:color="auto"/>
      </w:divBdr>
    </w:div>
    <w:div w:id="1917127100">
      <w:bodyDiv w:val="1"/>
      <w:marLeft w:val="0"/>
      <w:marRight w:val="0"/>
      <w:marTop w:val="0"/>
      <w:marBottom w:val="0"/>
      <w:divBdr>
        <w:top w:val="none" w:sz="0" w:space="0" w:color="auto"/>
        <w:left w:val="none" w:sz="0" w:space="0" w:color="auto"/>
        <w:bottom w:val="none" w:sz="0" w:space="0" w:color="auto"/>
        <w:right w:val="none" w:sz="0" w:space="0" w:color="auto"/>
      </w:divBdr>
    </w:div>
    <w:div w:id="1917933685">
      <w:bodyDiv w:val="1"/>
      <w:marLeft w:val="0"/>
      <w:marRight w:val="0"/>
      <w:marTop w:val="0"/>
      <w:marBottom w:val="0"/>
      <w:divBdr>
        <w:top w:val="none" w:sz="0" w:space="0" w:color="auto"/>
        <w:left w:val="none" w:sz="0" w:space="0" w:color="auto"/>
        <w:bottom w:val="none" w:sz="0" w:space="0" w:color="auto"/>
        <w:right w:val="none" w:sz="0" w:space="0" w:color="auto"/>
      </w:divBdr>
    </w:div>
    <w:div w:id="1924754954">
      <w:bodyDiv w:val="1"/>
      <w:marLeft w:val="0"/>
      <w:marRight w:val="0"/>
      <w:marTop w:val="0"/>
      <w:marBottom w:val="0"/>
      <w:divBdr>
        <w:top w:val="none" w:sz="0" w:space="0" w:color="auto"/>
        <w:left w:val="none" w:sz="0" w:space="0" w:color="auto"/>
        <w:bottom w:val="none" w:sz="0" w:space="0" w:color="auto"/>
        <w:right w:val="none" w:sz="0" w:space="0" w:color="auto"/>
      </w:divBdr>
    </w:div>
    <w:div w:id="1958101002">
      <w:bodyDiv w:val="1"/>
      <w:marLeft w:val="0"/>
      <w:marRight w:val="0"/>
      <w:marTop w:val="0"/>
      <w:marBottom w:val="0"/>
      <w:divBdr>
        <w:top w:val="none" w:sz="0" w:space="0" w:color="auto"/>
        <w:left w:val="none" w:sz="0" w:space="0" w:color="auto"/>
        <w:bottom w:val="none" w:sz="0" w:space="0" w:color="auto"/>
        <w:right w:val="none" w:sz="0" w:space="0" w:color="auto"/>
      </w:divBdr>
    </w:div>
    <w:div w:id="1975678663">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94292936">
      <w:bodyDiv w:val="1"/>
      <w:marLeft w:val="0"/>
      <w:marRight w:val="0"/>
      <w:marTop w:val="0"/>
      <w:marBottom w:val="0"/>
      <w:divBdr>
        <w:top w:val="none" w:sz="0" w:space="0" w:color="auto"/>
        <w:left w:val="none" w:sz="0" w:space="0" w:color="auto"/>
        <w:bottom w:val="none" w:sz="0" w:space="0" w:color="auto"/>
        <w:right w:val="none" w:sz="0" w:space="0" w:color="auto"/>
      </w:divBdr>
    </w:div>
    <w:div w:id="1994606243">
      <w:bodyDiv w:val="1"/>
      <w:marLeft w:val="0"/>
      <w:marRight w:val="0"/>
      <w:marTop w:val="0"/>
      <w:marBottom w:val="0"/>
      <w:divBdr>
        <w:top w:val="none" w:sz="0" w:space="0" w:color="auto"/>
        <w:left w:val="none" w:sz="0" w:space="0" w:color="auto"/>
        <w:bottom w:val="none" w:sz="0" w:space="0" w:color="auto"/>
        <w:right w:val="none" w:sz="0" w:space="0" w:color="auto"/>
      </w:divBdr>
    </w:div>
    <w:div w:id="2011594037">
      <w:bodyDiv w:val="1"/>
      <w:marLeft w:val="0"/>
      <w:marRight w:val="0"/>
      <w:marTop w:val="0"/>
      <w:marBottom w:val="0"/>
      <w:divBdr>
        <w:top w:val="none" w:sz="0" w:space="0" w:color="auto"/>
        <w:left w:val="none" w:sz="0" w:space="0" w:color="auto"/>
        <w:bottom w:val="none" w:sz="0" w:space="0" w:color="auto"/>
        <w:right w:val="none" w:sz="0" w:space="0" w:color="auto"/>
      </w:divBdr>
    </w:div>
    <w:div w:id="2025084127">
      <w:bodyDiv w:val="1"/>
      <w:marLeft w:val="0"/>
      <w:marRight w:val="0"/>
      <w:marTop w:val="0"/>
      <w:marBottom w:val="0"/>
      <w:divBdr>
        <w:top w:val="none" w:sz="0" w:space="0" w:color="auto"/>
        <w:left w:val="none" w:sz="0" w:space="0" w:color="auto"/>
        <w:bottom w:val="none" w:sz="0" w:space="0" w:color="auto"/>
        <w:right w:val="none" w:sz="0" w:space="0" w:color="auto"/>
      </w:divBdr>
    </w:div>
    <w:div w:id="2046563341">
      <w:bodyDiv w:val="1"/>
      <w:marLeft w:val="0"/>
      <w:marRight w:val="0"/>
      <w:marTop w:val="0"/>
      <w:marBottom w:val="0"/>
      <w:divBdr>
        <w:top w:val="none" w:sz="0" w:space="0" w:color="auto"/>
        <w:left w:val="none" w:sz="0" w:space="0" w:color="auto"/>
        <w:bottom w:val="none" w:sz="0" w:space="0" w:color="auto"/>
        <w:right w:val="none" w:sz="0" w:space="0" w:color="auto"/>
      </w:divBdr>
    </w:div>
    <w:div w:id="2049182292">
      <w:bodyDiv w:val="1"/>
      <w:marLeft w:val="0"/>
      <w:marRight w:val="0"/>
      <w:marTop w:val="0"/>
      <w:marBottom w:val="0"/>
      <w:divBdr>
        <w:top w:val="none" w:sz="0" w:space="0" w:color="auto"/>
        <w:left w:val="none" w:sz="0" w:space="0" w:color="auto"/>
        <w:bottom w:val="none" w:sz="0" w:space="0" w:color="auto"/>
        <w:right w:val="none" w:sz="0" w:space="0" w:color="auto"/>
      </w:divBdr>
    </w:div>
    <w:div w:id="2053922442">
      <w:bodyDiv w:val="1"/>
      <w:marLeft w:val="0"/>
      <w:marRight w:val="0"/>
      <w:marTop w:val="0"/>
      <w:marBottom w:val="0"/>
      <w:divBdr>
        <w:top w:val="none" w:sz="0" w:space="0" w:color="auto"/>
        <w:left w:val="none" w:sz="0" w:space="0" w:color="auto"/>
        <w:bottom w:val="none" w:sz="0" w:space="0" w:color="auto"/>
        <w:right w:val="none" w:sz="0" w:space="0" w:color="auto"/>
      </w:divBdr>
    </w:div>
    <w:div w:id="2068986383">
      <w:bodyDiv w:val="1"/>
      <w:marLeft w:val="0"/>
      <w:marRight w:val="0"/>
      <w:marTop w:val="0"/>
      <w:marBottom w:val="0"/>
      <w:divBdr>
        <w:top w:val="none" w:sz="0" w:space="0" w:color="auto"/>
        <w:left w:val="none" w:sz="0" w:space="0" w:color="auto"/>
        <w:bottom w:val="none" w:sz="0" w:space="0" w:color="auto"/>
        <w:right w:val="none" w:sz="0" w:space="0" w:color="auto"/>
      </w:divBdr>
    </w:div>
    <w:div w:id="2112237395">
      <w:bodyDiv w:val="1"/>
      <w:marLeft w:val="0"/>
      <w:marRight w:val="0"/>
      <w:marTop w:val="0"/>
      <w:marBottom w:val="0"/>
      <w:divBdr>
        <w:top w:val="none" w:sz="0" w:space="0" w:color="auto"/>
        <w:left w:val="none" w:sz="0" w:space="0" w:color="auto"/>
        <w:bottom w:val="none" w:sz="0" w:space="0" w:color="auto"/>
        <w:right w:val="none" w:sz="0" w:space="0" w:color="auto"/>
      </w:divBdr>
    </w:div>
    <w:div w:id="2136290438">
      <w:bodyDiv w:val="1"/>
      <w:marLeft w:val="0"/>
      <w:marRight w:val="0"/>
      <w:marTop w:val="0"/>
      <w:marBottom w:val="0"/>
      <w:divBdr>
        <w:top w:val="none" w:sz="0" w:space="0" w:color="auto"/>
        <w:left w:val="none" w:sz="0" w:space="0" w:color="auto"/>
        <w:bottom w:val="none" w:sz="0" w:space="0" w:color="auto"/>
        <w:right w:val="none" w:sz="0" w:space="0" w:color="auto"/>
      </w:divBdr>
    </w:div>
    <w:div w:id="213779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11.xml"/><Relationship Id="rId39" Type="http://schemas.openxmlformats.org/officeDocument/2006/relationships/footer" Target="footer20.xml"/><Relationship Id="rId3" Type="http://schemas.openxmlformats.org/officeDocument/2006/relationships/customXml" Target="../customXml/item3.xml"/><Relationship Id="rId21" Type="http://schemas.openxmlformats.org/officeDocument/2006/relationships/footer" Target="footer7.xml"/><Relationship Id="rId34" Type="http://schemas.openxmlformats.org/officeDocument/2006/relationships/footer" Target="footer15.xml"/><Relationship Id="rId42" Type="http://schemas.openxmlformats.org/officeDocument/2006/relationships/footer" Target="footer2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Jeff.A.Wiseman@wv.gov" TargetMode="External"/><Relationship Id="rId25" Type="http://schemas.openxmlformats.org/officeDocument/2006/relationships/footer" Target="footer10.xml"/><Relationship Id="rId33" Type="http://schemas.openxmlformats.org/officeDocument/2006/relationships/header" Target="header7.xml"/><Relationship Id="rId38" Type="http://schemas.openxmlformats.org/officeDocument/2006/relationships/footer" Target="footer19.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2.xml"/><Relationship Id="rId29" Type="http://schemas.openxmlformats.org/officeDocument/2006/relationships/header" Target="header5.xml"/><Relationship Id="rId41"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9.xml"/><Relationship Id="rId32" Type="http://schemas.openxmlformats.org/officeDocument/2006/relationships/footer" Target="footer14.xml"/><Relationship Id="rId37" Type="http://schemas.openxmlformats.org/officeDocument/2006/relationships/footer" Target="footer18.xml"/><Relationship Id="rId40" Type="http://schemas.openxmlformats.org/officeDocument/2006/relationships/footer" Target="footer21.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footer" Target="footer12.xml"/><Relationship Id="rId36" Type="http://schemas.openxmlformats.org/officeDocument/2006/relationships/footer" Target="footer17.xml"/><Relationship Id="rId10" Type="http://schemas.openxmlformats.org/officeDocument/2006/relationships/footnotes" Target="footnotes.xml"/><Relationship Id="rId19" Type="http://schemas.openxmlformats.org/officeDocument/2006/relationships/footer" Target="footer6.xml"/><Relationship Id="rId31" Type="http://schemas.openxmlformats.org/officeDocument/2006/relationships/footer" Target="footer13.xml"/><Relationship Id="rId44" Type="http://schemas.openxmlformats.org/officeDocument/2006/relationships/footer" Target="footer2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footer" Target="footer16.xml"/><Relationship Id="rId43"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390D88D085BC0C4AA6848EC5D5DC336B" ma:contentTypeVersion="4" ma:contentTypeDescription="Create a new document." ma:contentTypeScope="" ma:versionID="8345231af27ef11c4bd1ce27a132e56b">
  <xsd:schema xmlns:xsd="http://www.w3.org/2001/XMLSchema" xmlns:xs="http://www.w3.org/2001/XMLSchema" xmlns:p="http://schemas.microsoft.com/office/2006/metadata/properties" xmlns:ns2="d6c6d451-1e92-4ca5-a305-40cd172629bd" xmlns:ns3="91d5f9ca-4c88-45ee-b9ad-3ab0a8a09323" targetNamespace="http://schemas.microsoft.com/office/2006/metadata/properties" ma:root="true" ma:fieldsID="d1013e0a1a9c66360815c6756fc91645" ns2:_="" ns3:_="">
    <xsd:import namespace="d6c6d451-1e92-4ca5-a305-40cd172629bd"/>
    <xsd:import namespace="91d5f9ca-4c88-45ee-b9ad-3ab0a8a09323"/>
    <xsd:element name="properties">
      <xsd:complexType>
        <xsd:sequence>
          <xsd:element name="documentManagement">
            <xsd:complexType>
              <xsd:all>
                <xsd:element ref="ns2:_dlc_DocId" minOccurs="0"/>
                <xsd:element ref="ns2:_dlc_DocIdUrl" minOccurs="0"/>
                <xsd:element ref="ns2:_dlc_DocIdPersistId" minOccurs="0"/>
                <xsd:element ref="ns3:RFP_x0020_Status"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6d451-1e92-4ca5-a305-40cd172629b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1d5f9ca-4c88-45ee-b9ad-3ab0a8a09323" elementFormDefault="qualified">
    <xsd:import namespace="http://schemas.microsoft.com/office/2006/documentManagement/types"/>
    <xsd:import namespace="http://schemas.microsoft.com/office/infopath/2007/PartnerControls"/>
    <xsd:element name="RFP_x0020_Status" ma:index="11" nillable="true" ma:displayName="RFP Status" ma:format="Dropdown" ma:internalName="RFP_x0020_Status">
      <xsd:simpleType>
        <xsd:restriction base="dms:Choice">
          <xsd:enumeration value="Draft"/>
          <xsd:enumeration value="Live"/>
        </xsd:restriction>
      </xsd:simpleType>
    </xsd:element>
    <xsd:element name="Document_x0020_Type" ma:index="12" nillable="true" ma:displayName="Document Type" ma:internalName="Document_x0020_Typ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FP_x0020_Status xmlns="91d5f9ca-4c88-45ee-b9ad-3ab0a8a09323">Live</RFP_x0020_Status>
    <_dlc_DocId xmlns="d6c6d451-1e92-4ca5-a305-40cd172629bd">RR4CWTA5P5KD-1590437030-35</_dlc_DocId>
    <_dlc_DocIdUrl xmlns="d6c6d451-1e92-4ca5-a305-40cd172629bd">
      <Url>https://applications.antheminc.com/sites/BusDevelopment2014/WVA_Managed_Care_2016/_layouts/15/DocIdRedir.aspx?ID=RR4CWTA5P5KD-1590437030-35</Url>
      <Description>RR4CWTA5P5KD-1590437030-35</Description>
    </_dlc_DocIdUrl>
    <Document_x0020_Type xmlns="91d5f9ca-4c88-45ee-b9ad-3ab0a8a093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04F5C-4179-45B8-B5D1-8A194FD46222}">
  <ds:schemaRefs>
    <ds:schemaRef ds:uri="http://schemas.microsoft.com/sharepoint/events"/>
  </ds:schemaRefs>
</ds:datastoreItem>
</file>

<file path=customXml/itemProps2.xml><?xml version="1.0" encoding="utf-8"?>
<ds:datastoreItem xmlns:ds="http://schemas.openxmlformats.org/officeDocument/2006/customXml" ds:itemID="{38862906-591B-418C-A88C-99E2932B6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6d451-1e92-4ca5-a305-40cd172629bd"/>
    <ds:schemaRef ds:uri="91d5f9ca-4c88-45ee-b9ad-3ab0a8a09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5A6419-D0D4-4E26-8E7B-940BF576A11D}">
  <ds:schemaRefs>
    <ds:schemaRef ds:uri="http://purl.org/dc/elements/1.1/"/>
    <ds:schemaRef ds:uri="http://schemas.microsoft.com/office/2006/metadata/properties"/>
    <ds:schemaRef ds:uri="91d5f9ca-4c88-45ee-b9ad-3ab0a8a09323"/>
    <ds:schemaRef ds:uri="http://purl.org/dc/terms/"/>
    <ds:schemaRef ds:uri="d6c6d451-1e92-4ca5-a305-40cd172629bd"/>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EC254263-3D32-4B84-BD39-A22431531B6D}">
  <ds:schemaRefs>
    <ds:schemaRef ds:uri="http://schemas.microsoft.com/sharepoint/v3/contenttype/forms"/>
  </ds:schemaRefs>
</ds:datastoreItem>
</file>

<file path=customXml/itemProps5.xml><?xml version="1.0" encoding="utf-8"?>
<ds:datastoreItem xmlns:ds="http://schemas.openxmlformats.org/officeDocument/2006/customXml" ds:itemID="{08C308A2-5FF5-49B1-8EA3-B1B72FB2F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233</Pages>
  <Words>89710</Words>
  <Characters>511348</Characters>
  <Application>Microsoft Office Word</Application>
  <DocSecurity>0</DocSecurity>
  <Lines>4261</Lines>
  <Paragraphs>1199</Paragraphs>
  <ScaleCrop>false</ScaleCrop>
  <HeadingPairs>
    <vt:vector size="2" baseType="variant">
      <vt:variant>
        <vt:lpstr>Title</vt:lpstr>
      </vt:variant>
      <vt:variant>
        <vt:i4>1</vt:i4>
      </vt:variant>
    </vt:vector>
  </HeadingPairs>
  <TitlesOfParts>
    <vt:vector size="1" baseType="lpstr">
      <vt:lpstr/>
    </vt:vector>
  </TitlesOfParts>
  <Company>The Lewin Group</Company>
  <LinksUpToDate>false</LinksUpToDate>
  <CharactersWithSpaces>599859</CharactersWithSpaces>
  <SharedDoc>false</SharedDoc>
  <HLinks>
    <vt:vector size="6" baseType="variant">
      <vt:variant>
        <vt:i4>2359321</vt:i4>
      </vt:variant>
      <vt:variant>
        <vt:i4>519</vt:i4>
      </vt:variant>
      <vt:variant>
        <vt:i4>0</vt:i4>
      </vt:variant>
      <vt:variant>
        <vt:i4>5</vt:i4>
      </vt:variant>
      <vt:variant>
        <vt:lpwstr>mailto:Jeff.A.Wiseman@wv.gov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RMendoza</dc:creator>
  <cp:keywords/>
  <dc:description/>
  <cp:lastModifiedBy>Cleary, Diana L.</cp:lastModifiedBy>
  <cp:revision>2</cp:revision>
  <cp:lastPrinted>2019-03-27T18:42:00Z</cp:lastPrinted>
  <dcterms:created xsi:type="dcterms:W3CDTF">2019-07-26T17:48:00Z</dcterms:created>
  <dcterms:modified xsi:type="dcterms:W3CDTF">2019-07-26T17:48:00Z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0x010100390D88D085BC0C4AA6848EC5D5DC336B</vt:lpwstr>
  </property>
  <property fmtid="{D5CDD505-2E9C-101B-9397-08002B2CF9AE}" pid="3" name="_dlc_DocIdItemGuid">
    <vt:lpwstr>e5267572-0674-41dd-8b9a-1bba5215529e</vt:lpwstr>
  </property>
</Properties>
</file>