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6CFD" w14:textId="06D76AF7" w:rsidR="00945A46" w:rsidRDefault="00945A46" w:rsidP="00DB4D01">
      <w:pPr>
        <w:spacing w:after="0"/>
        <w:rPr>
          <w:rFonts w:ascii="Arial" w:hAnsi="Arial" w:cs="Arial"/>
          <w:b/>
          <w:u w:val="single"/>
        </w:rPr>
      </w:pPr>
    </w:p>
    <w:p w14:paraId="112F3696" w14:textId="5B4DDC73" w:rsidR="00EE7BC6" w:rsidRDefault="00EE7BC6" w:rsidP="00DB4D01">
      <w:pPr>
        <w:spacing w:after="0"/>
        <w:rPr>
          <w:rFonts w:ascii="Arial" w:hAnsi="Arial" w:cs="Arial"/>
          <w:b/>
          <w:u w:val="single"/>
        </w:rPr>
      </w:pPr>
    </w:p>
    <w:p w14:paraId="550F1E50" w14:textId="77777777" w:rsidR="00EE7BC6" w:rsidRDefault="00EE7BC6">
      <w:pPr>
        <w:spacing w:after="0"/>
        <w:jc w:val="center"/>
        <w:rPr>
          <w:rFonts w:ascii="Arial" w:hAnsi="Arial" w:cs="Arial"/>
          <w:b/>
          <w:u w:val="single"/>
        </w:rPr>
      </w:pPr>
    </w:p>
    <w:p w14:paraId="548FEAEB" w14:textId="77777777" w:rsidR="00945A46" w:rsidRDefault="00775589">
      <w:pPr>
        <w:spacing w:after="0"/>
        <w:jc w:val="center"/>
        <w:rPr>
          <w:rFonts w:ascii="Arial" w:hAnsi="Arial" w:cs="Arial"/>
          <w:b/>
          <w:u w:val="single"/>
        </w:rPr>
      </w:pPr>
      <w:r>
        <w:rPr>
          <w:rFonts w:ascii="Arial" w:hAnsi="Arial" w:cs="Arial"/>
          <w:b/>
          <w:u w:val="single"/>
        </w:rPr>
        <w:t>SCOPE OF WORK</w:t>
      </w:r>
    </w:p>
    <w:p w14:paraId="30341E60" w14:textId="77777777" w:rsidR="00945A46" w:rsidRDefault="00945A46">
      <w:pPr>
        <w:spacing w:after="0"/>
        <w:jc w:val="center"/>
        <w:rPr>
          <w:rFonts w:ascii="Arial" w:hAnsi="Arial" w:cs="Arial"/>
          <w:b/>
          <w:u w:val="single"/>
        </w:rPr>
      </w:pPr>
    </w:p>
    <w:p w14:paraId="5A7E1D05" w14:textId="77777777" w:rsidR="00945A46" w:rsidRDefault="00775589">
      <w:pPr>
        <w:spacing w:after="0"/>
        <w:jc w:val="both"/>
        <w:rPr>
          <w:rFonts w:ascii="Arial" w:hAnsi="Arial" w:cs="Arial"/>
          <w:b/>
          <w:u w:val="single"/>
        </w:rPr>
      </w:pPr>
      <w:r>
        <w:rPr>
          <w:rFonts w:ascii="Arial" w:hAnsi="Arial" w:cs="Arial"/>
          <w:b/>
          <w:u w:val="single"/>
        </w:rPr>
        <w:t>Part-A: Detailed Market Feasibility Study Weak Nitric Acid (WNA) &amp; Ammonium Nitrate (AN)</w:t>
      </w:r>
    </w:p>
    <w:p w14:paraId="332C21FB" w14:textId="77777777" w:rsidR="00945A46" w:rsidRDefault="00775589">
      <w:pPr>
        <w:spacing w:after="0"/>
        <w:jc w:val="both"/>
        <w:rPr>
          <w:rFonts w:ascii="Arial" w:hAnsi="Arial" w:cs="Arial"/>
        </w:rPr>
      </w:pPr>
      <w:r>
        <w:rPr>
          <w:rFonts w:ascii="Arial" w:hAnsi="Arial" w:cs="Arial"/>
        </w:rPr>
        <w:t>The Scope of Work for carrying out a detailed Market Feasibility study is expected to consist of (but not limited to) the following aspects:</w:t>
      </w:r>
    </w:p>
    <w:p w14:paraId="3F2079DE" w14:textId="77777777" w:rsidR="00945A46" w:rsidRDefault="00945A46">
      <w:pPr>
        <w:spacing w:after="0"/>
        <w:jc w:val="both"/>
        <w:rPr>
          <w:rFonts w:ascii="Arial" w:hAnsi="Arial" w:cs="Arial"/>
        </w:rPr>
      </w:pPr>
    </w:p>
    <w:p w14:paraId="5BF011C3" w14:textId="77777777" w:rsidR="00945A46" w:rsidRDefault="00775589">
      <w:pPr>
        <w:pStyle w:val="ListParagraph"/>
        <w:numPr>
          <w:ilvl w:val="0"/>
          <w:numId w:val="13"/>
        </w:numPr>
        <w:spacing w:after="0"/>
        <w:ind w:left="0" w:right="6412" w:firstLine="0"/>
        <w:jc w:val="both"/>
        <w:rPr>
          <w:rFonts w:ascii="Arial" w:hAnsi="Arial" w:cs="Arial"/>
        </w:rPr>
      </w:pPr>
      <w:r>
        <w:rPr>
          <w:rFonts w:ascii="Arial" w:hAnsi="Arial" w:cs="Arial"/>
          <w:b/>
        </w:rPr>
        <w:t>Product Analysis:</w:t>
      </w:r>
    </w:p>
    <w:p w14:paraId="23E6570F" w14:textId="77777777" w:rsidR="00945A46" w:rsidRPr="00460640" w:rsidRDefault="00775589">
      <w:pPr>
        <w:pStyle w:val="ListParagraph"/>
        <w:numPr>
          <w:ilvl w:val="0"/>
          <w:numId w:val="17"/>
        </w:numPr>
        <w:spacing w:after="0"/>
        <w:jc w:val="both"/>
        <w:rPr>
          <w:rFonts w:ascii="Arial" w:hAnsi="Arial" w:cs="Arial"/>
        </w:rPr>
      </w:pPr>
      <w:r w:rsidRPr="00460640">
        <w:rPr>
          <w:rFonts w:ascii="Arial" w:hAnsi="Arial" w:cs="Arial"/>
        </w:rPr>
        <w:t>Product Characteristics of WNA &amp; Ammonium Nitrate (AN)</w:t>
      </w:r>
    </w:p>
    <w:p w14:paraId="56A69F88" w14:textId="77777777" w:rsidR="00945A46" w:rsidRPr="00460640" w:rsidRDefault="00775589">
      <w:pPr>
        <w:pStyle w:val="ListParagraph"/>
        <w:numPr>
          <w:ilvl w:val="0"/>
          <w:numId w:val="17"/>
        </w:numPr>
        <w:spacing w:after="0"/>
        <w:jc w:val="both"/>
        <w:rPr>
          <w:rFonts w:ascii="Arial" w:hAnsi="Arial" w:cs="Arial"/>
        </w:rPr>
      </w:pPr>
      <w:r w:rsidRPr="00460640">
        <w:rPr>
          <w:rFonts w:ascii="Arial" w:hAnsi="Arial" w:cs="Arial"/>
        </w:rPr>
        <w:t>Specification: The specification of the product</w:t>
      </w:r>
    </w:p>
    <w:p w14:paraId="51431061" w14:textId="77777777" w:rsidR="00945A46" w:rsidRDefault="00775589">
      <w:pPr>
        <w:pStyle w:val="ListParagraph"/>
        <w:numPr>
          <w:ilvl w:val="0"/>
          <w:numId w:val="17"/>
        </w:numPr>
        <w:spacing w:after="0"/>
        <w:jc w:val="both"/>
        <w:rPr>
          <w:rFonts w:ascii="Arial" w:hAnsi="Arial" w:cs="Arial"/>
        </w:rPr>
      </w:pPr>
      <w:r w:rsidRPr="00460640">
        <w:rPr>
          <w:rFonts w:ascii="Arial" w:hAnsi="Arial" w:cs="Arial"/>
        </w:rPr>
        <w:t>Product Applications: Various applications of WNA</w:t>
      </w:r>
      <w:r>
        <w:rPr>
          <w:rFonts w:ascii="Arial" w:hAnsi="Arial" w:cs="Arial"/>
        </w:rPr>
        <w:t xml:space="preserve"> &amp; AN along with the sector wise consumption and pattern.</w:t>
      </w:r>
    </w:p>
    <w:p w14:paraId="14D82944" w14:textId="77777777" w:rsidR="00945A46" w:rsidRDefault="00945A46">
      <w:pPr>
        <w:spacing w:after="0"/>
        <w:jc w:val="both"/>
        <w:rPr>
          <w:rFonts w:ascii="Arial" w:hAnsi="Arial" w:cs="Arial"/>
        </w:rPr>
      </w:pPr>
    </w:p>
    <w:p w14:paraId="43B3C8E1" w14:textId="77777777" w:rsidR="00945A46" w:rsidRDefault="00775589">
      <w:pPr>
        <w:pStyle w:val="ListParagraph"/>
        <w:numPr>
          <w:ilvl w:val="0"/>
          <w:numId w:val="13"/>
        </w:numPr>
        <w:spacing w:after="0"/>
        <w:ind w:left="0" w:right="6669" w:firstLine="0"/>
        <w:jc w:val="both"/>
        <w:rPr>
          <w:rFonts w:ascii="Arial" w:hAnsi="Arial" w:cs="Arial"/>
        </w:rPr>
      </w:pPr>
      <w:r>
        <w:rPr>
          <w:rFonts w:ascii="Arial" w:hAnsi="Arial" w:cs="Arial"/>
          <w:b/>
        </w:rPr>
        <w:t>Trade Analysis</w:t>
      </w:r>
      <w:r>
        <w:rPr>
          <w:rFonts w:ascii="Arial" w:hAnsi="Arial" w:cs="Arial"/>
        </w:rPr>
        <w:t>:</w:t>
      </w:r>
    </w:p>
    <w:p w14:paraId="632E3BE6" w14:textId="77777777" w:rsidR="00945A46" w:rsidRDefault="00775589">
      <w:pPr>
        <w:pStyle w:val="Default"/>
        <w:numPr>
          <w:ilvl w:val="0"/>
          <w:numId w:val="16"/>
        </w:numPr>
        <w:spacing w:line="276" w:lineRule="auto"/>
        <w:jc w:val="both"/>
        <w:rPr>
          <w:rFonts w:ascii="Arial" w:hAnsi="Arial" w:cs="Arial"/>
          <w:color w:val="auto"/>
          <w:sz w:val="22"/>
          <w:szCs w:val="22"/>
        </w:rPr>
      </w:pPr>
      <w:r>
        <w:rPr>
          <w:rFonts w:ascii="Arial" w:hAnsi="Arial" w:cs="Arial"/>
          <w:color w:val="auto"/>
          <w:sz w:val="22"/>
          <w:szCs w:val="22"/>
        </w:rPr>
        <w:t>Market assessments for the regional and country level segments, Analysis of Indian demand of the products for past 5 years and next 10 years (Captive as well as Merchant), region-wise as well as end use segment-wise.</w:t>
      </w:r>
    </w:p>
    <w:p w14:paraId="7FBCD06D" w14:textId="77777777" w:rsidR="00945A46" w:rsidRDefault="00775589">
      <w:pPr>
        <w:pStyle w:val="ListParagraph"/>
        <w:numPr>
          <w:ilvl w:val="0"/>
          <w:numId w:val="16"/>
        </w:numPr>
        <w:spacing w:after="0"/>
        <w:ind w:right="70"/>
        <w:jc w:val="both"/>
        <w:rPr>
          <w:rFonts w:ascii="Arial" w:hAnsi="Arial" w:cs="Arial"/>
        </w:rPr>
      </w:pPr>
      <w:r>
        <w:rPr>
          <w:rFonts w:ascii="Arial" w:hAnsi="Arial" w:cs="Arial"/>
        </w:rPr>
        <w:t>Product Analysis to be done with respect to identification of specific consumption sectors and major consumers therein.</w:t>
      </w:r>
    </w:p>
    <w:p w14:paraId="0994D8B1" w14:textId="323571B3" w:rsidR="00945A46" w:rsidRDefault="00907728">
      <w:pPr>
        <w:pStyle w:val="ListParagraph"/>
        <w:numPr>
          <w:ilvl w:val="0"/>
          <w:numId w:val="16"/>
        </w:numPr>
        <w:spacing w:after="0"/>
        <w:ind w:right="70"/>
        <w:jc w:val="both"/>
        <w:rPr>
          <w:rFonts w:ascii="Arial" w:hAnsi="Arial" w:cs="Arial"/>
        </w:rPr>
      </w:pPr>
      <w:r>
        <w:rPr>
          <w:rFonts w:ascii="Arial" w:hAnsi="Arial" w:cs="Arial"/>
        </w:rPr>
        <w:t>Import details of WNA</w:t>
      </w:r>
      <w:r w:rsidR="00775589">
        <w:rPr>
          <w:rFonts w:ascii="Arial" w:hAnsi="Arial" w:cs="Arial"/>
        </w:rPr>
        <w:t xml:space="preserve"> &amp; AN </w:t>
      </w:r>
      <w:r>
        <w:rPr>
          <w:rFonts w:ascii="Arial" w:hAnsi="Arial" w:cs="Arial"/>
        </w:rPr>
        <w:t>during the last five years including sector wise</w:t>
      </w:r>
      <w:r w:rsidR="00775589">
        <w:rPr>
          <w:rFonts w:ascii="Arial" w:hAnsi="Arial" w:cs="Arial"/>
        </w:rPr>
        <w:t xml:space="preserve"> consumption and purchase from domestic / import (for various uses of WNA &amp; AN). The import details would include the country wise import.</w:t>
      </w:r>
    </w:p>
    <w:p w14:paraId="2E49B1C7" w14:textId="77777777" w:rsidR="00945A46" w:rsidRDefault="00775589">
      <w:pPr>
        <w:pStyle w:val="ListParagraph"/>
        <w:numPr>
          <w:ilvl w:val="0"/>
          <w:numId w:val="16"/>
        </w:numPr>
        <w:spacing w:after="0"/>
        <w:jc w:val="both"/>
        <w:rPr>
          <w:rFonts w:ascii="Arial" w:hAnsi="Arial" w:cs="Arial"/>
        </w:rPr>
      </w:pPr>
      <w:r>
        <w:rPr>
          <w:rFonts w:ascii="Arial" w:hAnsi="Arial" w:cs="Arial"/>
        </w:rPr>
        <w:t>Export details during the last five years including country wise and sector wise export.</w:t>
      </w:r>
    </w:p>
    <w:p w14:paraId="5C35F0F7" w14:textId="77777777" w:rsidR="00945A46" w:rsidRDefault="00945A46">
      <w:pPr>
        <w:spacing w:after="0"/>
        <w:ind w:right="6744"/>
        <w:jc w:val="both"/>
        <w:rPr>
          <w:rFonts w:ascii="Arial" w:hAnsi="Arial" w:cs="Arial"/>
        </w:rPr>
      </w:pPr>
    </w:p>
    <w:p w14:paraId="1C6A0D1F" w14:textId="77777777" w:rsidR="00945A46" w:rsidRDefault="00775589">
      <w:pPr>
        <w:pStyle w:val="ListParagraph"/>
        <w:numPr>
          <w:ilvl w:val="0"/>
          <w:numId w:val="13"/>
        </w:numPr>
        <w:spacing w:after="0"/>
        <w:ind w:left="0" w:right="6744" w:firstLine="0"/>
        <w:jc w:val="both"/>
        <w:rPr>
          <w:rFonts w:ascii="Arial" w:hAnsi="Arial" w:cs="Arial"/>
        </w:rPr>
      </w:pPr>
      <w:r>
        <w:rPr>
          <w:rFonts w:ascii="Arial" w:hAnsi="Arial" w:cs="Arial"/>
          <w:b/>
        </w:rPr>
        <w:t>Price Analysis:</w:t>
      </w:r>
    </w:p>
    <w:p w14:paraId="2B862C7D" w14:textId="77777777" w:rsidR="00945A46" w:rsidRDefault="00775589">
      <w:pPr>
        <w:pStyle w:val="ListParagraph"/>
        <w:numPr>
          <w:ilvl w:val="0"/>
          <w:numId w:val="18"/>
        </w:numPr>
        <w:spacing w:after="0"/>
        <w:jc w:val="both"/>
        <w:rPr>
          <w:rFonts w:ascii="Arial" w:hAnsi="Arial" w:cs="Arial"/>
        </w:rPr>
      </w:pPr>
      <w:r>
        <w:rPr>
          <w:rFonts w:ascii="Arial" w:hAnsi="Arial" w:cs="Arial"/>
        </w:rPr>
        <w:t>Domestic price: Domestic price fluctuation of WNA &amp; AN - last 5 years manufacturer wise and that too with specific mention about ex-works and net price after all discounts if any. For WNA price of various grades of WNA as such may be presented.</w:t>
      </w:r>
    </w:p>
    <w:p w14:paraId="55658329" w14:textId="77777777" w:rsidR="00945A46" w:rsidRDefault="00775589">
      <w:pPr>
        <w:pStyle w:val="ListParagraph"/>
        <w:numPr>
          <w:ilvl w:val="0"/>
          <w:numId w:val="18"/>
        </w:numPr>
        <w:spacing w:after="0"/>
        <w:jc w:val="both"/>
        <w:rPr>
          <w:rFonts w:ascii="Arial" w:hAnsi="Arial" w:cs="Arial"/>
        </w:rPr>
      </w:pPr>
      <w:r>
        <w:rPr>
          <w:rFonts w:ascii="Arial" w:hAnsi="Arial" w:cs="Arial"/>
        </w:rPr>
        <w:t>CIF and FOB price Analysis of both Import and Export of WNA &amp; AN with country wise and year-wise breakup.</w:t>
      </w:r>
    </w:p>
    <w:p w14:paraId="3265AE3C" w14:textId="77777777" w:rsidR="00945A46" w:rsidRDefault="00775589">
      <w:pPr>
        <w:pStyle w:val="ListParagraph"/>
        <w:numPr>
          <w:ilvl w:val="0"/>
          <w:numId w:val="18"/>
        </w:numPr>
        <w:spacing w:after="0"/>
        <w:jc w:val="both"/>
        <w:rPr>
          <w:rFonts w:ascii="Arial" w:hAnsi="Arial" w:cs="Arial"/>
        </w:rPr>
      </w:pPr>
      <w:r>
        <w:rPr>
          <w:rFonts w:ascii="Arial" w:hAnsi="Arial" w:cs="Arial"/>
        </w:rPr>
        <w:t>Price drivers: The main factors influencing the price of WNA &amp; AN.</w:t>
      </w:r>
    </w:p>
    <w:p w14:paraId="01DA14AF" w14:textId="77777777" w:rsidR="00945A46" w:rsidRDefault="00775589">
      <w:pPr>
        <w:pStyle w:val="ListParagraph"/>
        <w:numPr>
          <w:ilvl w:val="0"/>
          <w:numId w:val="18"/>
        </w:numPr>
        <w:spacing w:after="0"/>
        <w:jc w:val="both"/>
        <w:rPr>
          <w:rFonts w:ascii="Arial" w:hAnsi="Arial" w:cs="Arial"/>
        </w:rPr>
      </w:pPr>
      <w:r>
        <w:rPr>
          <w:rFonts w:ascii="Arial" w:hAnsi="Arial" w:cs="Arial"/>
        </w:rPr>
        <w:t>Price forecast of WNA &amp; AN (domestic and import) up to 2030.</w:t>
      </w:r>
    </w:p>
    <w:p w14:paraId="26582BBB" w14:textId="77777777" w:rsidR="00945A46" w:rsidRDefault="00775589">
      <w:pPr>
        <w:pStyle w:val="ListParagraph"/>
        <w:numPr>
          <w:ilvl w:val="0"/>
          <w:numId w:val="18"/>
        </w:numPr>
        <w:spacing w:after="0"/>
        <w:jc w:val="both"/>
        <w:rPr>
          <w:rFonts w:ascii="Arial" w:hAnsi="Arial" w:cs="Arial"/>
        </w:rPr>
      </w:pPr>
      <w:r>
        <w:rPr>
          <w:rFonts w:ascii="Arial" w:hAnsi="Arial" w:cs="Arial"/>
        </w:rPr>
        <w:t>Consultant shall quote all the prices exclusive of any taxes however inclusive of custom.</w:t>
      </w:r>
    </w:p>
    <w:p w14:paraId="1F927A95" w14:textId="77777777" w:rsidR="00945A46" w:rsidRDefault="00775589">
      <w:pPr>
        <w:pStyle w:val="ListParagraph"/>
        <w:numPr>
          <w:ilvl w:val="0"/>
          <w:numId w:val="18"/>
        </w:numPr>
        <w:spacing w:after="0"/>
        <w:jc w:val="both"/>
        <w:rPr>
          <w:rFonts w:ascii="Arial" w:hAnsi="Arial" w:cs="Arial"/>
        </w:rPr>
      </w:pPr>
      <w:r>
        <w:rPr>
          <w:rFonts w:ascii="Arial" w:hAnsi="Arial" w:cs="Arial"/>
        </w:rPr>
        <w:t>Consultant shall also mention impact of any past, proposed or probable anti-dumping duty.</w:t>
      </w:r>
    </w:p>
    <w:p w14:paraId="517561D9" w14:textId="77777777" w:rsidR="00945A46" w:rsidRDefault="00945A46">
      <w:pPr>
        <w:pStyle w:val="ListParagraph"/>
        <w:spacing w:after="0"/>
        <w:jc w:val="both"/>
        <w:rPr>
          <w:rFonts w:ascii="Arial" w:hAnsi="Arial" w:cs="Arial"/>
        </w:rPr>
      </w:pPr>
    </w:p>
    <w:p w14:paraId="1F3792C2" w14:textId="77777777" w:rsidR="00945A46" w:rsidRDefault="00775589">
      <w:pPr>
        <w:spacing w:after="0"/>
        <w:jc w:val="both"/>
        <w:rPr>
          <w:rFonts w:ascii="Arial" w:hAnsi="Arial" w:cs="Arial"/>
        </w:rPr>
      </w:pPr>
      <w:r>
        <w:rPr>
          <w:rFonts w:ascii="Arial" w:hAnsi="Arial" w:cs="Arial"/>
        </w:rPr>
        <w:t>The consultant would provide price forecasting of the products with detailed description of:</w:t>
      </w:r>
    </w:p>
    <w:p w14:paraId="3205D68C" w14:textId="77777777" w:rsidR="00945A46" w:rsidRDefault="00775589">
      <w:pPr>
        <w:pStyle w:val="Default"/>
        <w:numPr>
          <w:ilvl w:val="0"/>
          <w:numId w:val="19"/>
        </w:numPr>
        <w:spacing w:line="276" w:lineRule="auto"/>
        <w:jc w:val="both"/>
        <w:rPr>
          <w:rFonts w:ascii="Arial" w:hAnsi="Arial" w:cs="Arial"/>
          <w:color w:val="auto"/>
          <w:sz w:val="22"/>
          <w:szCs w:val="22"/>
        </w:rPr>
      </w:pPr>
      <w:r>
        <w:rPr>
          <w:rFonts w:ascii="Arial" w:hAnsi="Arial" w:cs="Arial"/>
          <w:color w:val="auto"/>
          <w:sz w:val="22"/>
          <w:szCs w:val="22"/>
        </w:rPr>
        <w:t xml:space="preserve">Price forecasting methodology </w:t>
      </w:r>
    </w:p>
    <w:p w14:paraId="250489EF" w14:textId="77777777" w:rsidR="00945A46" w:rsidRDefault="00775589">
      <w:pPr>
        <w:pStyle w:val="Default"/>
        <w:numPr>
          <w:ilvl w:val="0"/>
          <w:numId w:val="19"/>
        </w:numPr>
        <w:spacing w:line="276" w:lineRule="auto"/>
        <w:jc w:val="both"/>
        <w:rPr>
          <w:rFonts w:ascii="Arial" w:hAnsi="Arial" w:cs="Arial"/>
          <w:color w:val="auto"/>
          <w:sz w:val="22"/>
          <w:szCs w:val="22"/>
        </w:rPr>
      </w:pPr>
      <w:r>
        <w:rPr>
          <w:rFonts w:ascii="Arial" w:hAnsi="Arial" w:cs="Arial"/>
          <w:color w:val="auto"/>
          <w:sz w:val="22"/>
          <w:szCs w:val="22"/>
        </w:rPr>
        <w:t xml:space="preserve">Factors driving the price forecast </w:t>
      </w:r>
    </w:p>
    <w:p w14:paraId="3A2C5DD5" w14:textId="77777777" w:rsidR="00945A46" w:rsidRDefault="00775589">
      <w:pPr>
        <w:pStyle w:val="Default"/>
        <w:numPr>
          <w:ilvl w:val="0"/>
          <w:numId w:val="19"/>
        </w:numPr>
        <w:spacing w:line="276" w:lineRule="auto"/>
        <w:jc w:val="both"/>
        <w:rPr>
          <w:rFonts w:ascii="Arial" w:hAnsi="Arial" w:cs="Arial"/>
          <w:color w:val="auto"/>
          <w:sz w:val="22"/>
          <w:szCs w:val="22"/>
        </w:rPr>
      </w:pPr>
      <w:r>
        <w:rPr>
          <w:rFonts w:ascii="Arial" w:hAnsi="Arial" w:cs="Arial"/>
          <w:color w:val="auto"/>
          <w:sz w:val="22"/>
          <w:szCs w:val="22"/>
        </w:rPr>
        <w:t xml:space="preserve">Trends in prices </w:t>
      </w:r>
    </w:p>
    <w:p w14:paraId="53187D35" w14:textId="77777777" w:rsidR="00945A46" w:rsidRDefault="00775589">
      <w:pPr>
        <w:pStyle w:val="Default"/>
        <w:numPr>
          <w:ilvl w:val="0"/>
          <w:numId w:val="19"/>
        </w:numPr>
        <w:spacing w:line="276" w:lineRule="auto"/>
        <w:jc w:val="both"/>
        <w:rPr>
          <w:rFonts w:ascii="Arial" w:hAnsi="Arial" w:cs="Arial"/>
          <w:color w:val="auto"/>
          <w:sz w:val="22"/>
          <w:szCs w:val="22"/>
        </w:rPr>
      </w:pPr>
      <w:r>
        <w:rPr>
          <w:rFonts w:ascii="Arial" w:hAnsi="Arial" w:cs="Arial"/>
          <w:color w:val="auto"/>
          <w:sz w:val="22"/>
          <w:szCs w:val="22"/>
        </w:rPr>
        <w:t xml:space="preserve">Price setting mechanisms </w:t>
      </w:r>
    </w:p>
    <w:p w14:paraId="6D88495F" w14:textId="77777777" w:rsidR="00945A46" w:rsidRDefault="00945A46">
      <w:pPr>
        <w:spacing w:after="0"/>
        <w:ind w:right="5246"/>
        <w:jc w:val="both"/>
        <w:rPr>
          <w:rFonts w:ascii="Arial" w:hAnsi="Arial" w:cs="Arial"/>
          <w:b/>
        </w:rPr>
      </w:pPr>
    </w:p>
    <w:p w14:paraId="2073A9AA" w14:textId="77777777" w:rsidR="00945A46" w:rsidRDefault="00775589">
      <w:pPr>
        <w:pStyle w:val="ListParagraph"/>
        <w:numPr>
          <w:ilvl w:val="0"/>
          <w:numId w:val="13"/>
        </w:numPr>
        <w:spacing w:after="0"/>
        <w:ind w:left="0" w:right="5246" w:firstLine="0"/>
        <w:jc w:val="both"/>
        <w:rPr>
          <w:rFonts w:ascii="Arial" w:hAnsi="Arial" w:cs="Arial"/>
          <w:b/>
        </w:rPr>
      </w:pPr>
      <w:r>
        <w:rPr>
          <w:rFonts w:ascii="Arial" w:hAnsi="Arial" w:cs="Arial"/>
          <w:b/>
        </w:rPr>
        <w:t xml:space="preserve">Demand Supply Analysis: </w:t>
      </w:r>
    </w:p>
    <w:p w14:paraId="1040A4D2" w14:textId="10412989" w:rsidR="00945A46" w:rsidRDefault="00921835">
      <w:pPr>
        <w:pStyle w:val="ListParagraph"/>
        <w:numPr>
          <w:ilvl w:val="0"/>
          <w:numId w:val="22"/>
        </w:numPr>
        <w:tabs>
          <w:tab w:val="left" w:pos="1080"/>
        </w:tabs>
        <w:spacing w:after="0"/>
        <w:ind w:right="70"/>
        <w:jc w:val="both"/>
        <w:rPr>
          <w:rFonts w:ascii="Arial" w:hAnsi="Arial" w:cs="Arial"/>
        </w:rPr>
      </w:pPr>
      <w:r>
        <w:rPr>
          <w:rFonts w:ascii="Arial" w:hAnsi="Arial" w:cs="Arial"/>
        </w:rPr>
        <w:t>Indian installed</w:t>
      </w:r>
      <w:r w:rsidR="00775589">
        <w:rPr>
          <w:rFonts w:ascii="Arial" w:hAnsi="Arial" w:cs="Arial"/>
        </w:rPr>
        <w:t xml:space="preserve"> </w:t>
      </w:r>
      <w:r w:rsidR="00460640">
        <w:rPr>
          <w:rFonts w:ascii="Arial" w:hAnsi="Arial" w:cs="Arial"/>
        </w:rPr>
        <w:t>capacity and Indian producers</w:t>
      </w:r>
      <w:r w:rsidR="00775589">
        <w:rPr>
          <w:rFonts w:ascii="Arial" w:hAnsi="Arial" w:cs="Arial"/>
        </w:rPr>
        <w:t xml:space="preserve"> - Period April 2016 to July 202</w:t>
      </w:r>
      <w:r w:rsidR="00460640">
        <w:rPr>
          <w:rFonts w:ascii="Arial" w:hAnsi="Arial" w:cs="Arial"/>
        </w:rPr>
        <w:t>1</w:t>
      </w:r>
      <w:r w:rsidR="00775589">
        <w:rPr>
          <w:rFonts w:ascii="Arial" w:hAnsi="Arial" w:cs="Arial"/>
        </w:rPr>
        <w:t>,</w:t>
      </w:r>
      <w:r w:rsidR="006B33BB">
        <w:rPr>
          <w:rFonts w:ascii="Arial" w:hAnsi="Arial" w:cs="Arial"/>
        </w:rPr>
        <w:t xml:space="preserve"> </w:t>
      </w:r>
      <w:r w:rsidR="00775589">
        <w:rPr>
          <w:rFonts w:ascii="Arial" w:hAnsi="Arial" w:cs="Arial"/>
        </w:rPr>
        <w:t>upcoming plants/expansion</w:t>
      </w:r>
      <w:r w:rsidR="00460640">
        <w:rPr>
          <w:rFonts w:ascii="Arial" w:hAnsi="Arial" w:cs="Arial"/>
        </w:rPr>
        <w:t xml:space="preserve"> </w:t>
      </w:r>
      <w:r w:rsidR="00775589">
        <w:rPr>
          <w:rFonts w:ascii="Arial" w:hAnsi="Arial" w:cs="Arial"/>
        </w:rPr>
        <w:t>and their capacity are also to be incorporated.</w:t>
      </w:r>
    </w:p>
    <w:p w14:paraId="1AFFB966" w14:textId="77777777" w:rsidR="00945A46" w:rsidRDefault="00775589">
      <w:pPr>
        <w:pStyle w:val="ListParagraph"/>
        <w:numPr>
          <w:ilvl w:val="0"/>
          <w:numId w:val="22"/>
        </w:numPr>
        <w:spacing w:after="0"/>
        <w:jc w:val="both"/>
        <w:rPr>
          <w:rFonts w:ascii="Arial" w:hAnsi="Arial" w:cs="Arial"/>
        </w:rPr>
      </w:pPr>
      <w:r>
        <w:rPr>
          <w:rFonts w:ascii="Arial" w:hAnsi="Arial" w:cs="Arial"/>
        </w:rPr>
        <w:lastRenderedPageBreak/>
        <w:t>Profile of Indian producers: Competitive landscaping mapping: Market share analysis of the industry players who are selling WNA &amp; AN.</w:t>
      </w:r>
    </w:p>
    <w:p w14:paraId="5F783EDE" w14:textId="77777777" w:rsidR="00945A46" w:rsidRDefault="00775589">
      <w:pPr>
        <w:pStyle w:val="ListParagraph"/>
        <w:numPr>
          <w:ilvl w:val="0"/>
          <w:numId w:val="22"/>
        </w:numPr>
        <w:spacing w:after="0"/>
        <w:jc w:val="both"/>
        <w:rPr>
          <w:rFonts w:ascii="Arial" w:hAnsi="Arial" w:cs="Arial"/>
        </w:rPr>
      </w:pPr>
      <w:r>
        <w:rPr>
          <w:rFonts w:ascii="Arial" w:hAnsi="Arial" w:cs="Arial"/>
        </w:rPr>
        <w:t>Existing Production capabilities (installed capacity, last 5 years production, and operating rate), firm planned capacities, speculative capacities &amp; major planned expansions/ closures to be considered for supply analysis.</w:t>
      </w:r>
    </w:p>
    <w:p w14:paraId="2310A90F" w14:textId="77777777" w:rsidR="00945A46" w:rsidRDefault="00775589">
      <w:pPr>
        <w:pStyle w:val="ListParagraph"/>
        <w:numPr>
          <w:ilvl w:val="0"/>
          <w:numId w:val="22"/>
        </w:numPr>
        <w:spacing w:after="0"/>
        <w:jc w:val="both"/>
        <w:rPr>
          <w:rFonts w:ascii="Arial" w:hAnsi="Arial" w:cs="Arial"/>
        </w:rPr>
      </w:pPr>
      <w:r>
        <w:rPr>
          <w:rFonts w:ascii="Arial" w:hAnsi="Arial" w:cs="Arial"/>
        </w:rPr>
        <w:t>Future production estimate - Period August 2021 to March 2030.</w:t>
      </w:r>
    </w:p>
    <w:p w14:paraId="51327931" w14:textId="77777777" w:rsidR="00945A46" w:rsidRDefault="00775589">
      <w:pPr>
        <w:pStyle w:val="ListParagraph"/>
        <w:numPr>
          <w:ilvl w:val="0"/>
          <w:numId w:val="22"/>
        </w:numPr>
        <w:spacing w:after="0"/>
        <w:ind w:right="71"/>
        <w:jc w:val="both"/>
        <w:rPr>
          <w:rFonts w:ascii="Arial" w:hAnsi="Arial" w:cs="Arial"/>
        </w:rPr>
      </w:pPr>
      <w:r>
        <w:rPr>
          <w:rFonts w:ascii="Arial" w:hAnsi="Arial" w:cs="Arial"/>
        </w:rPr>
        <w:t>Demand drivers: Detailed analysis of the major consumers of WNA &amp; AN, pattern, and future predictions. The imported WNA &amp; AN used for various purposes is also to be incorporated. Special focus to be made on the impact area of around 300 km radius in and around Shahjahanpur. The lead distance may be indicated while assessing demand outside periphery of 300 km.</w:t>
      </w:r>
    </w:p>
    <w:p w14:paraId="1860375A" w14:textId="77777777" w:rsidR="00945A46" w:rsidRDefault="00775589">
      <w:pPr>
        <w:pStyle w:val="ListParagraph"/>
        <w:numPr>
          <w:ilvl w:val="0"/>
          <w:numId w:val="22"/>
        </w:numPr>
        <w:spacing w:after="0"/>
        <w:ind w:right="70"/>
        <w:jc w:val="both"/>
        <w:rPr>
          <w:rFonts w:ascii="Arial" w:hAnsi="Arial" w:cs="Arial"/>
        </w:rPr>
      </w:pPr>
      <w:r>
        <w:rPr>
          <w:rFonts w:ascii="Arial" w:hAnsi="Arial" w:cs="Arial"/>
        </w:rPr>
        <w:t>Thrust area for demand: Major emerging / expansion sectors which would increase the demand.</w:t>
      </w:r>
    </w:p>
    <w:p w14:paraId="3E383669" w14:textId="77777777" w:rsidR="00945A46" w:rsidRDefault="00775589">
      <w:pPr>
        <w:pStyle w:val="ListParagraph"/>
        <w:numPr>
          <w:ilvl w:val="0"/>
          <w:numId w:val="22"/>
        </w:numPr>
        <w:tabs>
          <w:tab w:val="left" w:pos="1080"/>
        </w:tabs>
        <w:spacing w:after="0"/>
        <w:ind w:right="70"/>
        <w:jc w:val="both"/>
        <w:rPr>
          <w:rFonts w:ascii="Arial" w:hAnsi="Arial" w:cs="Arial"/>
        </w:rPr>
      </w:pPr>
      <w:r>
        <w:rPr>
          <w:rFonts w:ascii="Arial" w:hAnsi="Arial" w:cs="Arial"/>
        </w:rPr>
        <w:t>Consultant to clearly indicate the demand-Supply &amp; operating rate forecasting methodology along-with all assumptions and considerations made.</w:t>
      </w:r>
    </w:p>
    <w:p w14:paraId="0D8C3543" w14:textId="77777777" w:rsidR="00945A46" w:rsidRDefault="00775589">
      <w:pPr>
        <w:pStyle w:val="ListParagraph"/>
        <w:numPr>
          <w:ilvl w:val="0"/>
          <w:numId w:val="22"/>
        </w:numPr>
        <w:spacing w:after="0"/>
        <w:jc w:val="both"/>
        <w:rPr>
          <w:rFonts w:ascii="Arial" w:hAnsi="Arial" w:cs="Arial"/>
        </w:rPr>
      </w:pPr>
      <w:r>
        <w:rPr>
          <w:rFonts w:ascii="Arial" w:hAnsi="Arial" w:cs="Arial"/>
        </w:rPr>
        <w:t>Analysis of end user segments: Comprehensive analysis of end user segments.</w:t>
      </w:r>
    </w:p>
    <w:p w14:paraId="56E3FA05" w14:textId="77777777" w:rsidR="00945A46" w:rsidRDefault="00775589">
      <w:pPr>
        <w:pStyle w:val="ListParagraph"/>
        <w:numPr>
          <w:ilvl w:val="0"/>
          <w:numId w:val="22"/>
        </w:numPr>
        <w:spacing w:after="0"/>
        <w:jc w:val="both"/>
        <w:rPr>
          <w:rFonts w:ascii="Arial" w:hAnsi="Arial" w:cs="Arial"/>
        </w:rPr>
      </w:pPr>
      <w:r>
        <w:rPr>
          <w:rFonts w:ascii="Arial" w:hAnsi="Arial" w:cs="Arial"/>
        </w:rPr>
        <w:t>Supply side drivers to also be incorporated.</w:t>
      </w:r>
    </w:p>
    <w:p w14:paraId="02FB71E1" w14:textId="77EE690E" w:rsidR="00945A46" w:rsidRDefault="00775589">
      <w:pPr>
        <w:pStyle w:val="ListParagraph"/>
        <w:numPr>
          <w:ilvl w:val="0"/>
          <w:numId w:val="22"/>
        </w:numPr>
        <w:spacing w:after="0"/>
        <w:jc w:val="both"/>
        <w:rPr>
          <w:rFonts w:ascii="Arial" w:hAnsi="Arial" w:cs="Arial"/>
        </w:rPr>
      </w:pPr>
      <w:r>
        <w:rPr>
          <w:rFonts w:ascii="Arial" w:hAnsi="Arial" w:cs="Arial"/>
        </w:rPr>
        <w:t xml:space="preserve">Current industry practices prevalent for product movement in India and globally to be indicated by </w:t>
      </w:r>
      <w:r w:rsidR="006B33BB">
        <w:rPr>
          <w:rFonts w:ascii="Arial" w:hAnsi="Arial" w:cs="Arial"/>
        </w:rPr>
        <w:t>consultant</w:t>
      </w:r>
      <w:r>
        <w:rPr>
          <w:rFonts w:ascii="Arial" w:hAnsi="Arial" w:cs="Arial"/>
        </w:rPr>
        <w:t>. Consultant also to identify key constraints in handling, logistics and transportation including safety concerns over long distance transportation of WNA &amp; AN.</w:t>
      </w:r>
    </w:p>
    <w:p w14:paraId="034C72F9" w14:textId="77777777" w:rsidR="00945A46" w:rsidRDefault="00775589">
      <w:pPr>
        <w:pStyle w:val="ListParagraph"/>
        <w:numPr>
          <w:ilvl w:val="0"/>
          <w:numId w:val="22"/>
        </w:numPr>
        <w:tabs>
          <w:tab w:val="left" w:pos="1170"/>
        </w:tabs>
        <w:spacing w:after="0"/>
        <w:jc w:val="both"/>
        <w:rPr>
          <w:rFonts w:ascii="Arial" w:hAnsi="Arial" w:cs="Arial"/>
        </w:rPr>
      </w:pPr>
      <w:r>
        <w:rPr>
          <w:rFonts w:ascii="Arial" w:hAnsi="Arial" w:cs="Arial"/>
        </w:rPr>
        <w:t xml:space="preserve">Consultant shall specifically mention about the implementation of other proposed projects. </w:t>
      </w:r>
    </w:p>
    <w:p w14:paraId="26E370B6" w14:textId="77777777" w:rsidR="00945A46" w:rsidRDefault="00775589">
      <w:pPr>
        <w:pStyle w:val="ListParagraph"/>
        <w:numPr>
          <w:ilvl w:val="0"/>
          <w:numId w:val="22"/>
        </w:numPr>
        <w:tabs>
          <w:tab w:val="left" w:pos="1170"/>
        </w:tabs>
        <w:spacing w:after="0"/>
        <w:jc w:val="both"/>
        <w:rPr>
          <w:rFonts w:ascii="Arial" w:hAnsi="Arial" w:cs="Arial"/>
        </w:rPr>
      </w:pPr>
      <w:r>
        <w:rPr>
          <w:rFonts w:ascii="Arial" w:hAnsi="Arial" w:cs="Arial"/>
        </w:rPr>
        <w:t xml:space="preserve">Supply analysis of WNA and AN should also be bifurcated among merchant sales and supply for further consumption. </w:t>
      </w:r>
    </w:p>
    <w:p w14:paraId="7E67ADB5" w14:textId="77777777" w:rsidR="00945A46" w:rsidRDefault="00945A46">
      <w:pPr>
        <w:spacing w:after="0"/>
        <w:jc w:val="both"/>
        <w:rPr>
          <w:rFonts w:ascii="Arial" w:hAnsi="Arial" w:cs="Arial"/>
        </w:rPr>
      </w:pPr>
    </w:p>
    <w:p w14:paraId="6A7FE8C5" w14:textId="77777777" w:rsidR="00945A46" w:rsidRDefault="00775589">
      <w:pPr>
        <w:pStyle w:val="ListParagraph"/>
        <w:numPr>
          <w:ilvl w:val="0"/>
          <w:numId w:val="13"/>
        </w:numPr>
        <w:spacing w:after="0"/>
        <w:ind w:left="0" w:right="4036" w:firstLine="0"/>
        <w:jc w:val="both"/>
        <w:rPr>
          <w:rFonts w:ascii="Arial" w:hAnsi="Arial" w:cs="Arial"/>
        </w:rPr>
      </w:pPr>
      <w:r>
        <w:rPr>
          <w:rFonts w:ascii="Arial" w:hAnsi="Arial" w:cs="Arial"/>
          <w:b/>
        </w:rPr>
        <w:t>Recommendation</w:t>
      </w:r>
      <w:r>
        <w:rPr>
          <w:rFonts w:ascii="Arial" w:hAnsi="Arial" w:cs="Arial"/>
        </w:rPr>
        <w:t>:</w:t>
      </w:r>
    </w:p>
    <w:p w14:paraId="4811BCAF" w14:textId="77777777" w:rsidR="00945A46" w:rsidRDefault="00775589">
      <w:pPr>
        <w:pStyle w:val="ListParagraph"/>
        <w:widowControl w:val="0"/>
        <w:numPr>
          <w:ilvl w:val="0"/>
          <w:numId w:val="23"/>
        </w:numPr>
        <w:suppressAutoHyphens/>
        <w:spacing w:after="0"/>
        <w:jc w:val="both"/>
        <w:rPr>
          <w:rFonts w:ascii="Arial" w:hAnsi="Arial" w:cs="Arial"/>
        </w:rPr>
      </w:pPr>
      <w:r>
        <w:rPr>
          <w:rFonts w:ascii="Arial" w:hAnsi="Arial" w:cs="Arial"/>
        </w:rPr>
        <w:t>Recommendation for proposed sales capacity based on demand-supply gap and future market scenario. The impact of new projects and other drivers are to be incorporated in final recommendation.</w:t>
      </w:r>
    </w:p>
    <w:p w14:paraId="6B806DB9" w14:textId="77777777" w:rsidR="00945A46" w:rsidRDefault="00945A46">
      <w:pPr>
        <w:widowControl w:val="0"/>
        <w:suppressAutoHyphens/>
        <w:spacing w:after="0"/>
        <w:jc w:val="both"/>
        <w:rPr>
          <w:rFonts w:ascii="Arial" w:hAnsi="Arial" w:cs="Arial"/>
        </w:rPr>
      </w:pPr>
    </w:p>
    <w:p w14:paraId="38FE3E7B" w14:textId="77777777" w:rsidR="00945A46" w:rsidRDefault="00775589">
      <w:pPr>
        <w:widowControl w:val="0"/>
        <w:suppressAutoHyphens/>
        <w:spacing w:after="0"/>
        <w:jc w:val="both"/>
        <w:rPr>
          <w:rFonts w:ascii="Arial" w:hAnsi="Arial" w:cs="Arial"/>
        </w:rPr>
      </w:pPr>
      <w:r>
        <w:rPr>
          <w:rFonts w:ascii="Arial" w:hAnsi="Arial" w:cs="Arial"/>
        </w:rPr>
        <w:t>Note: Consultant should provide the working for capacity projection, demand, supply and future projection in excel mode to the owner.</w:t>
      </w:r>
    </w:p>
    <w:p w14:paraId="0CAFBA4C" w14:textId="77777777" w:rsidR="00945A46" w:rsidRDefault="00945A46">
      <w:pPr>
        <w:widowControl w:val="0"/>
        <w:suppressAutoHyphens/>
        <w:spacing w:after="0"/>
        <w:jc w:val="both"/>
        <w:rPr>
          <w:rFonts w:ascii="Arial" w:hAnsi="Arial" w:cs="Arial"/>
        </w:rPr>
      </w:pPr>
    </w:p>
    <w:p w14:paraId="4C8A9F45" w14:textId="77777777" w:rsidR="00945A46" w:rsidRDefault="00945A46">
      <w:pPr>
        <w:widowControl w:val="0"/>
        <w:suppressAutoHyphens/>
        <w:spacing w:after="0"/>
        <w:jc w:val="both"/>
        <w:rPr>
          <w:rFonts w:ascii="Arial" w:hAnsi="Arial" w:cs="Arial"/>
        </w:rPr>
      </w:pPr>
    </w:p>
    <w:p w14:paraId="7D0CF39A" w14:textId="77777777" w:rsidR="00945A46" w:rsidRDefault="00775589">
      <w:pPr>
        <w:spacing w:after="0"/>
        <w:jc w:val="both"/>
        <w:rPr>
          <w:rFonts w:ascii="Arial" w:hAnsi="Arial" w:cs="Arial"/>
          <w:b/>
          <w:u w:val="single"/>
        </w:rPr>
      </w:pPr>
      <w:r>
        <w:rPr>
          <w:rFonts w:ascii="Arial" w:hAnsi="Arial" w:cs="Arial"/>
          <w:b/>
          <w:u w:val="single"/>
        </w:rPr>
        <w:t>Part-B: Techno-Economic Feasibility Report (TEFR) for an integrated WNA &amp; AN plant:</w:t>
      </w:r>
    </w:p>
    <w:p w14:paraId="74EA5D78" w14:textId="77777777" w:rsidR="00945A46" w:rsidRDefault="00775589">
      <w:pPr>
        <w:pStyle w:val="NormalWeb"/>
        <w:spacing w:before="0" w:beforeAutospacing="0" w:after="0" w:afterAutospacing="0" w:line="276" w:lineRule="auto"/>
        <w:jc w:val="both"/>
        <w:rPr>
          <w:rFonts w:ascii="Arial" w:hAnsi="Arial" w:cs="Arial"/>
          <w:color w:val="000000"/>
          <w:sz w:val="22"/>
          <w:szCs w:val="22"/>
        </w:rPr>
      </w:pPr>
      <w:r>
        <w:rPr>
          <w:rFonts w:ascii="Arial" w:hAnsi="Arial" w:cs="Arial"/>
          <w:color w:val="000000"/>
          <w:sz w:val="22"/>
          <w:szCs w:val="22"/>
        </w:rPr>
        <w:t xml:space="preserve">The Scope of Work is for carrying out a detailed study for preparation of Techno-Economic Feasibility Report of an integrated WNA &amp; AN project consists of various aspects which are necessary for preparation of a report of such kind. </w:t>
      </w:r>
    </w:p>
    <w:p w14:paraId="5E10AE9E" w14:textId="77777777" w:rsidR="00945A46" w:rsidRDefault="00775589">
      <w:pPr>
        <w:pStyle w:val="NormalWeb"/>
        <w:spacing w:before="0" w:beforeAutospacing="0" w:after="0" w:afterAutospacing="0" w:line="276" w:lineRule="auto"/>
        <w:jc w:val="both"/>
        <w:rPr>
          <w:rFonts w:ascii="Arial" w:hAnsi="Arial" w:cs="Arial"/>
          <w:color w:val="000000"/>
          <w:sz w:val="22"/>
          <w:szCs w:val="22"/>
        </w:rPr>
      </w:pPr>
      <w:r>
        <w:rPr>
          <w:rFonts w:ascii="Arial" w:hAnsi="Arial" w:cs="Arial"/>
          <w:color w:val="000000"/>
          <w:sz w:val="22"/>
          <w:szCs w:val="22"/>
        </w:rPr>
        <w:t>The scope of work for preparation of TEFR shall include but not limited to the following:</w:t>
      </w:r>
    </w:p>
    <w:p w14:paraId="4107BE23"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 xml:space="preserve">Comprehensive Market Study as per scope defined in </w:t>
      </w:r>
      <w:r w:rsidRPr="008E4FB7">
        <w:rPr>
          <w:rFonts w:ascii="Arial" w:hAnsi="Arial" w:cs="Arial"/>
          <w:b/>
          <w:color w:val="4F81BD" w:themeColor="accent1"/>
          <w:sz w:val="22"/>
          <w:szCs w:val="22"/>
        </w:rPr>
        <w:t>Part-A.</w:t>
      </w:r>
    </w:p>
    <w:p w14:paraId="61161D47"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Fixation of plant capacity &amp; Project configuration - Capacity of WNA &amp; AN plant at Shahjahanpur shall be fixed based on surplus ammonia available at respective locations and sustainable demand-supply gap arrived at after comprehensive market survey.</w:t>
      </w:r>
    </w:p>
    <w:p w14:paraId="286E2175" w14:textId="258AEA30"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 xml:space="preserve">Description of manufacturing process &amp; available process technology of WNA &amp; AN along with process flow diagram and specific consumption of raw materials and utilities. Consultant also to state the technology used in running plant in </w:t>
      </w:r>
      <w:r w:rsidR="00FC3D2D" w:rsidRPr="008E4FB7">
        <w:rPr>
          <w:rFonts w:ascii="Arial" w:hAnsi="Arial" w:cs="Arial"/>
          <w:color w:val="4F81BD" w:themeColor="accent1"/>
          <w:sz w:val="22"/>
          <w:szCs w:val="22"/>
        </w:rPr>
        <w:t>India and</w:t>
      </w:r>
      <w:r w:rsidRPr="008E4FB7">
        <w:rPr>
          <w:rFonts w:ascii="Arial" w:hAnsi="Arial" w:cs="Arial"/>
          <w:color w:val="4F81BD" w:themeColor="accent1"/>
          <w:sz w:val="22"/>
          <w:szCs w:val="22"/>
        </w:rPr>
        <w:t xml:space="preserve"> highlight the latest trends in process licensor / technology. The description also to include the following:</w:t>
      </w:r>
    </w:p>
    <w:p w14:paraId="2406583A" w14:textId="77777777" w:rsidR="00945A46" w:rsidRPr="008E4FB7" w:rsidRDefault="00775589">
      <w:pPr>
        <w:pStyle w:val="NormalWeb"/>
        <w:numPr>
          <w:ilvl w:val="1"/>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lastRenderedPageBreak/>
        <w:t>Brief details of catalysts and chemicals and their typical requirement</w:t>
      </w:r>
    </w:p>
    <w:p w14:paraId="227370EE" w14:textId="77777777" w:rsidR="00945A46" w:rsidRPr="008E4FB7" w:rsidRDefault="00775589">
      <w:pPr>
        <w:pStyle w:val="NormalWeb"/>
        <w:numPr>
          <w:ilvl w:val="1"/>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Size of land required (approx.)</w:t>
      </w:r>
    </w:p>
    <w:p w14:paraId="41C0155B" w14:textId="77777777" w:rsidR="00945A46" w:rsidRPr="008E4FB7" w:rsidRDefault="00775589">
      <w:pPr>
        <w:pStyle w:val="NormalWeb"/>
        <w:numPr>
          <w:ilvl w:val="1"/>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Adequacy check of existing offsite and utility facility for sharing the proposed integrated WNA and AN plant.</w:t>
      </w:r>
    </w:p>
    <w:p w14:paraId="0100150F" w14:textId="77777777" w:rsidR="00945A46" w:rsidRPr="008E4FB7" w:rsidRDefault="00775589">
      <w:pPr>
        <w:pStyle w:val="NormalWeb"/>
        <w:numPr>
          <w:ilvl w:val="1"/>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Summary of various effluent &amp; emissions and technologies available to treat / meet the statutory norms.</w:t>
      </w:r>
    </w:p>
    <w:p w14:paraId="7B34A17C"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Financial Analysis: The Financial Analysis shall be done considering project cost of a new WNA &amp; AN plant. It would include:</w:t>
      </w:r>
    </w:p>
    <w:p w14:paraId="2D24055D" w14:textId="77777777" w:rsidR="00945A46" w:rsidRPr="008E4FB7" w:rsidRDefault="00775589">
      <w:pPr>
        <w:pStyle w:val="NormalWeb"/>
        <w:numPr>
          <w:ilvl w:val="1"/>
          <w:numId w:val="25"/>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Project cost estimation of new WNA &amp; AN Plant along with necessary offsite &amp; utilities. The accuracy of estimate shall be (+/-) 20%</w:t>
      </w:r>
    </w:p>
    <w:p w14:paraId="59EE94C7" w14:textId="77777777" w:rsidR="00945A46" w:rsidRPr="008E4FB7" w:rsidRDefault="00775589">
      <w:pPr>
        <w:pStyle w:val="NormalWeb"/>
        <w:numPr>
          <w:ilvl w:val="1"/>
          <w:numId w:val="25"/>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Cost of production</w:t>
      </w:r>
    </w:p>
    <w:p w14:paraId="30CE87E3" w14:textId="77777777" w:rsidR="00945A46" w:rsidRPr="008E4FB7" w:rsidRDefault="00775589">
      <w:pPr>
        <w:pStyle w:val="NormalWeb"/>
        <w:numPr>
          <w:ilvl w:val="1"/>
          <w:numId w:val="25"/>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Profitability projections</w:t>
      </w:r>
    </w:p>
    <w:p w14:paraId="7E3FD106" w14:textId="77777777" w:rsidR="00945A46" w:rsidRPr="008E4FB7" w:rsidRDefault="00775589">
      <w:pPr>
        <w:pStyle w:val="NormalWeb"/>
        <w:numPr>
          <w:ilvl w:val="1"/>
          <w:numId w:val="25"/>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Financial indicators</w:t>
      </w:r>
    </w:p>
    <w:p w14:paraId="7142D0E8" w14:textId="77777777" w:rsidR="00945A46" w:rsidRPr="008E4FB7" w:rsidRDefault="00775589">
      <w:pPr>
        <w:pStyle w:val="NormalWeb"/>
        <w:numPr>
          <w:ilvl w:val="1"/>
          <w:numId w:val="25"/>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Sensitivity Analysis</w:t>
      </w:r>
    </w:p>
    <w:p w14:paraId="2B554CB1" w14:textId="77777777" w:rsidR="00945A46" w:rsidRPr="008E4FB7" w:rsidRDefault="00945A46">
      <w:pPr>
        <w:pStyle w:val="NormalWeb"/>
        <w:spacing w:before="0" w:beforeAutospacing="0" w:after="0" w:afterAutospacing="0" w:line="276" w:lineRule="auto"/>
        <w:ind w:left="1440"/>
        <w:jc w:val="both"/>
        <w:rPr>
          <w:rFonts w:ascii="Arial" w:hAnsi="Arial" w:cs="Arial"/>
          <w:color w:val="000000"/>
          <w:sz w:val="22"/>
          <w:szCs w:val="22"/>
        </w:rPr>
      </w:pPr>
    </w:p>
    <w:p w14:paraId="026BF83F" w14:textId="77777777" w:rsidR="00945A46" w:rsidRPr="008E4FB7" w:rsidRDefault="00775589">
      <w:pPr>
        <w:pStyle w:val="NormalWeb"/>
        <w:spacing w:before="0" w:beforeAutospacing="0" w:after="0" w:afterAutospacing="0" w:line="276" w:lineRule="auto"/>
        <w:ind w:left="360"/>
        <w:jc w:val="both"/>
        <w:rPr>
          <w:rFonts w:ascii="Arial" w:hAnsi="Arial" w:cs="Arial"/>
          <w:color w:val="000000"/>
          <w:sz w:val="22"/>
          <w:szCs w:val="22"/>
        </w:rPr>
      </w:pPr>
      <w:r w:rsidRPr="008E4FB7">
        <w:rPr>
          <w:rFonts w:ascii="Arial" w:hAnsi="Arial" w:cs="Arial"/>
          <w:color w:val="000000"/>
          <w:sz w:val="22"/>
          <w:szCs w:val="22"/>
        </w:rPr>
        <w:t>Note: Consultant shall provide the specific details of consumption, capacity, utility requirement, other cost etc. and proposed financial model will be prepared in co-creation mode with KRIBHCO.</w:t>
      </w:r>
    </w:p>
    <w:p w14:paraId="031F497B" w14:textId="77777777" w:rsidR="00945A46" w:rsidRPr="008E4FB7" w:rsidRDefault="00945A46">
      <w:pPr>
        <w:pStyle w:val="NormalWeb"/>
        <w:spacing w:before="0" w:beforeAutospacing="0" w:after="0" w:afterAutospacing="0" w:line="276" w:lineRule="auto"/>
        <w:ind w:left="720"/>
        <w:jc w:val="both"/>
        <w:rPr>
          <w:rFonts w:ascii="Arial" w:hAnsi="Arial" w:cs="Arial"/>
          <w:color w:val="000000"/>
          <w:sz w:val="22"/>
          <w:szCs w:val="22"/>
        </w:rPr>
      </w:pPr>
    </w:p>
    <w:p w14:paraId="625296D3"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Government policies and regulatory issues: The different government policies and all the relevant Legal / Statutory Compliances and Environmental / Ecology Norms, PESO/CCOE Norms are to be incorporated in the report.</w:t>
      </w:r>
    </w:p>
    <w:p w14:paraId="157114C3"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4F81BD" w:themeColor="accent1"/>
          <w:sz w:val="22"/>
          <w:szCs w:val="22"/>
        </w:rPr>
      </w:pPr>
      <w:r w:rsidRPr="008E4FB7">
        <w:rPr>
          <w:rFonts w:ascii="Arial" w:hAnsi="Arial" w:cs="Arial"/>
          <w:color w:val="4F81BD" w:themeColor="accent1"/>
          <w:sz w:val="22"/>
          <w:szCs w:val="22"/>
        </w:rPr>
        <w:t>The report should clearly mention all the Import and Export Policies, Domestic Production Govt. norms, Transportation and rules for Vendor registration.</w:t>
      </w:r>
    </w:p>
    <w:p w14:paraId="2E362F31"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Time Schedule of Total Project including all milestones.</w:t>
      </w:r>
    </w:p>
    <w:p w14:paraId="6FBD4709"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SWOT Analysis</w:t>
      </w:r>
    </w:p>
    <w:p w14:paraId="4B5B151C" w14:textId="77777777"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Comparative analysis of both the sites based on Market study and TEFR.</w:t>
      </w:r>
    </w:p>
    <w:p w14:paraId="0045C24B" w14:textId="3B88FBDE" w:rsidR="00945A46" w:rsidRPr="008E4FB7" w:rsidRDefault="00775589">
      <w:pPr>
        <w:pStyle w:val="NormalWeb"/>
        <w:numPr>
          <w:ilvl w:val="0"/>
          <w:numId w:val="24"/>
        </w:numPr>
        <w:spacing w:before="0" w:beforeAutospacing="0" w:after="0" w:afterAutospacing="0" w:line="276" w:lineRule="auto"/>
        <w:jc w:val="both"/>
        <w:rPr>
          <w:rFonts w:ascii="Arial" w:hAnsi="Arial" w:cs="Arial"/>
          <w:color w:val="000000"/>
          <w:sz w:val="22"/>
          <w:szCs w:val="22"/>
        </w:rPr>
      </w:pPr>
      <w:r w:rsidRPr="008E4FB7">
        <w:rPr>
          <w:rFonts w:ascii="Arial" w:hAnsi="Arial" w:cs="Arial"/>
          <w:color w:val="000000"/>
          <w:sz w:val="22"/>
          <w:szCs w:val="22"/>
        </w:rPr>
        <w:t>Recommendation</w:t>
      </w:r>
      <w:r w:rsidR="006B33BB" w:rsidRPr="008E4FB7">
        <w:rPr>
          <w:rFonts w:ascii="Arial" w:hAnsi="Arial" w:cs="Arial"/>
          <w:color w:val="000000"/>
          <w:sz w:val="22"/>
          <w:szCs w:val="22"/>
        </w:rPr>
        <w:t>s</w:t>
      </w:r>
    </w:p>
    <w:p w14:paraId="0F3B7909" w14:textId="77777777" w:rsidR="00945A46" w:rsidRDefault="00945A46">
      <w:pPr>
        <w:pStyle w:val="NormalWeb"/>
        <w:spacing w:before="0" w:beforeAutospacing="0" w:after="0" w:afterAutospacing="0" w:line="276" w:lineRule="auto"/>
        <w:jc w:val="both"/>
        <w:rPr>
          <w:rFonts w:ascii="Arial" w:hAnsi="Arial" w:cs="Arial"/>
          <w:color w:val="000000"/>
          <w:sz w:val="22"/>
          <w:szCs w:val="22"/>
        </w:rPr>
      </w:pPr>
    </w:p>
    <w:p w14:paraId="779F142D" w14:textId="77777777" w:rsidR="00945A46" w:rsidRDefault="00945A46">
      <w:pPr>
        <w:pStyle w:val="NormalWeb"/>
        <w:spacing w:before="0" w:beforeAutospacing="0" w:after="0" w:afterAutospacing="0" w:line="276" w:lineRule="auto"/>
        <w:jc w:val="both"/>
        <w:rPr>
          <w:rFonts w:ascii="Arial" w:hAnsi="Arial" w:cs="Arial"/>
          <w:color w:val="000000"/>
          <w:sz w:val="22"/>
          <w:szCs w:val="22"/>
        </w:rPr>
      </w:pPr>
    </w:p>
    <w:p w14:paraId="2CD5FC9D" w14:textId="77777777" w:rsidR="00945A46" w:rsidRDefault="00945A46">
      <w:pPr>
        <w:pStyle w:val="NormalWeb"/>
        <w:spacing w:before="0" w:beforeAutospacing="0" w:after="0" w:afterAutospacing="0" w:line="276" w:lineRule="auto"/>
        <w:jc w:val="both"/>
        <w:rPr>
          <w:rFonts w:ascii="Arial" w:hAnsi="Arial" w:cs="Arial"/>
          <w:color w:val="000000"/>
          <w:sz w:val="22"/>
          <w:szCs w:val="22"/>
        </w:rPr>
      </w:pPr>
    </w:p>
    <w:p w14:paraId="2848DF3D" w14:textId="77777777" w:rsidR="00945A46" w:rsidRDefault="00945A46">
      <w:pPr>
        <w:pStyle w:val="NormalWeb"/>
        <w:spacing w:before="0" w:beforeAutospacing="0" w:after="0" w:afterAutospacing="0" w:line="276" w:lineRule="auto"/>
        <w:jc w:val="both"/>
        <w:rPr>
          <w:rFonts w:ascii="Arial" w:hAnsi="Arial" w:cs="Arial"/>
          <w:color w:val="000000"/>
          <w:sz w:val="22"/>
          <w:szCs w:val="22"/>
        </w:rPr>
      </w:pPr>
    </w:p>
    <w:sectPr w:rsidR="00945A46" w:rsidSect="00945A46">
      <w:pgSz w:w="12240" w:h="15840"/>
      <w:pgMar w:top="1135" w:right="1041" w:bottom="1135"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562"/>
    <w:multiLevelType w:val="hybridMultilevel"/>
    <w:tmpl w:val="8168D648"/>
    <w:lvl w:ilvl="0" w:tplc="91584D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01ED7"/>
    <w:multiLevelType w:val="hybridMultilevel"/>
    <w:tmpl w:val="4282F374"/>
    <w:lvl w:ilvl="0" w:tplc="49C8EB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D40C5"/>
    <w:multiLevelType w:val="hybridMultilevel"/>
    <w:tmpl w:val="44223864"/>
    <w:lvl w:ilvl="0" w:tplc="49C8EB08">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A0E43"/>
    <w:multiLevelType w:val="hybridMultilevel"/>
    <w:tmpl w:val="818C7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4172A"/>
    <w:multiLevelType w:val="hybridMultilevel"/>
    <w:tmpl w:val="CC266D0C"/>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0700A"/>
    <w:multiLevelType w:val="hybridMultilevel"/>
    <w:tmpl w:val="0590BF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478BD"/>
    <w:multiLevelType w:val="hybridMultilevel"/>
    <w:tmpl w:val="86526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253F3"/>
    <w:multiLevelType w:val="hybridMultilevel"/>
    <w:tmpl w:val="D65E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F71972"/>
    <w:multiLevelType w:val="hybridMultilevel"/>
    <w:tmpl w:val="A5A0624E"/>
    <w:lvl w:ilvl="0" w:tplc="91584DB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B2430FF"/>
    <w:multiLevelType w:val="multilevel"/>
    <w:tmpl w:val="BBF8CC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B69C3"/>
    <w:multiLevelType w:val="multilevel"/>
    <w:tmpl w:val="3A460B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E29B2"/>
    <w:multiLevelType w:val="hybridMultilevel"/>
    <w:tmpl w:val="BBD4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8175A"/>
    <w:multiLevelType w:val="hybridMultilevel"/>
    <w:tmpl w:val="8168D648"/>
    <w:lvl w:ilvl="0" w:tplc="91584DB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CE3D0B"/>
    <w:multiLevelType w:val="multilevel"/>
    <w:tmpl w:val="4524DE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96C98"/>
    <w:multiLevelType w:val="multilevel"/>
    <w:tmpl w:val="A91889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06545"/>
    <w:multiLevelType w:val="hybridMultilevel"/>
    <w:tmpl w:val="A4804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A14C08"/>
    <w:multiLevelType w:val="multilevel"/>
    <w:tmpl w:val="0FF0D6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737FE"/>
    <w:multiLevelType w:val="hybridMultilevel"/>
    <w:tmpl w:val="B3BE2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580269"/>
    <w:multiLevelType w:val="multilevel"/>
    <w:tmpl w:val="49163D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A231EE"/>
    <w:multiLevelType w:val="hybridMultilevel"/>
    <w:tmpl w:val="6BBC722A"/>
    <w:lvl w:ilvl="0" w:tplc="49C8EB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0564DA"/>
    <w:multiLevelType w:val="hybridMultilevel"/>
    <w:tmpl w:val="A8429D72"/>
    <w:lvl w:ilvl="0" w:tplc="91584DBC">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D0396F"/>
    <w:multiLevelType w:val="multilevel"/>
    <w:tmpl w:val="14F2EF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C3CD2"/>
    <w:multiLevelType w:val="hybridMultilevel"/>
    <w:tmpl w:val="2544FEE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5A41B8"/>
    <w:multiLevelType w:val="hybridMultilevel"/>
    <w:tmpl w:val="8158A1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A1D4C"/>
    <w:multiLevelType w:val="hybridMultilevel"/>
    <w:tmpl w:val="56AC5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894770"/>
    <w:multiLevelType w:val="hybridMultilevel"/>
    <w:tmpl w:val="1150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44143"/>
    <w:multiLevelType w:val="hybridMultilevel"/>
    <w:tmpl w:val="906C0556"/>
    <w:lvl w:ilvl="0" w:tplc="67A0F39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9613732">
    <w:abstractNumId w:val="21"/>
  </w:num>
  <w:num w:numId="2" w16cid:durableId="1032000418">
    <w:abstractNumId w:val="14"/>
  </w:num>
  <w:num w:numId="3" w16cid:durableId="167790838">
    <w:abstractNumId w:val="13"/>
  </w:num>
  <w:num w:numId="4" w16cid:durableId="1547837846">
    <w:abstractNumId w:val="16"/>
  </w:num>
  <w:num w:numId="5" w16cid:durableId="1270433567">
    <w:abstractNumId w:val="9"/>
  </w:num>
  <w:num w:numId="6" w16cid:durableId="1031223157">
    <w:abstractNumId w:val="18"/>
  </w:num>
  <w:num w:numId="7" w16cid:durableId="146211655">
    <w:abstractNumId w:val="10"/>
  </w:num>
  <w:num w:numId="8" w16cid:durableId="365330360">
    <w:abstractNumId w:val="25"/>
  </w:num>
  <w:num w:numId="9" w16cid:durableId="897284700">
    <w:abstractNumId w:val="3"/>
  </w:num>
  <w:num w:numId="10" w16cid:durableId="699739668">
    <w:abstractNumId w:val="5"/>
  </w:num>
  <w:num w:numId="11" w16cid:durableId="742221817">
    <w:abstractNumId w:val="23"/>
  </w:num>
  <w:num w:numId="12" w16cid:durableId="1409377335">
    <w:abstractNumId w:val="4"/>
  </w:num>
  <w:num w:numId="13" w16cid:durableId="890769486">
    <w:abstractNumId w:val="26"/>
  </w:num>
  <w:num w:numId="14" w16cid:durableId="1036393594">
    <w:abstractNumId w:val="8"/>
  </w:num>
  <w:num w:numId="15" w16cid:durableId="1587420866">
    <w:abstractNumId w:val="22"/>
  </w:num>
  <w:num w:numId="16" w16cid:durableId="1133476791">
    <w:abstractNumId w:val="15"/>
  </w:num>
  <w:num w:numId="17" w16cid:durableId="421489047">
    <w:abstractNumId w:val="17"/>
  </w:num>
  <w:num w:numId="18" w16cid:durableId="1018118660">
    <w:abstractNumId w:val="11"/>
  </w:num>
  <w:num w:numId="19" w16cid:durableId="1681620718">
    <w:abstractNumId w:val="12"/>
  </w:num>
  <w:num w:numId="20" w16cid:durableId="266353744">
    <w:abstractNumId w:val="1"/>
  </w:num>
  <w:num w:numId="21" w16cid:durableId="996230531">
    <w:abstractNumId w:val="24"/>
  </w:num>
  <w:num w:numId="22" w16cid:durableId="496309747">
    <w:abstractNumId w:val="6"/>
  </w:num>
  <w:num w:numId="23" w16cid:durableId="1024671210">
    <w:abstractNumId w:val="7"/>
  </w:num>
  <w:num w:numId="24" w16cid:durableId="1930499994">
    <w:abstractNumId w:val="2"/>
  </w:num>
  <w:num w:numId="25" w16cid:durableId="1693603534">
    <w:abstractNumId w:val="20"/>
  </w:num>
  <w:num w:numId="26" w16cid:durableId="3947141">
    <w:abstractNumId w:val="0"/>
  </w:num>
  <w:num w:numId="27" w16cid:durableId="12312316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46"/>
    <w:rsid w:val="000508EB"/>
    <w:rsid w:val="000A475B"/>
    <w:rsid w:val="001C217B"/>
    <w:rsid w:val="0032588C"/>
    <w:rsid w:val="00391648"/>
    <w:rsid w:val="00460640"/>
    <w:rsid w:val="005F611C"/>
    <w:rsid w:val="006B33BB"/>
    <w:rsid w:val="006C4790"/>
    <w:rsid w:val="006E53BE"/>
    <w:rsid w:val="00775589"/>
    <w:rsid w:val="007B0F62"/>
    <w:rsid w:val="007F36BF"/>
    <w:rsid w:val="00810AFD"/>
    <w:rsid w:val="00863290"/>
    <w:rsid w:val="008E4FB7"/>
    <w:rsid w:val="00907728"/>
    <w:rsid w:val="00921835"/>
    <w:rsid w:val="00945A46"/>
    <w:rsid w:val="009678E4"/>
    <w:rsid w:val="00AB01F8"/>
    <w:rsid w:val="00C77FE5"/>
    <w:rsid w:val="00D00BAA"/>
    <w:rsid w:val="00D10F9C"/>
    <w:rsid w:val="00D133D6"/>
    <w:rsid w:val="00DB4D01"/>
    <w:rsid w:val="00DD2DCE"/>
    <w:rsid w:val="00EE7BC6"/>
    <w:rsid w:val="00FC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A0A7"/>
  <w15:docId w15:val="{6A155592-3638-4487-A6ED-DBBBDA9A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945A4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45A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45A46"/>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945A46"/>
    <w:pPr>
      <w:ind w:left="720"/>
      <w:contextualSpacing/>
    </w:pPr>
  </w:style>
  <w:style w:type="character" w:styleId="CommentReference">
    <w:name w:val="annotation reference"/>
    <w:basedOn w:val="DefaultParagraphFont"/>
    <w:uiPriority w:val="99"/>
    <w:semiHidden/>
    <w:unhideWhenUsed/>
    <w:rsid w:val="00FC3D2D"/>
    <w:rPr>
      <w:sz w:val="16"/>
      <w:szCs w:val="16"/>
    </w:rPr>
  </w:style>
  <w:style w:type="paragraph" w:styleId="CommentText">
    <w:name w:val="annotation text"/>
    <w:basedOn w:val="Normal"/>
    <w:link w:val="CommentTextChar"/>
    <w:uiPriority w:val="99"/>
    <w:semiHidden/>
    <w:unhideWhenUsed/>
    <w:rsid w:val="00FC3D2D"/>
    <w:pPr>
      <w:spacing w:line="240" w:lineRule="auto"/>
    </w:pPr>
    <w:rPr>
      <w:sz w:val="20"/>
      <w:szCs w:val="20"/>
    </w:rPr>
  </w:style>
  <w:style w:type="character" w:customStyle="1" w:styleId="CommentTextChar">
    <w:name w:val="Comment Text Char"/>
    <w:basedOn w:val="DefaultParagraphFont"/>
    <w:link w:val="CommentText"/>
    <w:uiPriority w:val="99"/>
    <w:semiHidden/>
    <w:rsid w:val="00FC3D2D"/>
    <w:rPr>
      <w:sz w:val="20"/>
      <w:szCs w:val="20"/>
    </w:rPr>
  </w:style>
  <w:style w:type="paragraph" w:styleId="CommentSubject">
    <w:name w:val="annotation subject"/>
    <w:basedOn w:val="CommentText"/>
    <w:next w:val="CommentText"/>
    <w:link w:val="CommentSubjectChar"/>
    <w:uiPriority w:val="99"/>
    <w:semiHidden/>
    <w:unhideWhenUsed/>
    <w:rsid w:val="00FC3D2D"/>
    <w:rPr>
      <w:b/>
      <w:bCs/>
    </w:rPr>
  </w:style>
  <w:style w:type="character" w:customStyle="1" w:styleId="CommentSubjectChar">
    <w:name w:val="Comment Subject Char"/>
    <w:basedOn w:val="CommentTextChar"/>
    <w:link w:val="CommentSubject"/>
    <w:uiPriority w:val="99"/>
    <w:semiHidden/>
    <w:rsid w:val="00FC3D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6304">
      <w:bodyDiv w:val="1"/>
      <w:marLeft w:val="0"/>
      <w:marRight w:val="0"/>
      <w:marTop w:val="0"/>
      <w:marBottom w:val="0"/>
      <w:divBdr>
        <w:top w:val="none" w:sz="0" w:space="0" w:color="auto"/>
        <w:left w:val="none" w:sz="0" w:space="0" w:color="auto"/>
        <w:bottom w:val="none" w:sz="0" w:space="0" w:color="auto"/>
        <w:right w:val="none" w:sz="0" w:space="0" w:color="auto"/>
      </w:divBdr>
    </w:div>
    <w:div w:id="439491163">
      <w:bodyDiv w:val="1"/>
      <w:marLeft w:val="0"/>
      <w:marRight w:val="0"/>
      <w:marTop w:val="0"/>
      <w:marBottom w:val="0"/>
      <w:divBdr>
        <w:top w:val="none" w:sz="0" w:space="0" w:color="auto"/>
        <w:left w:val="none" w:sz="0" w:space="0" w:color="auto"/>
        <w:bottom w:val="none" w:sz="0" w:space="0" w:color="auto"/>
        <w:right w:val="none" w:sz="0" w:space="0" w:color="auto"/>
      </w:divBdr>
    </w:div>
    <w:div w:id="525560872">
      <w:bodyDiv w:val="1"/>
      <w:marLeft w:val="0"/>
      <w:marRight w:val="0"/>
      <w:marTop w:val="0"/>
      <w:marBottom w:val="0"/>
      <w:divBdr>
        <w:top w:val="none" w:sz="0" w:space="0" w:color="auto"/>
        <w:left w:val="none" w:sz="0" w:space="0" w:color="auto"/>
        <w:bottom w:val="none" w:sz="0" w:space="0" w:color="auto"/>
        <w:right w:val="none" w:sz="0" w:space="0" w:color="auto"/>
      </w:divBdr>
    </w:div>
    <w:div w:id="1299188333">
      <w:bodyDiv w:val="1"/>
      <w:marLeft w:val="0"/>
      <w:marRight w:val="0"/>
      <w:marTop w:val="0"/>
      <w:marBottom w:val="0"/>
      <w:divBdr>
        <w:top w:val="none" w:sz="0" w:space="0" w:color="auto"/>
        <w:left w:val="none" w:sz="0" w:space="0" w:color="auto"/>
        <w:bottom w:val="none" w:sz="0" w:space="0" w:color="auto"/>
        <w:right w:val="none" w:sz="0" w:space="0" w:color="auto"/>
      </w:divBdr>
    </w:div>
    <w:div w:id="1519469491">
      <w:bodyDiv w:val="1"/>
      <w:marLeft w:val="0"/>
      <w:marRight w:val="0"/>
      <w:marTop w:val="0"/>
      <w:marBottom w:val="0"/>
      <w:divBdr>
        <w:top w:val="none" w:sz="0" w:space="0" w:color="auto"/>
        <w:left w:val="none" w:sz="0" w:space="0" w:color="auto"/>
        <w:bottom w:val="none" w:sz="0" w:space="0" w:color="auto"/>
        <w:right w:val="none" w:sz="0" w:space="0" w:color="auto"/>
      </w:divBdr>
    </w:div>
    <w:div w:id="15704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Ghosh</dc:creator>
  <cp:lastModifiedBy>Hardik Malhotra</cp:lastModifiedBy>
  <cp:revision>2</cp:revision>
  <dcterms:created xsi:type="dcterms:W3CDTF">2022-08-19T12:46:00Z</dcterms:created>
  <dcterms:modified xsi:type="dcterms:W3CDTF">2022-08-19T12:46:00Z</dcterms:modified>
</cp:coreProperties>
</file>