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CD1A" w14:textId="53B615C0" w:rsidR="002E6DD6" w:rsidRDefault="00D55C3C" w:rsidP="000443D8">
      <w:pPr>
        <w:pStyle w:val="ListParagraph"/>
        <w:numPr>
          <w:ilvl w:val="0"/>
          <w:numId w:val="1"/>
        </w:numPr>
        <w:jc w:val="both"/>
        <w:rPr>
          <w:b/>
          <w:bCs/>
          <w:u w:val="single"/>
        </w:rPr>
      </w:pPr>
      <w:r>
        <w:rPr>
          <w:b/>
          <w:bCs/>
          <w:u w:val="single"/>
        </w:rPr>
        <w:t>Available</w:t>
      </w:r>
      <w:r w:rsidR="002F5685">
        <w:rPr>
          <w:b/>
          <w:bCs/>
          <w:u w:val="single"/>
        </w:rPr>
        <w:t xml:space="preserve"> process technology of Weak Nitric Acid and Ammonium Nitrate:</w:t>
      </w:r>
    </w:p>
    <w:p w14:paraId="781EFC31" w14:textId="77777777" w:rsidR="002F5685" w:rsidRDefault="002F5685" w:rsidP="000443D8">
      <w:pPr>
        <w:pStyle w:val="ListParagraph"/>
        <w:jc w:val="both"/>
        <w:rPr>
          <w:b/>
          <w:bCs/>
          <w:u w:val="single"/>
        </w:rPr>
      </w:pPr>
    </w:p>
    <w:tbl>
      <w:tblPr>
        <w:tblStyle w:val="TableGrid"/>
        <w:tblW w:w="0" w:type="auto"/>
        <w:tblLook w:val="04A0" w:firstRow="1" w:lastRow="0" w:firstColumn="1" w:lastColumn="0" w:noHBand="0" w:noVBand="1"/>
      </w:tblPr>
      <w:tblGrid>
        <w:gridCol w:w="1534"/>
        <w:gridCol w:w="1841"/>
        <w:gridCol w:w="1962"/>
        <w:gridCol w:w="2208"/>
        <w:gridCol w:w="1805"/>
      </w:tblGrid>
      <w:tr w:rsidR="00807B75" w14:paraId="66EF859B" w14:textId="77777777" w:rsidTr="00807B75">
        <w:tc>
          <w:tcPr>
            <w:tcW w:w="1534" w:type="dxa"/>
          </w:tcPr>
          <w:p w14:paraId="226685A0" w14:textId="735F8309" w:rsidR="00807B75" w:rsidRPr="00807B75" w:rsidRDefault="00807B75" w:rsidP="000443D8">
            <w:pPr>
              <w:pStyle w:val="ListParagraph"/>
              <w:ind w:left="0"/>
              <w:jc w:val="both"/>
              <w:rPr>
                <w:b/>
                <w:bCs/>
              </w:rPr>
            </w:pPr>
            <w:r>
              <w:rPr>
                <w:b/>
                <w:bCs/>
              </w:rPr>
              <w:t>S. No.</w:t>
            </w:r>
          </w:p>
        </w:tc>
        <w:tc>
          <w:tcPr>
            <w:tcW w:w="1841" w:type="dxa"/>
          </w:tcPr>
          <w:p w14:paraId="448B7DA6" w14:textId="1BABA1AF" w:rsidR="00807B75" w:rsidRPr="00807B75" w:rsidRDefault="00807B75" w:rsidP="000443D8">
            <w:pPr>
              <w:pStyle w:val="ListParagraph"/>
              <w:ind w:left="0"/>
              <w:jc w:val="both"/>
              <w:rPr>
                <w:b/>
                <w:bCs/>
              </w:rPr>
            </w:pPr>
            <w:r w:rsidRPr="00807B75">
              <w:rPr>
                <w:b/>
                <w:bCs/>
              </w:rPr>
              <w:t>Plant</w:t>
            </w:r>
          </w:p>
        </w:tc>
        <w:tc>
          <w:tcPr>
            <w:tcW w:w="1962" w:type="dxa"/>
          </w:tcPr>
          <w:p w14:paraId="366035BA" w14:textId="5EF89846" w:rsidR="00807B75" w:rsidRPr="00807B75" w:rsidRDefault="00807B75" w:rsidP="000443D8">
            <w:pPr>
              <w:pStyle w:val="ListParagraph"/>
              <w:ind w:left="0"/>
              <w:jc w:val="both"/>
              <w:rPr>
                <w:b/>
                <w:bCs/>
              </w:rPr>
            </w:pPr>
            <w:r w:rsidRPr="00807B75">
              <w:rPr>
                <w:b/>
                <w:bCs/>
              </w:rPr>
              <w:t>Technology provider</w:t>
            </w:r>
          </w:p>
        </w:tc>
        <w:tc>
          <w:tcPr>
            <w:tcW w:w="2208" w:type="dxa"/>
          </w:tcPr>
          <w:p w14:paraId="23F9F40B" w14:textId="23C516FD" w:rsidR="00807B75" w:rsidRPr="00807B75" w:rsidRDefault="00807B75" w:rsidP="000443D8">
            <w:pPr>
              <w:pStyle w:val="ListParagraph"/>
              <w:ind w:left="0"/>
              <w:jc w:val="both"/>
              <w:rPr>
                <w:b/>
                <w:bCs/>
              </w:rPr>
            </w:pPr>
            <w:r w:rsidRPr="00807B75">
              <w:rPr>
                <w:b/>
                <w:bCs/>
              </w:rPr>
              <w:t>Process/technology</w:t>
            </w:r>
          </w:p>
        </w:tc>
        <w:tc>
          <w:tcPr>
            <w:tcW w:w="1805" w:type="dxa"/>
          </w:tcPr>
          <w:p w14:paraId="47140ACF" w14:textId="35CAD7B0" w:rsidR="00807B75" w:rsidRPr="00807B75" w:rsidRDefault="00807B75" w:rsidP="000443D8">
            <w:pPr>
              <w:pStyle w:val="ListParagraph"/>
              <w:ind w:left="0"/>
              <w:jc w:val="both"/>
              <w:rPr>
                <w:b/>
                <w:bCs/>
              </w:rPr>
            </w:pPr>
            <w:r w:rsidRPr="00807B75">
              <w:rPr>
                <w:b/>
                <w:bCs/>
              </w:rPr>
              <w:t>Client</w:t>
            </w:r>
          </w:p>
        </w:tc>
      </w:tr>
      <w:tr w:rsidR="00807B75" w14:paraId="0B03B48F" w14:textId="77777777" w:rsidTr="00807B75">
        <w:tc>
          <w:tcPr>
            <w:tcW w:w="1534" w:type="dxa"/>
          </w:tcPr>
          <w:p w14:paraId="5A74A1D8" w14:textId="3232EC34" w:rsidR="00807B75" w:rsidRPr="002F5685" w:rsidRDefault="00807B75" w:rsidP="000443D8">
            <w:pPr>
              <w:pStyle w:val="ListParagraph"/>
              <w:ind w:left="0"/>
              <w:jc w:val="both"/>
            </w:pPr>
            <w:r>
              <w:t>1</w:t>
            </w:r>
          </w:p>
        </w:tc>
        <w:tc>
          <w:tcPr>
            <w:tcW w:w="1841" w:type="dxa"/>
          </w:tcPr>
          <w:p w14:paraId="0DE5866B" w14:textId="522116CD" w:rsidR="00807B75" w:rsidRPr="002F5685" w:rsidRDefault="00807B75" w:rsidP="000443D8">
            <w:pPr>
              <w:pStyle w:val="ListParagraph"/>
              <w:ind w:left="0"/>
              <w:jc w:val="both"/>
            </w:pPr>
            <w:r w:rsidRPr="002F5685">
              <w:t>Ammonium nitrate melt (AN melt)</w:t>
            </w:r>
          </w:p>
        </w:tc>
        <w:tc>
          <w:tcPr>
            <w:tcW w:w="1962" w:type="dxa"/>
          </w:tcPr>
          <w:p w14:paraId="39627B0E" w14:textId="4F5DAEC7" w:rsidR="00807B75" w:rsidRPr="002F5685" w:rsidRDefault="00807B75" w:rsidP="000443D8">
            <w:pPr>
              <w:pStyle w:val="ListParagraph"/>
              <w:ind w:left="0"/>
              <w:jc w:val="both"/>
            </w:pPr>
            <w:r w:rsidRPr="002F5685">
              <w:t>Thyssenkrupp</w:t>
            </w:r>
          </w:p>
        </w:tc>
        <w:tc>
          <w:tcPr>
            <w:tcW w:w="2208" w:type="dxa"/>
          </w:tcPr>
          <w:p w14:paraId="1217AD2B" w14:textId="5806F90F" w:rsidR="00807B75" w:rsidRPr="002F5685" w:rsidRDefault="00807B75" w:rsidP="000443D8">
            <w:pPr>
              <w:pStyle w:val="ListParagraph"/>
              <w:ind w:left="0"/>
              <w:jc w:val="both"/>
            </w:pPr>
            <w:proofErr w:type="spellStart"/>
            <w:r w:rsidRPr="002F5685">
              <w:t>uhde</w:t>
            </w:r>
            <w:proofErr w:type="spellEnd"/>
            <w:r w:rsidRPr="002F5685">
              <w:t xml:space="preserve">® Vacuum </w:t>
            </w:r>
            <w:proofErr w:type="spellStart"/>
            <w:r w:rsidRPr="002F5685">
              <w:t>Neutralisation</w:t>
            </w:r>
            <w:proofErr w:type="spellEnd"/>
          </w:p>
        </w:tc>
        <w:tc>
          <w:tcPr>
            <w:tcW w:w="1805" w:type="dxa"/>
          </w:tcPr>
          <w:p w14:paraId="315AFF5F" w14:textId="1E8D9C74" w:rsidR="00807B75" w:rsidRPr="002F5685" w:rsidRDefault="00807B75" w:rsidP="000443D8">
            <w:pPr>
              <w:pStyle w:val="ListParagraph"/>
              <w:ind w:left="0"/>
              <w:jc w:val="both"/>
            </w:pPr>
            <w:r w:rsidRPr="002F5685">
              <w:t>Gujarat Narmada Valley Fertilizers &amp; Chemicals Limited</w:t>
            </w:r>
          </w:p>
        </w:tc>
      </w:tr>
      <w:tr w:rsidR="00807B75" w14:paraId="6DF9FDDF" w14:textId="77777777" w:rsidTr="00807B75">
        <w:tc>
          <w:tcPr>
            <w:tcW w:w="1534" w:type="dxa"/>
          </w:tcPr>
          <w:p w14:paraId="20D8CC0D" w14:textId="2A8D34E5" w:rsidR="00807B75" w:rsidRDefault="00807B75" w:rsidP="000443D8">
            <w:pPr>
              <w:pStyle w:val="ListParagraph"/>
              <w:ind w:left="0"/>
              <w:jc w:val="both"/>
            </w:pPr>
            <w:r>
              <w:t>2</w:t>
            </w:r>
          </w:p>
        </w:tc>
        <w:tc>
          <w:tcPr>
            <w:tcW w:w="1841" w:type="dxa"/>
            <w:vAlign w:val="bottom"/>
          </w:tcPr>
          <w:p w14:paraId="3818C353" w14:textId="48B6B555" w:rsidR="00807B75" w:rsidRPr="002F5685" w:rsidRDefault="00807B75" w:rsidP="000443D8">
            <w:pPr>
              <w:pStyle w:val="ListParagraph"/>
              <w:ind w:left="0"/>
              <w:jc w:val="both"/>
            </w:pPr>
            <w:r>
              <w:rPr>
                <w:rFonts w:ascii="Calibri" w:hAnsi="Calibri" w:cs="Calibri"/>
                <w:color w:val="000000"/>
              </w:rPr>
              <w:t>Technical Ammonium Nitrate (TAN)</w:t>
            </w:r>
          </w:p>
        </w:tc>
        <w:tc>
          <w:tcPr>
            <w:tcW w:w="1962" w:type="dxa"/>
            <w:vAlign w:val="bottom"/>
          </w:tcPr>
          <w:p w14:paraId="290A0E43" w14:textId="24576C66" w:rsidR="00807B75" w:rsidRPr="002F5685" w:rsidRDefault="00807B75" w:rsidP="000443D8">
            <w:pPr>
              <w:pStyle w:val="ListParagraph"/>
              <w:ind w:left="0"/>
              <w:jc w:val="both"/>
            </w:pPr>
            <w:r>
              <w:rPr>
                <w:rFonts w:ascii="Calibri" w:hAnsi="Calibri" w:cs="Calibri"/>
                <w:color w:val="000000"/>
              </w:rPr>
              <w:t>Casale SA</w:t>
            </w:r>
          </w:p>
        </w:tc>
        <w:tc>
          <w:tcPr>
            <w:tcW w:w="2208" w:type="dxa"/>
            <w:vAlign w:val="bottom"/>
          </w:tcPr>
          <w:p w14:paraId="01D1E248" w14:textId="48E65BD2" w:rsidR="00807B75" w:rsidRPr="002F5685" w:rsidRDefault="00807B75" w:rsidP="000443D8">
            <w:pPr>
              <w:pStyle w:val="ListParagraph"/>
              <w:ind w:left="0"/>
              <w:jc w:val="both"/>
            </w:pPr>
            <w:r>
              <w:rPr>
                <w:rFonts w:ascii="Calibri" w:hAnsi="Calibri" w:cs="Calibri"/>
                <w:color w:val="000000"/>
              </w:rPr>
              <w:t>AN2000/Dual Pipe reactor</w:t>
            </w:r>
          </w:p>
        </w:tc>
        <w:tc>
          <w:tcPr>
            <w:tcW w:w="1805" w:type="dxa"/>
            <w:vAlign w:val="bottom"/>
          </w:tcPr>
          <w:p w14:paraId="6BE291A3" w14:textId="0BF36C88" w:rsidR="00807B75" w:rsidRPr="002F5685" w:rsidRDefault="00807B75" w:rsidP="000443D8">
            <w:pPr>
              <w:pStyle w:val="ListParagraph"/>
              <w:ind w:left="0"/>
              <w:jc w:val="both"/>
            </w:pPr>
            <w:proofErr w:type="spellStart"/>
            <w:r>
              <w:rPr>
                <w:rFonts w:ascii="Calibri" w:hAnsi="Calibri" w:cs="Calibri"/>
                <w:color w:val="000000"/>
              </w:rPr>
              <w:t>Smartchem</w:t>
            </w:r>
            <w:proofErr w:type="spellEnd"/>
            <w:r>
              <w:rPr>
                <w:rFonts w:ascii="Calibri" w:hAnsi="Calibri" w:cs="Calibri"/>
                <w:color w:val="000000"/>
              </w:rPr>
              <w:t xml:space="preserve"> Technologies Ltd. (a subsidiary of Deepak Fertilizer), </w:t>
            </w:r>
            <w:r>
              <w:rPr>
                <w:rFonts w:ascii="Calibri" w:hAnsi="Calibri" w:cs="Calibri"/>
                <w:color w:val="FF0000"/>
              </w:rPr>
              <w:t>(</w:t>
            </w:r>
            <w:r>
              <w:rPr>
                <w:rFonts w:ascii="Calibri" w:hAnsi="Calibri" w:cs="Calibri"/>
                <w:b/>
                <w:bCs/>
                <w:color w:val="FF0000"/>
              </w:rPr>
              <w:t>Planned)</w:t>
            </w:r>
          </w:p>
        </w:tc>
      </w:tr>
      <w:tr w:rsidR="00807B75" w14:paraId="0787EB51" w14:textId="77777777" w:rsidTr="00807B75">
        <w:tc>
          <w:tcPr>
            <w:tcW w:w="1534" w:type="dxa"/>
          </w:tcPr>
          <w:p w14:paraId="71F1B619" w14:textId="7E2D71EF" w:rsidR="00807B75" w:rsidRPr="002F5685" w:rsidRDefault="00807B75" w:rsidP="000443D8">
            <w:pPr>
              <w:pStyle w:val="ListParagraph"/>
              <w:ind w:left="0"/>
              <w:jc w:val="both"/>
            </w:pPr>
            <w:r>
              <w:t>3</w:t>
            </w:r>
          </w:p>
        </w:tc>
        <w:tc>
          <w:tcPr>
            <w:tcW w:w="1841" w:type="dxa"/>
          </w:tcPr>
          <w:p w14:paraId="28328BA5" w14:textId="4771C079" w:rsidR="00807B75" w:rsidRPr="002F5685" w:rsidRDefault="00807B75" w:rsidP="000443D8">
            <w:pPr>
              <w:pStyle w:val="ListParagraph"/>
              <w:ind w:left="0"/>
              <w:jc w:val="both"/>
            </w:pPr>
            <w:r w:rsidRPr="002F5685">
              <w:t>Ammonium nitrate (AN)</w:t>
            </w:r>
          </w:p>
        </w:tc>
        <w:tc>
          <w:tcPr>
            <w:tcW w:w="1962" w:type="dxa"/>
          </w:tcPr>
          <w:p w14:paraId="36240D89" w14:textId="53DF91E5" w:rsidR="00807B75" w:rsidRPr="002F5685" w:rsidRDefault="00807B75" w:rsidP="000443D8">
            <w:pPr>
              <w:pStyle w:val="ListParagraph"/>
              <w:ind w:left="0"/>
              <w:jc w:val="both"/>
            </w:pPr>
            <w:r w:rsidRPr="002F5685">
              <w:t>Thyssenkrupp</w:t>
            </w:r>
          </w:p>
        </w:tc>
        <w:tc>
          <w:tcPr>
            <w:tcW w:w="2208" w:type="dxa"/>
          </w:tcPr>
          <w:p w14:paraId="20281D62" w14:textId="5A4588B3" w:rsidR="00807B75" w:rsidRPr="002F5685" w:rsidRDefault="00807B75" w:rsidP="000443D8">
            <w:pPr>
              <w:pStyle w:val="ListParagraph"/>
              <w:ind w:left="0"/>
              <w:jc w:val="both"/>
            </w:pPr>
            <w:proofErr w:type="spellStart"/>
            <w:r w:rsidRPr="002F5685">
              <w:t>uhde</w:t>
            </w:r>
            <w:proofErr w:type="spellEnd"/>
            <w:r w:rsidRPr="002F5685">
              <w:t xml:space="preserve">® Vacuum </w:t>
            </w:r>
            <w:proofErr w:type="spellStart"/>
            <w:r w:rsidRPr="002F5685">
              <w:t>Neutralisation</w:t>
            </w:r>
            <w:proofErr w:type="spellEnd"/>
          </w:p>
        </w:tc>
        <w:tc>
          <w:tcPr>
            <w:tcW w:w="1805" w:type="dxa"/>
          </w:tcPr>
          <w:p w14:paraId="3DFBFF8F" w14:textId="1B25CBDE" w:rsidR="00807B75" w:rsidRPr="002F5685" w:rsidRDefault="00807B75" w:rsidP="000443D8">
            <w:pPr>
              <w:pStyle w:val="ListParagraph"/>
              <w:ind w:left="0"/>
              <w:jc w:val="both"/>
            </w:pPr>
            <w:r w:rsidRPr="002F5685">
              <w:t>Deepak fertilizers, Taloja plant</w:t>
            </w:r>
          </w:p>
        </w:tc>
      </w:tr>
      <w:tr w:rsidR="00807B75" w14:paraId="00B47E5D" w14:textId="77777777" w:rsidTr="00807B75">
        <w:tc>
          <w:tcPr>
            <w:tcW w:w="1534" w:type="dxa"/>
          </w:tcPr>
          <w:p w14:paraId="20932C82" w14:textId="3078DFAD" w:rsidR="00807B75" w:rsidRPr="002F5685" w:rsidRDefault="00807B75" w:rsidP="000443D8">
            <w:pPr>
              <w:pStyle w:val="ListParagraph"/>
              <w:ind w:left="0"/>
              <w:jc w:val="both"/>
            </w:pPr>
            <w:r>
              <w:t>4</w:t>
            </w:r>
          </w:p>
        </w:tc>
        <w:tc>
          <w:tcPr>
            <w:tcW w:w="1841" w:type="dxa"/>
          </w:tcPr>
          <w:p w14:paraId="045B3827" w14:textId="60E3DC9C" w:rsidR="00807B75" w:rsidRPr="002F5685" w:rsidRDefault="00807B75" w:rsidP="000443D8">
            <w:pPr>
              <w:pStyle w:val="ListParagraph"/>
              <w:ind w:left="0"/>
              <w:jc w:val="both"/>
            </w:pPr>
            <w:r w:rsidRPr="002F5685">
              <w:t>Ammonium nitrate melt (AN melt)</w:t>
            </w:r>
          </w:p>
        </w:tc>
        <w:tc>
          <w:tcPr>
            <w:tcW w:w="1962" w:type="dxa"/>
          </w:tcPr>
          <w:p w14:paraId="3A85ECB6" w14:textId="2CA2CD66" w:rsidR="00807B75" w:rsidRPr="002F5685" w:rsidRDefault="00807B75" w:rsidP="000443D8">
            <w:pPr>
              <w:pStyle w:val="ListParagraph"/>
              <w:ind w:left="0"/>
              <w:jc w:val="both"/>
            </w:pPr>
            <w:r w:rsidRPr="002F5685">
              <w:t>INCRO</w:t>
            </w:r>
          </w:p>
        </w:tc>
        <w:tc>
          <w:tcPr>
            <w:tcW w:w="2208" w:type="dxa"/>
          </w:tcPr>
          <w:p w14:paraId="3ED6D2F7" w14:textId="5D89C721" w:rsidR="00807B75" w:rsidRPr="002F5685" w:rsidRDefault="00807B75" w:rsidP="000443D8">
            <w:pPr>
              <w:pStyle w:val="ListParagraph"/>
              <w:ind w:left="0"/>
              <w:jc w:val="both"/>
            </w:pPr>
            <w:r w:rsidRPr="002F5685">
              <w:t>Multitubular Reactor (MTR)</w:t>
            </w:r>
          </w:p>
        </w:tc>
        <w:tc>
          <w:tcPr>
            <w:tcW w:w="1805" w:type="dxa"/>
          </w:tcPr>
          <w:p w14:paraId="52682732" w14:textId="125C7C14" w:rsidR="00807B75" w:rsidRPr="002F5685" w:rsidRDefault="00807B75" w:rsidP="000443D8">
            <w:pPr>
              <w:pStyle w:val="ListParagraph"/>
              <w:ind w:left="0"/>
              <w:jc w:val="both"/>
            </w:pPr>
            <w:proofErr w:type="spellStart"/>
            <w:r w:rsidRPr="002F5685">
              <w:t>Rashtriya</w:t>
            </w:r>
            <w:proofErr w:type="spellEnd"/>
            <w:r w:rsidRPr="002F5685">
              <w:t xml:space="preserve"> Chemicals and Fertilizers Limited</w:t>
            </w:r>
          </w:p>
        </w:tc>
      </w:tr>
      <w:tr w:rsidR="00807B75" w14:paraId="76CED302" w14:textId="77777777" w:rsidTr="00807B75">
        <w:tc>
          <w:tcPr>
            <w:tcW w:w="1534" w:type="dxa"/>
          </w:tcPr>
          <w:p w14:paraId="4D8A97FB" w14:textId="64EF04D5" w:rsidR="00807B75" w:rsidRDefault="00807B75" w:rsidP="000443D8">
            <w:pPr>
              <w:pStyle w:val="ListParagraph"/>
              <w:ind w:left="0"/>
              <w:jc w:val="both"/>
              <w:rPr>
                <w:rFonts w:ascii="Calibri" w:hAnsi="Calibri" w:cs="Calibri"/>
                <w:color w:val="000000"/>
              </w:rPr>
            </w:pPr>
            <w:r>
              <w:rPr>
                <w:rFonts w:ascii="Calibri" w:hAnsi="Calibri" w:cs="Calibri"/>
                <w:color w:val="000000"/>
              </w:rPr>
              <w:t>5</w:t>
            </w:r>
          </w:p>
        </w:tc>
        <w:tc>
          <w:tcPr>
            <w:tcW w:w="1841" w:type="dxa"/>
            <w:vAlign w:val="bottom"/>
          </w:tcPr>
          <w:p w14:paraId="2760570E" w14:textId="491F36EA" w:rsidR="00807B75" w:rsidRPr="002F5685" w:rsidRDefault="00807B75" w:rsidP="000443D8">
            <w:pPr>
              <w:pStyle w:val="ListParagraph"/>
              <w:ind w:left="0"/>
              <w:jc w:val="both"/>
            </w:pPr>
            <w:r>
              <w:rPr>
                <w:rFonts w:ascii="Calibri" w:hAnsi="Calibri" w:cs="Calibri"/>
                <w:color w:val="000000"/>
              </w:rPr>
              <w:t>Ammonium nitrate melt (AN melt)</w:t>
            </w:r>
          </w:p>
        </w:tc>
        <w:tc>
          <w:tcPr>
            <w:tcW w:w="1962" w:type="dxa"/>
            <w:vAlign w:val="bottom"/>
          </w:tcPr>
          <w:p w14:paraId="35F88071" w14:textId="1FA7B2E8" w:rsidR="00807B75" w:rsidRPr="002F5685" w:rsidRDefault="00807B75" w:rsidP="000443D8">
            <w:pPr>
              <w:pStyle w:val="ListParagraph"/>
              <w:ind w:left="0"/>
              <w:jc w:val="both"/>
            </w:pPr>
            <w:r>
              <w:rPr>
                <w:rFonts w:ascii="Calibri" w:hAnsi="Calibri" w:cs="Calibri"/>
                <w:b/>
                <w:bCs/>
                <w:color w:val="000000"/>
              </w:rPr>
              <w:t>WIP</w:t>
            </w:r>
          </w:p>
        </w:tc>
        <w:tc>
          <w:tcPr>
            <w:tcW w:w="2208" w:type="dxa"/>
            <w:vAlign w:val="bottom"/>
          </w:tcPr>
          <w:p w14:paraId="1964318D" w14:textId="7F874139" w:rsidR="00807B75" w:rsidRPr="002F5685" w:rsidRDefault="00807B75" w:rsidP="000443D8">
            <w:pPr>
              <w:pStyle w:val="ListParagraph"/>
              <w:ind w:left="0"/>
              <w:jc w:val="both"/>
            </w:pPr>
            <w:r>
              <w:rPr>
                <w:rFonts w:ascii="Calibri" w:hAnsi="Calibri" w:cs="Calibri"/>
                <w:b/>
                <w:bCs/>
                <w:color w:val="000000"/>
              </w:rPr>
              <w:t>WIP</w:t>
            </w:r>
          </w:p>
        </w:tc>
        <w:tc>
          <w:tcPr>
            <w:tcW w:w="1805" w:type="dxa"/>
            <w:vAlign w:val="bottom"/>
          </w:tcPr>
          <w:p w14:paraId="33CDBCC0" w14:textId="02DE2AD6" w:rsidR="00807B75" w:rsidRPr="002F5685" w:rsidRDefault="00807B75" w:rsidP="000443D8">
            <w:pPr>
              <w:pStyle w:val="ListParagraph"/>
              <w:ind w:left="0"/>
              <w:jc w:val="both"/>
            </w:pPr>
            <w:r>
              <w:rPr>
                <w:rFonts w:ascii="Calibri" w:hAnsi="Calibri" w:cs="Calibri"/>
                <w:color w:val="000000"/>
              </w:rPr>
              <w:t>National Fertilizers Limited</w:t>
            </w:r>
          </w:p>
        </w:tc>
      </w:tr>
      <w:tr w:rsidR="00807B75" w14:paraId="796A44C7" w14:textId="77777777" w:rsidTr="00807B75">
        <w:tc>
          <w:tcPr>
            <w:tcW w:w="1534" w:type="dxa"/>
          </w:tcPr>
          <w:p w14:paraId="5918C22A" w14:textId="55D535BB" w:rsidR="00807B75" w:rsidRDefault="00807B75" w:rsidP="000443D8">
            <w:pPr>
              <w:pStyle w:val="ListParagraph"/>
              <w:ind w:left="0"/>
              <w:jc w:val="both"/>
            </w:pPr>
            <w:r>
              <w:t>6</w:t>
            </w:r>
          </w:p>
        </w:tc>
        <w:tc>
          <w:tcPr>
            <w:tcW w:w="1841" w:type="dxa"/>
            <w:vAlign w:val="bottom"/>
          </w:tcPr>
          <w:p w14:paraId="7781FBF1" w14:textId="58F56461" w:rsidR="00807B75" w:rsidRPr="002F5685" w:rsidRDefault="00807B75" w:rsidP="000443D8">
            <w:pPr>
              <w:pStyle w:val="ListParagraph"/>
              <w:ind w:left="0"/>
              <w:jc w:val="both"/>
            </w:pPr>
            <w:r>
              <w:t>NA</w:t>
            </w:r>
          </w:p>
        </w:tc>
        <w:tc>
          <w:tcPr>
            <w:tcW w:w="1962" w:type="dxa"/>
            <w:vAlign w:val="bottom"/>
          </w:tcPr>
          <w:p w14:paraId="50AB5572" w14:textId="5BA33FF5" w:rsidR="00807B75" w:rsidRPr="002F5685" w:rsidRDefault="00807B75" w:rsidP="000443D8">
            <w:pPr>
              <w:pStyle w:val="ListParagraph"/>
              <w:ind w:left="0"/>
              <w:jc w:val="both"/>
            </w:pPr>
            <w:r>
              <w:t>NA</w:t>
            </w:r>
          </w:p>
        </w:tc>
        <w:tc>
          <w:tcPr>
            <w:tcW w:w="2208" w:type="dxa"/>
            <w:vAlign w:val="bottom"/>
          </w:tcPr>
          <w:p w14:paraId="57F9CADB" w14:textId="2026EBBB" w:rsidR="00807B75" w:rsidRPr="002F5685" w:rsidRDefault="00807B75" w:rsidP="000443D8">
            <w:pPr>
              <w:pStyle w:val="ListParagraph"/>
              <w:ind w:left="0"/>
              <w:jc w:val="both"/>
            </w:pPr>
            <w:r>
              <w:rPr>
                <w:rFonts w:ascii="Calibri" w:hAnsi="Calibri" w:cs="Calibri"/>
                <w:color w:val="000000"/>
              </w:rPr>
              <w:t>NA</w:t>
            </w:r>
          </w:p>
        </w:tc>
        <w:tc>
          <w:tcPr>
            <w:tcW w:w="1805" w:type="dxa"/>
            <w:vAlign w:val="bottom"/>
          </w:tcPr>
          <w:p w14:paraId="24E82899" w14:textId="102E2ED1" w:rsidR="00807B75" w:rsidRPr="002F5685" w:rsidRDefault="00807B75" w:rsidP="000443D8">
            <w:pPr>
              <w:pStyle w:val="ListParagraph"/>
              <w:ind w:left="0"/>
              <w:jc w:val="both"/>
            </w:pPr>
            <w:r>
              <w:rPr>
                <w:rFonts w:ascii="Calibri" w:hAnsi="Calibri" w:cs="Calibri"/>
                <w:color w:val="000000"/>
              </w:rPr>
              <w:t xml:space="preserve">Chambal </w:t>
            </w:r>
            <w:proofErr w:type="spellStart"/>
            <w:r>
              <w:rPr>
                <w:rFonts w:ascii="Calibri" w:hAnsi="Calibri" w:cs="Calibri"/>
                <w:color w:val="000000"/>
              </w:rPr>
              <w:t>fertilisers</w:t>
            </w:r>
            <w:proofErr w:type="spellEnd"/>
            <w:r>
              <w:rPr>
                <w:rFonts w:ascii="Calibri" w:hAnsi="Calibri" w:cs="Calibri"/>
                <w:color w:val="000000"/>
              </w:rPr>
              <w:t xml:space="preserve"> and chemicals Ltd.</w:t>
            </w:r>
          </w:p>
        </w:tc>
      </w:tr>
      <w:tr w:rsidR="00807B75" w14:paraId="04101952" w14:textId="77777777" w:rsidTr="00807B75">
        <w:tc>
          <w:tcPr>
            <w:tcW w:w="1534" w:type="dxa"/>
          </w:tcPr>
          <w:p w14:paraId="46074765" w14:textId="65D82D3B" w:rsidR="00807B75" w:rsidRDefault="00807B75" w:rsidP="000443D8">
            <w:pPr>
              <w:pStyle w:val="ListParagraph"/>
              <w:ind w:left="0"/>
              <w:jc w:val="both"/>
              <w:rPr>
                <w:rFonts w:ascii="Calibri" w:hAnsi="Calibri" w:cs="Calibri"/>
                <w:color w:val="000000"/>
              </w:rPr>
            </w:pPr>
            <w:r>
              <w:rPr>
                <w:rFonts w:ascii="Calibri" w:hAnsi="Calibri" w:cs="Calibri"/>
                <w:color w:val="000000"/>
              </w:rPr>
              <w:t>7</w:t>
            </w:r>
          </w:p>
        </w:tc>
        <w:tc>
          <w:tcPr>
            <w:tcW w:w="1841" w:type="dxa"/>
            <w:vAlign w:val="bottom"/>
          </w:tcPr>
          <w:p w14:paraId="7CDD8644" w14:textId="25DDB8CD" w:rsidR="00807B75" w:rsidRPr="002F5685" w:rsidRDefault="00807B75" w:rsidP="000443D8">
            <w:pPr>
              <w:pStyle w:val="ListParagraph"/>
              <w:ind w:left="0"/>
              <w:jc w:val="both"/>
            </w:pPr>
            <w:r>
              <w:rPr>
                <w:rFonts w:ascii="Calibri" w:hAnsi="Calibri" w:cs="Calibri"/>
                <w:color w:val="000000"/>
              </w:rPr>
              <w:t>Weak Nitric Acid (WNA)</w:t>
            </w:r>
          </w:p>
        </w:tc>
        <w:tc>
          <w:tcPr>
            <w:tcW w:w="1962" w:type="dxa"/>
            <w:vAlign w:val="bottom"/>
          </w:tcPr>
          <w:p w14:paraId="5974E832" w14:textId="47ED81ED" w:rsidR="00807B75" w:rsidRPr="002F5685" w:rsidRDefault="00807B75" w:rsidP="000443D8">
            <w:pPr>
              <w:pStyle w:val="ListParagraph"/>
              <w:ind w:left="0"/>
              <w:jc w:val="both"/>
            </w:pPr>
            <w:proofErr w:type="spellStart"/>
            <w:r>
              <w:rPr>
                <w:rFonts w:ascii="Calibri" w:hAnsi="Calibri" w:cs="Calibri"/>
                <w:color w:val="000000"/>
              </w:rPr>
              <w:t>Plinke</w:t>
            </w:r>
            <w:proofErr w:type="spellEnd"/>
            <w:r>
              <w:rPr>
                <w:rFonts w:ascii="Calibri" w:hAnsi="Calibri" w:cs="Calibri"/>
                <w:color w:val="000000"/>
              </w:rPr>
              <w:t xml:space="preserve"> GmbH (KBR's </w:t>
            </w:r>
            <w:r w:rsidR="00891E16">
              <w:rPr>
                <w:rFonts w:ascii="Calibri" w:hAnsi="Calibri" w:cs="Calibri"/>
                <w:color w:val="000000"/>
              </w:rPr>
              <w:t>Subsidiary</w:t>
            </w:r>
            <w:r>
              <w:rPr>
                <w:rFonts w:ascii="Calibri" w:hAnsi="Calibri" w:cs="Calibri"/>
                <w:color w:val="000000"/>
              </w:rPr>
              <w:t>)</w:t>
            </w:r>
          </w:p>
        </w:tc>
        <w:tc>
          <w:tcPr>
            <w:tcW w:w="2208" w:type="dxa"/>
            <w:vAlign w:val="bottom"/>
          </w:tcPr>
          <w:p w14:paraId="74FCABFD" w14:textId="63883ECD" w:rsidR="00807B75" w:rsidRPr="002F5685" w:rsidRDefault="00807B75" w:rsidP="000443D8">
            <w:pPr>
              <w:pStyle w:val="ListParagraph"/>
              <w:ind w:left="0"/>
              <w:jc w:val="both"/>
            </w:pPr>
            <w:r>
              <w:rPr>
                <w:rFonts w:ascii="Calibri" w:hAnsi="Calibri" w:cs="Calibri"/>
                <w:color w:val="000000"/>
              </w:rPr>
              <w:t>NAPC®</w:t>
            </w:r>
          </w:p>
        </w:tc>
        <w:tc>
          <w:tcPr>
            <w:tcW w:w="1805" w:type="dxa"/>
            <w:vAlign w:val="bottom"/>
          </w:tcPr>
          <w:p w14:paraId="1C5F0358" w14:textId="744F4573" w:rsidR="00807B75" w:rsidRPr="002F5685" w:rsidRDefault="00807B75" w:rsidP="000443D8">
            <w:pPr>
              <w:pStyle w:val="ListParagraph"/>
              <w:ind w:left="0"/>
              <w:jc w:val="both"/>
            </w:pPr>
            <w:r>
              <w:rPr>
                <w:rFonts w:ascii="Calibri" w:hAnsi="Calibri" w:cs="Calibri"/>
                <w:color w:val="000000"/>
              </w:rPr>
              <w:t>Gujarat Narmada Valley Fertilizers &amp; Chemicals Limited</w:t>
            </w:r>
          </w:p>
        </w:tc>
      </w:tr>
      <w:tr w:rsidR="00807B75" w14:paraId="7A689FE2" w14:textId="77777777" w:rsidTr="00807B75">
        <w:tc>
          <w:tcPr>
            <w:tcW w:w="1534" w:type="dxa"/>
          </w:tcPr>
          <w:p w14:paraId="70A754A2" w14:textId="51DEBB4D" w:rsidR="00807B75" w:rsidRDefault="00807B75" w:rsidP="000443D8">
            <w:pPr>
              <w:pStyle w:val="ListParagraph"/>
              <w:ind w:left="0"/>
              <w:jc w:val="both"/>
              <w:rPr>
                <w:rFonts w:ascii="Calibri" w:hAnsi="Calibri" w:cs="Calibri"/>
                <w:color w:val="000000"/>
              </w:rPr>
            </w:pPr>
            <w:r>
              <w:rPr>
                <w:rFonts w:ascii="Calibri" w:hAnsi="Calibri" w:cs="Calibri"/>
                <w:color w:val="000000"/>
              </w:rPr>
              <w:t>8</w:t>
            </w:r>
          </w:p>
        </w:tc>
        <w:tc>
          <w:tcPr>
            <w:tcW w:w="1841" w:type="dxa"/>
            <w:vAlign w:val="bottom"/>
          </w:tcPr>
          <w:p w14:paraId="78A803CD" w14:textId="204ACD01" w:rsidR="00807B75" w:rsidRPr="002F5685" w:rsidRDefault="00807B75" w:rsidP="000443D8">
            <w:pPr>
              <w:pStyle w:val="ListParagraph"/>
              <w:ind w:left="0"/>
              <w:jc w:val="both"/>
            </w:pPr>
            <w:r>
              <w:rPr>
                <w:rFonts w:ascii="Calibri" w:hAnsi="Calibri" w:cs="Calibri"/>
                <w:color w:val="000000"/>
              </w:rPr>
              <w:t>Weak Nitric Acid (WNA)</w:t>
            </w:r>
          </w:p>
        </w:tc>
        <w:tc>
          <w:tcPr>
            <w:tcW w:w="1962" w:type="dxa"/>
            <w:vAlign w:val="bottom"/>
          </w:tcPr>
          <w:p w14:paraId="60A6C555" w14:textId="181582D3" w:rsidR="00807B75" w:rsidRPr="002F5685" w:rsidRDefault="00807B75" w:rsidP="000443D8">
            <w:pPr>
              <w:pStyle w:val="ListParagraph"/>
              <w:ind w:left="0"/>
              <w:jc w:val="both"/>
            </w:pPr>
            <w:r>
              <w:rPr>
                <w:rFonts w:ascii="Calibri" w:hAnsi="Calibri" w:cs="Calibri"/>
                <w:color w:val="000000"/>
              </w:rPr>
              <w:t>Thyssenkrupp</w:t>
            </w:r>
          </w:p>
        </w:tc>
        <w:tc>
          <w:tcPr>
            <w:tcW w:w="2208" w:type="dxa"/>
            <w:vAlign w:val="bottom"/>
          </w:tcPr>
          <w:p w14:paraId="78ED4370" w14:textId="0C48A42F" w:rsidR="00807B75" w:rsidRPr="002F5685" w:rsidRDefault="00807B75" w:rsidP="000443D8">
            <w:pPr>
              <w:pStyle w:val="ListParagraph"/>
              <w:ind w:left="0"/>
              <w:jc w:val="both"/>
            </w:pPr>
            <w:proofErr w:type="spellStart"/>
            <w:r>
              <w:rPr>
                <w:rFonts w:ascii="Calibri" w:hAnsi="Calibri" w:cs="Calibri"/>
                <w:color w:val="000000"/>
              </w:rPr>
              <w:t>uhde</w:t>
            </w:r>
            <w:proofErr w:type="spellEnd"/>
            <w:r>
              <w:rPr>
                <w:rFonts w:ascii="Calibri" w:hAnsi="Calibri" w:cs="Calibri"/>
                <w:color w:val="000000"/>
              </w:rPr>
              <w:t>® dual pressure nitric acid process</w:t>
            </w:r>
          </w:p>
        </w:tc>
        <w:tc>
          <w:tcPr>
            <w:tcW w:w="1805" w:type="dxa"/>
            <w:vAlign w:val="bottom"/>
          </w:tcPr>
          <w:p w14:paraId="41411FAA" w14:textId="59CF5625" w:rsidR="00807B75" w:rsidRPr="002F5685" w:rsidRDefault="00807B75" w:rsidP="000443D8">
            <w:pPr>
              <w:pStyle w:val="ListParagraph"/>
              <w:ind w:left="0"/>
              <w:jc w:val="both"/>
            </w:pPr>
            <w:r>
              <w:rPr>
                <w:rFonts w:ascii="Calibri" w:hAnsi="Calibri" w:cs="Calibri"/>
                <w:color w:val="000000"/>
              </w:rPr>
              <w:t>Gujarat Narmada Valley Fertilizers &amp; Chemicals Limited</w:t>
            </w:r>
          </w:p>
        </w:tc>
      </w:tr>
      <w:tr w:rsidR="00807B75" w14:paraId="4BEC8532" w14:textId="77777777" w:rsidTr="00807B75">
        <w:tc>
          <w:tcPr>
            <w:tcW w:w="1534" w:type="dxa"/>
          </w:tcPr>
          <w:p w14:paraId="29604036" w14:textId="50647351" w:rsidR="00807B75" w:rsidRDefault="00807B75" w:rsidP="000443D8">
            <w:pPr>
              <w:pStyle w:val="ListParagraph"/>
              <w:ind w:left="0"/>
              <w:jc w:val="both"/>
              <w:rPr>
                <w:rFonts w:ascii="Calibri" w:hAnsi="Calibri" w:cs="Calibri"/>
                <w:color w:val="000000"/>
              </w:rPr>
            </w:pPr>
            <w:r>
              <w:rPr>
                <w:rFonts w:ascii="Calibri" w:hAnsi="Calibri" w:cs="Calibri"/>
                <w:color w:val="000000"/>
              </w:rPr>
              <w:t>9</w:t>
            </w:r>
          </w:p>
        </w:tc>
        <w:tc>
          <w:tcPr>
            <w:tcW w:w="1841" w:type="dxa"/>
            <w:vAlign w:val="bottom"/>
          </w:tcPr>
          <w:p w14:paraId="1ACAAD38" w14:textId="5E66D0AC" w:rsidR="00807B75" w:rsidRPr="002F5685" w:rsidRDefault="00807B75" w:rsidP="000443D8">
            <w:pPr>
              <w:pStyle w:val="ListParagraph"/>
              <w:ind w:left="0"/>
              <w:jc w:val="both"/>
            </w:pPr>
            <w:r>
              <w:rPr>
                <w:rFonts w:ascii="Calibri" w:hAnsi="Calibri" w:cs="Calibri"/>
                <w:color w:val="000000"/>
              </w:rPr>
              <w:t>Weak Nitric Acid (WNA)</w:t>
            </w:r>
          </w:p>
        </w:tc>
        <w:tc>
          <w:tcPr>
            <w:tcW w:w="1962" w:type="dxa"/>
            <w:vAlign w:val="bottom"/>
          </w:tcPr>
          <w:p w14:paraId="6C640A98" w14:textId="7FDF54E5" w:rsidR="00807B75" w:rsidRPr="002F5685" w:rsidRDefault="00807B75" w:rsidP="000443D8">
            <w:pPr>
              <w:pStyle w:val="ListParagraph"/>
              <w:ind w:left="0"/>
              <w:jc w:val="both"/>
            </w:pPr>
            <w:r>
              <w:rPr>
                <w:rFonts w:ascii="Calibri" w:hAnsi="Calibri" w:cs="Calibri"/>
                <w:color w:val="000000"/>
              </w:rPr>
              <w:t>Weatherly Inc. (U.S.A.)</w:t>
            </w:r>
            <w:r w:rsidR="00891E16">
              <w:rPr>
                <w:rFonts w:ascii="Calibri" w:hAnsi="Calibri" w:cs="Calibri"/>
                <w:color w:val="000000"/>
              </w:rPr>
              <w:t xml:space="preserve"> (KBR’s </w:t>
            </w:r>
            <w:proofErr w:type="spellStart"/>
            <w:r w:rsidR="00891E16">
              <w:rPr>
                <w:rFonts w:ascii="Calibri" w:hAnsi="Calibri" w:cs="Calibri"/>
                <w:color w:val="000000"/>
              </w:rPr>
              <w:t>Sunsidiary</w:t>
            </w:r>
            <w:proofErr w:type="spellEnd"/>
            <w:r w:rsidR="00891E16">
              <w:rPr>
                <w:rFonts w:ascii="Calibri" w:hAnsi="Calibri" w:cs="Calibri"/>
                <w:color w:val="000000"/>
              </w:rPr>
              <w:t>)</w:t>
            </w:r>
          </w:p>
        </w:tc>
        <w:tc>
          <w:tcPr>
            <w:tcW w:w="2208" w:type="dxa"/>
            <w:vAlign w:val="bottom"/>
          </w:tcPr>
          <w:p w14:paraId="54F74D79" w14:textId="320E27C8" w:rsidR="00807B75" w:rsidRPr="002F5685" w:rsidRDefault="00807B75" w:rsidP="000443D8">
            <w:pPr>
              <w:pStyle w:val="ListParagraph"/>
              <w:ind w:left="0"/>
              <w:jc w:val="both"/>
            </w:pPr>
            <w:r>
              <w:rPr>
                <w:rFonts w:ascii="Calibri" w:hAnsi="Calibri" w:cs="Calibri"/>
                <w:color w:val="000000"/>
              </w:rPr>
              <w:t>Weatherly Dual Pressure Nitric Acid Technology</w:t>
            </w:r>
          </w:p>
        </w:tc>
        <w:tc>
          <w:tcPr>
            <w:tcW w:w="1805" w:type="dxa"/>
            <w:vAlign w:val="bottom"/>
          </w:tcPr>
          <w:p w14:paraId="2E63F64C" w14:textId="6418F8D9" w:rsidR="00807B75" w:rsidRPr="002F5685" w:rsidRDefault="00807B75" w:rsidP="000443D8">
            <w:pPr>
              <w:pStyle w:val="ListParagraph"/>
              <w:ind w:left="0"/>
              <w:jc w:val="both"/>
            </w:pPr>
            <w:r>
              <w:rPr>
                <w:rFonts w:ascii="Calibri" w:hAnsi="Calibri" w:cs="Calibri"/>
                <w:color w:val="000000"/>
              </w:rPr>
              <w:t>Deepak Fertilizers</w:t>
            </w:r>
          </w:p>
        </w:tc>
      </w:tr>
      <w:tr w:rsidR="00807B75" w14:paraId="46199321" w14:textId="77777777" w:rsidTr="00807B75">
        <w:tc>
          <w:tcPr>
            <w:tcW w:w="1534" w:type="dxa"/>
          </w:tcPr>
          <w:p w14:paraId="554475DD" w14:textId="64AF2955" w:rsidR="00807B75" w:rsidRDefault="00807B75" w:rsidP="000443D8">
            <w:pPr>
              <w:pStyle w:val="ListParagraph"/>
              <w:ind w:left="0"/>
              <w:jc w:val="both"/>
              <w:rPr>
                <w:rFonts w:ascii="Calibri" w:hAnsi="Calibri" w:cs="Calibri"/>
                <w:color w:val="000000"/>
              </w:rPr>
            </w:pPr>
            <w:r>
              <w:rPr>
                <w:rFonts w:ascii="Calibri" w:hAnsi="Calibri" w:cs="Calibri"/>
                <w:color w:val="000000"/>
              </w:rPr>
              <w:t>10</w:t>
            </w:r>
          </w:p>
        </w:tc>
        <w:tc>
          <w:tcPr>
            <w:tcW w:w="1841" w:type="dxa"/>
            <w:vAlign w:val="bottom"/>
          </w:tcPr>
          <w:p w14:paraId="4BBEA2DC" w14:textId="6C8C1668" w:rsidR="00807B75" w:rsidRPr="002F5685" w:rsidRDefault="00807B75" w:rsidP="000443D8">
            <w:pPr>
              <w:pStyle w:val="ListParagraph"/>
              <w:ind w:left="0"/>
              <w:jc w:val="both"/>
            </w:pPr>
            <w:r>
              <w:rPr>
                <w:rFonts w:ascii="Calibri" w:hAnsi="Calibri" w:cs="Calibri"/>
                <w:color w:val="000000"/>
              </w:rPr>
              <w:t>Weak Nitric Acid (WNA)</w:t>
            </w:r>
          </w:p>
        </w:tc>
        <w:tc>
          <w:tcPr>
            <w:tcW w:w="1962" w:type="dxa"/>
            <w:vAlign w:val="bottom"/>
          </w:tcPr>
          <w:p w14:paraId="6B7AA7A3" w14:textId="0A570041" w:rsidR="00807B75" w:rsidRPr="002F5685" w:rsidRDefault="00807B75" w:rsidP="000443D8">
            <w:pPr>
              <w:pStyle w:val="ListParagraph"/>
              <w:ind w:left="0"/>
              <w:jc w:val="both"/>
            </w:pPr>
            <w:r>
              <w:rPr>
                <w:rFonts w:ascii="Calibri" w:hAnsi="Calibri" w:cs="Calibri"/>
                <w:color w:val="000000"/>
              </w:rPr>
              <w:t>Thyssenkrupp</w:t>
            </w:r>
          </w:p>
        </w:tc>
        <w:tc>
          <w:tcPr>
            <w:tcW w:w="2208" w:type="dxa"/>
            <w:vAlign w:val="bottom"/>
          </w:tcPr>
          <w:p w14:paraId="5B7E10A0" w14:textId="46B1658D" w:rsidR="00807B75" w:rsidRPr="002F5685" w:rsidRDefault="00807B75" w:rsidP="000443D8">
            <w:pPr>
              <w:pStyle w:val="ListParagraph"/>
              <w:ind w:left="0"/>
              <w:jc w:val="both"/>
            </w:pPr>
            <w:proofErr w:type="spellStart"/>
            <w:r>
              <w:rPr>
                <w:rFonts w:ascii="Calibri" w:hAnsi="Calibri" w:cs="Calibri"/>
                <w:color w:val="000000"/>
              </w:rPr>
              <w:t>uhde</w:t>
            </w:r>
            <w:proofErr w:type="spellEnd"/>
            <w:r>
              <w:rPr>
                <w:rFonts w:ascii="Calibri" w:hAnsi="Calibri" w:cs="Calibri"/>
                <w:color w:val="000000"/>
              </w:rPr>
              <w:t>® dual pressure nitric acid process</w:t>
            </w:r>
          </w:p>
        </w:tc>
        <w:tc>
          <w:tcPr>
            <w:tcW w:w="1805" w:type="dxa"/>
            <w:vAlign w:val="bottom"/>
          </w:tcPr>
          <w:p w14:paraId="0E50A012" w14:textId="1E91A4F2" w:rsidR="00807B75" w:rsidRPr="002F5685" w:rsidRDefault="00807B75" w:rsidP="000443D8">
            <w:pPr>
              <w:pStyle w:val="ListParagraph"/>
              <w:ind w:left="0"/>
              <w:jc w:val="both"/>
            </w:pPr>
            <w:proofErr w:type="spellStart"/>
            <w:r>
              <w:rPr>
                <w:rFonts w:ascii="Calibri" w:hAnsi="Calibri" w:cs="Calibri"/>
                <w:color w:val="000000"/>
              </w:rPr>
              <w:t>Rashtriya</w:t>
            </w:r>
            <w:proofErr w:type="spellEnd"/>
            <w:r>
              <w:rPr>
                <w:rFonts w:ascii="Calibri" w:hAnsi="Calibri" w:cs="Calibri"/>
                <w:color w:val="000000"/>
              </w:rPr>
              <w:t xml:space="preserve"> Chemicals and Fertilizers Limited</w:t>
            </w:r>
          </w:p>
        </w:tc>
      </w:tr>
      <w:tr w:rsidR="00807B75" w14:paraId="1A07B356" w14:textId="77777777" w:rsidTr="00807B75">
        <w:tc>
          <w:tcPr>
            <w:tcW w:w="1534" w:type="dxa"/>
          </w:tcPr>
          <w:p w14:paraId="1462618F" w14:textId="3AD3B658" w:rsidR="00807B75" w:rsidRDefault="00807B75" w:rsidP="000443D8">
            <w:pPr>
              <w:pStyle w:val="ListParagraph"/>
              <w:ind w:left="0"/>
              <w:jc w:val="both"/>
              <w:rPr>
                <w:rFonts w:ascii="Calibri" w:hAnsi="Calibri" w:cs="Calibri"/>
                <w:color w:val="000000"/>
              </w:rPr>
            </w:pPr>
            <w:r>
              <w:rPr>
                <w:rFonts w:ascii="Calibri" w:hAnsi="Calibri" w:cs="Calibri"/>
                <w:color w:val="000000"/>
              </w:rPr>
              <w:t>11</w:t>
            </w:r>
          </w:p>
        </w:tc>
        <w:tc>
          <w:tcPr>
            <w:tcW w:w="1841" w:type="dxa"/>
            <w:vAlign w:val="bottom"/>
          </w:tcPr>
          <w:p w14:paraId="5E2E227E" w14:textId="3E6A7048" w:rsidR="00807B75" w:rsidRPr="002F5685" w:rsidRDefault="00807B75" w:rsidP="000443D8">
            <w:pPr>
              <w:pStyle w:val="ListParagraph"/>
              <w:ind w:left="0"/>
              <w:jc w:val="both"/>
            </w:pPr>
            <w:r>
              <w:rPr>
                <w:rFonts w:ascii="Calibri" w:hAnsi="Calibri" w:cs="Calibri"/>
                <w:color w:val="000000"/>
              </w:rPr>
              <w:t>Weak Nitric Acid (WNA)</w:t>
            </w:r>
          </w:p>
        </w:tc>
        <w:tc>
          <w:tcPr>
            <w:tcW w:w="1962" w:type="dxa"/>
            <w:vAlign w:val="bottom"/>
          </w:tcPr>
          <w:p w14:paraId="2AEE1CE2" w14:textId="0EB27955" w:rsidR="00807B75" w:rsidRPr="002F5685" w:rsidRDefault="00807B75" w:rsidP="000443D8">
            <w:pPr>
              <w:pStyle w:val="ListParagraph"/>
              <w:ind w:left="0"/>
              <w:jc w:val="both"/>
            </w:pPr>
            <w:r>
              <w:rPr>
                <w:rFonts w:ascii="Calibri" w:hAnsi="Calibri" w:cs="Calibri"/>
                <w:b/>
                <w:bCs/>
                <w:color w:val="000000"/>
              </w:rPr>
              <w:t>WIP</w:t>
            </w:r>
          </w:p>
        </w:tc>
        <w:tc>
          <w:tcPr>
            <w:tcW w:w="2208" w:type="dxa"/>
            <w:vAlign w:val="bottom"/>
          </w:tcPr>
          <w:p w14:paraId="0BD6CD2A" w14:textId="6FE57CA8" w:rsidR="00807B75" w:rsidRPr="002F5685" w:rsidRDefault="00807B75" w:rsidP="000443D8">
            <w:pPr>
              <w:pStyle w:val="ListParagraph"/>
              <w:ind w:left="0"/>
              <w:jc w:val="both"/>
            </w:pPr>
            <w:r>
              <w:rPr>
                <w:rFonts w:ascii="Calibri" w:hAnsi="Calibri" w:cs="Calibri"/>
                <w:b/>
                <w:bCs/>
                <w:color w:val="000000"/>
              </w:rPr>
              <w:t>WIP</w:t>
            </w:r>
          </w:p>
        </w:tc>
        <w:tc>
          <w:tcPr>
            <w:tcW w:w="1805" w:type="dxa"/>
            <w:vAlign w:val="bottom"/>
          </w:tcPr>
          <w:p w14:paraId="4A898D8A" w14:textId="51EC1D82" w:rsidR="00807B75" w:rsidRPr="002F5685" w:rsidRDefault="00807B75" w:rsidP="000443D8">
            <w:pPr>
              <w:pStyle w:val="ListParagraph"/>
              <w:ind w:left="0"/>
              <w:jc w:val="both"/>
            </w:pPr>
            <w:r>
              <w:rPr>
                <w:rFonts w:ascii="Calibri" w:hAnsi="Calibri" w:cs="Calibri"/>
                <w:color w:val="000000"/>
              </w:rPr>
              <w:t>National Fertilizers Limited</w:t>
            </w:r>
          </w:p>
        </w:tc>
      </w:tr>
      <w:tr w:rsidR="00807B75" w14:paraId="11D0A64C" w14:textId="77777777" w:rsidTr="00807B75">
        <w:tc>
          <w:tcPr>
            <w:tcW w:w="1534" w:type="dxa"/>
          </w:tcPr>
          <w:p w14:paraId="0D15A14D" w14:textId="1994961B" w:rsidR="00807B75" w:rsidRDefault="00807B75" w:rsidP="000443D8">
            <w:pPr>
              <w:pStyle w:val="ListParagraph"/>
              <w:ind w:left="0"/>
              <w:jc w:val="both"/>
              <w:rPr>
                <w:rFonts w:ascii="Calibri" w:hAnsi="Calibri" w:cs="Calibri"/>
                <w:color w:val="000000"/>
              </w:rPr>
            </w:pPr>
            <w:r>
              <w:rPr>
                <w:rFonts w:ascii="Calibri" w:hAnsi="Calibri" w:cs="Calibri"/>
                <w:color w:val="000000"/>
              </w:rPr>
              <w:t>12</w:t>
            </w:r>
          </w:p>
        </w:tc>
        <w:tc>
          <w:tcPr>
            <w:tcW w:w="1841" w:type="dxa"/>
            <w:vAlign w:val="bottom"/>
          </w:tcPr>
          <w:p w14:paraId="3477B9AB" w14:textId="1D4577E7" w:rsidR="00807B75" w:rsidRPr="002F5685" w:rsidRDefault="00807B75" w:rsidP="000443D8">
            <w:pPr>
              <w:pStyle w:val="ListParagraph"/>
              <w:ind w:left="0"/>
              <w:jc w:val="both"/>
            </w:pPr>
            <w:r>
              <w:rPr>
                <w:rFonts w:ascii="Calibri" w:hAnsi="Calibri" w:cs="Calibri"/>
                <w:color w:val="000000"/>
              </w:rPr>
              <w:t>NA</w:t>
            </w:r>
          </w:p>
        </w:tc>
        <w:tc>
          <w:tcPr>
            <w:tcW w:w="1962" w:type="dxa"/>
            <w:vAlign w:val="bottom"/>
          </w:tcPr>
          <w:p w14:paraId="701A9D46" w14:textId="5A97F43B" w:rsidR="00807B75" w:rsidRPr="002F5685" w:rsidRDefault="00807B75" w:rsidP="000443D8">
            <w:pPr>
              <w:pStyle w:val="ListParagraph"/>
              <w:ind w:left="0"/>
              <w:jc w:val="both"/>
            </w:pPr>
            <w:r>
              <w:rPr>
                <w:rFonts w:ascii="Calibri" w:hAnsi="Calibri" w:cs="Calibri"/>
                <w:color w:val="000000"/>
              </w:rPr>
              <w:t>NA</w:t>
            </w:r>
          </w:p>
        </w:tc>
        <w:tc>
          <w:tcPr>
            <w:tcW w:w="2208" w:type="dxa"/>
            <w:vAlign w:val="bottom"/>
          </w:tcPr>
          <w:p w14:paraId="4810838F" w14:textId="7C4C26EE" w:rsidR="00807B75" w:rsidRPr="002F5685" w:rsidRDefault="00807B75" w:rsidP="000443D8">
            <w:pPr>
              <w:pStyle w:val="ListParagraph"/>
              <w:ind w:left="0"/>
              <w:jc w:val="both"/>
            </w:pPr>
            <w:r>
              <w:rPr>
                <w:rFonts w:ascii="Calibri" w:hAnsi="Calibri" w:cs="Calibri"/>
                <w:color w:val="000000"/>
              </w:rPr>
              <w:t>NA</w:t>
            </w:r>
          </w:p>
        </w:tc>
        <w:tc>
          <w:tcPr>
            <w:tcW w:w="1805" w:type="dxa"/>
            <w:vAlign w:val="bottom"/>
          </w:tcPr>
          <w:p w14:paraId="3C93EBFA" w14:textId="107E7C30" w:rsidR="00807B75" w:rsidRPr="002F5685" w:rsidRDefault="00807B75" w:rsidP="000443D8">
            <w:pPr>
              <w:pStyle w:val="ListParagraph"/>
              <w:ind w:left="0"/>
              <w:jc w:val="both"/>
            </w:pPr>
            <w:r>
              <w:rPr>
                <w:rFonts w:ascii="Calibri" w:hAnsi="Calibri" w:cs="Calibri"/>
                <w:color w:val="000000"/>
              </w:rPr>
              <w:t>Kutch Chemical</w:t>
            </w:r>
          </w:p>
        </w:tc>
      </w:tr>
    </w:tbl>
    <w:p w14:paraId="250F9DF4" w14:textId="20283D19" w:rsidR="002F5685" w:rsidRDefault="002F5685" w:rsidP="000443D8">
      <w:pPr>
        <w:pStyle w:val="ListParagraph"/>
        <w:jc w:val="both"/>
        <w:rPr>
          <w:b/>
          <w:bCs/>
          <w:u w:val="single"/>
        </w:rPr>
      </w:pPr>
    </w:p>
    <w:p w14:paraId="42BCA659" w14:textId="0514F883" w:rsidR="00807B75" w:rsidRDefault="00807B75" w:rsidP="000443D8">
      <w:pPr>
        <w:pStyle w:val="ListParagraph"/>
        <w:numPr>
          <w:ilvl w:val="0"/>
          <w:numId w:val="1"/>
        </w:numPr>
        <w:jc w:val="both"/>
        <w:rPr>
          <w:b/>
          <w:bCs/>
          <w:u w:val="single"/>
        </w:rPr>
      </w:pPr>
      <w:r>
        <w:rPr>
          <w:b/>
          <w:bCs/>
          <w:u w:val="single"/>
        </w:rPr>
        <w:t xml:space="preserve">Manufacturing process </w:t>
      </w:r>
      <w:r w:rsidR="00650EA7">
        <w:rPr>
          <w:b/>
          <w:bCs/>
          <w:u w:val="single"/>
        </w:rPr>
        <w:t>with flow diagram for Weak Nitric Acid (WNA)</w:t>
      </w:r>
      <w:r>
        <w:rPr>
          <w:b/>
          <w:bCs/>
          <w:u w:val="single"/>
        </w:rPr>
        <w:t>:</w:t>
      </w:r>
    </w:p>
    <w:p w14:paraId="108E6D4B" w14:textId="4E551390" w:rsidR="00650EA7" w:rsidRPr="00BE4305" w:rsidRDefault="00650EA7" w:rsidP="000443D8">
      <w:pPr>
        <w:pStyle w:val="ListParagraph"/>
        <w:numPr>
          <w:ilvl w:val="0"/>
          <w:numId w:val="2"/>
        </w:numPr>
        <w:jc w:val="both"/>
        <w:rPr>
          <w:b/>
          <w:bCs/>
          <w:u w:val="single"/>
        </w:rPr>
      </w:pPr>
      <w:r>
        <w:t>Thyssenkrupp:</w:t>
      </w:r>
      <w:r w:rsidR="00BE4305">
        <w:t xml:space="preserve"> </w:t>
      </w:r>
      <w:r w:rsidR="00BE4305" w:rsidRPr="00BE4305">
        <w:t>The Uhde dual-pressure process</w:t>
      </w:r>
    </w:p>
    <w:p w14:paraId="7793857B" w14:textId="0C963D80" w:rsidR="00D659D5" w:rsidRDefault="00D659D5" w:rsidP="000443D8">
      <w:pPr>
        <w:pStyle w:val="ListParagraph"/>
        <w:ind w:left="1080"/>
        <w:jc w:val="both"/>
      </w:pPr>
      <w:r>
        <w:lastRenderedPageBreak/>
        <w:t xml:space="preserve">ThyssenKrupp Industrial Solutions’ state-of-the-art technology </w:t>
      </w:r>
      <w:r w:rsidR="00D55C3C">
        <w:t>to produce</w:t>
      </w:r>
      <w:r>
        <w:t xml:space="preserve"> nitric acid involves ammonia combustion to form nitric oxide, followed by oxidation of the nitric oxide to nitrogen dioxide, and finally absorption of the nitrogen dioxide in water to form nitric acid. Based on customer-specific requirements an optimized process concept is offered, considering capital expenditure and operating cost. Both mono-pressure and dual-pressure processes can be offered.</w:t>
      </w:r>
    </w:p>
    <w:p w14:paraId="7174C7C0" w14:textId="77777777" w:rsidR="00D659D5" w:rsidRDefault="00D659D5" w:rsidP="000443D8">
      <w:pPr>
        <w:pStyle w:val="ListParagraph"/>
        <w:ind w:left="1080"/>
        <w:jc w:val="both"/>
      </w:pPr>
    </w:p>
    <w:p w14:paraId="21249B56" w14:textId="6974B34A" w:rsidR="00650EA7" w:rsidRDefault="00D659D5" w:rsidP="000443D8">
      <w:pPr>
        <w:pStyle w:val="ListParagraph"/>
        <w:ind w:left="1080"/>
        <w:jc w:val="both"/>
      </w:pPr>
      <w:r>
        <w:t>Azeotropic nitric acid with an elevated concentration of 68% by weight can replace concentrated nitric acid in some applications such as nitration. We have developed an enhanced process for the reliable production of azeotropic nitric acid without any further weak nitric acid co-production.</w:t>
      </w:r>
    </w:p>
    <w:p w14:paraId="3D0F0D14" w14:textId="05758106" w:rsidR="00D659D5" w:rsidRDefault="00D659D5" w:rsidP="000443D8">
      <w:pPr>
        <w:pStyle w:val="ListParagraph"/>
        <w:ind w:left="1080"/>
        <w:jc w:val="both"/>
      </w:pPr>
    </w:p>
    <w:p w14:paraId="0BCA4254" w14:textId="77777777" w:rsidR="00D659D5" w:rsidRPr="00D659D5" w:rsidRDefault="00D659D5" w:rsidP="000443D8">
      <w:pPr>
        <w:pStyle w:val="ListParagraph"/>
        <w:ind w:left="1080"/>
        <w:jc w:val="both"/>
      </w:pPr>
      <w:r w:rsidRPr="00D659D5">
        <w:t>The Uhde nitric acid process is known for its:</w:t>
      </w:r>
    </w:p>
    <w:p w14:paraId="39C7A3AF" w14:textId="58C99AF7" w:rsidR="00866925" w:rsidRDefault="00D659D5" w:rsidP="000443D8">
      <w:pPr>
        <w:pStyle w:val="ListParagraph"/>
        <w:numPr>
          <w:ilvl w:val="0"/>
          <w:numId w:val="3"/>
        </w:numPr>
        <w:jc w:val="both"/>
      </w:pPr>
      <w:r w:rsidRPr="00D659D5">
        <w:t>high reliability and high on-stream time</w:t>
      </w:r>
    </w:p>
    <w:p w14:paraId="75AF0720" w14:textId="77777777" w:rsidR="00866925" w:rsidRPr="00D659D5" w:rsidRDefault="00866925" w:rsidP="000443D8">
      <w:pPr>
        <w:pStyle w:val="ListParagraph"/>
        <w:numPr>
          <w:ilvl w:val="0"/>
          <w:numId w:val="3"/>
        </w:numPr>
        <w:jc w:val="both"/>
      </w:pPr>
      <w:r w:rsidRPr="00D659D5">
        <w:t>easy maintenance</w:t>
      </w:r>
    </w:p>
    <w:p w14:paraId="697CF5DE" w14:textId="77777777" w:rsidR="00866925" w:rsidRPr="00D659D5" w:rsidRDefault="00866925" w:rsidP="000443D8">
      <w:pPr>
        <w:pStyle w:val="ListParagraph"/>
        <w:numPr>
          <w:ilvl w:val="0"/>
          <w:numId w:val="3"/>
        </w:numPr>
        <w:jc w:val="both"/>
      </w:pPr>
      <w:r w:rsidRPr="00D659D5">
        <w:t>cost-effectiveness</w:t>
      </w:r>
    </w:p>
    <w:p w14:paraId="362BC3B9" w14:textId="77777777" w:rsidR="00866925" w:rsidRPr="00D659D5" w:rsidRDefault="00866925" w:rsidP="000443D8">
      <w:pPr>
        <w:pStyle w:val="ListParagraph"/>
        <w:numPr>
          <w:ilvl w:val="0"/>
          <w:numId w:val="3"/>
        </w:numPr>
        <w:jc w:val="both"/>
      </w:pPr>
      <w:r w:rsidRPr="00D659D5">
        <w:t>energy efficiency</w:t>
      </w:r>
    </w:p>
    <w:p w14:paraId="53C5D676" w14:textId="77777777" w:rsidR="00866925" w:rsidRDefault="00866925" w:rsidP="000443D8">
      <w:pPr>
        <w:pStyle w:val="ListParagraph"/>
        <w:numPr>
          <w:ilvl w:val="0"/>
          <w:numId w:val="3"/>
        </w:numPr>
        <w:jc w:val="both"/>
      </w:pPr>
      <w:r w:rsidRPr="00D659D5">
        <w:t>low emissions (BAT technology)</w:t>
      </w:r>
    </w:p>
    <w:p w14:paraId="7CFBDCD6" w14:textId="3CF72F3C" w:rsidR="00866925" w:rsidRDefault="00866925" w:rsidP="000443D8">
      <w:pPr>
        <w:jc w:val="both"/>
      </w:pPr>
    </w:p>
    <w:p w14:paraId="71DBEAEF" w14:textId="30A8A32F" w:rsidR="00866925" w:rsidRDefault="00EE39A1" w:rsidP="000443D8">
      <w:pPr>
        <w:pStyle w:val="ListParagraph"/>
        <w:numPr>
          <w:ilvl w:val="0"/>
          <w:numId w:val="2"/>
        </w:numPr>
        <w:jc w:val="both"/>
      </w:pPr>
      <w:proofErr w:type="spellStart"/>
      <w:r w:rsidRPr="00EE39A1">
        <w:t>Plinke</w:t>
      </w:r>
      <w:proofErr w:type="spellEnd"/>
      <w:r w:rsidRPr="00EE39A1">
        <w:t xml:space="preserve"> GmbH</w:t>
      </w:r>
      <w:r>
        <w:t xml:space="preserve"> (A subsidiary of KBR): </w:t>
      </w:r>
      <w:r w:rsidRPr="00EE39A1">
        <w:t>Nitric Acid Pre-concentration NAPC®</w:t>
      </w:r>
    </w:p>
    <w:p w14:paraId="508917F1" w14:textId="4E3DA3A0" w:rsidR="00EE39A1" w:rsidRDefault="0072067F" w:rsidP="000443D8">
      <w:pPr>
        <w:pStyle w:val="ListParagraph"/>
        <w:ind w:left="1080"/>
        <w:jc w:val="both"/>
      </w:pPr>
      <w:r w:rsidRPr="0072067F">
        <w:t xml:space="preserve">Weak nitric acid pre-concentration NAPC® is used to concentrate acid up to about 68 </w:t>
      </w:r>
      <w:proofErr w:type="spellStart"/>
      <w:r w:rsidRPr="0072067F">
        <w:t>wt</w:t>
      </w:r>
      <w:proofErr w:type="spellEnd"/>
      <w:r w:rsidRPr="0072067F">
        <w:t xml:space="preserve">% HNO3. The NAPC® process removes water from diluted nitric acid by rectification without the use of extractive agents. The maximum concentration by rectification is about 68 </w:t>
      </w:r>
      <w:proofErr w:type="spellStart"/>
      <w:r w:rsidRPr="0072067F">
        <w:t>wt</w:t>
      </w:r>
      <w:proofErr w:type="spellEnd"/>
      <w:r w:rsidRPr="0072067F">
        <w:t>% nitric acid because the two components mixture of nitric acid and water forms an azeotropic mixture at that concentration level.</w:t>
      </w:r>
    </w:p>
    <w:p w14:paraId="2DBB0186" w14:textId="65057348" w:rsidR="0072067F" w:rsidRDefault="0072067F" w:rsidP="000443D8">
      <w:pPr>
        <w:pStyle w:val="ListParagraph"/>
        <w:ind w:left="1080"/>
        <w:jc w:val="both"/>
      </w:pPr>
    </w:p>
    <w:p w14:paraId="702DB846" w14:textId="250346F3" w:rsidR="000443D8" w:rsidRDefault="000443D8" w:rsidP="000443D8">
      <w:pPr>
        <w:pStyle w:val="ListParagraph"/>
        <w:ind w:left="1080"/>
        <w:jc w:val="both"/>
      </w:pPr>
    </w:p>
    <w:p w14:paraId="09C592F3" w14:textId="01305936" w:rsidR="000443D8" w:rsidRDefault="00BE630D" w:rsidP="000443D8">
      <w:pPr>
        <w:pStyle w:val="ListParagraph"/>
        <w:numPr>
          <w:ilvl w:val="0"/>
          <w:numId w:val="2"/>
        </w:numPr>
        <w:jc w:val="both"/>
      </w:pPr>
      <w:r>
        <w:t xml:space="preserve">Weatherly Inc. (U.S) (KBR’s Subsidiary): </w:t>
      </w:r>
      <w:r w:rsidRPr="00BE630D">
        <w:t>Dual Pressure Nitric Acid Technology</w:t>
      </w:r>
    </w:p>
    <w:p w14:paraId="1343059C" w14:textId="0C3C8CA2" w:rsidR="00BE630D" w:rsidRDefault="00BE630D" w:rsidP="00BE630D">
      <w:pPr>
        <w:pStyle w:val="ListParagraph"/>
        <w:ind w:left="1080"/>
        <w:jc w:val="both"/>
      </w:pPr>
      <w:r>
        <w:t xml:space="preserve">Manufacturing nitric acid starts with two raw materials – atmospheric air and ammonia (NH). These are shown in the flow diagram below. Before atmospheric air can be used, it must be filtered, compressed, heated, and filtered again. KBR Weatherly plants can extract approximately 90% of the horsepower needed for compression from heated tail gas, a highly efficient design feature. Liquid ammonia is prepared separately; it is filtered, vaporized and superheated, and filtered again. Once prepared, the raw materials move on to conversion and heat recovery stages. The clean streams of air and ammonia are intimately mixed and evenly distributed over a platinum catalyst. At this point, an exothermic reaction between ammonia and oxygen occurs, producing nitric oxide and water vapor. The resulting process gas is passed through the heat exchanger train, where the major portion of this reaction energy is recovered as heat. The process gas is cooled, forming weak nitric acid. Nitric acid and the remaining process gas are separated and fed into the absorption system. In the final stage, nitric oxide, nitrogen dioxide, oxygen and water are combined in an absorber column, forming nitric acid of the desired strength. A portion of the reaction energy recovered in the heat </w:t>
      </w:r>
      <w:r>
        <w:lastRenderedPageBreak/>
        <w:t>exchanger train is used to reheat the tail gas to provide power for the air compressor by driving a hot gas expander.</w:t>
      </w:r>
    </w:p>
    <w:p w14:paraId="09EBDDAD" w14:textId="38A3D984" w:rsidR="00BE630D" w:rsidRDefault="00BE630D" w:rsidP="00BE630D">
      <w:pPr>
        <w:pStyle w:val="ListParagraph"/>
        <w:ind w:left="1080"/>
        <w:jc w:val="both"/>
      </w:pPr>
    </w:p>
    <w:p w14:paraId="00DC621E" w14:textId="16D953B8" w:rsidR="00BE630D" w:rsidRDefault="00BE630D" w:rsidP="00BE630D">
      <w:pPr>
        <w:pStyle w:val="ListParagraph"/>
        <w:ind w:left="1080"/>
        <w:jc w:val="both"/>
      </w:pPr>
      <w:r>
        <w:rPr>
          <w:noProof/>
        </w:rPr>
        <w:drawing>
          <wp:inline distT="0" distB="0" distL="0" distR="0" wp14:anchorId="0A45DBEC" wp14:editId="401F9664">
            <wp:extent cx="5213267" cy="2524125"/>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217328" cy="2526091"/>
                    </a:xfrm>
                    <a:prstGeom prst="rect">
                      <a:avLst/>
                    </a:prstGeom>
                  </pic:spPr>
                </pic:pic>
              </a:graphicData>
            </a:graphic>
          </wp:inline>
        </w:drawing>
      </w:r>
    </w:p>
    <w:p w14:paraId="2A6D8812" w14:textId="4709E64B" w:rsidR="00BE630D" w:rsidRDefault="00BE630D" w:rsidP="00BE630D">
      <w:pPr>
        <w:pStyle w:val="ListParagraph"/>
        <w:ind w:left="1080"/>
        <w:jc w:val="both"/>
      </w:pPr>
    </w:p>
    <w:p w14:paraId="61D49739" w14:textId="2A4D66A6" w:rsidR="00BE630D" w:rsidRDefault="00CC31E8" w:rsidP="00CC31E8">
      <w:pPr>
        <w:pStyle w:val="ListParagraph"/>
        <w:numPr>
          <w:ilvl w:val="0"/>
          <w:numId w:val="1"/>
        </w:numPr>
        <w:jc w:val="both"/>
      </w:pPr>
      <w:r>
        <w:rPr>
          <w:b/>
          <w:bCs/>
          <w:u w:val="single"/>
        </w:rPr>
        <w:t>Manufacturing process of Ammonium Nitrate (AN) and flow diagram:</w:t>
      </w:r>
    </w:p>
    <w:p w14:paraId="53E92784" w14:textId="77777777" w:rsidR="00CC31E8" w:rsidRDefault="00CC31E8" w:rsidP="00CC31E8">
      <w:pPr>
        <w:pStyle w:val="ListParagraph"/>
        <w:numPr>
          <w:ilvl w:val="0"/>
          <w:numId w:val="2"/>
        </w:numPr>
        <w:jc w:val="both"/>
      </w:pPr>
      <w:r>
        <w:t>Casale SA: Dual pipe reactor process</w:t>
      </w:r>
    </w:p>
    <w:p w14:paraId="329DCF57" w14:textId="7667B2C9" w:rsidR="00CC31E8" w:rsidRDefault="00CC31E8" w:rsidP="00CC31E8">
      <w:pPr>
        <w:pStyle w:val="ListParagraph"/>
        <w:ind w:left="1080"/>
        <w:jc w:val="both"/>
      </w:pPr>
      <w:r>
        <w:t>Dual pipe reactor processes are designed to help optimize the granulation process by installing a second pipe reactor, the DPR, into the dryer. The DPR works in almost the opposite way to the GPR, as it is designed to produce a solid rather than a slurry. In order to avoid clogging, the MR needs to be chosen and kept to around one, so that only solid MAP is produced. No sulfuric acid is used during this stage of the process. Otherwise, all the other components of the NPK plant remain the same. In order to increase the capacity of the plant using a single pipe reactor process, more raw materials are required, contributing to a larger quantity of liquid in the granulator. Therefore, to keep control of the granulation, more solids must be recycled to the granulator, meaning the full loop capacity must be increased across all equipment involved in the process, including the granulator, dryer, elevators, screens, crushers, etc. Meanwhile, within plants using a dual pipe reactor process, a large percentage of the phosphoric acid and ammonia is fed directly to the DPR, where they react to form MAP, which is then recycled to the granulator. Essentially, the DPR supplies the granulation loop with extra MAP and by allowing additional N and P feed to be introduced directly as a solid, the overall output can be increased without having to add extra loop capacity. In addition, because the neutralization of phosphoric by ammonia is exothermic and takes place in the dryer, the heat produced helps contribute to the drying of material. In some plants, the heat of the reaction is the only heat used within the dryer, generating energy savings for the plant.</w:t>
      </w:r>
    </w:p>
    <w:p w14:paraId="0342C9FA" w14:textId="432DF183" w:rsidR="00CC31E8" w:rsidRDefault="00CC31E8" w:rsidP="00CC31E8">
      <w:pPr>
        <w:jc w:val="both"/>
      </w:pPr>
    </w:p>
    <w:p w14:paraId="54970DBF" w14:textId="0C175BE6" w:rsidR="00CC31E8" w:rsidRDefault="00891E16" w:rsidP="00CC31E8">
      <w:pPr>
        <w:pStyle w:val="ListParagraph"/>
        <w:numPr>
          <w:ilvl w:val="0"/>
          <w:numId w:val="2"/>
        </w:numPr>
        <w:jc w:val="both"/>
      </w:pPr>
      <w:r>
        <w:t>INCRO: Pipe reactor and Multitubular reactor</w:t>
      </w:r>
    </w:p>
    <w:p w14:paraId="156539C5" w14:textId="77777777" w:rsidR="00891E16" w:rsidRDefault="00891E16" w:rsidP="00891E16">
      <w:pPr>
        <w:pStyle w:val="ListParagraph"/>
        <w:ind w:left="1080"/>
        <w:jc w:val="both"/>
      </w:pPr>
      <w:r>
        <w:t xml:space="preserve">INCRO has developed and patented two different processes to manufacture ammonium nitrate solution 80-97%, using 52-60% nitric acid and ammonia, one of them using Pipe Reactor (PR) and the other using a Multitubular Reactor (MTR). Both processes are highly </w:t>
      </w:r>
      <w:r>
        <w:lastRenderedPageBreak/>
        <w:t>efficient, very ecological and steam self-sufficient for required concentration, being suitable, not only for fertilizers production, but also for explosives. Process characteristics are furtherly detailed in the explosive section.</w:t>
      </w:r>
    </w:p>
    <w:p w14:paraId="6765FC0D" w14:textId="77777777" w:rsidR="00891E16" w:rsidRDefault="00891E16" w:rsidP="00891E16">
      <w:pPr>
        <w:pStyle w:val="ListParagraph"/>
        <w:ind w:left="1080"/>
        <w:jc w:val="both"/>
      </w:pPr>
    </w:p>
    <w:p w14:paraId="178F21D0" w14:textId="5135BFCE" w:rsidR="00891E16" w:rsidRDefault="00891E16" w:rsidP="00891E16">
      <w:pPr>
        <w:pStyle w:val="ListParagraph"/>
        <w:ind w:left="1080"/>
        <w:jc w:val="both"/>
      </w:pPr>
      <w:r>
        <w:t>Obtained solution can be directly dispatched as final product or employed as one of the required raw materials for manufacture of calcium ammonium nitrate (CAN)/ammonium sulphonitrate (ASN) granulation, or to be concentrated till 99.5-99.8% for pure ammonium nitrate/calcium ammonium nitrate prills production.</w:t>
      </w:r>
    </w:p>
    <w:p w14:paraId="160C2FC2" w14:textId="6C90EADC" w:rsidR="008E1F84" w:rsidRDefault="008E1F84" w:rsidP="00891E16">
      <w:pPr>
        <w:pStyle w:val="ListParagraph"/>
        <w:ind w:left="1080"/>
        <w:jc w:val="both"/>
      </w:pPr>
    </w:p>
    <w:p w14:paraId="0E8EDB68" w14:textId="1CCFE536" w:rsidR="008E1F84" w:rsidRDefault="008E1F84" w:rsidP="008E1F84">
      <w:pPr>
        <w:pStyle w:val="ListParagraph"/>
        <w:numPr>
          <w:ilvl w:val="0"/>
          <w:numId w:val="2"/>
        </w:numPr>
        <w:jc w:val="both"/>
      </w:pPr>
      <w:r>
        <w:t xml:space="preserve">Thyssenkrupp: </w:t>
      </w:r>
      <w:r w:rsidR="00036BAE">
        <w:t>Vacuum</w:t>
      </w:r>
      <w:r>
        <w:t xml:space="preserve"> Neutralization and evaporation</w:t>
      </w:r>
    </w:p>
    <w:p w14:paraId="0BB57208" w14:textId="13F5F3E4" w:rsidR="008E1F84" w:rsidRDefault="008E1F84" w:rsidP="008E1F84">
      <w:pPr>
        <w:pStyle w:val="ListParagraph"/>
        <w:ind w:left="1080"/>
        <w:jc w:val="both"/>
      </w:pPr>
      <w:r>
        <w:t xml:space="preserve">The reaction takes place in a slightly pressurized neutralizer to prevent the ammonium nitrate solution from boiling in the mixing and reaction sections thus minimizing ammonia loss. Subsequently the solution is flashed into a vacuum through a restriction orifice adjacent to the </w:t>
      </w:r>
      <w:r w:rsidR="001F3036">
        <w:t>vapor</w:t>
      </w:r>
      <w:r>
        <w:t xml:space="preserve"> separator, thereby utilizing the reaction heat for water evaporation.</w:t>
      </w:r>
      <w:r w:rsidR="001F3036">
        <w:t xml:space="preserve"> A solution concentration of 95 wt.% can be achieved with a preheated feed of 60 wt.% nitric acid. For control and safety reasons, however, the AN solution concentration is mostly limited to 92</w:t>
      </w:r>
      <w:r w:rsidR="009A4546">
        <w:t xml:space="preserve"> </w:t>
      </w:r>
      <w:r w:rsidR="001F3036">
        <w:t>wt.%.</w:t>
      </w:r>
    </w:p>
    <w:p w14:paraId="233BB605" w14:textId="5F73005E" w:rsidR="001F3036" w:rsidRDefault="001F3036" w:rsidP="008E1F84">
      <w:pPr>
        <w:pStyle w:val="ListParagraph"/>
        <w:ind w:left="1080"/>
        <w:jc w:val="both"/>
      </w:pPr>
      <w:r>
        <w:t xml:space="preserve">The higher concentration is necessary for further process steps, such as granulation or prilling is achieved by steam heating the solution under vacuum pressure. For optimum process control and stability, Thyssenkrupp industrial solutions preferably applies a thermosyphon </w:t>
      </w:r>
      <w:r w:rsidR="00036BAE">
        <w:t>evaporation system. The scrubbed process vapors are used for feedstock preheating, surplus vapors are condensed.</w:t>
      </w:r>
    </w:p>
    <w:p w14:paraId="59E1F3BC" w14:textId="4C50481E" w:rsidR="00036BAE" w:rsidRDefault="00036BAE" w:rsidP="008E1F84">
      <w:pPr>
        <w:pStyle w:val="ListParagraph"/>
        <w:ind w:left="1080"/>
        <w:jc w:val="both"/>
      </w:pPr>
    </w:p>
    <w:p w14:paraId="3EEB720D" w14:textId="1F28EDE7" w:rsidR="00036BAE" w:rsidRDefault="008A0B85" w:rsidP="008E1F84">
      <w:pPr>
        <w:pStyle w:val="ListParagraph"/>
        <w:ind w:left="1080"/>
        <w:jc w:val="both"/>
      </w:pPr>
      <w:r>
        <w:rPr>
          <w:noProof/>
        </w:rPr>
        <w:tab/>
      </w:r>
      <w:r w:rsidR="00036BAE">
        <w:rPr>
          <w:noProof/>
        </w:rPr>
        <w:drawing>
          <wp:inline distT="0" distB="0" distL="0" distR="0" wp14:anchorId="78C69304" wp14:editId="750306F2">
            <wp:extent cx="5076825" cy="25050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076825" cy="2505075"/>
                    </a:xfrm>
                    <a:prstGeom prst="rect">
                      <a:avLst/>
                    </a:prstGeom>
                  </pic:spPr>
                </pic:pic>
              </a:graphicData>
            </a:graphic>
          </wp:inline>
        </w:drawing>
      </w:r>
    </w:p>
    <w:p w14:paraId="5108F849" w14:textId="6029EE58" w:rsidR="00036BAE" w:rsidRDefault="00036BAE" w:rsidP="008E1F84">
      <w:pPr>
        <w:pStyle w:val="ListParagraph"/>
        <w:ind w:left="1080"/>
        <w:jc w:val="both"/>
      </w:pPr>
    </w:p>
    <w:p w14:paraId="43A9A067" w14:textId="77777777" w:rsidR="00036BAE" w:rsidRDefault="00036BAE" w:rsidP="008E1F84">
      <w:pPr>
        <w:pStyle w:val="ListParagraph"/>
        <w:ind w:left="1080"/>
        <w:jc w:val="both"/>
      </w:pPr>
    </w:p>
    <w:p w14:paraId="4D41C742" w14:textId="77777777" w:rsidR="00866925" w:rsidRDefault="00866925" w:rsidP="00036BAE">
      <w:pPr>
        <w:jc w:val="both"/>
      </w:pPr>
    </w:p>
    <w:p w14:paraId="5F9DFF4C" w14:textId="77777777" w:rsidR="00D659D5" w:rsidRPr="00D659D5" w:rsidRDefault="00D659D5" w:rsidP="000443D8">
      <w:pPr>
        <w:pStyle w:val="ListParagraph"/>
        <w:ind w:left="1080"/>
        <w:jc w:val="both"/>
      </w:pPr>
    </w:p>
    <w:p w14:paraId="6065987B" w14:textId="144B8975" w:rsidR="00650EA7" w:rsidRPr="002F5685" w:rsidRDefault="00650EA7" w:rsidP="000443D8">
      <w:pPr>
        <w:pStyle w:val="ListParagraph"/>
        <w:jc w:val="both"/>
        <w:rPr>
          <w:b/>
          <w:bCs/>
          <w:u w:val="single"/>
        </w:rPr>
      </w:pPr>
    </w:p>
    <w:p w14:paraId="2FC456B0" w14:textId="77777777" w:rsidR="000443D8" w:rsidRPr="002F5685" w:rsidRDefault="000443D8">
      <w:pPr>
        <w:pStyle w:val="ListParagraph"/>
        <w:jc w:val="both"/>
        <w:rPr>
          <w:b/>
          <w:bCs/>
          <w:u w:val="single"/>
        </w:rPr>
      </w:pPr>
    </w:p>
    <w:sectPr w:rsidR="000443D8" w:rsidRPr="002F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3171"/>
    <w:multiLevelType w:val="hybridMultilevel"/>
    <w:tmpl w:val="E6D8A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DD70B8"/>
    <w:multiLevelType w:val="hybridMultilevel"/>
    <w:tmpl w:val="875C7538"/>
    <w:lvl w:ilvl="0" w:tplc="BB60D5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4F42"/>
    <w:multiLevelType w:val="hybridMultilevel"/>
    <w:tmpl w:val="C0089EFE"/>
    <w:lvl w:ilvl="0" w:tplc="EB76A768">
      <w:start w:val="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8034277">
    <w:abstractNumId w:val="1"/>
  </w:num>
  <w:num w:numId="2" w16cid:durableId="844827858">
    <w:abstractNumId w:val="2"/>
  </w:num>
  <w:num w:numId="3" w16cid:durableId="110523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85"/>
    <w:rsid w:val="00026DE0"/>
    <w:rsid w:val="00036BAE"/>
    <w:rsid w:val="000443D8"/>
    <w:rsid w:val="000A0819"/>
    <w:rsid w:val="000C29F3"/>
    <w:rsid w:val="001E225D"/>
    <w:rsid w:val="001F3036"/>
    <w:rsid w:val="002644DB"/>
    <w:rsid w:val="002E6DD6"/>
    <w:rsid w:val="002F4762"/>
    <w:rsid w:val="002F5685"/>
    <w:rsid w:val="00341D59"/>
    <w:rsid w:val="004843B5"/>
    <w:rsid w:val="00650EA7"/>
    <w:rsid w:val="0072067F"/>
    <w:rsid w:val="00807B75"/>
    <w:rsid w:val="008505F1"/>
    <w:rsid w:val="00866925"/>
    <w:rsid w:val="00887E63"/>
    <w:rsid w:val="00891E16"/>
    <w:rsid w:val="008A0B85"/>
    <w:rsid w:val="008E1F84"/>
    <w:rsid w:val="009A4546"/>
    <w:rsid w:val="009E49D6"/>
    <w:rsid w:val="00AE3D39"/>
    <w:rsid w:val="00BE4305"/>
    <w:rsid w:val="00BE630D"/>
    <w:rsid w:val="00C675B9"/>
    <w:rsid w:val="00CC31E8"/>
    <w:rsid w:val="00D55C3C"/>
    <w:rsid w:val="00D659D5"/>
    <w:rsid w:val="00DD6D51"/>
    <w:rsid w:val="00EE39A1"/>
    <w:rsid w:val="00FE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3517"/>
  <w15:chartTrackingRefBased/>
  <w15:docId w15:val="{DAC48905-CAE1-49F1-9699-59099521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685"/>
    <w:pPr>
      <w:ind w:left="720"/>
      <w:contextualSpacing/>
    </w:pPr>
  </w:style>
  <w:style w:type="table" w:styleId="TableGrid">
    <w:name w:val="Table Grid"/>
    <w:basedOn w:val="TableNormal"/>
    <w:uiPriority w:val="39"/>
    <w:rsid w:val="002F5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4949">
      <w:bodyDiv w:val="1"/>
      <w:marLeft w:val="0"/>
      <w:marRight w:val="0"/>
      <w:marTop w:val="0"/>
      <w:marBottom w:val="0"/>
      <w:divBdr>
        <w:top w:val="none" w:sz="0" w:space="0" w:color="auto"/>
        <w:left w:val="none" w:sz="0" w:space="0" w:color="auto"/>
        <w:bottom w:val="none" w:sz="0" w:space="0" w:color="auto"/>
        <w:right w:val="none" w:sz="0" w:space="0" w:color="auto"/>
      </w:divBdr>
    </w:div>
    <w:div w:id="316037766">
      <w:bodyDiv w:val="1"/>
      <w:marLeft w:val="0"/>
      <w:marRight w:val="0"/>
      <w:marTop w:val="0"/>
      <w:marBottom w:val="0"/>
      <w:divBdr>
        <w:top w:val="none" w:sz="0" w:space="0" w:color="auto"/>
        <w:left w:val="none" w:sz="0" w:space="0" w:color="auto"/>
        <w:bottom w:val="none" w:sz="0" w:space="0" w:color="auto"/>
        <w:right w:val="none" w:sz="0" w:space="0" w:color="auto"/>
      </w:divBdr>
    </w:div>
    <w:div w:id="369037558">
      <w:bodyDiv w:val="1"/>
      <w:marLeft w:val="0"/>
      <w:marRight w:val="0"/>
      <w:marTop w:val="0"/>
      <w:marBottom w:val="0"/>
      <w:divBdr>
        <w:top w:val="none" w:sz="0" w:space="0" w:color="auto"/>
        <w:left w:val="none" w:sz="0" w:space="0" w:color="auto"/>
        <w:bottom w:val="none" w:sz="0" w:space="0" w:color="auto"/>
        <w:right w:val="none" w:sz="0" w:space="0" w:color="auto"/>
      </w:divBdr>
    </w:div>
    <w:div w:id="699621722">
      <w:bodyDiv w:val="1"/>
      <w:marLeft w:val="0"/>
      <w:marRight w:val="0"/>
      <w:marTop w:val="0"/>
      <w:marBottom w:val="0"/>
      <w:divBdr>
        <w:top w:val="none" w:sz="0" w:space="0" w:color="auto"/>
        <w:left w:val="none" w:sz="0" w:space="0" w:color="auto"/>
        <w:bottom w:val="none" w:sz="0" w:space="0" w:color="auto"/>
        <w:right w:val="none" w:sz="0" w:space="0" w:color="auto"/>
      </w:divBdr>
    </w:div>
    <w:div w:id="1220019116">
      <w:bodyDiv w:val="1"/>
      <w:marLeft w:val="0"/>
      <w:marRight w:val="0"/>
      <w:marTop w:val="0"/>
      <w:marBottom w:val="0"/>
      <w:divBdr>
        <w:top w:val="none" w:sz="0" w:space="0" w:color="auto"/>
        <w:left w:val="none" w:sz="0" w:space="0" w:color="auto"/>
        <w:bottom w:val="none" w:sz="0" w:space="0" w:color="auto"/>
        <w:right w:val="none" w:sz="0" w:space="0" w:color="auto"/>
      </w:divBdr>
    </w:div>
    <w:div w:id="1512330307">
      <w:bodyDiv w:val="1"/>
      <w:marLeft w:val="0"/>
      <w:marRight w:val="0"/>
      <w:marTop w:val="0"/>
      <w:marBottom w:val="0"/>
      <w:divBdr>
        <w:top w:val="none" w:sz="0" w:space="0" w:color="auto"/>
        <w:left w:val="none" w:sz="0" w:space="0" w:color="auto"/>
        <w:bottom w:val="none" w:sz="0" w:space="0" w:color="auto"/>
        <w:right w:val="none" w:sz="0" w:space="0" w:color="auto"/>
      </w:divBdr>
    </w:div>
    <w:div w:id="193898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B4AA6-16CB-4531-8C5A-C9B1DD25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Hardik Malhotra</cp:lastModifiedBy>
  <cp:revision>2</cp:revision>
  <dcterms:created xsi:type="dcterms:W3CDTF">2022-06-21T13:04:00Z</dcterms:created>
  <dcterms:modified xsi:type="dcterms:W3CDTF">2022-06-21T13:04:00Z</dcterms:modified>
</cp:coreProperties>
</file>