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65CC" w14:textId="77777777" w:rsidR="002C590C" w:rsidRDefault="002C590C" w:rsidP="002C590C">
      <w:pPr>
        <w:tabs>
          <w:tab w:val="left" w:pos="945"/>
        </w:tabs>
        <w:spacing w:line="360" w:lineRule="auto"/>
        <w:jc w:val="both"/>
        <w:rPr>
          <w:rFonts w:ascii="Verdana" w:eastAsia="Verdana" w:hAnsi="Verdana" w:cs="Verdana"/>
          <w:b/>
          <w:bCs/>
          <w:color w:val="0F0E0E"/>
          <w:kern w:val="24"/>
          <w:sz w:val="20"/>
          <w:szCs w:val="20"/>
          <w:lang w:val="en-US"/>
        </w:rPr>
      </w:pPr>
    </w:p>
    <w:p w14:paraId="1AAB1C6D" w14:textId="77777777" w:rsidR="002C590C" w:rsidRPr="00517117" w:rsidRDefault="002C590C" w:rsidP="002C590C">
      <w:pPr>
        <w:tabs>
          <w:tab w:val="left" w:pos="945"/>
        </w:tabs>
        <w:spacing w:line="360" w:lineRule="auto"/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517117">
        <w:rPr>
          <w:rFonts w:ascii="Arial" w:eastAsia="Verdana" w:hAnsi="Arial" w:cs="Arial"/>
          <w:b/>
          <w:bCs/>
          <w:color w:val="0F0E0E"/>
          <w:kern w:val="24"/>
          <w:sz w:val="24"/>
          <w:szCs w:val="24"/>
          <w:lang w:val="en-US"/>
        </w:rPr>
        <w:t>3.6 Pricing Analysis Epoxy Resin</w:t>
      </w:r>
      <w:r>
        <w:rPr>
          <w:rFonts w:ascii="Arial" w:eastAsia="Verdana" w:hAnsi="Arial" w:cs="Arial"/>
          <w:b/>
          <w:bCs/>
          <w:color w:val="0F0E0E"/>
          <w:kern w:val="24"/>
          <w:sz w:val="24"/>
          <w:szCs w:val="24"/>
          <w:lang w:val="en-US"/>
        </w:rPr>
        <w:t xml:space="preserve"> (USD/ ton)</w:t>
      </w:r>
    </w:p>
    <w:p w14:paraId="316E48DB" w14:textId="79B13A88" w:rsidR="002C590C" w:rsidRPr="004070B7" w:rsidRDefault="002C590C" w:rsidP="002C590C">
      <w:pPr>
        <w:tabs>
          <w:tab w:val="left" w:pos="945"/>
        </w:tabs>
        <w:spacing w:line="360" w:lineRule="auto"/>
        <w:jc w:val="both"/>
        <w:rPr>
          <w:rFonts w:ascii="Verdana" w:eastAsia="Arial" w:hAnsi="Verdana" w:cs="Arial"/>
          <w:b/>
          <w:bCs/>
          <w:i/>
          <w:iCs/>
          <w:sz w:val="20"/>
          <w:szCs w:val="20"/>
          <w:u w:val="single"/>
        </w:rPr>
      </w:pPr>
      <w:r w:rsidRPr="004070B7">
        <w:rPr>
          <w:rFonts w:ascii="Verdana" w:eastAsia="Arial" w:hAnsi="Verdana" w:cs="Arial"/>
          <w:b/>
          <w:bCs/>
          <w:i/>
          <w:iCs/>
          <w:noProof/>
          <w:sz w:val="20"/>
          <w:szCs w:val="20"/>
          <w:u w:val="single"/>
        </w:rPr>
        <w:drawing>
          <wp:inline distT="0" distB="0" distL="0" distR="0" wp14:anchorId="29F06AE9" wp14:editId="4A1A27A2">
            <wp:extent cx="6267450" cy="3048000"/>
            <wp:effectExtent l="0" t="0" r="0" b="0"/>
            <wp:docPr id="635" name="Chart 635">
              <a:extLst xmlns:a="http://schemas.openxmlformats.org/drawingml/2006/main">
                <a:ext uri="{FF2B5EF4-FFF2-40B4-BE49-F238E27FC236}">
                  <a16:creationId xmlns:a16="http://schemas.microsoft.com/office/drawing/2014/main" id="{C739CA10-76F6-4DEF-B7CC-EE1F25F362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EDC96E" w14:textId="1F1F78B5" w:rsidR="002C590C" w:rsidRPr="005858C1" w:rsidRDefault="002C590C" w:rsidP="002C590C">
      <w:pPr>
        <w:tabs>
          <w:tab w:val="left" w:pos="1095"/>
        </w:tabs>
        <w:rPr>
          <w:rFonts w:ascii="Verdana" w:eastAsia="Verdana" w:hAnsi="Verdana" w:cs="Verdana"/>
          <w:b/>
          <w:bCs/>
          <w:color w:val="0F0E0E"/>
          <w:kern w:val="24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72015" wp14:editId="0C9E3042">
                <wp:simplePos x="0" y="0"/>
                <wp:positionH relativeFrom="column">
                  <wp:posOffset>4486275</wp:posOffset>
                </wp:positionH>
                <wp:positionV relativeFrom="paragraph">
                  <wp:posOffset>43815</wp:posOffset>
                </wp:positionV>
                <wp:extent cx="1864360" cy="292735"/>
                <wp:effectExtent l="0" t="0" r="0" b="0"/>
                <wp:wrapNone/>
                <wp:docPr id="220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4360" cy="292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87EEF7" w14:textId="77777777" w:rsidR="002C590C" w:rsidRPr="00687E98" w:rsidRDefault="002C590C" w:rsidP="002C590C">
                            <w:pPr>
                              <w:jc w:val="right"/>
                              <w:textAlignment w:val="baseline"/>
                              <w:rPr>
                                <w:rFonts w:ascii="Verdana" w:eastAsia="Verdana" w:hAnsi="Verdana" w:cs="Verdana"/>
                                <w:i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687E98">
                              <w:rPr>
                                <w:rFonts w:ascii="Verdana" w:eastAsia="Verdana" w:hAnsi="Verdana" w:cs="Verdana"/>
                                <w:i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Source: TechSci Research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7201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53.25pt;margin-top:3.45pt;width:146.8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" filled="f" stroked="f">
                <v:textbox style="mso-fit-shape-to-text:t">
                  <w:txbxContent>
                    <w:p w14:paraId="7B87EEF7" w14:textId="77777777" w:rsidR="002C590C" w:rsidRPr="00687E98" w:rsidRDefault="002C590C" w:rsidP="002C590C">
                      <w:pPr>
                        <w:jc w:val="right"/>
                        <w:textAlignment w:val="baseline"/>
                        <w:rPr>
                          <w:rFonts w:ascii="Verdana" w:eastAsia="Verdana" w:hAnsi="Verdana" w:cs="Verdana"/>
                          <w:i/>
                          <w:iCs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 w:rsidRPr="00687E98">
                        <w:rPr>
                          <w:rFonts w:ascii="Verdana" w:eastAsia="Verdana" w:hAnsi="Verdana" w:cs="Verdana"/>
                          <w:i/>
                          <w:iCs/>
                          <w:color w:val="000000" w:themeColor="text1"/>
                          <w:kern w:val="24"/>
                          <w:sz w:val="12"/>
                          <w:szCs w:val="12"/>
                        </w:rPr>
                        <w:t>Source: TechSci Research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464483D9" w14:textId="77777777" w:rsidR="002C590C" w:rsidRPr="002C590C" w:rsidRDefault="002C590C" w:rsidP="002C590C">
      <w:pPr>
        <w:tabs>
          <w:tab w:val="left" w:pos="1095"/>
        </w:tabs>
        <w:spacing w:line="360" w:lineRule="auto"/>
        <w:jc w:val="both"/>
        <w:rPr>
          <w:rFonts w:ascii="Arial" w:eastAsia="Verdana" w:hAnsi="Arial" w:cs="Arial"/>
          <w:color w:val="0F0E0E"/>
          <w:kern w:val="24"/>
          <w:sz w:val="24"/>
          <w:szCs w:val="24"/>
          <w:lang w:val="en-US"/>
        </w:rPr>
      </w:pPr>
      <w:r w:rsidRPr="002C590C">
        <w:rPr>
          <w:rFonts w:ascii="Arial" w:eastAsia="Verdana" w:hAnsi="Arial" w:cs="Arial"/>
          <w:color w:val="0F0E0E"/>
          <w:kern w:val="24"/>
          <w:sz w:val="24"/>
          <w:szCs w:val="24"/>
          <w:lang w:val="en-US"/>
        </w:rPr>
        <w:t xml:space="preserve">Chemical and petrochemical sector is leading to a drop in prices of Epoxy Resins along with various other products. Market fundamentals of Epoxy Resin revived significantly in 2017 following a sharp rebound in market activities. However, in 2018 and 2019, prices fluctuated in a stable to narrow range amidst the uncertainty prevailing from stable feedstock and muted </w:t>
      </w:r>
    </w:p>
    <w:p w14:paraId="4D83063B" w14:textId="77777777" w:rsidR="002C590C" w:rsidRPr="002C590C" w:rsidRDefault="002C590C" w:rsidP="002C590C">
      <w:pPr>
        <w:tabs>
          <w:tab w:val="left" w:pos="1095"/>
        </w:tabs>
        <w:spacing w:line="360" w:lineRule="auto"/>
        <w:jc w:val="both"/>
        <w:rPr>
          <w:rFonts w:ascii="Arial" w:eastAsia="Verdana" w:hAnsi="Arial" w:cs="Arial"/>
          <w:color w:val="0F0E0E"/>
          <w:kern w:val="24"/>
          <w:sz w:val="24"/>
          <w:szCs w:val="24"/>
          <w:lang w:val="en-US"/>
        </w:rPr>
      </w:pPr>
      <w:r w:rsidRPr="002C590C">
        <w:rPr>
          <w:rFonts w:ascii="Arial" w:eastAsia="Verdana" w:hAnsi="Arial" w:cs="Arial"/>
          <w:color w:val="0F0E0E"/>
          <w:kern w:val="24"/>
          <w:sz w:val="24"/>
          <w:szCs w:val="24"/>
          <w:lang w:val="en-US"/>
        </w:rPr>
        <w:t>demand patterns from several downstream industries. In 2020, Epoxy Resin witnessed a marginal dive again due to a ground-breaking fall in crude values and a devastating hit on the global economy in the wake of the COVID-19 outbreak. Despite the second wave of COVID-19 in India, prices showcased an appreciable rebound in 2021 due to consistent demand pattern and spillover effect of high international prices.</w:t>
      </w:r>
    </w:p>
    <w:p w14:paraId="335572EE" w14:textId="77777777" w:rsidR="002C590C" w:rsidRPr="005858C1" w:rsidRDefault="002C590C" w:rsidP="002C590C">
      <w:pPr>
        <w:tabs>
          <w:tab w:val="left" w:pos="1095"/>
        </w:tabs>
        <w:spacing w:line="360" w:lineRule="auto"/>
        <w:jc w:val="both"/>
        <w:rPr>
          <w:rFonts w:ascii="Arial" w:eastAsia="Verdana" w:hAnsi="Arial" w:cs="Arial"/>
          <w:color w:val="0F0E0E"/>
          <w:kern w:val="24"/>
          <w:sz w:val="24"/>
          <w:szCs w:val="24"/>
          <w:lang w:val="en-US"/>
        </w:rPr>
        <w:sectPr w:rsidR="002C590C" w:rsidRPr="005858C1" w:rsidSect="002C590C">
          <w:pgSz w:w="11906" w:h="16838" w:code="9"/>
          <w:pgMar w:top="1134" w:right="836" w:bottom="630" w:left="117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026D293" w14:textId="77777777" w:rsidR="002C590C" w:rsidRPr="005858C1" w:rsidRDefault="002C590C" w:rsidP="002C590C">
      <w:pPr>
        <w:tabs>
          <w:tab w:val="left" w:pos="1095"/>
        </w:tabs>
        <w:spacing w:line="360" w:lineRule="auto"/>
        <w:jc w:val="both"/>
        <w:rPr>
          <w:rFonts w:ascii="Arial" w:eastAsia="Verdana" w:hAnsi="Arial" w:cs="Arial"/>
          <w:color w:val="0F0E0E"/>
          <w:kern w:val="24"/>
          <w:sz w:val="24"/>
          <w:szCs w:val="24"/>
          <w:lang w:val="en-US"/>
        </w:rPr>
      </w:pPr>
    </w:p>
    <w:p w14:paraId="7AEBAA02" w14:textId="77777777" w:rsidR="002C590C" w:rsidRDefault="002C590C"/>
    <w:sectPr w:rsidR="002C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0C"/>
    <w:rsid w:val="002C590C"/>
    <w:rsid w:val="0050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BB98"/>
  <w15:chartTrackingRefBased/>
  <w15:docId w15:val="{78828DC1-F60E-43AD-8B0F-505E85CF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90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2118233267716532E-2"/>
          <c:y val="7.0190543067854855E-2"/>
          <c:w val="0.93690280511811019"/>
          <c:h val="0.62644830555369024"/>
        </c:manualLayout>
      </c:layout>
      <c:lineChart>
        <c:grouping val="stack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Solid Epoxy Resin Ex-Mumbai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</c:numCache>
            </c:numRef>
          </c:cat>
          <c:val>
            <c:numRef>
              <c:f>Sheet1!$C$2:$C$11</c:f>
              <c:numCache>
                <c:formatCode>0</c:formatCode>
                <c:ptCount val="10"/>
                <c:pt idx="0">
                  <c:v>3057.1982600000001</c:v>
                </c:pt>
                <c:pt idx="1">
                  <c:v>3017.6234400000003</c:v>
                </c:pt>
                <c:pt idx="2">
                  <c:v>2270.8188799999998</c:v>
                </c:pt>
                <c:pt idx="3">
                  <c:v>1955.6262000000002</c:v>
                </c:pt>
                <c:pt idx="4">
                  <c:v>2324.2752</c:v>
                </c:pt>
                <c:pt idx="5">
                  <c:v>3594.2752</c:v>
                </c:pt>
                <c:pt idx="6">
                  <c:v>2447.0666666666666</c:v>
                </c:pt>
                <c:pt idx="7">
                  <c:v>2005.7333333333333</c:v>
                </c:pt>
                <c:pt idx="8">
                  <c:v>1599.8666666666666</c:v>
                </c:pt>
                <c:pt idx="9">
                  <c:v>2427.4444444444443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18-4867-B23B-C86EF5BE490F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Solvent Epoxy Resin Ex-Mumbai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</c:numCache>
            </c:numRef>
          </c:cat>
          <c:val>
            <c:numRef>
              <c:f>Sheet1!$D$2:$D$11</c:f>
              <c:numCache>
                <c:formatCode>0</c:formatCode>
                <c:ptCount val="10"/>
                <c:pt idx="0">
                  <c:v>3654.7275399999999</c:v>
                </c:pt>
                <c:pt idx="1">
                  <c:v>3589.4112800000003</c:v>
                </c:pt>
                <c:pt idx="2">
                  <c:v>3497.7533600000002</c:v>
                </c:pt>
                <c:pt idx="3">
                  <c:v>2474.7452400000002</c:v>
                </c:pt>
                <c:pt idx="4">
                  <c:v>2860.0320000000002</c:v>
                </c:pt>
                <c:pt idx="5">
                  <c:v>4130.0320000000002</c:v>
                </c:pt>
                <c:pt idx="6">
                  <c:v>4882.1333333333332</c:v>
                </c:pt>
                <c:pt idx="7">
                  <c:v>4303.0666666666666</c:v>
                </c:pt>
                <c:pt idx="8">
                  <c:v>3351.4666666666667</c:v>
                </c:pt>
                <c:pt idx="9">
                  <c:v>4585.8888888888887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18-4867-B23B-C86EF5BE490F}"/>
            </c:ext>
          </c:extLst>
        </c:ser>
        <c:ser>
          <c:idx val="0"/>
          <c:order val="2"/>
          <c:tx>
            <c:strRef>
              <c:f>Sheet1!$B$1</c:f>
              <c:strCache>
                <c:ptCount val="1"/>
                <c:pt idx="0">
                  <c:v>Liquid Epoxy Resin Ex-Mumbai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</c:numCache>
            </c:numRef>
          </c:cat>
          <c:val>
            <c:numRef>
              <c:f>Sheet1!$B$2:$B$11</c:f>
              <c:numCache>
                <c:formatCode>0</c:formatCode>
                <c:ptCount val="10"/>
                <c:pt idx="0">
                  <c:v>4329.1750099999999</c:v>
                </c:pt>
                <c:pt idx="1">
                  <c:v>4267.5896900000007</c:v>
                </c:pt>
                <c:pt idx="2">
                  <c:v>4109.1156799999999</c:v>
                </c:pt>
                <c:pt idx="3">
                  <c:v>3119.0303100000001</c:v>
                </c:pt>
                <c:pt idx="4">
                  <c:v>3491.328</c:v>
                </c:pt>
                <c:pt idx="5">
                  <c:v>4921.3279999999995</c:v>
                </c:pt>
                <c:pt idx="6">
                  <c:v>5399.8</c:v>
                </c:pt>
                <c:pt idx="7">
                  <c:v>4931.2</c:v>
                </c:pt>
                <c:pt idx="8">
                  <c:v>3996.2666666666669</c:v>
                </c:pt>
                <c:pt idx="9">
                  <c:v>5248.8888888888887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18-4867-B23B-C86EF5BE490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7335776"/>
        <c:axId val="339206304"/>
      </c:lineChart>
      <c:catAx>
        <c:axId val="56733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06304"/>
        <c:crosses val="autoZero"/>
        <c:auto val="1"/>
        <c:lblAlgn val="ctr"/>
        <c:lblOffset val="100"/>
        <c:noMultiLvlLbl val="1"/>
      </c:catAx>
      <c:valAx>
        <c:axId val="339206304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56733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2.954652792294769E-2"/>
          <c:y val="0.85312003983691753"/>
          <c:w val="0.89572387522356167"/>
          <c:h val="0.145757933091038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1</cp:revision>
  <dcterms:created xsi:type="dcterms:W3CDTF">2021-10-18T13:52:00Z</dcterms:created>
  <dcterms:modified xsi:type="dcterms:W3CDTF">2021-10-18T13:53:00Z</dcterms:modified>
</cp:coreProperties>
</file>