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A2CC" w14:textId="1FE5A2CC" w:rsidR="00F727C7" w:rsidRPr="00F727C7" w:rsidRDefault="00F727C7">
      <w:pPr>
        <w:rPr>
          <w:rFonts w:ascii="Arial" w:hAnsi="Arial" w:cs="Arial"/>
          <w:b/>
          <w:bCs/>
          <w:sz w:val="24"/>
          <w:szCs w:val="24"/>
        </w:rPr>
      </w:pPr>
      <w:r w:rsidRPr="00F727C7">
        <w:rPr>
          <w:rFonts w:ascii="Arial" w:hAnsi="Arial" w:cs="Arial"/>
          <w:b/>
          <w:bCs/>
          <w:sz w:val="24"/>
          <w:szCs w:val="24"/>
        </w:rPr>
        <w:t xml:space="preserve">Major Companies- </w:t>
      </w:r>
    </w:p>
    <w:p w14:paraId="7CE8CF16" w14:textId="6D116622" w:rsidR="00F727C7" w:rsidRDefault="00F727C7">
      <w:pPr>
        <w:rPr>
          <w:rFonts w:ascii="Arial" w:hAnsi="Arial" w:cs="Arial"/>
          <w:sz w:val="24"/>
          <w:szCs w:val="24"/>
        </w:rPr>
      </w:pPr>
      <w:r w:rsidRPr="00F727C7">
        <w:rPr>
          <w:rFonts w:ascii="Arial" w:hAnsi="Arial" w:cs="Arial"/>
          <w:sz w:val="24"/>
          <w:szCs w:val="24"/>
        </w:rPr>
        <w:t>Southern Petrochemical Industries Corporation Limited</w:t>
      </w:r>
      <w:r>
        <w:rPr>
          <w:rFonts w:ascii="Arial" w:hAnsi="Arial" w:cs="Arial"/>
          <w:sz w:val="24"/>
          <w:szCs w:val="24"/>
        </w:rPr>
        <w:t xml:space="preserve">, </w:t>
      </w:r>
      <w:r w:rsidRPr="00F727C7">
        <w:rPr>
          <w:rFonts w:ascii="Arial" w:hAnsi="Arial" w:cs="Arial"/>
          <w:sz w:val="24"/>
          <w:szCs w:val="24"/>
        </w:rPr>
        <w:t>Punjab Carbonic private Limited</w:t>
      </w:r>
      <w:r>
        <w:rPr>
          <w:rFonts w:ascii="Arial" w:hAnsi="Arial" w:cs="Arial"/>
          <w:sz w:val="24"/>
          <w:szCs w:val="24"/>
        </w:rPr>
        <w:t xml:space="preserve">, </w:t>
      </w:r>
      <w:r w:rsidRPr="00F727C7">
        <w:rPr>
          <w:rFonts w:ascii="Arial" w:hAnsi="Arial" w:cs="Arial"/>
          <w:sz w:val="24"/>
          <w:szCs w:val="24"/>
        </w:rPr>
        <w:t>SICGIL India Limited</w:t>
      </w:r>
      <w:r>
        <w:rPr>
          <w:rFonts w:ascii="Arial" w:hAnsi="Arial" w:cs="Arial"/>
          <w:sz w:val="24"/>
          <w:szCs w:val="24"/>
        </w:rPr>
        <w:t xml:space="preserve">, </w:t>
      </w:r>
      <w:r w:rsidRPr="00F727C7">
        <w:rPr>
          <w:rFonts w:ascii="Arial" w:hAnsi="Arial" w:cs="Arial"/>
          <w:sz w:val="24"/>
          <w:szCs w:val="24"/>
        </w:rPr>
        <w:t>Indian Farmers Fertilizer Cooperative</w:t>
      </w:r>
      <w:r>
        <w:rPr>
          <w:rFonts w:ascii="Arial" w:hAnsi="Arial" w:cs="Arial"/>
          <w:sz w:val="24"/>
          <w:szCs w:val="24"/>
        </w:rPr>
        <w:t xml:space="preserve">, </w:t>
      </w:r>
      <w:r w:rsidRPr="00F727C7">
        <w:rPr>
          <w:rFonts w:ascii="Arial" w:hAnsi="Arial" w:cs="Arial"/>
          <w:sz w:val="24"/>
          <w:szCs w:val="24"/>
        </w:rPr>
        <w:t>Bathinda industrial Gases Pvt. Ltd. (BIGPL)</w:t>
      </w:r>
      <w:r>
        <w:rPr>
          <w:rFonts w:ascii="Arial" w:hAnsi="Arial" w:cs="Arial"/>
          <w:sz w:val="24"/>
          <w:szCs w:val="24"/>
        </w:rPr>
        <w:t xml:space="preserve">, </w:t>
      </w:r>
      <w:r w:rsidRPr="00F727C7">
        <w:rPr>
          <w:rFonts w:ascii="Arial" w:hAnsi="Arial" w:cs="Arial"/>
          <w:sz w:val="24"/>
          <w:szCs w:val="24"/>
        </w:rPr>
        <w:t>National Fertilizers Limited</w:t>
      </w:r>
      <w:r>
        <w:rPr>
          <w:rFonts w:ascii="Arial" w:hAnsi="Arial" w:cs="Arial"/>
          <w:sz w:val="24"/>
          <w:szCs w:val="24"/>
        </w:rPr>
        <w:t>.</w:t>
      </w:r>
    </w:p>
    <w:p w14:paraId="12CD2B36" w14:textId="69D7A80E" w:rsidR="00F727C7" w:rsidRPr="00F727C7" w:rsidRDefault="00F727C7">
      <w:pPr>
        <w:rPr>
          <w:rFonts w:ascii="Arial" w:hAnsi="Arial" w:cs="Arial"/>
          <w:b/>
          <w:bCs/>
          <w:sz w:val="24"/>
          <w:szCs w:val="24"/>
        </w:rPr>
      </w:pPr>
      <w:r w:rsidRPr="00F727C7">
        <w:rPr>
          <w:rFonts w:ascii="Arial" w:hAnsi="Arial" w:cs="Arial"/>
          <w:b/>
          <w:bCs/>
          <w:sz w:val="24"/>
          <w:szCs w:val="24"/>
        </w:rPr>
        <w:t xml:space="preserve">Total Capacity- </w:t>
      </w:r>
    </w:p>
    <w:p w14:paraId="11570F9C" w14:textId="1E93B2D6" w:rsidR="00F727C7" w:rsidRDefault="00F727C7">
      <w:pPr>
        <w:rPr>
          <w:rFonts w:ascii="Arial" w:hAnsi="Arial" w:cs="Arial"/>
          <w:sz w:val="24"/>
          <w:szCs w:val="24"/>
        </w:rPr>
      </w:pPr>
      <w:r w:rsidRPr="00F727C7">
        <w:rPr>
          <w:rFonts w:ascii="Arial" w:hAnsi="Arial" w:cs="Arial"/>
          <w:sz w:val="24"/>
          <w:szCs w:val="24"/>
        </w:rPr>
        <w:t xml:space="preserve">Currently the carbon dioxide capacity in India stands at 3810 thousand </w:t>
      </w:r>
      <w:proofErr w:type="spellStart"/>
      <w:r w:rsidRPr="00F727C7">
        <w:rPr>
          <w:rFonts w:ascii="Arial" w:hAnsi="Arial" w:cs="Arial"/>
          <w:sz w:val="24"/>
          <w:szCs w:val="24"/>
        </w:rPr>
        <w:t>tonnes</w:t>
      </w:r>
      <w:proofErr w:type="spellEnd"/>
      <w:r w:rsidRPr="00F727C7">
        <w:rPr>
          <w:rFonts w:ascii="Arial" w:hAnsi="Arial" w:cs="Arial"/>
          <w:sz w:val="24"/>
          <w:szCs w:val="24"/>
        </w:rPr>
        <w:t xml:space="preserve"> in FY2021</w:t>
      </w:r>
      <w:r>
        <w:rPr>
          <w:rFonts w:ascii="Arial" w:hAnsi="Arial" w:cs="Arial"/>
          <w:sz w:val="24"/>
          <w:szCs w:val="24"/>
        </w:rPr>
        <w:t xml:space="preserve"> and is anticipated to reach 4152 thousand </w:t>
      </w:r>
      <w:proofErr w:type="spellStart"/>
      <w:r>
        <w:rPr>
          <w:rFonts w:ascii="Arial" w:hAnsi="Arial" w:cs="Arial"/>
          <w:sz w:val="24"/>
          <w:szCs w:val="24"/>
        </w:rPr>
        <w:t>tonnes</w:t>
      </w:r>
      <w:proofErr w:type="spellEnd"/>
      <w:r>
        <w:rPr>
          <w:rFonts w:ascii="Arial" w:hAnsi="Arial" w:cs="Arial"/>
          <w:sz w:val="24"/>
          <w:szCs w:val="24"/>
        </w:rPr>
        <w:t xml:space="preserve"> in FY2040.</w:t>
      </w:r>
    </w:p>
    <w:p w14:paraId="2340701F" w14:textId="5D734DA5" w:rsidR="00F727C7" w:rsidRDefault="00F727C7">
      <w:pPr>
        <w:rPr>
          <w:rFonts w:ascii="Arial" w:hAnsi="Arial" w:cs="Arial"/>
          <w:b/>
          <w:bCs/>
          <w:sz w:val="24"/>
          <w:szCs w:val="24"/>
        </w:rPr>
      </w:pPr>
      <w:r w:rsidRPr="00F727C7">
        <w:rPr>
          <w:rFonts w:ascii="Arial" w:hAnsi="Arial" w:cs="Arial"/>
          <w:b/>
          <w:bCs/>
          <w:sz w:val="24"/>
          <w:szCs w:val="24"/>
        </w:rPr>
        <w:t xml:space="preserve">India Status of Carbon Capture </w:t>
      </w:r>
      <w:r w:rsidR="006513C0" w:rsidRPr="00F727C7">
        <w:rPr>
          <w:rFonts w:ascii="Arial" w:hAnsi="Arial" w:cs="Arial"/>
          <w:b/>
          <w:bCs/>
          <w:sz w:val="24"/>
          <w:szCs w:val="24"/>
        </w:rPr>
        <w:t>and</w:t>
      </w:r>
      <w:r w:rsidRPr="00F727C7">
        <w:rPr>
          <w:rFonts w:ascii="Arial" w:hAnsi="Arial" w:cs="Arial"/>
          <w:b/>
          <w:bCs/>
          <w:sz w:val="24"/>
          <w:szCs w:val="24"/>
        </w:rPr>
        <w:t xml:space="preserve"> Storage</w:t>
      </w:r>
    </w:p>
    <w:p w14:paraId="4F1CF78B" w14:textId="77777777" w:rsidR="00F727C7" w:rsidRPr="00F727C7" w:rsidRDefault="00F727C7" w:rsidP="00F727C7">
      <w:pPr>
        <w:rPr>
          <w:rFonts w:ascii="Arial" w:hAnsi="Arial" w:cs="Arial"/>
          <w:sz w:val="24"/>
          <w:szCs w:val="24"/>
        </w:rPr>
      </w:pPr>
      <w:r w:rsidRPr="00F727C7">
        <w:rPr>
          <w:rFonts w:ascii="Arial" w:hAnsi="Arial" w:cs="Arial"/>
          <w:sz w:val="24"/>
          <w:szCs w:val="24"/>
        </w:rPr>
        <w:t>India is one of 24 developing countries which are working towards Carbon Capture &amp; Storage (CCS).</w:t>
      </w:r>
    </w:p>
    <w:p w14:paraId="25516D29" w14:textId="77777777" w:rsidR="00F727C7" w:rsidRPr="00F727C7" w:rsidRDefault="00F727C7" w:rsidP="00F727C7">
      <w:pPr>
        <w:rPr>
          <w:rFonts w:ascii="Arial" w:hAnsi="Arial" w:cs="Arial"/>
          <w:sz w:val="24"/>
          <w:szCs w:val="24"/>
        </w:rPr>
      </w:pPr>
      <w:r w:rsidRPr="00F727C7">
        <w:rPr>
          <w:rFonts w:ascii="Arial" w:hAnsi="Arial" w:cs="Arial"/>
          <w:sz w:val="24"/>
          <w:szCs w:val="24"/>
        </w:rPr>
        <w:t>There is very little focus on carbon capture domestic demonstration in India because of the high investment cost.</w:t>
      </w:r>
    </w:p>
    <w:p w14:paraId="12298956" w14:textId="2B72E36A" w:rsidR="00F727C7" w:rsidRDefault="00F727C7" w:rsidP="00F727C7">
      <w:pPr>
        <w:rPr>
          <w:rFonts w:ascii="Arial" w:hAnsi="Arial" w:cs="Arial"/>
          <w:sz w:val="24"/>
          <w:szCs w:val="24"/>
        </w:rPr>
      </w:pPr>
      <w:r w:rsidRPr="00F727C7">
        <w:rPr>
          <w:rFonts w:ascii="Arial" w:hAnsi="Arial" w:cs="Arial"/>
          <w:sz w:val="24"/>
          <w:szCs w:val="24"/>
        </w:rPr>
        <w:t xml:space="preserve">Indian Oil Corporation Ltd, National </w:t>
      </w:r>
      <w:proofErr w:type="spellStart"/>
      <w:r w:rsidRPr="00F727C7">
        <w:rPr>
          <w:rFonts w:ascii="Arial" w:hAnsi="Arial" w:cs="Arial"/>
          <w:sz w:val="24"/>
          <w:szCs w:val="24"/>
        </w:rPr>
        <w:t>Aluminium</w:t>
      </w:r>
      <w:proofErr w:type="spellEnd"/>
      <w:r w:rsidRPr="00F727C7">
        <w:rPr>
          <w:rFonts w:ascii="Arial" w:hAnsi="Arial" w:cs="Arial"/>
          <w:sz w:val="24"/>
          <w:szCs w:val="24"/>
        </w:rPr>
        <w:t xml:space="preserve"> Company (NALCO), Oil &amp; Natural Gas Corporation (ONGC), Bharat Heavy Electrical Ltd. (BHEL) are some of the companies which are in the early stages of setting up facilities associated with CCS.</w:t>
      </w:r>
    </w:p>
    <w:p w14:paraId="718B1EBD" w14:textId="4D967920" w:rsidR="00F727C7" w:rsidRDefault="006513C0" w:rsidP="00F727C7">
      <w:pPr>
        <w:rPr>
          <w:rFonts w:ascii="Arial" w:hAnsi="Arial" w:cs="Arial"/>
          <w:b/>
          <w:bCs/>
          <w:sz w:val="24"/>
          <w:szCs w:val="24"/>
        </w:rPr>
      </w:pPr>
      <w:r w:rsidRPr="006513C0">
        <w:rPr>
          <w:rFonts w:ascii="Arial" w:hAnsi="Arial" w:cs="Arial"/>
          <w:b/>
          <w:bCs/>
          <w:sz w:val="24"/>
          <w:szCs w:val="24"/>
        </w:rPr>
        <w:t>List of CO2 Capture Plants in India</w:t>
      </w:r>
    </w:p>
    <w:tbl>
      <w:tblPr>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752"/>
        <w:gridCol w:w="1752"/>
        <w:gridCol w:w="2341"/>
        <w:gridCol w:w="1752"/>
        <w:gridCol w:w="1473"/>
        <w:gridCol w:w="1473"/>
      </w:tblGrid>
      <w:tr w:rsidR="006513C0" w:rsidRPr="006513C0" w14:paraId="423E0295" w14:textId="77777777" w:rsidTr="006513C0">
        <w:trPr>
          <w:trHeight w:val="477"/>
        </w:trPr>
        <w:tc>
          <w:tcPr>
            <w:tcW w:w="1752" w:type="dxa"/>
            <w:shd w:val="clear" w:color="auto" w:fill="1F4E79"/>
            <w:tcMar>
              <w:top w:w="54" w:type="dxa"/>
              <w:left w:w="108" w:type="dxa"/>
              <w:bottom w:w="54" w:type="dxa"/>
              <w:right w:w="108" w:type="dxa"/>
            </w:tcMar>
            <w:vAlign w:val="center"/>
            <w:hideMark/>
          </w:tcPr>
          <w:p w14:paraId="5ABE1C04"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Plant Name</w:t>
            </w:r>
          </w:p>
        </w:tc>
        <w:tc>
          <w:tcPr>
            <w:tcW w:w="1752" w:type="dxa"/>
            <w:shd w:val="clear" w:color="auto" w:fill="1F4E79"/>
            <w:tcMar>
              <w:top w:w="54" w:type="dxa"/>
              <w:left w:w="108" w:type="dxa"/>
              <w:bottom w:w="54" w:type="dxa"/>
              <w:right w:w="108" w:type="dxa"/>
            </w:tcMar>
            <w:vAlign w:val="center"/>
            <w:hideMark/>
          </w:tcPr>
          <w:p w14:paraId="4A459FE4"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Technology Provider</w:t>
            </w:r>
          </w:p>
        </w:tc>
        <w:tc>
          <w:tcPr>
            <w:tcW w:w="2341" w:type="dxa"/>
            <w:shd w:val="clear" w:color="auto" w:fill="1F4E79"/>
            <w:tcMar>
              <w:top w:w="54" w:type="dxa"/>
              <w:left w:w="108" w:type="dxa"/>
              <w:bottom w:w="54" w:type="dxa"/>
              <w:right w:w="108" w:type="dxa"/>
            </w:tcMar>
            <w:vAlign w:val="center"/>
            <w:hideMark/>
          </w:tcPr>
          <w:p w14:paraId="6C13D0E2"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End User Company</w:t>
            </w:r>
          </w:p>
        </w:tc>
        <w:tc>
          <w:tcPr>
            <w:tcW w:w="1752" w:type="dxa"/>
            <w:shd w:val="clear" w:color="auto" w:fill="1F4E79"/>
            <w:tcMar>
              <w:top w:w="54" w:type="dxa"/>
              <w:left w:w="108" w:type="dxa"/>
              <w:bottom w:w="54" w:type="dxa"/>
              <w:right w:w="108" w:type="dxa"/>
            </w:tcMar>
            <w:vAlign w:val="center"/>
            <w:hideMark/>
          </w:tcPr>
          <w:p w14:paraId="4F414CE3"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Capture Technology</w:t>
            </w:r>
          </w:p>
        </w:tc>
        <w:tc>
          <w:tcPr>
            <w:tcW w:w="1473" w:type="dxa"/>
            <w:shd w:val="clear" w:color="auto" w:fill="1F4E79"/>
            <w:tcMar>
              <w:top w:w="54" w:type="dxa"/>
              <w:left w:w="108" w:type="dxa"/>
              <w:bottom w:w="54" w:type="dxa"/>
              <w:right w:w="108" w:type="dxa"/>
            </w:tcMar>
            <w:vAlign w:val="center"/>
            <w:hideMark/>
          </w:tcPr>
          <w:p w14:paraId="172F71C4"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Industry</w:t>
            </w:r>
          </w:p>
        </w:tc>
        <w:tc>
          <w:tcPr>
            <w:tcW w:w="1473" w:type="dxa"/>
            <w:shd w:val="clear" w:color="auto" w:fill="1F4E79"/>
            <w:tcMar>
              <w:top w:w="54" w:type="dxa"/>
              <w:left w:w="108" w:type="dxa"/>
              <w:bottom w:w="54" w:type="dxa"/>
              <w:right w:w="108" w:type="dxa"/>
            </w:tcMar>
            <w:vAlign w:val="center"/>
            <w:hideMark/>
          </w:tcPr>
          <w:p w14:paraId="122C22C1" w14:textId="77777777" w:rsidR="006513C0" w:rsidRPr="006513C0" w:rsidRDefault="006513C0" w:rsidP="006513C0">
            <w:pPr>
              <w:rPr>
                <w:rFonts w:ascii="Verdana" w:hAnsi="Verdana" w:cs="Arial"/>
                <w:b/>
                <w:bCs/>
                <w:color w:val="FFFFFF" w:themeColor="background1"/>
                <w:sz w:val="16"/>
                <w:szCs w:val="16"/>
              </w:rPr>
            </w:pPr>
            <w:r w:rsidRPr="006513C0">
              <w:rPr>
                <w:rFonts w:ascii="Verdana" w:hAnsi="Verdana" w:cs="Arial"/>
                <w:b/>
                <w:bCs/>
                <w:color w:val="FFFFFF" w:themeColor="background1"/>
                <w:sz w:val="16"/>
                <w:szCs w:val="16"/>
                <w:lang w:val="en-IN"/>
              </w:rPr>
              <w:t>CO2 Capture Capacity</w:t>
            </w:r>
          </w:p>
        </w:tc>
      </w:tr>
      <w:tr w:rsidR="006513C0" w:rsidRPr="006513C0" w14:paraId="12E44E91" w14:textId="77777777" w:rsidTr="006513C0">
        <w:trPr>
          <w:trHeight w:val="672"/>
        </w:trPr>
        <w:tc>
          <w:tcPr>
            <w:tcW w:w="1752" w:type="dxa"/>
            <w:shd w:val="clear" w:color="auto" w:fill="auto"/>
            <w:tcMar>
              <w:top w:w="54" w:type="dxa"/>
              <w:left w:w="108" w:type="dxa"/>
              <w:bottom w:w="54" w:type="dxa"/>
              <w:right w:w="108" w:type="dxa"/>
            </w:tcMar>
            <w:vAlign w:val="center"/>
            <w:hideMark/>
          </w:tcPr>
          <w:p w14:paraId="5FF5D802" w14:textId="77777777" w:rsidR="006513C0" w:rsidRPr="006513C0" w:rsidRDefault="006513C0" w:rsidP="006513C0">
            <w:pPr>
              <w:rPr>
                <w:rFonts w:ascii="Verdana" w:hAnsi="Verdana" w:cs="Arial"/>
                <w:sz w:val="16"/>
                <w:szCs w:val="16"/>
              </w:rPr>
            </w:pPr>
            <w:proofErr w:type="spellStart"/>
            <w:r w:rsidRPr="006513C0">
              <w:rPr>
                <w:rFonts w:ascii="Verdana" w:hAnsi="Verdana" w:cs="Arial"/>
                <w:sz w:val="16"/>
                <w:szCs w:val="16"/>
                <w:lang w:val="en-IN"/>
              </w:rPr>
              <w:t>Aonla</w:t>
            </w:r>
            <w:proofErr w:type="spellEnd"/>
            <w:r w:rsidRPr="006513C0">
              <w:rPr>
                <w:rFonts w:ascii="Verdana" w:hAnsi="Verdana" w:cs="Arial"/>
                <w:sz w:val="16"/>
                <w:szCs w:val="16"/>
                <w:lang w:val="en-IN"/>
              </w:rPr>
              <w:t xml:space="preserve"> (U.P.) urea plant </w:t>
            </w:r>
          </w:p>
        </w:tc>
        <w:tc>
          <w:tcPr>
            <w:tcW w:w="1752" w:type="dxa"/>
            <w:shd w:val="clear" w:color="auto" w:fill="auto"/>
            <w:tcMar>
              <w:top w:w="54" w:type="dxa"/>
              <w:left w:w="108" w:type="dxa"/>
              <w:bottom w:w="54" w:type="dxa"/>
              <w:right w:w="108" w:type="dxa"/>
            </w:tcMar>
            <w:vAlign w:val="center"/>
            <w:hideMark/>
          </w:tcPr>
          <w:p w14:paraId="756CA24F"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Mitsubishi Heavy Industries Limited</w:t>
            </w:r>
          </w:p>
        </w:tc>
        <w:tc>
          <w:tcPr>
            <w:tcW w:w="2341" w:type="dxa"/>
            <w:shd w:val="clear" w:color="auto" w:fill="auto"/>
            <w:tcMar>
              <w:top w:w="54" w:type="dxa"/>
              <w:left w:w="108" w:type="dxa"/>
              <w:bottom w:w="54" w:type="dxa"/>
              <w:right w:w="108" w:type="dxa"/>
            </w:tcMar>
            <w:vAlign w:val="center"/>
            <w:hideMark/>
          </w:tcPr>
          <w:p w14:paraId="639BABE1"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Indian Farmers Fertilizer Cooperative</w:t>
            </w:r>
          </w:p>
        </w:tc>
        <w:tc>
          <w:tcPr>
            <w:tcW w:w="1752" w:type="dxa"/>
            <w:shd w:val="clear" w:color="auto" w:fill="auto"/>
            <w:tcMar>
              <w:top w:w="54" w:type="dxa"/>
              <w:left w:w="108" w:type="dxa"/>
              <w:bottom w:w="54" w:type="dxa"/>
              <w:right w:w="108" w:type="dxa"/>
            </w:tcMar>
            <w:vAlign w:val="center"/>
            <w:hideMark/>
          </w:tcPr>
          <w:p w14:paraId="661DC841"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Amine Based (Post Combustion Capture)</w:t>
            </w:r>
          </w:p>
        </w:tc>
        <w:tc>
          <w:tcPr>
            <w:tcW w:w="1473" w:type="dxa"/>
            <w:shd w:val="clear" w:color="auto" w:fill="auto"/>
            <w:tcMar>
              <w:top w:w="54" w:type="dxa"/>
              <w:left w:w="108" w:type="dxa"/>
              <w:bottom w:w="54" w:type="dxa"/>
              <w:right w:w="108" w:type="dxa"/>
            </w:tcMar>
            <w:vAlign w:val="center"/>
            <w:hideMark/>
          </w:tcPr>
          <w:p w14:paraId="1F984693"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Chemical Production</w:t>
            </w:r>
          </w:p>
        </w:tc>
        <w:tc>
          <w:tcPr>
            <w:tcW w:w="1473" w:type="dxa"/>
            <w:shd w:val="clear" w:color="auto" w:fill="auto"/>
            <w:tcMar>
              <w:top w:w="54" w:type="dxa"/>
              <w:left w:w="108" w:type="dxa"/>
              <w:bottom w:w="54" w:type="dxa"/>
              <w:right w:w="108" w:type="dxa"/>
            </w:tcMar>
            <w:vAlign w:val="center"/>
            <w:hideMark/>
          </w:tcPr>
          <w:p w14:paraId="2FD82A87"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450 TPD</w:t>
            </w:r>
          </w:p>
        </w:tc>
      </w:tr>
      <w:tr w:rsidR="006513C0" w:rsidRPr="006513C0" w14:paraId="74AF117A" w14:textId="77777777" w:rsidTr="006513C0">
        <w:trPr>
          <w:trHeight w:val="672"/>
        </w:trPr>
        <w:tc>
          <w:tcPr>
            <w:tcW w:w="1752" w:type="dxa"/>
            <w:shd w:val="clear" w:color="auto" w:fill="auto"/>
            <w:tcMar>
              <w:top w:w="54" w:type="dxa"/>
              <w:left w:w="108" w:type="dxa"/>
              <w:bottom w:w="54" w:type="dxa"/>
              <w:right w:w="108" w:type="dxa"/>
            </w:tcMar>
            <w:vAlign w:val="center"/>
            <w:hideMark/>
          </w:tcPr>
          <w:p w14:paraId="5BA6DC21" w14:textId="77777777" w:rsidR="006513C0" w:rsidRPr="006513C0" w:rsidRDefault="006513C0" w:rsidP="006513C0">
            <w:pPr>
              <w:rPr>
                <w:rFonts w:ascii="Verdana" w:hAnsi="Verdana" w:cs="Arial"/>
                <w:sz w:val="16"/>
                <w:szCs w:val="16"/>
              </w:rPr>
            </w:pPr>
            <w:proofErr w:type="spellStart"/>
            <w:r w:rsidRPr="006513C0">
              <w:rPr>
                <w:rFonts w:ascii="Verdana" w:hAnsi="Verdana" w:cs="Arial"/>
                <w:sz w:val="16"/>
                <w:szCs w:val="16"/>
                <w:lang w:val="en-IN"/>
              </w:rPr>
              <w:t>Jagdishpur</w:t>
            </w:r>
            <w:proofErr w:type="spellEnd"/>
            <w:r w:rsidRPr="006513C0">
              <w:rPr>
                <w:rFonts w:ascii="Verdana" w:hAnsi="Verdana" w:cs="Arial"/>
                <w:sz w:val="16"/>
                <w:szCs w:val="16"/>
                <w:lang w:val="en-IN"/>
              </w:rPr>
              <w:t xml:space="preserve"> (Orissa) urea plant</w:t>
            </w:r>
          </w:p>
        </w:tc>
        <w:tc>
          <w:tcPr>
            <w:tcW w:w="1752" w:type="dxa"/>
            <w:shd w:val="clear" w:color="auto" w:fill="auto"/>
            <w:tcMar>
              <w:top w:w="54" w:type="dxa"/>
              <w:left w:w="108" w:type="dxa"/>
              <w:bottom w:w="54" w:type="dxa"/>
              <w:right w:w="108" w:type="dxa"/>
            </w:tcMar>
            <w:vAlign w:val="center"/>
            <w:hideMark/>
          </w:tcPr>
          <w:p w14:paraId="2B57B475"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w:t>
            </w:r>
          </w:p>
        </w:tc>
        <w:tc>
          <w:tcPr>
            <w:tcW w:w="2341" w:type="dxa"/>
            <w:shd w:val="clear" w:color="auto" w:fill="auto"/>
            <w:tcMar>
              <w:top w:w="54" w:type="dxa"/>
              <w:left w:w="108" w:type="dxa"/>
              <w:bottom w:w="54" w:type="dxa"/>
              <w:right w:w="108" w:type="dxa"/>
            </w:tcMar>
            <w:vAlign w:val="center"/>
            <w:hideMark/>
          </w:tcPr>
          <w:p w14:paraId="5EB2B781"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Indo Gulf Corporation</w:t>
            </w:r>
          </w:p>
        </w:tc>
        <w:tc>
          <w:tcPr>
            <w:tcW w:w="1752" w:type="dxa"/>
            <w:shd w:val="clear" w:color="auto" w:fill="auto"/>
            <w:tcMar>
              <w:top w:w="54" w:type="dxa"/>
              <w:left w:w="108" w:type="dxa"/>
              <w:bottom w:w="54" w:type="dxa"/>
              <w:right w:w="108" w:type="dxa"/>
            </w:tcMar>
            <w:vAlign w:val="center"/>
            <w:hideMark/>
          </w:tcPr>
          <w:p w14:paraId="0936C940"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Amine Based (Post Combustion Capture)</w:t>
            </w:r>
          </w:p>
        </w:tc>
        <w:tc>
          <w:tcPr>
            <w:tcW w:w="1473" w:type="dxa"/>
            <w:shd w:val="clear" w:color="auto" w:fill="auto"/>
            <w:tcMar>
              <w:top w:w="54" w:type="dxa"/>
              <w:left w:w="108" w:type="dxa"/>
              <w:bottom w:w="54" w:type="dxa"/>
              <w:right w:w="108" w:type="dxa"/>
            </w:tcMar>
            <w:vAlign w:val="center"/>
            <w:hideMark/>
          </w:tcPr>
          <w:p w14:paraId="15D3599F"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Chemical Production</w:t>
            </w:r>
          </w:p>
        </w:tc>
        <w:tc>
          <w:tcPr>
            <w:tcW w:w="1473" w:type="dxa"/>
            <w:shd w:val="clear" w:color="auto" w:fill="auto"/>
            <w:tcMar>
              <w:top w:w="54" w:type="dxa"/>
              <w:left w:w="108" w:type="dxa"/>
              <w:bottom w:w="54" w:type="dxa"/>
              <w:right w:w="108" w:type="dxa"/>
            </w:tcMar>
            <w:vAlign w:val="center"/>
            <w:hideMark/>
          </w:tcPr>
          <w:p w14:paraId="6821D32B" w14:textId="77777777" w:rsidR="006513C0" w:rsidRPr="006513C0" w:rsidRDefault="006513C0" w:rsidP="006513C0">
            <w:pPr>
              <w:rPr>
                <w:rFonts w:ascii="Verdana" w:hAnsi="Verdana" w:cs="Arial"/>
                <w:sz w:val="16"/>
                <w:szCs w:val="16"/>
              </w:rPr>
            </w:pPr>
            <w:r w:rsidRPr="006513C0">
              <w:rPr>
                <w:rFonts w:ascii="Verdana" w:hAnsi="Verdana" w:cs="Arial"/>
                <w:sz w:val="16"/>
                <w:szCs w:val="16"/>
                <w:lang w:val="en-IN"/>
              </w:rPr>
              <w:t>150 TPD</w:t>
            </w:r>
          </w:p>
        </w:tc>
      </w:tr>
    </w:tbl>
    <w:p w14:paraId="20B197D8" w14:textId="55383D90" w:rsidR="006513C0" w:rsidRDefault="006513C0" w:rsidP="00F727C7">
      <w:pPr>
        <w:rPr>
          <w:rFonts w:ascii="Arial" w:hAnsi="Arial" w:cs="Arial"/>
          <w:b/>
          <w:bCs/>
          <w:sz w:val="24"/>
          <w:szCs w:val="24"/>
        </w:rPr>
      </w:pPr>
    </w:p>
    <w:p w14:paraId="699EAB61" w14:textId="066058BB" w:rsidR="006513C0" w:rsidRDefault="006513C0" w:rsidP="00F727C7">
      <w:pPr>
        <w:rPr>
          <w:rFonts w:ascii="Arial" w:hAnsi="Arial" w:cs="Arial"/>
          <w:b/>
          <w:bCs/>
          <w:sz w:val="24"/>
          <w:szCs w:val="24"/>
        </w:rPr>
      </w:pPr>
      <w:r>
        <w:rPr>
          <w:rFonts w:ascii="Arial" w:hAnsi="Arial" w:cs="Arial"/>
          <w:b/>
          <w:bCs/>
          <w:sz w:val="24"/>
          <w:szCs w:val="24"/>
        </w:rPr>
        <w:t>Total Production-</w:t>
      </w:r>
    </w:p>
    <w:p w14:paraId="3938B66E" w14:textId="51C4EE83" w:rsidR="006513C0" w:rsidRDefault="006513C0" w:rsidP="00F727C7">
      <w:pPr>
        <w:rPr>
          <w:rFonts w:ascii="Arial" w:hAnsi="Arial" w:cs="Arial"/>
          <w:sz w:val="24"/>
          <w:szCs w:val="24"/>
        </w:rPr>
      </w:pPr>
      <w:r>
        <w:rPr>
          <w:rFonts w:ascii="Arial" w:hAnsi="Arial" w:cs="Arial"/>
          <w:sz w:val="24"/>
          <w:szCs w:val="24"/>
        </w:rPr>
        <w:t xml:space="preserve">The total production currently stands at 2958 thousand </w:t>
      </w:r>
      <w:proofErr w:type="spellStart"/>
      <w:r>
        <w:rPr>
          <w:rFonts w:ascii="Arial" w:hAnsi="Arial" w:cs="Arial"/>
          <w:sz w:val="24"/>
          <w:szCs w:val="24"/>
        </w:rPr>
        <w:t>tonnes</w:t>
      </w:r>
      <w:proofErr w:type="spellEnd"/>
      <w:r>
        <w:rPr>
          <w:rFonts w:ascii="Arial" w:hAnsi="Arial" w:cs="Arial"/>
          <w:sz w:val="24"/>
          <w:szCs w:val="24"/>
        </w:rPr>
        <w:t xml:space="preserve">, out of which 1556 thousand </w:t>
      </w:r>
      <w:proofErr w:type="spellStart"/>
      <w:r>
        <w:rPr>
          <w:rFonts w:ascii="Arial" w:hAnsi="Arial" w:cs="Arial"/>
          <w:sz w:val="24"/>
          <w:szCs w:val="24"/>
        </w:rPr>
        <w:t>tonnes</w:t>
      </w:r>
      <w:proofErr w:type="spellEnd"/>
      <w:r>
        <w:rPr>
          <w:rFonts w:ascii="Arial" w:hAnsi="Arial" w:cs="Arial"/>
          <w:sz w:val="24"/>
          <w:szCs w:val="24"/>
        </w:rPr>
        <w:t xml:space="preserve"> is for merchant sales. </w:t>
      </w:r>
    </w:p>
    <w:p w14:paraId="0AFEF627" w14:textId="202AC53D" w:rsidR="006513C0" w:rsidRDefault="006513C0" w:rsidP="00F727C7">
      <w:pPr>
        <w:rPr>
          <w:rFonts w:ascii="Arial" w:hAnsi="Arial" w:cs="Arial"/>
          <w:sz w:val="24"/>
          <w:szCs w:val="24"/>
        </w:rPr>
      </w:pPr>
      <w:r w:rsidRPr="006513C0">
        <w:rPr>
          <w:rFonts w:ascii="Arial" w:hAnsi="Arial" w:cs="Arial"/>
          <w:sz w:val="24"/>
          <w:szCs w:val="24"/>
        </w:rPr>
        <w:t>In India, carbon dioxide generation is not preferred due to lack of availability of raw materials. However, carbon dioxide is recovered by installation of carbon dioxide recovery plants with distilleries and fertilizers production units.</w:t>
      </w:r>
    </w:p>
    <w:p w14:paraId="23DD82B7" w14:textId="2DA9AF75" w:rsidR="006513C0" w:rsidRDefault="006513C0" w:rsidP="00F727C7">
      <w:pPr>
        <w:rPr>
          <w:rFonts w:ascii="Arial" w:hAnsi="Arial" w:cs="Arial"/>
          <w:b/>
          <w:bCs/>
          <w:sz w:val="24"/>
          <w:szCs w:val="24"/>
        </w:rPr>
      </w:pPr>
      <w:r w:rsidRPr="006513C0">
        <w:rPr>
          <w:rFonts w:ascii="Arial" w:hAnsi="Arial" w:cs="Arial"/>
          <w:b/>
          <w:bCs/>
          <w:sz w:val="24"/>
          <w:szCs w:val="24"/>
        </w:rPr>
        <w:t>Total Demand</w:t>
      </w:r>
      <w:r>
        <w:rPr>
          <w:rFonts w:ascii="Arial" w:hAnsi="Arial" w:cs="Arial"/>
          <w:b/>
          <w:bCs/>
          <w:sz w:val="24"/>
          <w:szCs w:val="24"/>
        </w:rPr>
        <w:t xml:space="preserve">- </w:t>
      </w:r>
    </w:p>
    <w:p w14:paraId="61BCDC8A" w14:textId="7417D240" w:rsidR="006513C0" w:rsidRDefault="006513C0" w:rsidP="00F727C7">
      <w:pPr>
        <w:rPr>
          <w:rFonts w:ascii="Arial" w:hAnsi="Arial" w:cs="Arial"/>
          <w:sz w:val="24"/>
          <w:szCs w:val="24"/>
        </w:rPr>
      </w:pPr>
      <w:r>
        <w:rPr>
          <w:rFonts w:ascii="Arial" w:hAnsi="Arial" w:cs="Arial"/>
          <w:sz w:val="24"/>
          <w:szCs w:val="24"/>
        </w:rPr>
        <w:t xml:space="preserve">The total demand stands at 1550 thousand </w:t>
      </w:r>
      <w:proofErr w:type="spellStart"/>
      <w:r>
        <w:rPr>
          <w:rFonts w:ascii="Arial" w:hAnsi="Arial" w:cs="Arial"/>
          <w:sz w:val="24"/>
          <w:szCs w:val="24"/>
        </w:rPr>
        <w:t>tonnes</w:t>
      </w:r>
      <w:proofErr w:type="spellEnd"/>
      <w:r>
        <w:rPr>
          <w:rFonts w:ascii="Arial" w:hAnsi="Arial" w:cs="Arial"/>
          <w:sz w:val="24"/>
          <w:szCs w:val="24"/>
        </w:rPr>
        <w:t xml:space="preserve"> in FY2021 and is anticipated to reach</w:t>
      </w:r>
      <w:r w:rsidR="00C1024D">
        <w:rPr>
          <w:rFonts w:ascii="Arial" w:hAnsi="Arial" w:cs="Arial"/>
          <w:sz w:val="24"/>
          <w:szCs w:val="24"/>
        </w:rPr>
        <w:t xml:space="preserve"> 4270 in FY2040F growing with a healthy CAGR of 5.43% for the forecasted period.</w:t>
      </w:r>
      <w:r w:rsidR="00C1024D" w:rsidRPr="00C1024D">
        <w:t xml:space="preserve"> </w:t>
      </w:r>
      <w:r w:rsidR="00C1024D" w:rsidRPr="00C1024D">
        <w:rPr>
          <w:rFonts w:ascii="Arial" w:hAnsi="Arial" w:cs="Arial"/>
          <w:sz w:val="24"/>
          <w:szCs w:val="24"/>
        </w:rPr>
        <w:t>Only Merchant sale demand is considered for the same.</w:t>
      </w:r>
    </w:p>
    <w:p w14:paraId="098FF1E5" w14:textId="0654FB53" w:rsidR="00C1024D" w:rsidRDefault="00C32381" w:rsidP="00F727C7">
      <w:pPr>
        <w:rPr>
          <w:rFonts w:ascii="Arial" w:hAnsi="Arial" w:cs="Arial"/>
          <w:b/>
          <w:bCs/>
          <w:sz w:val="24"/>
          <w:szCs w:val="24"/>
        </w:rPr>
      </w:pPr>
      <w:r w:rsidRPr="00C32381">
        <w:rPr>
          <w:rFonts w:ascii="Arial" w:hAnsi="Arial" w:cs="Arial"/>
          <w:b/>
          <w:bCs/>
          <w:sz w:val="24"/>
          <w:szCs w:val="24"/>
        </w:rPr>
        <w:lastRenderedPageBreak/>
        <w:t xml:space="preserve">Total Demand </w:t>
      </w:r>
      <w:proofErr w:type="gramStart"/>
      <w:r w:rsidRPr="00C32381">
        <w:rPr>
          <w:rFonts w:ascii="Arial" w:hAnsi="Arial" w:cs="Arial"/>
          <w:b/>
          <w:bCs/>
          <w:sz w:val="24"/>
          <w:szCs w:val="24"/>
        </w:rPr>
        <w:t>By</w:t>
      </w:r>
      <w:proofErr w:type="gramEnd"/>
      <w:r w:rsidRPr="00C32381">
        <w:rPr>
          <w:rFonts w:ascii="Arial" w:hAnsi="Arial" w:cs="Arial"/>
          <w:b/>
          <w:bCs/>
          <w:sz w:val="24"/>
          <w:szCs w:val="24"/>
        </w:rPr>
        <w:t xml:space="preserve"> Value-</w:t>
      </w:r>
    </w:p>
    <w:p w14:paraId="053A4A2A" w14:textId="1B445995" w:rsidR="00C32381" w:rsidRDefault="00C32381" w:rsidP="00F727C7">
      <w:pPr>
        <w:rPr>
          <w:rFonts w:ascii="Arial" w:hAnsi="Arial" w:cs="Arial"/>
          <w:sz w:val="24"/>
          <w:szCs w:val="24"/>
        </w:rPr>
      </w:pPr>
      <w:r w:rsidRPr="00C32381">
        <w:rPr>
          <w:rFonts w:ascii="Arial" w:hAnsi="Arial" w:cs="Arial"/>
          <w:sz w:val="24"/>
          <w:szCs w:val="24"/>
        </w:rPr>
        <w:t>India carbon dioxide market size by value is anticipated to surpass USD407 million by 2040 owing to increasing demand from food &amp; beverages industry, healthcare industry and automotive industry</w:t>
      </w:r>
      <w:r>
        <w:rPr>
          <w:rFonts w:ascii="Arial" w:hAnsi="Arial" w:cs="Arial"/>
          <w:sz w:val="24"/>
          <w:szCs w:val="24"/>
        </w:rPr>
        <w:t xml:space="preserve"> and is expected to grow with a healthy CAGR of 6.15% for the forecasted period.</w:t>
      </w:r>
    </w:p>
    <w:p w14:paraId="4930F477" w14:textId="77777777" w:rsidR="00C32381" w:rsidRPr="00C32381" w:rsidRDefault="00C32381" w:rsidP="00C32381">
      <w:pPr>
        <w:rPr>
          <w:rFonts w:ascii="Arial" w:hAnsi="Arial" w:cs="Arial"/>
          <w:sz w:val="24"/>
          <w:szCs w:val="24"/>
        </w:rPr>
      </w:pPr>
      <w:r w:rsidRPr="00C32381">
        <w:rPr>
          <w:rFonts w:ascii="Arial" w:hAnsi="Arial" w:cs="Arial"/>
          <w:b/>
          <w:bCs/>
          <w:sz w:val="24"/>
          <w:szCs w:val="24"/>
          <w:lang w:val="en-IN"/>
        </w:rPr>
        <w:t>India Carbon Dioxide Market Share, By Source of Supply</w:t>
      </w:r>
    </w:p>
    <w:p w14:paraId="755DACE3" w14:textId="23B19CBD" w:rsidR="00C32381" w:rsidRDefault="00C32381" w:rsidP="00F727C7">
      <w:pPr>
        <w:rPr>
          <w:rFonts w:ascii="Arial" w:hAnsi="Arial" w:cs="Arial"/>
          <w:b/>
          <w:bCs/>
          <w:sz w:val="24"/>
          <w:szCs w:val="24"/>
        </w:rPr>
      </w:pPr>
      <w:r>
        <w:rPr>
          <w:noProof/>
        </w:rPr>
        <w:drawing>
          <wp:inline distT="0" distB="0" distL="0" distR="0" wp14:anchorId="7FE10628" wp14:editId="0D196E85">
            <wp:extent cx="5943600" cy="8686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868680"/>
                    </a:xfrm>
                    <a:prstGeom prst="rect">
                      <a:avLst/>
                    </a:prstGeom>
                  </pic:spPr>
                </pic:pic>
              </a:graphicData>
            </a:graphic>
          </wp:inline>
        </w:drawing>
      </w:r>
    </w:p>
    <w:p w14:paraId="6FD6CFE1" w14:textId="79F66FB0" w:rsidR="00C32381" w:rsidRDefault="00C32381" w:rsidP="00F727C7">
      <w:pPr>
        <w:rPr>
          <w:rFonts w:ascii="Arial" w:hAnsi="Arial" w:cs="Arial"/>
          <w:sz w:val="24"/>
          <w:szCs w:val="24"/>
        </w:rPr>
      </w:pPr>
      <w:r w:rsidRPr="00C32381">
        <w:rPr>
          <w:rFonts w:ascii="Arial" w:hAnsi="Arial" w:cs="Arial"/>
          <w:sz w:val="24"/>
          <w:szCs w:val="24"/>
        </w:rPr>
        <w:t>The source of carbon dioxide is derived majorly by the combustion of fossil fuels which includes hydrocarbons and natural gas.</w:t>
      </w:r>
    </w:p>
    <w:p w14:paraId="027169C5" w14:textId="77777777" w:rsidR="00C32381" w:rsidRPr="00C32381" w:rsidRDefault="00C32381" w:rsidP="00C32381">
      <w:pPr>
        <w:rPr>
          <w:rFonts w:ascii="Arial" w:hAnsi="Arial" w:cs="Arial"/>
          <w:sz w:val="24"/>
          <w:szCs w:val="24"/>
        </w:rPr>
      </w:pPr>
      <w:r w:rsidRPr="00C32381">
        <w:rPr>
          <w:rFonts w:ascii="Arial" w:hAnsi="Arial" w:cs="Arial"/>
          <w:b/>
          <w:bCs/>
          <w:sz w:val="24"/>
          <w:szCs w:val="24"/>
          <w:lang w:val="en-IN"/>
        </w:rPr>
        <w:t>India Carbon Dioxide Market Share, By Grade</w:t>
      </w:r>
    </w:p>
    <w:p w14:paraId="7E27AE1E" w14:textId="0445B763" w:rsidR="00C32381" w:rsidRDefault="000720D4" w:rsidP="00F727C7">
      <w:pPr>
        <w:rPr>
          <w:rFonts w:ascii="Arial" w:hAnsi="Arial" w:cs="Arial"/>
          <w:sz w:val="24"/>
          <w:szCs w:val="24"/>
        </w:rPr>
      </w:pPr>
      <w:r>
        <w:rPr>
          <w:noProof/>
        </w:rPr>
        <w:drawing>
          <wp:inline distT="0" distB="0" distL="0" distR="0" wp14:anchorId="73CB5F8E" wp14:editId="7AE37D2A">
            <wp:extent cx="5943600" cy="80899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6"/>
                    <a:stretch>
                      <a:fillRect/>
                    </a:stretch>
                  </pic:blipFill>
                  <pic:spPr>
                    <a:xfrm>
                      <a:off x="0" y="0"/>
                      <a:ext cx="5943600" cy="808990"/>
                    </a:xfrm>
                    <a:prstGeom prst="rect">
                      <a:avLst/>
                    </a:prstGeom>
                  </pic:spPr>
                </pic:pic>
              </a:graphicData>
            </a:graphic>
          </wp:inline>
        </w:drawing>
      </w:r>
    </w:p>
    <w:p w14:paraId="0198FFA6" w14:textId="3858DE58" w:rsidR="000720D4" w:rsidRDefault="000720D4" w:rsidP="000720D4">
      <w:pPr>
        <w:jc w:val="both"/>
        <w:rPr>
          <w:rFonts w:ascii="Arial" w:hAnsi="Arial" w:cs="Arial"/>
          <w:sz w:val="24"/>
          <w:szCs w:val="24"/>
        </w:rPr>
      </w:pPr>
      <w:r w:rsidRPr="000720D4">
        <w:rPr>
          <w:rFonts w:ascii="Arial" w:hAnsi="Arial" w:cs="Arial"/>
          <w:sz w:val="24"/>
          <w:szCs w:val="24"/>
        </w:rPr>
        <w:t>Liquid CO</w:t>
      </w:r>
      <w:r w:rsidRPr="000720D4">
        <w:rPr>
          <w:rFonts w:ascii="Arial" w:hAnsi="Arial" w:cs="Arial"/>
          <w:sz w:val="24"/>
          <w:szCs w:val="24"/>
          <w:vertAlign w:val="subscript"/>
        </w:rPr>
        <w:t>2</w:t>
      </w:r>
      <w:r w:rsidRPr="000720D4">
        <w:rPr>
          <w:rFonts w:ascii="Arial" w:hAnsi="Arial" w:cs="Arial"/>
          <w:sz w:val="24"/>
          <w:szCs w:val="24"/>
        </w:rPr>
        <w:t xml:space="preserve"> is sold in large volumes due to its high demand in different industries such as welding and beverages. On the other hand, dry ice is sold in form of pellets and bricks, which requires additional treatment of carbon dioxide. Due to this, average price of dry ice is almost three times that of liquid CO2.</w:t>
      </w:r>
    </w:p>
    <w:p w14:paraId="44569C54" w14:textId="48020E90" w:rsidR="000720D4" w:rsidRDefault="000720D4" w:rsidP="000720D4">
      <w:pPr>
        <w:jc w:val="both"/>
        <w:rPr>
          <w:rFonts w:ascii="Arial" w:hAnsi="Arial" w:cs="Arial"/>
          <w:sz w:val="24"/>
          <w:szCs w:val="24"/>
        </w:rPr>
      </w:pPr>
      <w:r w:rsidRPr="000720D4">
        <w:rPr>
          <w:rFonts w:ascii="Arial" w:hAnsi="Arial" w:cs="Arial"/>
          <w:sz w:val="24"/>
          <w:szCs w:val="24"/>
        </w:rPr>
        <w:t xml:space="preserve">Food &amp; beverage industry is the largest consumer of liquid carbon dioxide in India. Liquid carbon dioxide is majorly used for carbonation in soft drinks, </w:t>
      </w:r>
      <w:proofErr w:type="gramStart"/>
      <w:r w:rsidRPr="000720D4">
        <w:rPr>
          <w:rFonts w:ascii="Arial" w:hAnsi="Arial" w:cs="Arial"/>
          <w:sz w:val="24"/>
          <w:szCs w:val="24"/>
        </w:rPr>
        <w:t>beer</w:t>
      </w:r>
      <w:proofErr w:type="gramEnd"/>
      <w:r w:rsidRPr="000720D4">
        <w:rPr>
          <w:rFonts w:ascii="Arial" w:hAnsi="Arial" w:cs="Arial"/>
          <w:sz w:val="24"/>
          <w:szCs w:val="24"/>
        </w:rPr>
        <w:t xml:space="preserve"> and wine. Additionally, liquid carbon dioxide is required to prevent fungal and bacterial growth and to de-caffeinate coffee.</w:t>
      </w:r>
    </w:p>
    <w:p w14:paraId="11F59071" w14:textId="51D8E3E9" w:rsidR="000720D4" w:rsidRDefault="000720D4" w:rsidP="000720D4">
      <w:pPr>
        <w:jc w:val="both"/>
        <w:rPr>
          <w:rFonts w:ascii="Arial" w:hAnsi="Arial" w:cs="Arial"/>
          <w:sz w:val="24"/>
          <w:szCs w:val="24"/>
        </w:rPr>
      </w:pPr>
      <w:r w:rsidRPr="000720D4">
        <w:rPr>
          <w:rFonts w:ascii="Arial" w:hAnsi="Arial" w:cs="Arial"/>
          <w:sz w:val="24"/>
          <w:szCs w:val="24"/>
        </w:rPr>
        <w:t>Growing need for dry ice for the transportation of perishable food products, particularly meat and dairy products, has augmented demand for carbon dioxide in the country. Perishable food items start to decay if not stored at below 40°F (4.4°C).</w:t>
      </w:r>
    </w:p>
    <w:p w14:paraId="08AC3AAA" w14:textId="05D4E539" w:rsidR="000720D4" w:rsidRDefault="000720D4" w:rsidP="000720D4">
      <w:pPr>
        <w:jc w:val="both"/>
        <w:rPr>
          <w:rFonts w:ascii="Arial" w:hAnsi="Arial" w:cs="Arial"/>
          <w:sz w:val="24"/>
          <w:szCs w:val="24"/>
        </w:rPr>
      </w:pPr>
      <w:r w:rsidRPr="000720D4">
        <w:rPr>
          <w:rFonts w:ascii="Arial" w:hAnsi="Arial" w:cs="Arial"/>
          <w:sz w:val="24"/>
          <w:szCs w:val="24"/>
        </w:rPr>
        <w:t>Carbon dioxide is used in automotive fabrication, particularly for welding purposes where high purity carbon dioxide is used for strengthening the weld to shield it from oxidation.</w:t>
      </w:r>
    </w:p>
    <w:p w14:paraId="536A737E" w14:textId="35DD7850" w:rsidR="000720D4" w:rsidRDefault="000720D4" w:rsidP="000720D4">
      <w:pPr>
        <w:jc w:val="both"/>
        <w:rPr>
          <w:rFonts w:ascii="Arial" w:hAnsi="Arial" w:cs="Arial"/>
          <w:sz w:val="24"/>
          <w:szCs w:val="24"/>
        </w:rPr>
      </w:pPr>
    </w:p>
    <w:p w14:paraId="0C5D5475" w14:textId="737DB33D" w:rsidR="000720D4" w:rsidRDefault="000720D4" w:rsidP="000720D4">
      <w:pPr>
        <w:jc w:val="both"/>
        <w:rPr>
          <w:rFonts w:ascii="Arial" w:hAnsi="Arial" w:cs="Arial"/>
          <w:sz w:val="24"/>
          <w:szCs w:val="24"/>
        </w:rPr>
      </w:pPr>
    </w:p>
    <w:p w14:paraId="385227D7" w14:textId="42CF4689" w:rsidR="000720D4" w:rsidRDefault="000720D4" w:rsidP="000720D4">
      <w:pPr>
        <w:jc w:val="both"/>
        <w:rPr>
          <w:rFonts w:ascii="Arial" w:hAnsi="Arial" w:cs="Arial"/>
          <w:sz w:val="24"/>
          <w:szCs w:val="24"/>
        </w:rPr>
      </w:pPr>
    </w:p>
    <w:p w14:paraId="24D1D109" w14:textId="77777777" w:rsidR="000720D4" w:rsidRDefault="000720D4" w:rsidP="000720D4">
      <w:pPr>
        <w:jc w:val="both"/>
        <w:rPr>
          <w:rFonts w:ascii="Arial" w:hAnsi="Arial" w:cs="Arial"/>
          <w:sz w:val="24"/>
          <w:szCs w:val="24"/>
        </w:rPr>
      </w:pPr>
    </w:p>
    <w:p w14:paraId="5E376D54" w14:textId="6A8E4B97" w:rsidR="000720D4" w:rsidRPr="000720D4" w:rsidRDefault="000720D4" w:rsidP="000720D4">
      <w:pPr>
        <w:jc w:val="both"/>
        <w:rPr>
          <w:rFonts w:ascii="Arial" w:hAnsi="Arial" w:cs="Arial"/>
          <w:b/>
          <w:bCs/>
          <w:sz w:val="24"/>
          <w:szCs w:val="24"/>
          <w:lang w:val="en-IN"/>
        </w:rPr>
      </w:pPr>
      <w:r w:rsidRPr="000720D4">
        <w:rPr>
          <w:rFonts w:ascii="Arial" w:hAnsi="Arial" w:cs="Arial"/>
          <w:b/>
          <w:bCs/>
          <w:sz w:val="24"/>
          <w:szCs w:val="24"/>
          <w:lang w:val="en-IN"/>
        </w:rPr>
        <w:lastRenderedPageBreak/>
        <w:t>India Carbon Dioxide Market Share, By Applicatio</w:t>
      </w:r>
      <w:r>
        <w:rPr>
          <w:rFonts w:ascii="Arial" w:hAnsi="Arial" w:cs="Arial"/>
          <w:b/>
          <w:bCs/>
          <w:sz w:val="24"/>
          <w:szCs w:val="24"/>
          <w:lang w:val="en-IN"/>
        </w:rPr>
        <w:t>n</w:t>
      </w:r>
    </w:p>
    <w:p w14:paraId="117F5CC3" w14:textId="6FF6C5D5" w:rsidR="000720D4" w:rsidRDefault="000720D4" w:rsidP="000720D4">
      <w:pPr>
        <w:jc w:val="both"/>
        <w:rPr>
          <w:rFonts w:ascii="Arial" w:hAnsi="Arial" w:cs="Arial"/>
          <w:sz w:val="24"/>
          <w:szCs w:val="24"/>
        </w:rPr>
      </w:pPr>
      <w:r>
        <w:rPr>
          <w:noProof/>
        </w:rPr>
        <w:drawing>
          <wp:inline distT="0" distB="0" distL="0" distR="0" wp14:anchorId="7EDB961D" wp14:editId="7AC4CA35">
            <wp:extent cx="5943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943600" cy="1371600"/>
                    </a:xfrm>
                    <a:prstGeom prst="rect">
                      <a:avLst/>
                    </a:prstGeom>
                  </pic:spPr>
                </pic:pic>
              </a:graphicData>
            </a:graphic>
          </wp:inline>
        </w:drawing>
      </w:r>
    </w:p>
    <w:p w14:paraId="69105E62" w14:textId="5452C7D0" w:rsidR="000720D4" w:rsidRDefault="00136171" w:rsidP="000720D4">
      <w:pPr>
        <w:jc w:val="both"/>
        <w:rPr>
          <w:rFonts w:ascii="Arial" w:hAnsi="Arial" w:cs="Arial"/>
          <w:sz w:val="24"/>
          <w:szCs w:val="24"/>
        </w:rPr>
      </w:pPr>
      <w:r w:rsidRPr="00136171">
        <w:rPr>
          <w:rFonts w:ascii="Arial" w:hAnsi="Arial" w:cs="Arial"/>
          <w:sz w:val="24"/>
          <w:szCs w:val="24"/>
        </w:rPr>
        <w:t>Food &amp; beverage industry is the largest end use industry for carbon dioxide, as liquid carbon dioxide is used in carbonation of aerated beverages and large quantity of dry ice is used for maintaining quality of perishable food products during storage or transport at distant locations.</w:t>
      </w:r>
    </w:p>
    <w:p w14:paraId="06C84A90" w14:textId="163B91B5" w:rsidR="00136171" w:rsidRDefault="00136171" w:rsidP="000720D4">
      <w:pPr>
        <w:jc w:val="both"/>
        <w:rPr>
          <w:rFonts w:ascii="Arial" w:hAnsi="Arial" w:cs="Arial"/>
          <w:sz w:val="24"/>
          <w:szCs w:val="24"/>
        </w:rPr>
      </w:pPr>
      <w:r w:rsidRPr="00136171">
        <w:rPr>
          <w:rFonts w:ascii="Arial" w:hAnsi="Arial" w:cs="Arial"/>
          <w:sz w:val="24"/>
          <w:szCs w:val="24"/>
        </w:rPr>
        <w:t>Carbon dioxide is required for production various chemicals substances. Carbon dioxide is consumed in large quantities for production of urea, methanol, precipitated calcium carbonate and soda ash.</w:t>
      </w:r>
      <w:r>
        <w:rPr>
          <w:rFonts w:ascii="Arial" w:hAnsi="Arial" w:cs="Arial"/>
          <w:sz w:val="24"/>
          <w:szCs w:val="24"/>
        </w:rPr>
        <w:tab/>
      </w:r>
    </w:p>
    <w:p w14:paraId="0651992F" w14:textId="03AFD1D5" w:rsidR="00136171" w:rsidRDefault="00136171" w:rsidP="000720D4">
      <w:pPr>
        <w:jc w:val="both"/>
        <w:rPr>
          <w:rFonts w:ascii="Arial" w:hAnsi="Arial" w:cs="Arial"/>
          <w:b/>
          <w:bCs/>
          <w:sz w:val="24"/>
          <w:szCs w:val="24"/>
        </w:rPr>
      </w:pPr>
      <w:r w:rsidRPr="00136171">
        <w:rPr>
          <w:rFonts w:ascii="Arial" w:hAnsi="Arial" w:cs="Arial"/>
          <w:b/>
          <w:bCs/>
          <w:sz w:val="24"/>
          <w:szCs w:val="24"/>
        </w:rPr>
        <w:t>Demand By Region</w:t>
      </w:r>
      <w:r>
        <w:rPr>
          <w:rFonts w:ascii="Arial" w:hAnsi="Arial" w:cs="Arial"/>
          <w:b/>
          <w:bCs/>
          <w:sz w:val="24"/>
          <w:szCs w:val="24"/>
        </w:rPr>
        <w:t>-</w:t>
      </w:r>
    </w:p>
    <w:p w14:paraId="42077335" w14:textId="77777777" w:rsidR="00136171" w:rsidRDefault="00136171" w:rsidP="000720D4">
      <w:pPr>
        <w:jc w:val="both"/>
        <w:rPr>
          <w:rFonts w:ascii="Arial" w:hAnsi="Arial" w:cs="Arial"/>
          <w:b/>
          <w:bCs/>
          <w:sz w:val="24"/>
          <w:szCs w:val="24"/>
        </w:rPr>
      </w:pPr>
      <w:r>
        <w:rPr>
          <w:rFonts w:ascii="Arial" w:hAnsi="Arial" w:cs="Arial"/>
          <w:b/>
          <w:bCs/>
          <w:sz w:val="24"/>
          <w:szCs w:val="24"/>
        </w:rPr>
        <w:t xml:space="preserve">North- 34.92%, South- </w:t>
      </w:r>
      <w:r w:rsidRPr="00136171">
        <w:rPr>
          <w:rFonts w:ascii="Arial" w:hAnsi="Arial" w:cs="Arial"/>
          <w:b/>
          <w:bCs/>
          <w:sz w:val="24"/>
          <w:szCs w:val="24"/>
        </w:rPr>
        <w:t>29.96</w:t>
      </w:r>
      <w:r>
        <w:rPr>
          <w:rFonts w:ascii="Arial" w:hAnsi="Arial" w:cs="Arial"/>
          <w:b/>
          <w:bCs/>
          <w:sz w:val="24"/>
          <w:szCs w:val="24"/>
        </w:rPr>
        <w:t>%, West-</w:t>
      </w:r>
      <w:r w:rsidRPr="00136171">
        <w:t xml:space="preserve"> </w:t>
      </w:r>
      <w:r w:rsidRPr="00136171">
        <w:rPr>
          <w:rFonts w:ascii="Arial" w:hAnsi="Arial" w:cs="Arial"/>
          <w:b/>
          <w:bCs/>
          <w:sz w:val="24"/>
          <w:szCs w:val="24"/>
        </w:rPr>
        <w:t>24.28%</w:t>
      </w:r>
      <w:r>
        <w:rPr>
          <w:rFonts w:ascii="Arial" w:hAnsi="Arial" w:cs="Arial"/>
          <w:b/>
          <w:bCs/>
          <w:sz w:val="24"/>
          <w:szCs w:val="24"/>
        </w:rPr>
        <w:t>, East- 10.84%</w:t>
      </w:r>
    </w:p>
    <w:p w14:paraId="0B118C4F" w14:textId="65EDACCB" w:rsidR="00136171" w:rsidRDefault="00136171" w:rsidP="000720D4">
      <w:pPr>
        <w:jc w:val="both"/>
        <w:rPr>
          <w:rFonts w:ascii="Arial" w:hAnsi="Arial" w:cs="Arial"/>
          <w:sz w:val="24"/>
          <w:szCs w:val="24"/>
        </w:rPr>
      </w:pPr>
      <w:r w:rsidRPr="00136171">
        <w:rPr>
          <w:rFonts w:ascii="Arial" w:hAnsi="Arial" w:cs="Arial"/>
          <w:sz w:val="24"/>
          <w:szCs w:val="24"/>
        </w:rPr>
        <w:t xml:space="preserve">North region dominated India carbon dioxide market and accounted for a volume share of 34.92% in 2021. Owing to presence of leading food &amp; beverage industries lead to growth in consumption of liquid carbon dioxide as well as dry ice. Additionally, popular beer manufacturing companies such as Carlsberg India Pvt. Ltd (popular brands Carlsberg, Tuborg) and Mohan </w:t>
      </w:r>
      <w:proofErr w:type="spellStart"/>
      <w:r w:rsidRPr="00136171">
        <w:rPr>
          <w:rFonts w:ascii="Arial" w:hAnsi="Arial" w:cs="Arial"/>
          <w:sz w:val="24"/>
          <w:szCs w:val="24"/>
        </w:rPr>
        <w:t>Meakin</w:t>
      </w:r>
      <w:proofErr w:type="spellEnd"/>
      <w:r w:rsidRPr="00136171">
        <w:rPr>
          <w:rFonts w:ascii="Arial" w:hAnsi="Arial" w:cs="Arial"/>
          <w:sz w:val="24"/>
          <w:szCs w:val="24"/>
        </w:rPr>
        <w:t xml:space="preserve"> Group are headquartered in Gurgaon and Ghaziabad, respectively.</w:t>
      </w:r>
    </w:p>
    <w:p w14:paraId="5EBF4291" w14:textId="38EC7216" w:rsidR="00136171" w:rsidRDefault="00136171" w:rsidP="00136171">
      <w:pPr>
        <w:jc w:val="both"/>
        <w:rPr>
          <w:rFonts w:ascii="Arial" w:hAnsi="Arial" w:cs="Arial"/>
          <w:b/>
          <w:bCs/>
          <w:sz w:val="24"/>
          <w:szCs w:val="24"/>
          <w:lang w:val="en-IN"/>
        </w:rPr>
      </w:pPr>
      <w:r w:rsidRPr="00136171">
        <w:rPr>
          <w:rFonts w:ascii="Arial" w:hAnsi="Arial" w:cs="Arial"/>
          <w:b/>
          <w:bCs/>
          <w:sz w:val="24"/>
          <w:szCs w:val="24"/>
          <w:lang w:val="en-IN"/>
        </w:rPr>
        <w:t>India Carbon Dioxide Market Share, By Top 5 Company</w:t>
      </w:r>
    </w:p>
    <w:p w14:paraId="61E198F9" w14:textId="4F47CF44" w:rsidR="00136171" w:rsidRDefault="00136171" w:rsidP="00136171">
      <w:pPr>
        <w:jc w:val="both"/>
        <w:rPr>
          <w:rFonts w:ascii="Arial" w:hAnsi="Arial" w:cs="Arial"/>
          <w:sz w:val="24"/>
          <w:szCs w:val="24"/>
        </w:rPr>
      </w:pPr>
      <w:r w:rsidRPr="00136171">
        <w:rPr>
          <w:rFonts w:ascii="Arial" w:hAnsi="Arial" w:cs="Arial"/>
          <w:sz w:val="24"/>
          <w:szCs w:val="24"/>
        </w:rPr>
        <w:drawing>
          <wp:inline distT="0" distB="0" distL="0" distR="0" wp14:anchorId="6EBC93D0" wp14:editId="44433B02">
            <wp:extent cx="5791200" cy="2165985"/>
            <wp:effectExtent l="0" t="0" r="0" b="5715"/>
            <wp:docPr id="4" name="Chart 4">
              <a:extLst xmlns:a="http://schemas.openxmlformats.org/drawingml/2006/main">
                <a:ext uri="{FF2B5EF4-FFF2-40B4-BE49-F238E27FC236}">
                  <a16:creationId xmlns:a16="http://schemas.microsoft.com/office/drawing/2014/main" id="{ECA18641-80C2-4B1D-ACB1-2417E55A8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E749C2" w14:textId="2E299B53" w:rsidR="00136171" w:rsidRDefault="00136171" w:rsidP="00136171">
      <w:pPr>
        <w:jc w:val="both"/>
        <w:rPr>
          <w:rFonts w:ascii="Arial" w:hAnsi="Arial" w:cs="Arial"/>
          <w:sz w:val="24"/>
          <w:szCs w:val="24"/>
        </w:rPr>
      </w:pPr>
    </w:p>
    <w:p w14:paraId="0D389C71" w14:textId="77777777" w:rsidR="00136171" w:rsidRPr="00136171" w:rsidRDefault="00136171" w:rsidP="00136171">
      <w:pPr>
        <w:jc w:val="both"/>
        <w:rPr>
          <w:rFonts w:ascii="Arial" w:hAnsi="Arial" w:cs="Arial"/>
          <w:sz w:val="24"/>
          <w:szCs w:val="24"/>
        </w:rPr>
      </w:pPr>
    </w:p>
    <w:p w14:paraId="19ACBDF1" w14:textId="77777777" w:rsidR="00136171" w:rsidRPr="00136171" w:rsidRDefault="00136171" w:rsidP="00136171">
      <w:pPr>
        <w:jc w:val="both"/>
        <w:rPr>
          <w:rFonts w:ascii="Arial" w:hAnsi="Arial" w:cs="Arial"/>
          <w:sz w:val="24"/>
          <w:szCs w:val="24"/>
        </w:rPr>
      </w:pPr>
      <w:r w:rsidRPr="00136171">
        <w:rPr>
          <w:rFonts w:ascii="Arial" w:hAnsi="Arial" w:cs="Arial"/>
          <w:b/>
          <w:bCs/>
          <w:sz w:val="24"/>
          <w:szCs w:val="24"/>
          <w:lang w:val="en-IN"/>
        </w:rPr>
        <w:lastRenderedPageBreak/>
        <w:t>Carbon Dioxide Sourcing Details</w:t>
      </w:r>
    </w:p>
    <w:p w14:paraId="12FF7D8D" w14:textId="1F4D1C62" w:rsidR="00136171" w:rsidRPr="00136171" w:rsidRDefault="00136171" w:rsidP="00136171">
      <w:pPr>
        <w:jc w:val="both"/>
        <w:rPr>
          <w:rFonts w:ascii="Arial" w:hAnsi="Arial" w:cs="Arial"/>
          <w:sz w:val="24"/>
          <w:szCs w:val="24"/>
        </w:rPr>
      </w:pPr>
      <w:r w:rsidRPr="00136171">
        <w:rPr>
          <w:rFonts w:ascii="Arial" w:hAnsi="Arial" w:cs="Arial"/>
          <w:sz w:val="24"/>
          <w:szCs w:val="24"/>
          <w:lang w:val="en-IN"/>
        </w:rPr>
        <w:t xml:space="preserve">India is net exporter of Carbon dioxide in </w:t>
      </w:r>
      <w:r w:rsidR="00DE50BD" w:rsidRPr="00136171">
        <w:rPr>
          <w:rFonts w:ascii="Arial" w:hAnsi="Arial" w:cs="Arial"/>
          <w:sz w:val="24"/>
          <w:szCs w:val="24"/>
          <w:lang w:val="en-IN"/>
        </w:rPr>
        <w:t>Southeast</w:t>
      </w:r>
      <w:r w:rsidRPr="00136171">
        <w:rPr>
          <w:rFonts w:ascii="Arial" w:hAnsi="Arial" w:cs="Arial"/>
          <w:sz w:val="24"/>
          <w:szCs w:val="24"/>
          <w:lang w:val="en-IN"/>
        </w:rPr>
        <w:t xml:space="preserve"> Asia Region. India is having surplus capacity to produce carbon dioxide and use majority of carbon dioxide produce for captive consumption. For </w:t>
      </w:r>
      <w:r w:rsidR="00DE50BD" w:rsidRPr="00136171">
        <w:rPr>
          <w:rFonts w:ascii="Arial" w:hAnsi="Arial" w:cs="Arial"/>
          <w:sz w:val="24"/>
          <w:szCs w:val="24"/>
          <w:lang w:val="en-IN"/>
        </w:rPr>
        <w:t>Instance,</w:t>
      </w:r>
      <w:r w:rsidRPr="00136171">
        <w:rPr>
          <w:rFonts w:ascii="Arial" w:hAnsi="Arial" w:cs="Arial"/>
          <w:sz w:val="24"/>
          <w:szCs w:val="24"/>
          <w:lang w:val="en-IN"/>
        </w:rPr>
        <w:t xml:space="preserve"> carbon dioxide produce during the manufacturing of fertilizers is used for capacitive consumption to produce end products.</w:t>
      </w:r>
    </w:p>
    <w:p w14:paraId="6A0AE2DA" w14:textId="5C98FECD" w:rsidR="00136171" w:rsidRDefault="00DE50BD" w:rsidP="000720D4">
      <w:pPr>
        <w:jc w:val="both"/>
        <w:rPr>
          <w:rFonts w:ascii="Arial" w:hAnsi="Arial" w:cs="Arial"/>
          <w:b/>
          <w:bCs/>
          <w:sz w:val="24"/>
          <w:szCs w:val="24"/>
        </w:rPr>
      </w:pPr>
      <w:r w:rsidRPr="00DE50BD">
        <w:rPr>
          <w:rFonts w:ascii="Arial" w:hAnsi="Arial" w:cs="Arial"/>
          <w:b/>
          <w:bCs/>
          <w:sz w:val="24"/>
          <w:szCs w:val="24"/>
        </w:rPr>
        <w:t>Mode of Transportation</w:t>
      </w:r>
      <w:r w:rsidRPr="00DE50BD">
        <w:rPr>
          <w:rFonts w:ascii="Arial" w:hAnsi="Arial" w:cs="Arial"/>
          <w:b/>
          <w:bCs/>
          <w:sz w:val="24"/>
          <w:szCs w:val="24"/>
        </w:rPr>
        <w:tab/>
      </w:r>
    </w:p>
    <w:p w14:paraId="7473F395" w14:textId="7AE5D650" w:rsidR="00DE50BD" w:rsidRDefault="00DE50BD" w:rsidP="000720D4">
      <w:pPr>
        <w:jc w:val="both"/>
        <w:rPr>
          <w:rFonts w:ascii="Arial" w:hAnsi="Arial" w:cs="Arial"/>
          <w:sz w:val="24"/>
          <w:szCs w:val="24"/>
          <w:lang w:val="en-IN"/>
        </w:rPr>
      </w:pPr>
      <w:r w:rsidRPr="00DE50BD">
        <w:rPr>
          <w:rFonts w:ascii="Arial" w:hAnsi="Arial" w:cs="Arial"/>
          <w:sz w:val="24"/>
          <w:szCs w:val="24"/>
          <w:lang w:val="en-IN"/>
        </w:rPr>
        <w:t xml:space="preserve">Carbon dioxide can be transported as gas or a liquid. Pipelines and ships are used for transportation of gas and as a liquid form, the transportation takes place through pipelines, </w:t>
      </w:r>
      <w:proofErr w:type="gramStart"/>
      <w:r w:rsidRPr="00DE50BD">
        <w:rPr>
          <w:rFonts w:ascii="Arial" w:hAnsi="Arial" w:cs="Arial"/>
          <w:sz w:val="24"/>
          <w:szCs w:val="24"/>
          <w:lang w:val="en-IN"/>
        </w:rPr>
        <w:t>ships</w:t>
      </w:r>
      <w:proofErr w:type="gramEnd"/>
      <w:r w:rsidRPr="00DE50BD">
        <w:rPr>
          <w:rFonts w:ascii="Arial" w:hAnsi="Arial" w:cs="Arial"/>
          <w:sz w:val="24"/>
          <w:szCs w:val="24"/>
          <w:lang w:val="en-IN"/>
        </w:rPr>
        <w:t xml:space="preserve"> and road tankers</w:t>
      </w:r>
      <w:r>
        <w:rPr>
          <w:rFonts w:ascii="Arial" w:hAnsi="Arial" w:cs="Arial"/>
          <w:sz w:val="24"/>
          <w:szCs w:val="24"/>
          <w:lang w:val="en-IN"/>
        </w:rPr>
        <w:t>.</w:t>
      </w:r>
    </w:p>
    <w:p w14:paraId="420584B1" w14:textId="77777777" w:rsidR="00DE50BD" w:rsidRPr="00DE50BD" w:rsidRDefault="00DE50BD" w:rsidP="00DE50BD">
      <w:pPr>
        <w:jc w:val="both"/>
        <w:rPr>
          <w:rFonts w:ascii="Arial" w:hAnsi="Arial" w:cs="Arial"/>
          <w:b/>
          <w:bCs/>
          <w:sz w:val="24"/>
          <w:szCs w:val="24"/>
        </w:rPr>
      </w:pPr>
      <w:r w:rsidRPr="00DE50BD">
        <w:rPr>
          <w:rFonts w:ascii="Arial" w:hAnsi="Arial" w:cs="Arial"/>
          <w:b/>
          <w:bCs/>
          <w:sz w:val="24"/>
          <w:szCs w:val="24"/>
          <w:lang w:val="en-IN"/>
        </w:rPr>
        <w:t xml:space="preserve">Cost of Transportation </w:t>
      </w:r>
    </w:p>
    <w:p w14:paraId="23B74D7B" w14:textId="21848CFA" w:rsidR="00DE50BD" w:rsidRDefault="00DE50BD" w:rsidP="000720D4">
      <w:pPr>
        <w:jc w:val="both"/>
        <w:rPr>
          <w:rFonts w:ascii="Arial" w:hAnsi="Arial" w:cs="Arial"/>
          <w:sz w:val="24"/>
          <w:szCs w:val="24"/>
        </w:rPr>
      </w:pPr>
      <w:r w:rsidRPr="00DE50BD">
        <w:rPr>
          <w:rFonts w:ascii="Arial" w:hAnsi="Arial" w:cs="Arial"/>
          <w:sz w:val="24"/>
          <w:szCs w:val="24"/>
        </w:rPr>
        <w:t>Transportation cost for carbon dioxide is high as it is majorly supplied in tankers and cylinders. High transportation cost compels carbon dioxide suppliers to address demands of customers located in proximity to carbon dioxide recovery plants.</w:t>
      </w:r>
    </w:p>
    <w:p w14:paraId="24AFF52B" w14:textId="77777777" w:rsidR="00DE50BD" w:rsidRDefault="00DE50BD" w:rsidP="00DE50BD">
      <w:pPr>
        <w:jc w:val="both"/>
        <w:rPr>
          <w:rFonts w:ascii="Arial" w:hAnsi="Arial" w:cs="Arial"/>
          <w:sz w:val="24"/>
          <w:szCs w:val="24"/>
          <w:lang w:val="en-IN"/>
        </w:rPr>
      </w:pPr>
      <w:r w:rsidRPr="00DE50BD">
        <w:rPr>
          <w:rFonts w:ascii="Arial" w:hAnsi="Arial" w:cs="Arial"/>
          <w:sz w:val="24"/>
          <w:szCs w:val="24"/>
          <w:lang w:val="en-IN"/>
        </w:rPr>
        <w:t>The average cost of transportation which company undergoes is around ₹ 1 to ₹ 2 per km per Kg.</w:t>
      </w:r>
    </w:p>
    <w:p w14:paraId="7D5432E0" w14:textId="77777777" w:rsidR="00DE50BD" w:rsidRPr="00DE50BD" w:rsidRDefault="00DE50BD" w:rsidP="00DE50BD">
      <w:pPr>
        <w:jc w:val="both"/>
        <w:rPr>
          <w:rFonts w:ascii="Arial" w:hAnsi="Arial" w:cs="Arial"/>
          <w:sz w:val="24"/>
          <w:szCs w:val="24"/>
        </w:rPr>
      </w:pPr>
      <w:r w:rsidRPr="00DE50BD">
        <w:rPr>
          <w:rFonts w:ascii="Arial" w:hAnsi="Arial" w:cs="Arial"/>
          <w:b/>
          <w:bCs/>
          <w:sz w:val="24"/>
          <w:szCs w:val="24"/>
          <w:lang w:val="en-IN"/>
        </w:rPr>
        <w:t>Routes To Reduce Carbon Emission</w:t>
      </w:r>
    </w:p>
    <w:p w14:paraId="206D1DB9" w14:textId="77777777" w:rsidR="00DE50BD" w:rsidRPr="00DE50BD" w:rsidRDefault="00DE50BD" w:rsidP="00DE50BD">
      <w:pPr>
        <w:jc w:val="both"/>
        <w:rPr>
          <w:rFonts w:ascii="Arial" w:hAnsi="Arial" w:cs="Arial"/>
          <w:sz w:val="24"/>
          <w:szCs w:val="24"/>
        </w:rPr>
      </w:pPr>
      <w:r w:rsidRPr="00DE50BD">
        <w:rPr>
          <w:rFonts w:ascii="Arial" w:hAnsi="Arial" w:cs="Arial"/>
          <w:sz w:val="24"/>
          <w:szCs w:val="24"/>
        </w:rPr>
        <w:t>Refineries around the world are channelizing number of routes to reduce CO2 emission. This is generally done through Carbon Capture and Storage and in general, three routes are recognized for the capture of CO2.</w:t>
      </w:r>
    </w:p>
    <w:p w14:paraId="1519FD7A" w14:textId="77777777" w:rsidR="00DE50BD" w:rsidRPr="00DE50BD" w:rsidRDefault="00DE50BD" w:rsidP="00DE50BD">
      <w:pPr>
        <w:numPr>
          <w:ilvl w:val="0"/>
          <w:numId w:val="2"/>
        </w:numPr>
        <w:jc w:val="both"/>
        <w:rPr>
          <w:rFonts w:ascii="Arial" w:hAnsi="Arial" w:cs="Arial"/>
          <w:sz w:val="24"/>
          <w:szCs w:val="24"/>
        </w:rPr>
      </w:pPr>
      <w:proofErr w:type="spellStart"/>
      <w:r w:rsidRPr="00DE50BD">
        <w:rPr>
          <w:rFonts w:ascii="Arial" w:hAnsi="Arial" w:cs="Arial"/>
          <w:b/>
          <w:bCs/>
          <w:sz w:val="24"/>
          <w:szCs w:val="24"/>
        </w:rPr>
        <w:t>Oxyfiring</w:t>
      </w:r>
      <w:proofErr w:type="spellEnd"/>
      <w:r w:rsidRPr="00DE50BD">
        <w:rPr>
          <w:rFonts w:ascii="Arial" w:hAnsi="Arial" w:cs="Arial"/>
          <w:b/>
          <w:bCs/>
          <w:sz w:val="24"/>
          <w:szCs w:val="24"/>
        </w:rPr>
        <w:t xml:space="preserve">: </w:t>
      </w:r>
      <w:r w:rsidRPr="00DE50BD">
        <w:rPr>
          <w:rFonts w:ascii="Arial" w:hAnsi="Arial" w:cs="Arial"/>
          <w:sz w:val="24"/>
          <w:szCs w:val="24"/>
        </w:rPr>
        <w:t xml:space="preserve">In the process, Pure oxygen rather than air is used for combustion.  This produces a stream containing only CO2 and water. </w:t>
      </w:r>
    </w:p>
    <w:p w14:paraId="211DFECC" w14:textId="77777777" w:rsidR="00DE50BD" w:rsidRPr="00DE50BD" w:rsidRDefault="00DE50BD" w:rsidP="00DE50BD">
      <w:pPr>
        <w:numPr>
          <w:ilvl w:val="0"/>
          <w:numId w:val="2"/>
        </w:numPr>
        <w:jc w:val="both"/>
        <w:rPr>
          <w:rFonts w:ascii="Arial" w:hAnsi="Arial" w:cs="Arial"/>
          <w:sz w:val="24"/>
          <w:szCs w:val="24"/>
        </w:rPr>
      </w:pPr>
      <w:r w:rsidRPr="00DE50BD">
        <w:rPr>
          <w:rFonts w:ascii="Arial" w:hAnsi="Arial" w:cs="Arial"/>
          <w:b/>
          <w:bCs/>
          <w:sz w:val="24"/>
          <w:szCs w:val="24"/>
        </w:rPr>
        <w:t xml:space="preserve">Pre-Combustion Capture: </w:t>
      </w:r>
      <w:r w:rsidRPr="00DE50BD">
        <w:rPr>
          <w:rFonts w:ascii="Arial" w:hAnsi="Arial" w:cs="Arial"/>
          <w:sz w:val="24"/>
          <w:szCs w:val="24"/>
        </w:rPr>
        <w:t xml:space="preserve">Fuel is preheated in the process, typically forming CO2 and hydrogen. </w:t>
      </w:r>
      <w:proofErr w:type="gramStart"/>
      <w:r w:rsidRPr="00DE50BD">
        <w:rPr>
          <w:rFonts w:ascii="Arial" w:hAnsi="Arial" w:cs="Arial"/>
          <w:sz w:val="24"/>
          <w:szCs w:val="24"/>
        </w:rPr>
        <w:t>Then,  CO2</w:t>
      </w:r>
      <w:proofErr w:type="gramEnd"/>
      <w:r w:rsidRPr="00DE50BD">
        <w:rPr>
          <w:rFonts w:ascii="Arial" w:hAnsi="Arial" w:cs="Arial"/>
          <w:sz w:val="24"/>
          <w:szCs w:val="24"/>
        </w:rPr>
        <w:t xml:space="preserve"> is removed easily from hydrogen being at higher temperature.</w:t>
      </w:r>
    </w:p>
    <w:p w14:paraId="16C4AAE8" w14:textId="77777777" w:rsidR="00DE50BD" w:rsidRPr="00DE50BD" w:rsidRDefault="00DE50BD" w:rsidP="00DE50BD">
      <w:pPr>
        <w:numPr>
          <w:ilvl w:val="0"/>
          <w:numId w:val="2"/>
        </w:numPr>
        <w:jc w:val="both"/>
        <w:rPr>
          <w:rFonts w:ascii="Arial" w:hAnsi="Arial" w:cs="Arial"/>
          <w:sz w:val="24"/>
          <w:szCs w:val="24"/>
        </w:rPr>
      </w:pPr>
      <w:r w:rsidRPr="00DE50BD">
        <w:rPr>
          <w:rFonts w:ascii="Arial" w:hAnsi="Arial" w:cs="Arial"/>
          <w:b/>
          <w:bCs/>
          <w:sz w:val="24"/>
          <w:szCs w:val="24"/>
        </w:rPr>
        <w:t xml:space="preserve">Post Combustion </w:t>
      </w:r>
      <w:proofErr w:type="gramStart"/>
      <w:r w:rsidRPr="00DE50BD">
        <w:rPr>
          <w:rFonts w:ascii="Arial" w:hAnsi="Arial" w:cs="Arial"/>
          <w:b/>
          <w:bCs/>
          <w:sz w:val="24"/>
          <w:szCs w:val="24"/>
        </w:rPr>
        <w:t>capture :</w:t>
      </w:r>
      <w:proofErr w:type="gramEnd"/>
      <w:r w:rsidRPr="00DE50BD">
        <w:rPr>
          <w:rFonts w:ascii="Arial" w:hAnsi="Arial" w:cs="Arial"/>
          <w:b/>
          <w:bCs/>
          <w:sz w:val="24"/>
          <w:szCs w:val="24"/>
        </w:rPr>
        <w:t xml:space="preserve">  </w:t>
      </w:r>
      <w:proofErr w:type="spellStart"/>
      <w:r w:rsidRPr="00DE50BD">
        <w:rPr>
          <w:rFonts w:ascii="Arial" w:hAnsi="Arial" w:cs="Arial"/>
          <w:sz w:val="24"/>
          <w:szCs w:val="24"/>
        </w:rPr>
        <w:t>Its</w:t>
      </w:r>
      <w:proofErr w:type="spellEnd"/>
      <w:r w:rsidRPr="00DE50BD">
        <w:rPr>
          <w:rFonts w:ascii="Arial" w:hAnsi="Arial" w:cs="Arial"/>
          <w:sz w:val="24"/>
          <w:szCs w:val="24"/>
        </w:rPr>
        <w:t xml:space="preserve"> an end of process solution, where CO2 IS removed from flue gas, before the flue gas is emitted to atmosphere via stack.</w:t>
      </w:r>
    </w:p>
    <w:p w14:paraId="221889E8" w14:textId="44C8B1C2" w:rsidR="00DE50BD" w:rsidRDefault="00DE50BD" w:rsidP="00DE50BD">
      <w:pPr>
        <w:jc w:val="both"/>
        <w:rPr>
          <w:rFonts w:ascii="Arial" w:hAnsi="Arial" w:cs="Arial"/>
          <w:b/>
          <w:bCs/>
          <w:sz w:val="24"/>
          <w:szCs w:val="24"/>
          <w:lang w:val="en-IN"/>
        </w:rPr>
      </w:pPr>
      <w:r w:rsidRPr="00DE50BD">
        <w:rPr>
          <w:rFonts w:ascii="Arial" w:hAnsi="Arial" w:cs="Arial"/>
          <w:b/>
          <w:bCs/>
          <w:sz w:val="24"/>
          <w:szCs w:val="24"/>
          <w:lang w:val="en-IN"/>
        </w:rPr>
        <w:t>Global Capture of Carbon Dioxide</w:t>
      </w:r>
    </w:p>
    <w:p w14:paraId="62583618" w14:textId="25A64338" w:rsidR="00DE50BD" w:rsidRPr="00DE50BD" w:rsidRDefault="00DE50BD" w:rsidP="00DE50BD">
      <w:pPr>
        <w:jc w:val="both"/>
        <w:rPr>
          <w:rFonts w:ascii="Arial" w:hAnsi="Arial" w:cs="Arial"/>
          <w:sz w:val="24"/>
          <w:szCs w:val="24"/>
        </w:rPr>
      </w:pPr>
      <w:r w:rsidRPr="00DE50BD">
        <w:rPr>
          <w:rFonts w:ascii="Arial" w:hAnsi="Arial" w:cs="Arial"/>
          <w:sz w:val="24"/>
          <w:szCs w:val="24"/>
        </w:rPr>
        <w:t xml:space="preserve">At Global level, most refineries prefer post combustion capture method as most of the refinery emission is made up of large </w:t>
      </w:r>
      <w:proofErr w:type="spellStart"/>
      <w:r w:rsidRPr="00DE50BD">
        <w:rPr>
          <w:rFonts w:ascii="Arial" w:hAnsi="Arial" w:cs="Arial"/>
          <w:sz w:val="24"/>
          <w:szCs w:val="24"/>
        </w:rPr>
        <w:t>numberr</w:t>
      </w:r>
      <w:proofErr w:type="spellEnd"/>
      <w:r w:rsidRPr="00DE50BD">
        <w:rPr>
          <w:rFonts w:ascii="Arial" w:hAnsi="Arial" w:cs="Arial"/>
          <w:sz w:val="24"/>
          <w:szCs w:val="24"/>
        </w:rPr>
        <w:t xml:space="preserve"> of flue gas sources at a refinery. Emissions sources in this category are large stacks from furnaces and gas turbines.</w:t>
      </w:r>
    </w:p>
    <w:p w14:paraId="1EFA6FA1" w14:textId="6B9E3A8B" w:rsidR="00DE50BD" w:rsidRDefault="00DE50BD" w:rsidP="00DE50BD">
      <w:pPr>
        <w:jc w:val="both"/>
        <w:rPr>
          <w:rFonts w:ascii="Arial" w:hAnsi="Arial" w:cs="Arial"/>
          <w:b/>
          <w:bCs/>
          <w:sz w:val="24"/>
          <w:szCs w:val="24"/>
          <w:lang w:val="en-IN"/>
        </w:rPr>
      </w:pPr>
      <w:r w:rsidRPr="00DE50BD">
        <w:rPr>
          <w:rFonts w:ascii="Arial" w:hAnsi="Arial" w:cs="Arial"/>
          <w:b/>
          <w:bCs/>
          <w:sz w:val="24"/>
          <w:szCs w:val="24"/>
          <w:lang w:val="en-IN"/>
        </w:rPr>
        <w:t xml:space="preserve"> India Initiatives</w:t>
      </w:r>
    </w:p>
    <w:p w14:paraId="3038E4C0" w14:textId="7F05FA4C" w:rsidR="00DE50BD" w:rsidRPr="00DE50BD" w:rsidRDefault="00DE50BD" w:rsidP="00DE50BD">
      <w:pPr>
        <w:jc w:val="both"/>
        <w:rPr>
          <w:rFonts w:ascii="Arial" w:hAnsi="Arial" w:cs="Arial"/>
          <w:sz w:val="24"/>
          <w:szCs w:val="24"/>
        </w:rPr>
      </w:pPr>
      <w:r w:rsidRPr="00DE50BD">
        <w:rPr>
          <w:rFonts w:ascii="Arial" w:hAnsi="Arial" w:cs="Arial"/>
          <w:sz w:val="24"/>
          <w:szCs w:val="24"/>
        </w:rPr>
        <w:t>In India, major oil giants are taking initiatives to channelize carbon emission to boost crude oil production from ageing oilfields in the country.</w:t>
      </w:r>
      <w:r w:rsidRPr="00DE50BD">
        <w:t xml:space="preserve"> </w:t>
      </w:r>
      <w:r w:rsidRPr="00DE50BD">
        <w:rPr>
          <w:rFonts w:ascii="Arial" w:hAnsi="Arial" w:cs="Arial"/>
          <w:sz w:val="24"/>
          <w:szCs w:val="24"/>
        </w:rPr>
        <w:t xml:space="preserve">For instance, In 2019, Indian oil Corporation Limited (IOCL) has signed a preliminary agreement to </w:t>
      </w:r>
      <w:proofErr w:type="gramStart"/>
      <w:r w:rsidRPr="00DE50BD">
        <w:rPr>
          <w:rFonts w:ascii="Arial" w:hAnsi="Arial" w:cs="Arial"/>
          <w:sz w:val="24"/>
          <w:szCs w:val="24"/>
        </w:rPr>
        <w:t>capture  carbon</w:t>
      </w:r>
      <w:proofErr w:type="gramEnd"/>
      <w:r w:rsidRPr="00DE50BD">
        <w:rPr>
          <w:rFonts w:ascii="Arial" w:hAnsi="Arial" w:cs="Arial"/>
          <w:sz w:val="24"/>
          <w:szCs w:val="24"/>
        </w:rPr>
        <w:t xml:space="preserve"> di oxide emitted from its refineries and pipe it to Oil and Natural Gas Corporation (ONGC) </w:t>
      </w:r>
      <w:r w:rsidRPr="00DE50BD">
        <w:rPr>
          <w:rFonts w:ascii="Arial" w:hAnsi="Arial" w:cs="Arial"/>
          <w:sz w:val="24"/>
          <w:szCs w:val="24"/>
        </w:rPr>
        <w:lastRenderedPageBreak/>
        <w:t>and Oil India Limited (OIL) for injecting in depleting oil-fields to boost output. This is an initiative taken not only to curb environment pollution but also to address India’s falling oil production.</w:t>
      </w:r>
    </w:p>
    <w:p w14:paraId="75210D43" w14:textId="2FF29F6F" w:rsidR="00DE50BD" w:rsidRDefault="007B6773" w:rsidP="000720D4">
      <w:pPr>
        <w:jc w:val="both"/>
        <w:rPr>
          <w:rFonts w:ascii="Arial" w:hAnsi="Arial" w:cs="Arial"/>
          <w:b/>
          <w:bCs/>
          <w:sz w:val="24"/>
          <w:szCs w:val="24"/>
        </w:rPr>
      </w:pPr>
      <w:r w:rsidRPr="007B6773">
        <w:rPr>
          <w:rFonts w:ascii="Arial" w:hAnsi="Arial" w:cs="Arial"/>
          <w:b/>
          <w:bCs/>
          <w:sz w:val="24"/>
          <w:szCs w:val="24"/>
        </w:rPr>
        <w:t>India Enhanced Oil Recovery Market Outlook</w:t>
      </w:r>
    </w:p>
    <w:p w14:paraId="311F9BB5" w14:textId="77777777" w:rsidR="007B6773" w:rsidRPr="007B6773" w:rsidRDefault="007B6773" w:rsidP="007B6773">
      <w:pPr>
        <w:numPr>
          <w:ilvl w:val="0"/>
          <w:numId w:val="3"/>
        </w:numPr>
        <w:jc w:val="both"/>
        <w:rPr>
          <w:rFonts w:ascii="Arial" w:hAnsi="Arial" w:cs="Arial"/>
          <w:sz w:val="24"/>
          <w:szCs w:val="24"/>
        </w:rPr>
      </w:pPr>
      <w:r w:rsidRPr="007B6773">
        <w:rPr>
          <w:rFonts w:ascii="Arial" w:hAnsi="Arial" w:cs="Arial"/>
          <w:sz w:val="24"/>
          <w:szCs w:val="24"/>
        </w:rPr>
        <w:t>Crude oil production in the country has been declining consistently since 2012. With the declining production due to lack of exploration activities, public companies such as ONGC and OIL are cutting down their production rates.</w:t>
      </w:r>
    </w:p>
    <w:p w14:paraId="24A52B26" w14:textId="77777777" w:rsidR="007B6773" w:rsidRPr="007B6773" w:rsidRDefault="007B6773" w:rsidP="007B6773">
      <w:pPr>
        <w:numPr>
          <w:ilvl w:val="0"/>
          <w:numId w:val="4"/>
        </w:numPr>
        <w:jc w:val="both"/>
        <w:rPr>
          <w:rFonts w:ascii="Arial" w:hAnsi="Arial" w:cs="Arial"/>
          <w:sz w:val="24"/>
          <w:szCs w:val="24"/>
        </w:rPr>
      </w:pPr>
      <w:r w:rsidRPr="007B6773">
        <w:rPr>
          <w:rFonts w:ascii="Arial" w:hAnsi="Arial" w:cs="Arial"/>
          <w:sz w:val="24"/>
          <w:szCs w:val="24"/>
        </w:rPr>
        <w:t>The crude oil production in the country is estimated to be decreased at CAGR of 0.88%during 2012-2021.  The lower production would present a positive scenario for the crude oil production based on enhanced oil recovery in the country.</w:t>
      </w:r>
    </w:p>
    <w:p w14:paraId="6F7513B7" w14:textId="77777777" w:rsidR="007B6773" w:rsidRPr="007B6773" w:rsidRDefault="007B6773" w:rsidP="007B6773">
      <w:pPr>
        <w:numPr>
          <w:ilvl w:val="0"/>
          <w:numId w:val="5"/>
        </w:numPr>
        <w:jc w:val="both"/>
        <w:rPr>
          <w:rFonts w:ascii="Arial" w:hAnsi="Arial" w:cs="Arial"/>
          <w:sz w:val="24"/>
          <w:szCs w:val="24"/>
        </w:rPr>
      </w:pPr>
      <w:r w:rsidRPr="007B6773">
        <w:rPr>
          <w:rFonts w:ascii="Arial" w:hAnsi="Arial" w:cs="Arial"/>
          <w:sz w:val="24"/>
          <w:szCs w:val="24"/>
        </w:rPr>
        <w:t xml:space="preserve">Indian State-owned company, ONGC, has been carrying out major enhanced oil recovery processes in the Mumbai Offshore regions. Currently, Cairn India, the field operator of the Rajasthan Block, is carrying out the enhanced oil recovery process in the Mangala fields in the </w:t>
      </w:r>
      <w:proofErr w:type="spellStart"/>
      <w:r w:rsidRPr="007B6773">
        <w:rPr>
          <w:rFonts w:ascii="Arial" w:hAnsi="Arial" w:cs="Arial"/>
          <w:sz w:val="24"/>
          <w:szCs w:val="24"/>
        </w:rPr>
        <w:t>Barmer</w:t>
      </w:r>
      <w:proofErr w:type="spellEnd"/>
      <w:r w:rsidRPr="007B6773">
        <w:rPr>
          <w:rFonts w:ascii="Arial" w:hAnsi="Arial" w:cs="Arial"/>
          <w:sz w:val="24"/>
          <w:szCs w:val="24"/>
        </w:rPr>
        <w:t xml:space="preserve"> area through polymer flooding method. </w:t>
      </w:r>
    </w:p>
    <w:p w14:paraId="7982352F" w14:textId="77777777" w:rsidR="007B6773" w:rsidRPr="007B6773" w:rsidRDefault="007B6773" w:rsidP="007B6773">
      <w:pPr>
        <w:numPr>
          <w:ilvl w:val="0"/>
          <w:numId w:val="5"/>
        </w:numPr>
        <w:jc w:val="both"/>
        <w:rPr>
          <w:rFonts w:ascii="Arial" w:hAnsi="Arial" w:cs="Arial"/>
          <w:sz w:val="24"/>
          <w:szCs w:val="24"/>
        </w:rPr>
      </w:pPr>
      <w:r w:rsidRPr="007B6773">
        <w:rPr>
          <w:rFonts w:ascii="Arial" w:hAnsi="Arial" w:cs="Arial"/>
          <w:sz w:val="24"/>
          <w:szCs w:val="24"/>
        </w:rPr>
        <w:t xml:space="preserve">Thus, declining year on year crude oil production in the country, coupled with the good economic health would drive the market for EOR market through 2040. </w:t>
      </w:r>
    </w:p>
    <w:p w14:paraId="133F46E2" w14:textId="77777777" w:rsidR="007B6773" w:rsidRPr="007B6773" w:rsidRDefault="007B6773" w:rsidP="007B6773">
      <w:pPr>
        <w:numPr>
          <w:ilvl w:val="0"/>
          <w:numId w:val="5"/>
        </w:numPr>
        <w:jc w:val="both"/>
        <w:rPr>
          <w:rFonts w:ascii="Arial" w:hAnsi="Arial" w:cs="Arial"/>
          <w:sz w:val="24"/>
          <w:szCs w:val="24"/>
        </w:rPr>
      </w:pPr>
      <w:r w:rsidRPr="007B6773">
        <w:rPr>
          <w:rFonts w:ascii="Arial" w:hAnsi="Arial" w:cs="Arial"/>
          <w:sz w:val="24"/>
          <w:szCs w:val="24"/>
        </w:rPr>
        <w:t xml:space="preserve">Higher employment rate of crude EOR processes during 2021-2040 would be majorly due to the higher crude oil prices across the globe and high cost related to EOR activities. </w:t>
      </w:r>
    </w:p>
    <w:p w14:paraId="4ECA27F3" w14:textId="34370D82" w:rsidR="007B6773" w:rsidRDefault="007B6773" w:rsidP="007B6773">
      <w:pPr>
        <w:ind w:left="360"/>
        <w:jc w:val="both"/>
        <w:rPr>
          <w:rFonts w:ascii="Arial" w:hAnsi="Arial" w:cs="Arial"/>
          <w:b/>
          <w:bCs/>
          <w:sz w:val="24"/>
          <w:szCs w:val="24"/>
          <w:lang w:val="en-IN"/>
        </w:rPr>
      </w:pPr>
      <w:r w:rsidRPr="007B6773">
        <w:rPr>
          <w:rFonts w:ascii="Arial" w:hAnsi="Arial" w:cs="Arial"/>
          <w:b/>
          <w:bCs/>
          <w:sz w:val="24"/>
          <w:szCs w:val="24"/>
          <w:lang w:val="en-IN"/>
        </w:rPr>
        <w:t xml:space="preserve">Upcoming / Under construction Global Carbon Capture &amp; Storage Facilities </w:t>
      </w:r>
    </w:p>
    <w:p w14:paraId="3F0DF4D1" w14:textId="77777777" w:rsidR="007B6773" w:rsidRDefault="007B6773" w:rsidP="007B6773">
      <w:pPr>
        <w:ind w:left="360"/>
        <w:jc w:val="both"/>
        <w:rPr>
          <w:rFonts w:ascii="Arial" w:hAnsi="Arial" w:cs="Arial"/>
          <w:b/>
          <w:bCs/>
          <w:sz w:val="24"/>
          <w:szCs w:val="24"/>
          <w:lang w:val="en-IN"/>
        </w:rPr>
      </w:pPr>
    </w:p>
    <w:tbl>
      <w:tblPr>
        <w:tblW w:w="10480" w:type="dxa"/>
        <w:tblCellMar>
          <w:left w:w="0" w:type="dxa"/>
          <w:right w:w="0" w:type="dxa"/>
        </w:tblCellMar>
        <w:tblLook w:val="0600" w:firstRow="0" w:lastRow="0" w:firstColumn="0" w:lastColumn="0" w:noHBand="1" w:noVBand="1"/>
      </w:tblPr>
      <w:tblGrid>
        <w:gridCol w:w="1363"/>
        <w:gridCol w:w="1451"/>
        <w:gridCol w:w="1579"/>
        <w:gridCol w:w="1184"/>
        <w:gridCol w:w="922"/>
        <w:gridCol w:w="1369"/>
        <w:gridCol w:w="676"/>
        <w:gridCol w:w="1367"/>
        <w:gridCol w:w="1323"/>
      </w:tblGrid>
      <w:tr w:rsidR="007B6773" w:rsidRPr="007B6773" w14:paraId="5575B9A8" w14:textId="77777777" w:rsidTr="007B6773">
        <w:trPr>
          <w:trHeight w:val="1463"/>
        </w:trPr>
        <w:tc>
          <w:tcPr>
            <w:tcW w:w="1272"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39543A6"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Abu Dhabi CCS Phase 2: Natural gas processing plant</w:t>
            </w:r>
          </w:p>
        </w:tc>
        <w:tc>
          <w:tcPr>
            <w:tcW w:w="135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3050EDDB"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Commercial CCS facilities</w:t>
            </w:r>
          </w:p>
        </w:tc>
        <w:tc>
          <w:tcPr>
            <w:tcW w:w="1473"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BC1A707"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Advanced Development</w:t>
            </w:r>
          </w:p>
        </w:tc>
        <w:tc>
          <w:tcPr>
            <w:tcW w:w="110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3F31816C"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United Arab Emirates</w:t>
            </w:r>
          </w:p>
        </w:tc>
        <w:tc>
          <w:tcPr>
            <w:tcW w:w="860"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693EE9D1"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2025</w:t>
            </w:r>
          </w:p>
        </w:tc>
        <w:tc>
          <w:tcPr>
            <w:tcW w:w="1277"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D9CF21C"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Natural Gas Processing</w:t>
            </w:r>
          </w:p>
        </w:tc>
        <w:tc>
          <w:tcPr>
            <w:tcW w:w="630"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7900E752"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2.3</w:t>
            </w:r>
          </w:p>
        </w:tc>
        <w:tc>
          <w:tcPr>
            <w:tcW w:w="127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32B73C1C"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Industrial Separation</w:t>
            </w:r>
          </w:p>
        </w:tc>
        <w:tc>
          <w:tcPr>
            <w:tcW w:w="123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3A89D9CF"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Enhanced Oil Recovery</w:t>
            </w:r>
          </w:p>
        </w:tc>
      </w:tr>
      <w:tr w:rsidR="007B6773" w:rsidRPr="007B6773" w14:paraId="2BCAB47A" w14:textId="77777777" w:rsidTr="007B6773">
        <w:trPr>
          <w:trHeight w:val="659"/>
        </w:trPr>
        <w:tc>
          <w:tcPr>
            <w:tcW w:w="1272"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0604B9C" w14:textId="77777777" w:rsidR="007B6773" w:rsidRPr="007B6773" w:rsidRDefault="007B6773" w:rsidP="007B6773">
            <w:pPr>
              <w:ind w:left="360"/>
              <w:jc w:val="both"/>
              <w:rPr>
                <w:rFonts w:ascii="Verdana" w:hAnsi="Verdana" w:cs="Arial"/>
                <w:b/>
                <w:bCs/>
                <w:sz w:val="16"/>
                <w:szCs w:val="16"/>
              </w:rPr>
            </w:pPr>
            <w:proofErr w:type="spellStart"/>
            <w:r w:rsidRPr="007B6773">
              <w:rPr>
                <w:rFonts w:ascii="Verdana" w:hAnsi="Verdana" w:cs="Arial"/>
                <w:b/>
                <w:bCs/>
                <w:sz w:val="16"/>
                <w:szCs w:val="16"/>
                <w:lang w:val="en-IN"/>
              </w:rPr>
              <w:t>Brevik</w:t>
            </w:r>
            <w:proofErr w:type="spellEnd"/>
            <w:r w:rsidRPr="007B6773">
              <w:rPr>
                <w:rFonts w:ascii="Verdana" w:hAnsi="Verdana" w:cs="Arial"/>
                <w:b/>
                <w:bCs/>
                <w:sz w:val="16"/>
                <w:szCs w:val="16"/>
                <w:lang w:val="en-IN"/>
              </w:rPr>
              <w:t xml:space="preserve"> </w:t>
            </w:r>
            <w:proofErr w:type="spellStart"/>
            <w:r w:rsidRPr="007B6773">
              <w:rPr>
                <w:rFonts w:ascii="Verdana" w:hAnsi="Verdana" w:cs="Arial"/>
                <w:b/>
                <w:bCs/>
                <w:sz w:val="16"/>
                <w:szCs w:val="16"/>
                <w:lang w:val="en-IN"/>
              </w:rPr>
              <w:t>Norcem</w:t>
            </w:r>
            <w:proofErr w:type="spellEnd"/>
            <w:r w:rsidRPr="007B6773">
              <w:rPr>
                <w:rFonts w:ascii="Verdana" w:hAnsi="Verdana" w:cs="Arial"/>
                <w:b/>
                <w:bCs/>
                <w:sz w:val="16"/>
                <w:szCs w:val="16"/>
                <w:lang w:val="en-IN"/>
              </w:rPr>
              <w:t xml:space="preserve"> - </w:t>
            </w:r>
            <w:proofErr w:type="spellStart"/>
            <w:r w:rsidRPr="007B6773">
              <w:rPr>
                <w:rFonts w:ascii="Verdana" w:hAnsi="Verdana" w:cs="Arial"/>
                <w:b/>
                <w:bCs/>
                <w:sz w:val="16"/>
                <w:szCs w:val="16"/>
                <w:lang w:val="en-IN"/>
              </w:rPr>
              <w:t>Langskip</w:t>
            </w:r>
            <w:proofErr w:type="spellEnd"/>
          </w:p>
        </w:tc>
        <w:tc>
          <w:tcPr>
            <w:tcW w:w="135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9415087"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Commercial CCS facilities</w:t>
            </w:r>
          </w:p>
        </w:tc>
        <w:tc>
          <w:tcPr>
            <w:tcW w:w="1473"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49BB0F01"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Advanced Development</w:t>
            </w:r>
          </w:p>
        </w:tc>
        <w:tc>
          <w:tcPr>
            <w:tcW w:w="110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283B698A"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Norway</w:t>
            </w:r>
          </w:p>
        </w:tc>
        <w:tc>
          <w:tcPr>
            <w:tcW w:w="860"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0A4C9440"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2023-2024</w:t>
            </w:r>
          </w:p>
        </w:tc>
        <w:tc>
          <w:tcPr>
            <w:tcW w:w="1277"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36E008CF"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Cement Production</w:t>
            </w:r>
          </w:p>
        </w:tc>
        <w:tc>
          <w:tcPr>
            <w:tcW w:w="630"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4BBEB175"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0.4</w:t>
            </w:r>
          </w:p>
        </w:tc>
        <w:tc>
          <w:tcPr>
            <w:tcW w:w="1275"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6DAAC18C"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Industrial Separation</w:t>
            </w:r>
          </w:p>
        </w:tc>
        <w:tc>
          <w:tcPr>
            <w:tcW w:w="1234" w:type="dxa"/>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vAlign w:val="center"/>
            <w:hideMark/>
          </w:tcPr>
          <w:p w14:paraId="4AD01537" w14:textId="77777777" w:rsidR="007B6773" w:rsidRPr="007B6773" w:rsidRDefault="007B6773" w:rsidP="007B6773">
            <w:pPr>
              <w:ind w:left="360"/>
              <w:jc w:val="both"/>
              <w:rPr>
                <w:rFonts w:ascii="Verdana" w:hAnsi="Verdana" w:cs="Arial"/>
                <w:b/>
                <w:bCs/>
                <w:sz w:val="16"/>
                <w:szCs w:val="16"/>
              </w:rPr>
            </w:pPr>
            <w:r w:rsidRPr="007B6773">
              <w:rPr>
                <w:rFonts w:ascii="Verdana" w:hAnsi="Verdana" w:cs="Arial"/>
                <w:b/>
                <w:bCs/>
                <w:sz w:val="16"/>
                <w:szCs w:val="16"/>
                <w:lang w:val="en-IN"/>
              </w:rPr>
              <w:t>Dedicated Geological Storage</w:t>
            </w:r>
          </w:p>
        </w:tc>
      </w:tr>
    </w:tbl>
    <w:p w14:paraId="2DC0F9B7" w14:textId="77777777" w:rsidR="007B6773" w:rsidRPr="007B6773" w:rsidRDefault="007B6773" w:rsidP="007B6773">
      <w:pPr>
        <w:ind w:left="360"/>
        <w:jc w:val="both"/>
        <w:rPr>
          <w:rFonts w:ascii="Arial" w:hAnsi="Arial" w:cs="Arial"/>
          <w:b/>
          <w:bCs/>
          <w:sz w:val="24"/>
          <w:szCs w:val="24"/>
        </w:rPr>
      </w:pPr>
    </w:p>
    <w:p w14:paraId="09DB288A" w14:textId="77777777" w:rsidR="007B6773" w:rsidRPr="007B6773" w:rsidRDefault="007B6773" w:rsidP="000720D4">
      <w:pPr>
        <w:jc w:val="both"/>
        <w:rPr>
          <w:rFonts w:ascii="Arial" w:hAnsi="Arial" w:cs="Arial"/>
          <w:b/>
          <w:bCs/>
          <w:sz w:val="24"/>
          <w:szCs w:val="24"/>
        </w:rPr>
      </w:pPr>
    </w:p>
    <w:sectPr w:rsidR="007B6773" w:rsidRPr="007B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1B8"/>
    <w:multiLevelType w:val="hybridMultilevel"/>
    <w:tmpl w:val="E17CECF8"/>
    <w:lvl w:ilvl="0" w:tplc="766CA264">
      <w:start w:val="1"/>
      <w:numFmt w:val="bullet"/>
      <w:lvlText w:val="•"/>
      <w:lvlJc w:val="left"/>
      <w:pPr>
        <w:tabs>
          <w:tab w:val="num" w:pos="720"/>
        </w:tabs>
        <w:ind w:left="720" w:hanging="360"/>
      </w:pPr>
      <w:rPr>
        <w:rFonts w:ascii="Arial" w:hAnsi="Arial" w:hint="default"/>
      </w:rPr>
    </w:lvl>
    <w:lvl w:ilvl="1" w:tplc="7C0A0818" w:tentative="1">
      <w:start w:val="1"/>
      <w:numFmt w:val="bullet"/>
      <w:lvlText w:val="•"/>
      <w:lvlJc w:val="left"/>
      <w:pPr>
        <w:tabs>
          <w:tab w:val="num" w:pos="1440"/>
        </w:tabs>
        <w:ind w:left="1440" w:hanging="360"/>
      </w:pPr>
      <w:rPr>
        <w:rFonts w:ascii="Arial" w:hAnsi="Arial" w:hint="default"/>
      </w:rPr>
    </w:lvl>
    <w:lvl w:ilvl="2" w:tplc="BD6A06B4" w:tentative="1">
      <w:start w:val="1"/>
      <w:numFmt w:val="bullet"/>
      <w:lvlText w:val="•"/>
      <w:lvlJc w:val="left"/>
      <w:pPr>
        <w:tabs>
          <w:tab w:val="num" w:pos="2160"/>
        </w:tabs>
        <w:ind w:left="2160" w:hanging="360"/>
      </w:pPr>
      <w:rPr>
        <w:rFonts w:ascii="Arial" w:hAnsi="Arial" w:hint="default"/>
      </w:rPr>
    </w:lvl>
    <w:lvl w:ilvl="3" w:tplc="92B0FD22" w:tentative="1">
      <w:start w:val="1"/>
      <w:numFmt w:val="bullet"/>
      <w:lvlText w:val="•"/>
      <w:lvlJc w:val="left"/>
      <w:pPr>
        <w:tabs>
          <w:tab w:val="num" w:pos="2880"/>
        </w:tabs>
        <w:ind w:left="2880" w:hanging="360"/>
      </w:pPr>
      <w:rPr>
        <w:rFonts w:ascii="Arial" w:hAnsi="Arial" w:hint="default"/>
      </w:rPr>
    </w:lvl>
    <w:lvl w:ilvl="4" w:tplc="9E5CDF52" w:tentative="1">
      <w:start w:val="1"/>
      <w:numFmt w:val="bullet"/>
      <w:lvlText w:val="•"/>
      <w:lvlJc w:val="left"/>
      <w:pPr>
        <w:tabs>
          <w:tab w:val="num" w:pos="3600"/>
        </w:tabs>
        <w:ind w:left="3600" w:hanging="360"/>
      </w:pPr>
      <w:rPr>
        <w:rFonts w:ascii="Arial" w:hAnsi="Arial" w:hint="default"/>
      </w:rPr>
    </w:lvl>
    <w:lvl w:ilvl="5" w:tplc="CAD04838" w:tentative="1">
      <w:start w:val="1"/>
      <w:numFmt w:val="bullet"/>
      <w:lvlText w:val="•"/>
      <w:lvlJc w:val="left"/>
      <w:pPr>
        <w:tabs>
          <w:tab w:val="num" w:pos="4320"/>
        </w:tabs>
        <w:ind w:left="4320" w:hanging="360"/>
      </w:pPr>
      <w:rPr>
        <w:rFonts w:ascii="Arial" w:hAnsi="Arial" w:hint="default"/>
      </w:rPr>
    </w:lvl>
    <w:lvl w:ilvl="6" w:tplc="FB7C8962" w:tentative="1">
      <w:start w:val="1"/>
      <w:numFmt w:val="bullet"/>
      <w:lvlText w:val="•"/>
      <w:lvlJc w:val="left"/>
      <w:pPr>
        <w:tabs>
          <w:tab w:val="num" w:pos="5040"/>
        </w:tabs>
        <w:ind w:left="5040" w:hanging="360"/>
      </w:pPr>
      <w:rPr>
        <w:rFonts w:ascii="Arial" w:hAnsi="Arial" w:hint="default"/>
      </w:rPr>
    </w:lvl>
    <w:lvl w:ilvl="7" w:tplc="F93E77E6" w:tentative="1">
      <w:start w:val="1"/>
      <w:numFmt w:val="bullet"/>
      <w:lvlText w:val="•"/>
      <w:lvlJc w:val="left"/>
      <w:pPr>
        <w:tabs>
          <w:tab w:val="num" w:pos="5760"/>
        </w:tabs>
        <w:ind w:left="5760" w:hanging="360"/>
      </w:pPr>
      <w:rPr>
        <w:rFonts w:ascii="Arial" w:hAnsi="Arial" w:hint="default"/>
      </w:rPr>
    </w:lvl>
    <w:lvl w:ilvl="8" w:tplc="357AD5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031EEF"/>
    <w:multiLevelType w:val="hybridMultilevel"/>
    <w:tmpl w:val="D51C19CA"/>
    <w:lvl w:ilvl="0" w:tplc="DA5EEEDE">
      <w:start w:val="1"/>
      <w:numFmt w:val="bullet"/>
      <w:lvlText w:val=""/>
      <w:lvlJc w:val="left"/>
      <w:pPr>
        <w:tabs>
          <w:tab w:val="num" w:pos="720"/>
        </w:tabs>
        <w:ind w:left="720" w:hanging="360"/>
      </w:pPr>
      <w:rPr>
        <w:rFonts w:ascii="Wingdings" w:hAnsi="Wingdings" w:hint="default"/>
      </w:rPr>
    </w:lvl>
    <w:lvl w:ilvl="1" w:tplc="44805C36" w:tentative="1">
      <w:start w:val="1"/>
      <w:numFmt w:val="bullet"/>
      <w:lvlText w:val=""/>
      <w:lvlJc w:val="left"/>
      <w:pPr>
        <w:tabs>
          <w:tab w:val="num" w:pos="1440"/>
        </w:tabs>
        <w:ind w:left="1440" w:hanging="360"/>
      </w:pPr>
      <w:rPr>
        <w:rFonts w:ascii="Wingdings" w:hAnsi="Wingdings" w:hint="default"/>
      </w:rPr>
    </w:lvl>
    <w:lvl w:ilvl="2" w:tplc="007CDEE4" w:tentative="1">
      <w:start w:val="1"/>
      <w:numFmt w:val="bullet"/>
      <w:lvlText w:val=""/>
      <w:lvlJc w:val="left"/>
      <w:pPr>
        <w:tabs>
          <w:tab w:val="num" w:pos="2160"/>
        </w:tabs>
        <w:ind w:left="2160" w:hanging="360"/>
      </w:pPr>
      <w:rPr>
        <w:rFonts w:ascii="Wingdings" w:hAnsi="Wingdings" w:hint="default"/>
      </w:rPr>
    </w:lvl>
    <w:lvl w:ilvl="3" w:tplc="8B80203E" w:tentative="1">
      <w:start w:val="1"/>
      <w:numFmt w:val="bullet"/>
      <w:lvlText w:val=""/>
      <w:lvlJc w:val="left"/>
      <w:pPr>
        <w:tabs>
          <w:tab w:val="num" w:pos="2880"/>
        </w:tabs>
        <w:ind w:left="2880" w:hanging="360"/>
      </w:pPr>
      <w:rPr>
        <w:rFonts w:ascii="Wingdings" w:hAnsi="Wingdings" w:hint="default"/>
      </w:rPr>
    </w:lvl>
    <w:lvl w:ilvl="4" w:tplc="34FC0268" w:tentative="1">
      <w:start w:val="1"/>
      <w:numFmt w:val="bullet"/>
      <w:lvlText w:val=""/>
      <w:lvlJc w:val="left"/>
      <w:pPr>
        <w:tabs>
          <w:tab w:val="num" w:pos="3600"/>
        </w:tabs>
        <w:ind w:left="3600" w:hanging="360"/>
      </w:pPr>
      <w:rPr>
        <w:rFonts w:ascii="Wingdings" w:hAnsi="Wingdings" w:hint="default"/>
      </w:rPr>
    </w:lvl>
    <w:lvl w:ilvl="5" w:tplc="D012E2F6" w:tentative="1">
      <w:start w:val="1"/>
      <w:numFmt w:val="bullet"/>
      <w:lvlText w:val=""/>
      <w:lvlJc w:val="left"/>
      <w:pPr>
        <w:tabs>
          <w:tab w:val="num" w:pos="4320"/>
        </w:tabs>
        <w:ind w:left="4320" w:hanging="360"/>
      </w:pPr>
      <w:rPr>
        <w:rFonts w:ascii="Wingdings" w:hAnsi="Wingdings" w:hint="default"/>
      </w:rPr>
    </w:lvl>
    <w:lvl w:ilvl="6" w:tplc="7D9AEF3E" w:tentative="1">
      <w:start w:val="1"/>
      <w:numFmt w:val="bullet"/>
      <w:lvlText w:val=""/>
      <w:lvlJc w:val="left"/>
      <w:pPr>
        <w:tabs>
          <w:tab w:val="num" w:pos="5040"/>
        </w:tabs>
        <w:ind w:left="5040" w:hanging="360"/>
      </w:pPr>
      <w:rPr>
        <w:rFonts w:ascii="Wingdings" w:hAnsi="Wingdings" w:hint="default"/>
      </w:rPr>
    </w:lvl>
    <w:lvl w:ilvl="7" w:tplc="B19ACD1E" w:tentative="1">
      <w:start w:val="1"/>
      <w:numFmt w:val="bullet"/>
      <w:lvlText w:val=""/>
      <w:lvlJc w:val="left"/>
      <w:pPr>
        <w:tabs>
          <w:tab w:val="num" w:pos="5760"/>
        </w:tabs>
        <w:ind w:left="5760" w:hanging="360"/>
      </w:pPr>
      <w:rPr>
        <w:rFonts w:ascii="Wingdings" w:hAnsi="Wingdings" w:hint="default"/>
      </w:rPr>
    </w:lvl>
    <w:lvl w:ilvl="8" w:tplc="7C96F4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C7006"/>
    <w:multiLevelType w:val="hybridMultilevel"/>
    <w:tmpl w:val="E35CC0BA"/>
    <w:lvl w:ilvl="0" w:tplc="189A3062">
      <w:start w:val="1"/>
      <w:numFmt w:val="bullet"/>
      <w:lvlText w:val="•"/>
      <w:lvlJc w:val="left"/>
      <w:pPr>
        <w:tabs>
          <w:tab w:val="num" w:pos="720"/>
        </w:tabs>
        <w:ind w:left="720" w:hanging="360"/>
      </w:pPr>
      <w:rPr>
        <w:rFonts w:ascii="Arial" w:hAnsi="Arial" w:hint="default"/>
      </w:rPr>
    </w:lvl>
    <w:lvl w:ilvl="1" w:tplc="79A65C08" w:tentative="1">
      <w:start w:val="1"/>
      <w:numFmt w:val="bullet"/>
      <w:lvlText w:val="•"/>
      <w:lvlJc w:val="left"/>
      <w:pPr>
        <w:tabs>
          <w:tab w:val="num" w:pos="1440"/>
        </w:tabs>
        <w:ind w:left="1440" w:hanging="360"/>
      </w:pPr>
      <w:rPr>
        <w:rFonts w:ascii="Arial" w:hAnsi="Arial" w:hint="default"/>
      </w:rPr>
    </w:lvl>
    <w:lvl w:ilvl="2" w:tplc="0E22ABE0" w:tentative="1">
      <w:start w:val="1"/>
      <w:numFmt w:val="bullet"/>
      <w:lvlText w:val="•"/>
      <w:lvlJc w:val="left"/>
      <w:pPr>
        <w:tabs>
          <w:tab w:val="num" w:pos="2160"/>
        </w:tabs>
        <w:ind w:left="2160" w:hanging="360"/>
      </w:pPr>
      <w:rPr>
        <w:rFonts w:ascii="Arial" w:hAnsi="Arial" w:hint="default"/>
      </w:rPr>
    </w:lvl>
    <w:lvl w:ilvl="3" w:tplc="5BBA4EF2" w:tentative="1">
      <w:start w:val="1"/>
      <w:numFmt w:val="bullet"/>
      <w:lvlText w:val="•"/>
      <w:lvlJc w:val="left"/>
      <w:pPr>
        <w:tabs>
          <w:tab w:val="num" w:pos="2880"/>
        </w:tabs>
        <w:ind w:left="2880" w:hanging="360"/>
      </w:pPr>
      <w:rPr>
        <w:rFonts w:ascii="Arial" w:hAnsi="Arial" w:hint="default"/>
      </w:rPr>
    </w:lvl>
    <w:lvl w:ilvl="4" w:tplc="03BC9CF8" w:tentative="1">
      <w:start w:val="1"/>
      <w:numFmt w:val="bullet"/>
      <w:lvlText w:val="•"/>
      <w:lvlJc w:val="left"/>
      <w:pPr>
        <w:tabs>
          <w:tab w:val="num" w:pos="3600"/>
        </w:tabs>
        <w:ind w:left="3600" w:hanging="360"/>
      </w:pPr>
      <w:rPr>
        <w:rFonts w:ascii="Arial" w:hAnsi="Arial" w:hint="default"/>
      </w:rPr>
    </w:lvl>
    <w:lvl w:ilvl="5" w:tplc="6A1077A2" w:tentative="1">
      <w:start w:val="1"/>
      <w:numFmt w:val="bullet"/>
      <w:lvlText w:val="•"/>
      <w:lvlJc w:val="left"/>
      <w:pPr>
        <w:tabs>
          <w:tab w:val="num" w:pos="4320"/>
        </w:tabs>
        <w:ind w:left="4320" w:hanging="360"/>
      </w:pPr>
      <w:rPr>
        <w:rFonts w:ascii="Arial" w:hAnsi="Arial" w:hint="default"/>
      </w:rPr>
    </w:lvl>
    <w:lvl w:ilvl="6" w:tplc="0C64D22C" w:tentative="1">
      <w:start w:val="1"/>
      <w:numFmt w:val="bullet"/>
      <w:lvlText w:val="•"/>
      <w:lvlJc w:val="left"/>
      <w:pPr>
        <w:tabs>
          <w:tab w:val="num" w:pos="5040"/>
        </w:tabs>
        <w:ind w:left="5040" w:hanging="360"/>
      </w:pPr>
      <w:rPr>
        <w:rFonts w:ascii="Arial" w:hAnsi="Arial" w:hint="default"/>
      </w:rPr>
    </w:lvl>
    <w:lvl w:ilvl="7" w:tplc="972AA14E" w:tentative="1">
      <w:start w:val="1"/>
      <w:numFmt w:val="bullet"/>
      <w:lvlText w:val="•"/>
      <w:lvlJc w:val="left"/>
      <w:pPr>
        <w:tabs>
          <w:tab w:val="num" w:pos="5760"/>
        </w:tabs>
        <w:ind w:left="5760" w:hanging="360"/>
      </w:pPr>
      <w:rPr>
        <w:rFonts w:ascii="Arial" w:hAnsi="Arial" w:hint="default"/>
      </w:rPr>
    </w:lvl>
    <w:lvl w:ilvl="8" w:tplc="A8402E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F97F5E"/>
    <w:multiLevelType w:val="hybridMultilevel"/>
    <w:tmpl w:val="328230E0"/>
    <w:lvl w:ilvl="0" w:tplc="8786AF06">
      <w:start w:val="1"/>
      <w:numFmt w:val="bullet"/>
      <w:lvlText w:val=""/>
      <w:lvlJc w:val="left"/>
      <w:pPr>
        <w:tabs>
          <w:tab w:val="num" w:pos="720"/>
        </w:tabs>
        <w:ind w:left="720" w:hanging="360"/>
      </w:pPr>
      <w:rPr>
        <w:rFonts w:ascii="Wingdings" w:hAnsi="Wingdings" w:hint="default"/>
      </w:rPr>
    </w:lvl>
    <w:lvl w:ilvl="1" w:tplc="3056A930" w:tentative="1">
      <w:start w:val="1"/>
      <w:numFmt w:val="bullet"/>
      <w:lvlText w:val=""/>
      <w:lvlJc w:val="left"/>
      <w:pPr>
        <w:tabs>
          <w:tab w:val="num" w:pos="1440"/>
        </w:tabs>
        <w:ind w:left="1440" w:hanging="360"/>
      </w:pPr>
      <w:rPr>
        <w:rFonts w:ascii="Wingdings" w:hAnsi="Wingdings" w:hint="default"/>
      </w:rPr>
    </w:lvl>
    <w:lvl w:ilvl="2" w:tplc="43D21A4E" w:tentative="1">
      <w:start w:val="1"/>
      <w:numFmt w:val="bullet"/>
      <w:lvlText w:val=""/>
      <w:lvlJc w:val="left"/>
      <w:pPr>
        <w:tabs>
          <w:tab w:val="num" w:pos="2160"/>
        </w:tabs>
        <w:ind w:left="2160" w:hanging="360"/>
      </w:pPr>
      <w:rPr>
        <w:rFonts w:ascii="Wingdings" w:hAnsi="Wingdings" w:hint="default"/>
      </w:rPr>
    </w:lvl>
    <w:lvl w:ilvl="3" w:tplc="9392CE28" w:tentative="1">
      <w:start w:val="1"/>
      <w:numFmt w:val="bullet"/>
      <w:lvlText w:val=""/>
      <w:lvlJc w:val="left"/>
      <w:pPr>
        <w:tabs>
          <w:tab w:val="num" w:pos="2880"/>
        </w:tabs>
        <w:ind w:left="2880" w:hanging="360"/>
      </w:pPr>
      <w:rPr>
        <w:rFonts w:ascii="Wingdings" w:hAnsi="Wingdings" w:hint="default"/>
      </w:rPr>
    </w:lvl>
    <w:lvl w:ilvl="4" w:tplc="879E4746" w:tentative="1">
      <w:start w:val="1"/>
      <w:numFmt w:val="bullet"/>
      <w:lvlText w:val=""/>
      <w:lvlJc w:val="left"/>
      <w:pPr>
        <w:tabs>
          <w:tab w:val="num" w:pos="3600"/>
        </w:tabs>
        <w:ind w:left="3600" w:hanging="360"/>
      </w:pPr>
      <w:rPr>
        <w:rFonts w:ascii="Wingdings" w:hAnsi="Wingdings" w:hint="default"/>
      </w:rPr>
    </w:lvl>
    <w:lvl w:ilvl="5" w:tplc="B96C117E" w:tentative="1">
      <w:start w:val="1"/>
      <w:numFmt w:val="bullet"/>
      <w:lvlText w:val=""/>
      <w:lvlJc w:val="left"/>
      <w:pPr>
        <w:tabs>
          <w:tab w:val="num" w:pos="4320"/>
        </w:tabs>
        <w:ind w:left="4320" w:hanging="360"/>
      </w:pPr>
      <w:rPr>
        <w:rFonts w:ascii="Wingdings" w:hAnsi="Wingdings" w:hint="default"/>
      </w:rPr>
    </w:lvl>
    <w:lvl w:ilvl="6" w:tplc="7EC4A2A4" w:tentative="1">
      <w:start w:val="1"/>
      <w:numFmt w:val="bullet"/>
      <w:lvlText w:val=""/>
      <w:lvlJc w:val="left"/>
      <w:pPr>
        <w:tabs>
          <w:tab w:val="num" w:pos="5040"/>
        </w:tabs>
        <w:ind w:left="5040" w:hanging="360"/>
      </w:pPr>
      <w:rPr>
        <w:rFonts w:ascii="Wingdings" w:hAnsi="Wingdings" w:hint="default"/>
      </w:rPr>
    </w:lvl>
    <w:lvl w:ilvl="7" w:tplc="175A1CF2" w:tentative="1">
      <w:start w:val="1"/>
      <w:numFmt w:val="bullet"/>
      <w:lvlText w:val=""/>
      <w:lvlJc w:val="left"/>
      <w:pPr>
        <w:tabs>
          <w:tab w:val="num" w:pos="5760"/>
        </w:tabs>
        <w:ind w:left="5760" w:hanging="360"/>
      </w:pPr>
      <w:rPr>
        <w:rFonts w:ascii="Wingdings" w:hAnsi="Wingdings" w:hint="default"/>
      </w:rPr>
    </w:lvl>
    <w:lvl w:ilvl="8" w:tplc="F75C0D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647B3D"/>
    <w:multiLevelType w:val="hybridMultilevel"/>
    <w:tmpl w:val="5F40B7CE"/>
    <w:lvl w:ilvl="0" w:tplc="046ABB9A">
      <w:start w:val="1"/>
      <w:numFmt w:val="bullet"/>
      <w:lvlText w:val="•"/>
      <w:lvlJc w:val="left"/>
      <w:pPr>
        <w:tabs>
          <w:tab w:val="num" w:pos="720"/>
        </w:tabs>
        <w:ind w:left="720" w:hanging="360"/>
      </w:pPr>
      <w:rPr>
        <w:rFonts w:ascii="Arial" w:hAnsi="Arial" w:hint="default"/>
      </w:rPr>
    </w:lvl>
    <w:lvl w:ilvl="1" w:tplc="B13837D2" w:tentative="1">
      <w:start w:val="1"/>
      <w:numFmt w:val="bullet"/>
      <w:lvlText w:val="•"/>
      <w:lvlJc w:val="left"/>
      <w:pPr>
        <w:tabs>
          <w:tab w:val="num" w:pos="1440"/>
        </w:tabs>
        <w:ind w:left="1440" w:hanging="360"/>
      </w:pPr>
      <w:rPr>
        <w:rFonts w:ascii="Arial" w:hAnsi="Arial" w:hint="default"/>
      </w:rPr>
    </w:lvl>
    <w:lvl w:ilvl="2" w:tplc="BD4E0282" w:tentative="1">
      <w:start w:val="1"/>
      <w:numFmt w:val="bullet"/>
      <w:lvlText w:val="•"/>
      <w:lvlJc w:val="left"/>
      <w:pPr>
        <w:tabs>
          <w:tab w:val="num" w:pos="2160"/>
        </w:tabs>
        <w:ind w:left="2160" w:hanging="360"/>
      </w:pPr>
      <w:rPr>
        <w:rFonts w:ascii="Arial" w:hAnsi="Arial" w:hint="default"/>
      </w:rPr>
    </w:lvl>
    <w:lvl w:ilvl="3" w:tplc="B524A0A2" w:tentative="1">
      <w:start w:val="1"/>
      <w:numFmt w:val="bullet"/>
      <w:lvlText w:val="•"/>
      <w:lvlJc w:val="left"/>
      <w:pPr>
        <w:tabs>
          <w:tab w:val="num" w:pos="2880"/>
        </w:tabs>
        <w:ind w:left="2880" w:hanging="360"/>
      </w:pPr>
      <w:rPr>
        <w:rFonts w:ascii="Arial" w:hAnsi="Arial" w:hint="default"/>
      </w:rPr>
    </w:lvl>
    <w:lvl w:ilvl="4" w:tplc="F2CE6CAA" w:tentative="1">
      <w:start w:val="1"/>
      <w:numFmt w:val="bullet"/>
      <w:lvlText w:val="•"/>
      <w:lvlJc w:val="left"/>
      <w:pPr>
        <w:tabs>
          <w:tab w:val="num" w:pos="3600"/>
        </w:tabs>
        <w:ind w:left="3600" w:hanging="360"/>
      </w:pPr>
      <w:rPr>
        <w:rFonts w:ascii="Arial" w:hAnsi="Arial" w:hint="default"/>
      </w:rPr>
    </w:lvl>
    <w:lvl w:ilvl="5" w:tplc="3CF05432" w:tentative="1">
      <w:start w:val="1"/>
      <w:numFmt w:val="bullet"/>
      <w:lvlText w:val="•"/>
      <w:lvlJc w:val="left"/>
      <w:pPr>
        <w:tabs>
          <w:tab w:val="num" w:pos="4320"/>
        </w:tabs>
        <w:ind w:left="4320" w:hanging="360"/>
      </w:pPr>
      <w:rPr>
        <w:rFonts w:ascii="Arial" w:hAnsi="Arial" w:hint="default"/>
      </w:rPr>
    </w:lvl>
    <w:lvl w:ilvl="6" w:tplc="6D1410FA" w:tentative="1">
      <w:start w:val="1"/>
      <w:numFmt w:val="bullet"/>
      <w:lvlText w:val="•"/>
      <w:lvlJc w:val="left"/>
      <w:pPr>
        <w:tabs>
          <w:tab w:val="num" w:pos="5040"/>
        </w:tabs>
        <w:ind w:left="5040" w:hanging="360"/>
      </w:pPr>
      <w:rPr>
        <w:rFonts w:ascii="Arial" w:hAnsi="Arial" w:hint="default"/>
      </w:rPr>
    </w:lvl>
    <w:lvl w:ilvl="7" w:tplc="ADB6CC72" w:tentative="1">
      <w:start w:val="1"/>
      <w:numFmt w:val="bullet"/>
      <w:lvlText w:val="•"/>
      <w:lvlJc w:val="left"/>
      <w:pPr>
        <w:tabs>
          <w:tab w:val="num" w:pos="5760"/>
        </w:tabs>
        <w:ind w:left="5760" w:hanging="360"/>
      </w:pPr>
      <w:rPr>
        <w:rFonts w:ascii="Arial" w:hAnsi="Arial" w:hint="default"/>
      </w:rPr>
    </w:lvl>
    <w:lvl w:ilvl="8" w:tplc="BB2285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C7"/>
    <w:rsid w:val="000720D4"/>
    <w:rsid w:val="00136171"/>
    <w:rsid w:val="006513C0"/>
    <w:rsid w:val="007B6773"/>
    <w:rsid w:val="00997C41"/>
    <w:rsid w:val="00C1024D"/>
    <w:rsid w:val="00C32381"/>
    <w:rsid w:val="00D965A8"/>
    <w:rsid w:val="00DE50BD"/>
    <w:rsid w:val="00F7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299A"/>
  <w15:chartTrackingRefBased/>
  <w15:docId w15:val="{2EABF3AE-876C-412D-B2AE-BC39758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195">
      <w:bodyDiv w:val="1"/>
      <w:marLeft w:val="0"/>
      <w:marRight w:val="0"/>
      <w:marTop w:val="0"/>
      <w:marBottom w:val="0"/>
      <w:divBdr>
        <w:top w:val="none" w:sz="0" w:space="0" w:color="auto"/>
        <w:left w:val="none" w:sz="0" w:space="0" w:color="auto"/>
        <w:bottom w:val="none" w:sz="0" w:space="0" w:color="auto"/>
        <w:right w:val="none" w:sz="0" w:space="0" w:color="auto"/>
      </w:divBdr>
      <w:divsChild>
        <w:div w:id="1130975384">
          <w:marLeft w:val="274"/>
          <w:marRight w:val="0"/>
          <w:marTop w:val="200"/>
          <w:marBottom w:val="0"/>
          <w:divBdr>
            <w:top w:val="none" w:sz="0" w:space="0" w:color="auto"/>
            <w:left w:val="none" w:sz="0" w:space="0" w:color="auto"/>
            <w:bottom w:val="none" w:sz="0" w:space="0" w:color="auto"/>
            <w:right w:val="none" w:sz="0" w:space="0" w:color="auto"/>
          </w:divBdr>
        </w:div>
        <w:div w:id="1844130426">
          <w:marLeft w:val="274"/>
          <w:marRight w:val="0"/>
          <w:marTop w:val="200"/>
          <w:marBottom w:val="0"/>
          <w:divBdr>
            <w:top w:val="none" w:sz="0" w:space="0" w:color="auto"/>
            <w:left w:val="none" w:sz="0" w:space="0" w:color="auto"/>
            <w:bottom w:val="none" w:sz="0" w:space="0" w:color="auto"/>
            <w:right w:val="none" w:sz="0" w:space="0" w:color="auto"/>
          </w:divBdr>
        </w:div>
        <w:div w:id="1207566609">
          <w:marLeft w:val="274"/>
          <w:marRight w:val="0"/>
          <w:marTop w:val="200"/>
          <w:marBottom w:val="0"/>
          <w:divBdr>
            <w:top w:val="none" w:sz="0" w:space="0" w:color="auto"/>
            <w:left w:val="none" w:sz="0" w:space="0" w:color="auto"/>
            <w:bottom w:val="none" w:sz="0" w:space="0" w:color="auto"/>
            <w:right w:val="none" w:sz="0" w:space="0" w:color="auto"/>
          </w:divBdr>
        </w:div>
        <w:div w:id="1732381821">
          <w:marLeft w:val="274"/>
          <w:marRight w:val="0"/>
          <w:marTop w:val="200"/>
          <w:marBottom w:val="0"/>
          <w:divBdr>
            <w:top w:val="none" w:sz="0" w:space="0" w:color="auto"/>
            <w:left w:val="none" w:sz="0" w:space="0" w:color="auto"/>
            <w:bottom w:val="none" w:sz="0" w:space="0" w:color="auto"/>
            <w:right w:val="none" w:sz="0" w:space="0" w:color="auto"/>
          </w:divBdr>
        </w:div>
        <w:div w:id="1912228249">
          <w:marLeft w:val="274"/>
          <w:marRight w:val="0"/>
          <w:marTop w:val="200"/>
          <w:marBottom w:val="0"/>
          <w:divBdr>
            <w:top w:val="none" w:sz="0" w:space="0" w:color="auto"/>
            <w:left w:val="none" w:sz="0" w:space="0" w:color="auto"/>
            <w:bottom w:val="none" w:sz="0" w:space="0" w:color="auto"/>
            <w:right w:val="none" w:sz="0" w:space="0" w:color="auto"/>
          </w:divBdr>
        </w:div>
      </w:divsChild>
    </w:div>
    <w:div w:id="185753739">
      <w:bodyDiv w:val="1"/>
      <w:marLeft w:val="0"/>
      <w:marRight w:val="0"/>
      <w:marTop w:val="0"/>
      <w:marBottom w:val="0"/>
      <w:divBdr>
        <w:top w:val="none" w:sz="0" w:space="0" w:color="auto"/>
        <w:left w:val="none" w:sz="0" w:space="0" w:color="auto"/>
        <w:bottom w:val="none" w:sz="0" w:space="0" w:color="auto"/>
        <w:right w:val="none" w:sz="0" w:space="0" w:color="auto"/>
      </w:divBdr>
    </w:div>
    <w:div w:id="336546040">
      <w:bodyDiv w:val="1"/>
      <w:marLeft w:val="0"/>
      <w:marRight w:val="0"/>
      <w:marTop w:val="0"/>
      <w:marBottom w:val="0"/>
      <w:divBdr>
        <w:top w:val="none" w:sz="0" w:space="0" w:color="auto"/>
        <w:left w:val="none" w:sz="0" w:space="0" w:color="auto"/>
        <w:bottom w:val="none" w:sz="0" w:space="0" w:color="auto"/>
        <w:right w:val="none" w:sz="0" w:space="0" w:color="auto"/>
      </w:divBdr>
    </w:div>
    <w:div w:id="399180869">
      <w:bodyDiv w:val="1"/>
      <w:marLeft w:val="0"/>
      <w:marRight w:val="0"/>
      <w:marTop w:val="0"/>
      <w:marBottom w:val="0"/>
      <w:divBdr>
        <w:top w:val="none" w:sz="0" w:space="0" w:color="auto"/>
        <w:left w:val="none" w:sz="0" w:space="0" w:color="auto"/>
        <w:bottom w:val="none" w:sz="0" w:space="0" w:color="auto"/>
        <w:right w:val="none" w:sz="0" w:space="0" w:color="auto"/>
      </w:divBdr>
    </w:div>
    <w:div w:id="472217727">
      <w:bodyDiv w:val="1"/>
      <w:marLeft w:val="0"/>
      <w:marRight w:val="0"/>
      <w:marTop w:val="0"/>
      <w:marBottom w:val="0"/>
      <w:divBdr>
        <w:top w:val="none" w:sz="0" w:space="0" w:color="auto"/>
        <w:left w:val="none" w:sz="0" w:space="0" w:color="auto"/>
        <w:bottom w:val="none" w:sz="0" w:space="0" w:color="auto"/>
        <w:right w:val="none" w:sz="0" w:space="0" w:color="auto"/>
      </w:divBdr>
    </w:div>
    <w:div w:id="513610678">
      <w:bodyDiv w:val="1"/>
      <w:marLeft w:val="0"/>
      <w:marRight w:val="0"/>
      <w:marTop w:val="0"/>
      <w:marBottom w:val="0"/>
      <w:divBdr>
        <w:top w:val="none" w:sz="0" w:space="0" w:color="auto"/>
        <w:left w:val="none" w:sz="0" w:space="0" w:color="auto"/>
        <w:bottom w:val="none" w:sz="0" w:space="0" w:color="auto"/>
        <w:right w:val="none" w:sz="0" w:space="0" w:color="auto"/>
      </w:divBdr>
    </w:div>
    <w:div w:id="918909899">
      <w:bodyDiv w:val="1"/>
      <w:marLeft w:val="0"/>
      <w:marRight w:val="0"/>
      <w:marTop w:val="0"/>
      <w:marBottom w:val="0"/>
      <w:divBdr>
        <w:top w:val="none" w:sz="0" w:space="0" w:color="auto"/>
        <w:left w:val="none" w:sz="0" w:space="0" w:color="auto"/>
        <w:bottom w:val="none" w:sz="0" w:space="0" w:color="auto"/>
        <w:right w:val="none" w:sz="0" w:space="0" w:color="auto"/>
      </w:divBdr>
    </w:div>
    <w:div w:id="1065879639">
      <w:bodyDiv w:val="1"/>
      <w:marLeft w:val="0"/>
      <w:marRight w:val="0"/>
      <w:marTop w:val="0"/>
      <w:marBottom w:val="0"/>
      <w:divBdr>
        <w:top w:val="none" w:sz="0" w:space="0" w:color="auto"/>
        <w:left w:val="none" w:sz="0" w:space="0" w:color="auto"/>
        <w:bottom w:val="none" w:sz="0" w:space="0" w:color="auto"/>
        <w:right w:val="none" w:sz="0" w:space="0" w:color="auto"/>
      </w:divBdr>
      <w:divsChild>
        <w:div w:id="344677084">
          <w:marLeft w:val="360"/>
          <w:marRight w:val="0"/>
          <w:marTop w:val="0"/>
          <w:marBottom w:val="0"/>
          <w:divBdr>
            <w:top w:val="none" w:sz="0" w:space="0" w:color="auto"/>
            <w:left w:val="none" w:sz="0" w:space="0" w:color="auto"/>
            <w:bottom w:val="none" w:sz="0" w:space="0" w:color="auto"/>
            <w:right w:val="none" w:sz="0" w:space="0" w:color="auto"/>
          </w:divBdr>
        </w:div>
      </w:divsChild>
    </w:div>
    <w:div w:id="1214347473">
      <w:bodyDiv w:val="1"/>
      <w:marLeft w:val="0"/>
      <w:marRight w:val="0"/>
      <w:marTop w:val="0"/>
      <w:marBottom w:val="0"/>
      <w:divBdr>
        <w:top w:val="none" w:sz="0" w:space="0" w:color="auto"/>
        <w:left w:val="none" w:sz="0" w:space="0" w:color="auto"/>
        <w:bottom w:val="none" w:sz="0" w:space="0" w:color="auto"/>
        <w:right w:val="none" w:sz="0" w:space="0" w:color="auto"/>
      </w:divBdr>
    </w:div>
    <w:div w:id="1251811455">
      <w:bodyDiv w:val="1"/>
      <w:marLeft w:val="0"/>
      <w:marRight w:val="0"/>
      <w:marTop w:val="0"/>
      <w:marBottom w:val="0"/>
      <w:divBdr>
        <w:top w:val="none" w:sz="0" w:space="0" w:color="auto"/>
        <w:left w:val="none" w:sz="0" w:space="0" w:color="auto"/>
        <w:bottom w:val="none" w:sz="0" w:space="0" w:color="auto"/>
        <w:right w:val="none" w:sz="0" w:space="0" w:color="auto"/>
      </w:divBdr>
    </w:div>
    <w:div w:id="1387528770">
      <w:bodyDiv w:val="1"/>
      <w:marLeft w:val="0"/>
      <w:marRight w:val="0"/>
      <w:marTop w:val="0"/>
      <w:marBottom w:val="0"/>
      <w:divBdr>
        <w:top w:val="none" w:sz="0" w:space="0" w:color="auto"/>
        <w:left w:val="none" w:sz="0" w:space="0" w:color="auto"/>
        <w:bottom w:val="none" w:sz="0" w:space="0" w:color="auto"/>
        <w:right w:val="none" w:sz="0" w:space="0" w:color="auto"/>
      </w:divBdr>
    </w:div>
    <w:div w:id="1403717089">
      <w:bodyDiv w:val="1"/>
      <w:marLeft w:val="0"/>
      <w:marRight w:val="0"/>
      <w:marTop w:val="0"/>
      <w:marBottom w:val="0"/>
      <w:divBdr>
        <w:top w:val="none" w:sz="0" w:space="0" w:color="auto"/>
        <w:left w:val="none" w:sz="0" w:space="0" w:color="auto"/>
        <w:bottom w:val="none" w:sz="0" w:space="0" w:color="auto"/>
        <w:right w:val="none" w:sz="0" w:space="0" w:color="auto"/>
      </w:divBdr>
    </w:div>
    <w:div w:id="1512917795">
      <w:bodyDiv w:val="1"/>
      <w:marLeft w:val="0"/>
      <w:marRight w:val="0"/>
      <w:marTop w:val="0"/>
      <w:marBottom w:val="0"/>
      <w:divBdr>
        <w:top w:val="none" w:sz="0" w:space="0" w:color="auto"/>
        <w:left w:val="none" w:sz="0" w:space="0" w:color="auto"/>
        <w:bottom w:val="none" w:sz="0" w:space="0" w:color="auto"/>
        <w:right w:val="none" w:sz="0" w:space="0" w:color="auto"/>
      </w:divBdr>
    </w:div>
    <w:div w:id="1573467408">
      <w:bodyDiv w:val="1"/>
      <w:marLeft w:val="0"/>
      <w:marRight w:val="0"/>
      <w:marTop w:val="0"/>
      <w:marBottom w:val="0"/>
      <w:divBdr>
        <w:top w:val="none" w:sz="0" w:space="0" w:color="auto"/>
        <w:left w:val="none" w:sz="0" w:space="0" w:color="auto"/>
        <w:bottom w:val="none" w:sz="0" w:space="0" w:color="auto"/>
        <w:right w:val="none" w:sz="0" w:space="0" w:color="auto"/>
      </w:divBdr>
    </w:div>
    <w:div w:id="1643971111">
      <w:bodyDiv w:val="1"/>
      <w:marLeft w:val="0"/>
      <w:marRight w:val="0"/>
      <w:marTop w:val="0"/>
      <w:marBottom w:val="0"/>
      <w:divBdr>
        <w:top w:val="none" w:sz="0" w:space="0" w:color="auto"/>
        <w:left w:val="none" w:sz="0" w:space="0" w:color="auto"/>
        <w:bottom w:val="none" w:sz="0" w:space="0" w:color="auto"/>
        <w:right w:val="none" w:sz="0" w:space="0" w:color="auto"/>
      </w:divBdr>
      <w:divsChild>
        <w:div w:id="1090546699">
          <w:marLeft w:val="274"/>
          <w:marRight w:val="0"/>
          <w:marTop w:val="0"/>
          <w:marBottom w:val="0"/>
          <w:divBdr>
            <w:top w:val="none" w:sz="0" w:space="0" w:color="auto"/>
            <w:left w:val="none" w:sz="0" w:space="0" w:color="auto"/>
            <w:bottom w:val="none" w:sz="0" w:space="0" w:color="auto"/>
            <w:right w:val="none" w:sz="0" w:space="0" w:color="auto"/>
          </w:divBdr>
        </w:div>
        <w:div w:id="1641612260">
          <w:marLeft w:val="274"/>
          <w:marRight w:val="0"/>
          <w:marTop w:val="0"/>
          <w:marBottom w:val="0"/>
          <w:divBdr>
            <w:top w:val="none" w:sz="0" w:space="0" w:color="auto"/>
            <w:left w:val="none" w:sz="0" w:space="0" w:color="auto"/>
            <w:bottom w:val="none" w:sz="0" w:space="0" w:color="auto"/>
            <w:right w:val="none" w:sz="0" w:space="0" w:color="auto"/>
          </w:divBdr>
        </w:div>
        <w:div w:id="427654305">
          <w:marLeft w:val="274"/>
          <w:marRight w:val="0"/>
          <w:marTop w:val="0"/>
          <w:marBottom w:val="0"/>
          <w:divBdr>
            <w:top w:val="none" w:sz="0" w:space="0" w:color="auto"/>
            <w:left w:val="none" w:sz="0" w:space="0" w:color="auto"/>
            <w:bottom w:val="none" w:sz="0" w:space="0" w:color="auto"/>
            <w:right w:val="none" w:sz="0" w:space="0" w:color="auto"/>
          </w:divBdr>
        </w:div>
      </w:divsChild>
    </w:div>
    <w:div w:id="1697926869">
      <w:bodyDiv w:val="1"/>
      <w:marLeft w:val="0"/>
      <w:marRight w:val="0"/>
      <w:marTop w:val="0"/>
      <w:marBottom w:val="0"/>
      <w:divBdr>
        <w:top w:val="none" w:sz="0" w:space="0" w:color="auto"/>
        <w:left w:val="none" w:sz="0" w:space="0" w:color="auto"/>
        <w:bottom w:val="none" w:sz="0" w:space="0" w:color="auto"/>
        <w:right w:val="none" w:sz="0" w:space="0" w:color="auto"/>
      </w:divBdr>
    </w:div>
    <w:div w:id="1801068964">
      <w:bodyDiv w:val="1"/>
      <w:marLeft w:val="0"/>
      <w:marRight w:val="0"/>
      <w:marTop w:val="0"/>
      <w:marBottom w:val="0"/>
      <w:divBdr>
        <w:top w:val="none" w:sz="0" w:space="0" w:color="auto"/>
        <w:left w:val="none" w:sz="0" w:space="0" w:color="auto"/>
        <w:bottom w:val="none" w:sz="0" w:space="0" w:color="auto"/>
        <w:right w:val="none" w:sz="0" w:space="0" w:color="auto"/>
      </w:divBdr>
    </w:div>
    <w:div w:id="2091585613">
      <w:bodyDiv w:val="1"/>
      <w:marLeft w:val="0"/>
      <w:marRight w:val="0"/>
      <w:marTop w:val="0"/>
      <w:marBottom w:val="0"/>
      <w:divBdr>
        <w:top w:val="none" w:sz="0" w:space="0" w:color="auto"/>
        <w:left w:val="none" w:sz="0" w:space="0" w:color="auto"/>
        <w:bottom w:val="none" w:sz="0" w:space="0" w:color="auto"/>
        <w:right w:val="none" w:sz="0" w:space="0" w:color="auto"/>
      </w:divBdr>
    </w:div>
    <w:div w:id="21390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bg1"/>
                </a:solidFill>
                <a:latin typeface="+mn-lt"/>
                <a:ea typeface="+mn-ea"/>
                <a:cs typeface="+mn-cs"/>
              </a:defRPr>
            </a:pPr>
            <a:r>
              <a:rPr lang="en-US" dirty="0">
                <a:solidFill>
                  <a:schemeClr val="bg1"/>
                </a:solidFill>
              </a:rPr>
              <a:t>FY2021</a:t>
            </a:r>
          </a:p>
        </c:rich>
      </c:tx>
      <c:layout>
        <c:manualLayout>
          <c:xMode val="edge"/>
          <c:yMode val="edge"/>
          <c:x val="0.46680319005658533"/>
          <c:y val="0.37383395436094591"/>
        </c:manualLayout>
      </c:layout>
      <c:overlay val="0"/>
      <c:spPr>
        <a:noFill/>
        <a:ln>
          <a:noFill/>
        </a:ln>
        <a:effectLst/>
      </c:spPr>
      <c:txPr>
        <a:bodyPr rot="0" spcFirstLastPara="1" vertOverflow="ellipsis" vert="horz" wrap="square" anchor="ctr" anchorCtr="1"/>
        <a:lstStyle/>
        <a:p>
          <a:pPr>
            <a:defRPr sz="2128" b="1" i="0" u="none" strike="noStrike" kern="1200" baseline="0">
              <a:solidFill>
                <a:schemeClr val="bg1"/>
              </a:solidFill>
              <a:latin typeface="+mn-lt"/>
              <a:ea typeface="+mn-ea"/>
              <a:cs typeface="+mn-cs"/>
            </a:defRPr>
          </a:pPr>
          <a:endParaRPr lang="en-US"/>
        </a:p>
      </c:txPr>
    </c:title>
    <c:autoTitleDeleted val="0"/>
    <c:plotArea>
      <c:layout>
        <c:manualLayout>
          <c:layoutTarget val="inner"/>
          <c:xMode val="edge"/>
          <c:yMode val="edge"/>
          <c:x val="0.25703312530004802"/>
          <c:y val="0.15440837793467418"/>
          <c:w val="0.51801113778204511"/>
          <c:h val="0.57656180569225746"/>
        </c:manualLayout>
      </c:layout>
      <c:pieChart>
        <c:varyColors val="1"/>
        <c:ser>
          <c:idx val="0"/>
          <c:order val="0"/>
          <c:tx>
            <c:strRef>
              <c:f>Sheet1!$B$1</c:f>
              <c:strCache>
                <c:ptCount val="1"/>
                <c:pt idx="0">
                  <c:v>2018</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F03-4D50-87B0-1027BC964A15}"/>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F03-4D50-87B0-1027BC964A15}"/>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F03-4D50-87B0-1027BC964A15}"/>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F03-4D50-87B0-1027BC964A15}"/>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F03-4D50-87B0-1027BC964A15}"/>
              </c:ext>
            </c:extLst>
          </c:dPt>
          <c:dPt>
            <c:idx val="5"/>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BF03-4D50-87B0-1027BC964A15}"/>
              </c:ext>
            </c:extLst>
          </c:dPt>
          <c:dLbls>
            <c:dLbl>
              <c:idx val="1"/>
              <c:layout>
                <c:manualLayout>
                  <c:x val="4.5979796887566003E-2"/>
                  <c:y val="-0.12197440226581618"/>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F03-4D50-87B0-1027BC964A15}"/>
                </c:ext>
              </c:extLst>
            </c:dLbl>
            <c:dLbl>
              <c:idx val="3"/>
              <c:layout>
                <c:manualLayout>
                  <c:x val="-6.4371715642592406E-2"/>
                  <c:y val="6.581305027742333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F03-4D50-87B0-1027BC964A15}"/>
                </c:ext>
              </c:extLst>
            </c:dLbl>
            <c:dLbl>
              <c:idx val="4"/>
              <c:layout>
                <c:manualLayout>
                  <c:x val="-0.12874343128518481"/>
                  <c:y val="-0.13162610055484675"/>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F03-4D50-87B0-1027BC964A15}"/>
                </c:ext>
              </c:extLst>
            </c:dLbl>
            <c:dLbl>
              <c:idx val="5"/>
              <c:layout>
                <c:manualLayout>
                  <c:x val="-0.1180148120114194"/>
                  <c:y val="-7.087559260645590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F03-4D50-87B0-1027BC964A15}"/>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Punjab Carbonic Private Limited</c:v>
                </c:pt>
                <c:pt idx="1">
                  <c:v>SICGIL India Limited</c:v>
                </c:pt>
                <c:pt idx="2">
                  <c:v>Prime Gases</c:v>
                </c:pt>
                <c:pt idx="3">
                  <c:v>India Glycols Ltd</c:v>
                </c:pt>
                <c:pt idx="4">
                  <c:v>Deepak Fertilizers &amp; Petrochemcials Corporation Ltd</c:v>
                </c:pt>
                <c:pt idx="5">
                  <c:v>Others </c:v>
                </c:pt>
              </c:strCache>
            </c:strRef>
          </c:cat>
          <c:val>
            <c:numRef>
              <c:f>Sheet1!$B$2:$B$7</c:f>
              <c:numCache>
                <c:formatCode>0.00%</c:formatCode>
                <c:ptCount val="6"/>
                <c:pt idx="0">
                  <c:v>0.26450000000000001</c:v>
                </c:pt>
                <c:pt idx="1">
                  <c:v>0.182</c:v>
                </c:pt>
                <c:pt idx="2">
                  <c:v>3.7600000000000001E-2</c:v>
                </c:pt>
                <c:pt idx="3">
                  <c:v>2.0899999999999998E-2</c:v>
                </c:pt>
                <c:pt idx="4">
                  <c:v>1.9400000000000001E-2</c:v>
                </c:pt>
                <c:pt idx="5">
                  <c:v>0.47560000000000002</c:v>
                </c:pt>
              </c:numCache>
            </c:numRef>
          </c:val>
          <c:extLst>
            <c:ext xmlns:c16="http://schemas.microsoft.com/office/drawing/2014/chart" uri="{C3380CC4-5D6E-409C-BE32-E72D297353CC}">
              <c16:uniqueId val="{0000000C-BF03-4D50-87B0-1027BC964A15}"/>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0.64228</cdr:x>
      <cdr:y>0.7013</cdr:y>
    </cdr:from>
    <cdr:to>
      <cdr:x>1</cdr:x>
      <cdr:y>0.93575</cdr:y>
    </cdr:to>
    <cdr:sp macro="" textlink="">
      <cdr:nvSpPr>
        <cdr:cNvPr id="2" name="Rectangle 1">
          <a:extLst xmlns:a="http://schemas.openxmlformats.org/drawingml/2006/main">
            <a:ext uri="{FF2B5EF4-FFF2-40B4-BE49-F238E27FC236}">
              <a16:creationId xmlns:a16="http://schemas.microsoft.com/office/drawing/2014/main" id="{93285CD1-8FED-438F-8FCF-D75881B31A88}"/>
            </a:ext>
          </a:extLst>
        </cdr:cNvPr>
        <cdr:cNvSpPr/>
      </cdr:nvSpPr>
      <cdr:spPr>
        <a:xfrm xmlns:a="http://schemas.openxmlformats.org/drawingml/2006/main">
          <a:off x="3719572" y="1519016"/>
          <a:ext cx="2071628" cy="507794"/>
        </a:xfrm>
        <a:prstGeom xmlns:a="http://schemas.openxmlformats.org/drawingml/2006/main" prst="rect">
          <a:avLst/>
        </a:prstGeom>
      </cdr:spPr>
      <cdr:txBody>
        <a:bodyPr xmlns:a="http://schemas.openxmlformats.org/drawingml/2006/main" wrap="square">
          <a:spAutoFit/>
        </a:bodyPr>
        <a:lstStyle xmlns:a="http://schemas.openxmlformats.org/drawingml/2006/main">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xmlns:a="http://schemas.openxmlformats.org/drawingml/2006/main">
          <a:pPr algn="r"/>
          <a:r>
            <a:rPr lang="en-US" sz="800" i="1" dirty="0">
              <a:solidFill>
                <a:schemeClr val="bg1">
                  <a:lumMod val="50000"/>
                </a:schemeClr>
              </a:solidFill>
              <a:latin typeface="Verdana" panose="020B0604030504040204" pitchFamily="34" charset="0"/>
              <a:ea typeface="Verdana" panose="020B0604030504040204" pitchFamily="34" charset="0"/>
              <a:cs typeface="Verdana" panose="020B0604030504040204" pitchFamily="34" charset="0"/>
            </a:rPr>
            <a:t>Others include: Bathinda industrial Gases Pvt. Ltd. (BIGPL), Jubilant life sciences limited, Indo Gulf Corporation, Solvay Vishnu Barium Pvt Ltd. Etc. </a:t>
          </a:r>
        </a:p>
        <a:p xmlns:a="http://schemas.openxmlformats.org/drawingml/2006/main">
          <a:pPr algn="r"/>
          <a:r>
            <a:rPr lang="en-US" sz="800" i="1" dirty="0">
              <a:solidFill>
                <a:schemeClr val="bg1">
                  <a:lumMod val="50000"/>
                </a:schemeClr>
              </a:solidFill>
              <a:latin typeface="Verdana" panose="020B0604030504040204" pitchFamily="34" charset="0"/>
              <a:ea typeface="Verdana" panose="020B0604030504040204" pitchFamily="34" charset="0"/>
              <a:cs typeface="Verdana" panose="020B0604030504040204" pitchFamily="34" charset="0"/>
            </a:rPr>
            <a:t>   	 </a:t>
          </a:r>
        </a:p>
        <a:p xmlns:a="http://schemas.openxmlformats.org/drawingml/2006/main">
          <a:pPr algn="r"/>
          <a:r>
            <a:rPr lang="en-US" sz="800" i="1" dirty="0">
              <a:solidFill>
                <a:schemeClr val="bg1">
                  <a:lumMod val="50000"/>
                </a:schemeClr>
              </a:solidFill>
              <a:latin typeface="Verdana" panose="020B0604030504040204" pitchFamily="34" charset="0"/>
              <a:ea typeface="Verdana" panose="020B0604030504040204" pitchFamily="34" charset="0"/>
              <a:cs typeface="Verdana" panose="020B0604030504040204" pitchFamily="34" charset="0"/>
            </a:rPr>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2</cp:revision>
  <dcterms:created xsi:type="dcterms:W3CDTF">2021-09-28T06:34:00Z</dcterms:created>
  <dcterms:modified xsi:type="dcterms:W3CDTF">2021-09-28T10:22:00Z</dcterms:modified>
</cp:coreProperties>
</file>