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D61F" w14:textId="7DC7AC4A" w:rsidR="000E6B89" w:rsidRDefault="000E6B89" w:rsidP="0051378A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>P.No.5: BPCL already has hygiene grade SAP. Process is not established yet for commercial scale ?</w:t>
      </w:r>
    </w:p>
    <w:p w14:paraId="702983F2" w14:textId="39BF4B6D" w:rsidR="000E6B89" w:rsidRDefault="007833E5" w:rsidP="0051378A">
      <w:pPr>
        <w:pStyle w:val="ListParagraph"/>
        <w:spacing w:before="0" w:beforeAutospacing="0" w:after="0" w:afterAutospacing="0" w:line="360" w:lineRule="auto"/>
        <w:ind w:left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 w:rsidRPr="007833E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The technology to produce Super Absorbent Polymers of the hygiene grade has been developed by BPCL R&amp;D</w:t>
      </w:r>
      <w:r w:rsidR="00510FF6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7833E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(SAP). </w:t>
      </w:r>
      <w:r w:rsidR="008D1C8A" w:rsidRPr="008D1C8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This process is in-house developed and patented by BPCL R&amp;D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.</w:t>
      </w:r>
      <w:r w:rsidRPr="007833E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Acrylic Acid, which is generated at Kochi Refinery's new Propylene Derivatives Petrochemical Complex, is used to make SAP. Technology, a piping and instrumentation diagram, a detailed engineering plan, and an equipment specification were all internally developed by the Kochi Refinery team and the Corporate Research &amp; Development Center (CRDC). No </w:t>
      </w:r>
      <w:r w:rsidR="008D1C8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external agency</w:t>
      </w:r>
      <w:r w:rsidRPr="007833E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participated in this project.</w:t>
      </w:r>
      <w:r w:rsidR="000E6B8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510FF6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BPCL is yet to commercialize this process, and as of now the company has only set up a demonstration plant of 200 MT. </w:t>
      </w:r>
    </w:p>
    <w:p w14:paraId="4289BAC7" w14:textId="5EDDB7BE" w:rsidR="000E6B89" w:rsidRPr="00081A15" w:rsidRDefault="000E6B89" w:rsidP="0051378A">
      <w:pPr>
        <w:pStyle w:val="ListParagraph"/>
        <w:spacing w:before="0" w:beforeAutospacing="0" w:after="0" w:afterAutospacing="0" w:line="360" w:lineRule="auto"/>
        <w:ind w:left="72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081A15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BP</w:t>
      </w:r>
      <w:r w:rsidR="00081A15" w:rsidRPr="00081A15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CL has established and patented the process but is yet to be commercialized. </w:t>
      </w:r>
    </w:p>
    <w:p w14:paraId="0BAB6C32" w14:textId="0C063FAD" w:rsidR="000E6B89" w:rsidRDefault="000E6B89" w:rsidP="0051378A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 xml:space="preserve">Do they produce </w:t>
      </w:r>
      <w:r w:rsidR="00FF36FB">
        <w:rPr>
          <w:rFonts w:eastAsia="Times New Roman"/>
          <w:color w:val="002060"/>
          <w:sz w:val="24"/>
          <w:szCs w:val="24"/>
          <w:lang w:val="en-US"/>
        </w:rPr>
        <w:t>agriculture-oriented</w:t>
      </w:r>
      <w:r>
        <w:rPr>
          <w:rFonts w:eastAsia="Times New Roman"/>
          <w:color w:val="002060"/>
          <w:sz w:val="24"/>
          <w:szCs w:val="24"/>
          <w:lang w:val="en-US"/>
        </w:rPr>
        <w:t xml:space="preserve"> grades </w:t>
      </w:r>
      <w:r w:rsidR="00142BCC">
        <w:rPr>
          <w:rFonts w:eastAsia="Times New Roman"/>
          <w:color w:val="002060"/>
          <w:sz w:val="24"/>
          <w:szCs w:val="24"/>
          <w:lang w:val="en-US"/>
        </w:rPr>
        <w:t>also?</w:t>
      </w:r>
      <w:r>
        <w:rPr>
          <w:rFonts w:eastAsia="Times New Roman"/>
          <w:color w:val="002060"/>
          <w:sz w:val="24"/>
          <w:szCs w:val="24"/>
          <w:lang w:val="en-US"/>
        </w:rPr>
        <w:t xml:space="preserve"> (Potassium PA)</w:t>
      </w:r>
    </w:p>
    <w:p w14:paraId="5238B5B0" w14:textId="1D9C19DE" w:rsidR="00081A15" w:rsidRPr="00743C9A" w:rsidRDefault="00743C9A" w:rsidP="0051378A">
      <w:pPr>
        <w:pStyle w:val="ListParagraph"/>
        <w:spacing w:before="0" w:beforeAutospacing="0" w:after="0" w:afterAutospacing="0" w:line="360" w:lineRule="auto"/>
        <w:ind w:left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A</w:t>
      </w:r>
      <w:r w:rsidRPr="00743C9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griculture oriented grade</w:t>
      </w:r>
      <w:r w:rsidR="007833E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of super absorbent polymer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8D1C8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is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not being produced by BPCL currently. The company has patented only hygiene super absorbent polymer as of now. </w:t>
      </w:r>
    </w:p>
    <w:p w14:paraId="44AED091" w14:textId="71E126F3" w:rsidR="00743C9A" w:rsidRDefault="000E6B89" w:rsidP="0051378A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 xml:space="preserve">Major consumption is in sanitary napkins &amp; baby napkins which are growing at 14 – 14.7%. SAP CAGR is more than that (15.4% in P.No.12). Any particular factor accelerating </w:t>
      </w:r>
      <w:r w:rsidR="00142BCC">
        <w:rPr>
          <w:rFonts w:eastAsia="Times New Roman"/>
          <w:color w:val="002060"/>
          <w:sz w:val="24"/>
          <w:szCs w:val="24"/>
          <w:lang w:val="en-US"/>
        </w:rPr>
        <w:t>this?</w:t>
      </w:r>
    </w:p>
    <w:p w14:paraId="0A039D18" w14:textId="3021A660" w:rsidR="00126D0C" w:rsidRPr="00126D0C" w:rsidRDefault="00126D0C" w:rsidP="00126D0C">
      <w:pPr>
        <w:pStyle w:val="ListParagraph"/>
        <w:spacing w:before="0" w:beforeAutospacing="0" w:after="0" w:afterAutospacing="0" w:line="360" w:lineRule="auto"/>
        <w:ind w:left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The adoption of super absorbent polymer</w:t>
      </w:r>
      <w:r w:rsidR="0016485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(SAP) in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the diaper manufacturing industry has been lately introduced, </w:t>
      </w:r>
      <w:r w:rsidR="0050425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which makes it as the replacement of other traditional</w:t>
      </w:r>
      <w:r w:rsidR="0016485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ly</w:t>
      </w:r>
      <w:r w:rsidR="00504257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used materials like</w:t>
      </w:r>
      <w:r w:rsidR="0024645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cotton, bleached cotton, and other non-woven fabrics.</w:t>
      </w:r>
      <w:r w:rsidR="0016485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Therefore, the adoption or replacement rate signifies the actual growth of SAP in the particular end use sector, </w:t>
      </w:r>
      <w:r w:rsidR="004077D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not the sector’s individual growth. </w:t>
      </w:r>
      <w:r w:rsidR="0016485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</w:p>
    <w:p w14:paraId="2BB10FDC" w14:textId="7315EB7A" w:rsidR="005C58DE" w:rsidRDefault="003B0BFC" w:rsidP="0051378A">
      <w:pPr>
        <w:pStyle w:val="ListParagraph"/>
        <w:spacing w:before="0" w:beforeAutospacing="0" w:after="0" w:afterAutospacing="0" w:line="360" w:lineRule="auto"/>
        <w:ind w:left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Moreover, m</w:t>
      </w:r>
      <w:r w:rsidR="00A869BC" w:rsidRPr="00A869B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ajor </w:t>
      </w:r>
      <w:r w:rsidR="00A869B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consumption of super absorbent </w:t>
      </w:r>
      <w:r w:rsidR="00BE503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polymer is in </w:t>
      </w:r>
      <w:r w:rsidR="005C58DE" w:rsidRPr="005C58DE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personal care</w:t>
      </w:r>
      <w:r w:rsidR="00A869B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end use segment</w:t>
      </w:r>
      <w:r w:rsidR="005C58DE" w:rsidRPr="005C58DE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which includes sanitary napkins, baby napkins and many more</w:t>
      </w:r>
      <w:r w:rsidR="00A869B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, boosting the products’ market at a CAGR of 15.5% till FY2030.</w:t>
      </w:r>
      <w:r w:rsidR="00BE503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However, there are other end use sectors</w:t>
      </w:r>
      <w:r w:rsidR="002108F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like healthcare, agriculture &amp; horticulture etc., where</w:t>
      </w:r>
      <w:r w:rsidR="00BE503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the consumption of super absorbent polymer </w:t>
      </w:r>
      <w:r w:rsidR="002108F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has been</w:t>
      </w:r>
      <w:r w:rsidR="00BE503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realized, accelerating </w:t>
      </w:r>
      <w:r w:rsidR="002108F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the consumption.</w:t>
      </w:r>
    </w:p>
    <w:p w14:paraId="4E6B734D" w14:textId="5893239A" w:rsidR="002108FC" w:rsidRDefault="00445BDE" w:rsidP="0051378A">
      <w:pPr>
        <w:pStyle w:val="ListParagraph"/>
        <w:spacing w:before="0" w:beforeAutospacing="0" w:after="0" w:afterAutospacing="0" w:line="360" w:lineRule="auto"/>
        <w:ind w:left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The consumption of super absorbent polymer in Agriculture &amp; Horticulture </w:t>
      </w:r>
      <w:r w:rsidR="005B548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sector 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is anticipated to be</w:t>
      </w:r>
      <w:r w:rsidR="00FA409D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growing with the highest CAGR of 17.8% from FY 2022 to FY 2030</w:t>
      </w:r>
      <w:r w:rsidR="009E5CC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, where it is </w:t>
      </w:r>
      <w:r w:rsidR="009E5CCB" w:rsidRPr="009E5CC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widely used as containers for water and plant nutrients, especially in arid and semiarid regions,</w:t>
      </w:r>
      <w:r w:rsidR="005B548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one of the key factors for acceleration in the consumption. Moreover, the consumption in healthcare sector is expected to</w:t>
      </w:r>
      <w:r w:rsidR="009727A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be growing</w:t>
      </w:r>
      <w:r w:rsidR="005B548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at a CAGR of </w:t>
      </w:r>
      <w:r w:rsidR="009727A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14.4% from FY 2022 to FY 2030,</w:t>
      </w:r>
      <w:r w:rsidR="009E5CC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C75BA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surging the market consumption.</w:t>
      </w:r>
    </w:p>
    <w:p w14:paraId="601FBA91" w14:textId="119276E9" w:rsidR="00C75BAB" w:rsidRPr="005C58DE" w:rsidRDefault="00C75BAB" w:rsidP="0051378A">
      <w:pPr>
        <w:pStyle w:val="ListParagraph"/>
        <w:spacing w:before="0" w:beforeAutospacing="0" w:after="0" w:afterAutospacing="0" w:line="360" w:lineRule="auto"/>
        <w:ind w:left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Therefore, </w:t>
      </w:r>
      <w:r w:rsidR="00846F90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on using weighted average method, the cumulative CAGR comes out to be 15.4% considering the end use sectors growth in the coming years.</w:t>
      </w:r>
    </w:p>
    <w:tbl>
      <w:tblPr>
        <w:tblW w:w="8537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920"/>
        <w:gridCol w:w="920"/>
        <w:gridCol w:w="920"/>
        <w:gridCol w:w="999"/>
        <w:gridCol w:w="1894"/>
      </w:tblGrid>
      <w:tr w:rsidR="008D1C8A" w:rsidRPr="008D1C8A" w14:paraId="0D47AE13" w14:textId="77777777" w:rsidTr="008D1C8A">
        <w:trPr>
          <w:trHeight w:val="313"/>
        </w:trPr>
        <w:tc>
          <w:tcPr>
            <w:tcW w:w="8537" w:type="dxa"/>
            <w:gridSpan w:val="6"/>
            <w:shd w:val="clear" w:color="000000" w:fill="3B3838"/>
            <w:noWrap/>
            <w:vAlign w:val="center"/>
            <w:hideMark/>
          </w:tcPr>
          <w:p w14:paraId="0957EDBA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bookmarkStart w:id="0" w:name="RANGE!E3"/>
            <w:bookmarkStart w:id="1" w:name="_Hlk90930696" w:colFirst="0" w:colLast="6"/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India Superabsorbent Polymer Market, By End-Use Sectors, By Volume</w:t>
            </w:r>
            <w:r w:rsidRPr="008D1C8A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</w:t>
            </w: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(Metric Tons)</w:t>
            </w:r>
            <w:bookmarkEnd w:id="0"/>
          </w:p>
        </w:tc>
      </w:tr>
      <w:tr w:rsidR="008D1C8A" w:rsidRPr="008D1C8A" w14:paraId="6B903B50" w14:textId="77777777" w:rsidTr="008D1C8A">
        <w:trPr>
          <w:trHeight w:val="313"/>
        </w:trPr>
        <w:tc>
          <w:tcPr>
            <w:tcW w:w="2884" w:type="dxa"/>
            <w:shd w:val="clear" w:color="000000" w:fill="C45911"/>
            <w:noWrap/>
            <w:vAlign w:val="center"/>
            <w:hideMark/>
          </w:tcPr>
          <w:p w14:paraId="11EDB68B" w14:textId="77777777" w:rsidR="008D1C8A" w:rsidRPr="008D1C8A" w:rsidRDefault="008D1C8A" w:rsidP="0051378A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bookmarkStart w:id="2" w:name="_Hlk90050290" w:colFirst="0" w:colLast="6"/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End-Use Sectors</w:t>
            </w:r>
          </w:p>
        </w:tc>
        <w:tc>
          <w:tcPr>
            <w:tcW w:w="920" w:type="dxa"/>
            <w:shd w:val="clear" w:color="000000" w:fill="C45911"/>
            <w:noWrap/>
            <w:vAlign w:val="center"/>
            <w:hideMark/>
          </w:tcPr>
          <w:p w14:paraId="6780A957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FY2018</w:t>
            </w:r>
          </w:p>
        </w:tc>
        <w:tc>
          <w:tcPr>
            <w:tcW w:w="920" w:type="dxa"/>
            <w:shd w:val="clear" w:color="000000" w:fill="C45911"/>
            <w:noWrap/>
            <w:vAlign w:val="center"/>
            <w:hideMark/>
          </w:tcPr>
          <w:p w14:paraId="4DED6D4F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FY2022</w:t>
            </w:r>
          </w:p>
        </w:tc>
        <w:tc>
          <w:tcPr>
            <w:tcW w:w="920" w:type="dxa"/>
            <w:shd w:val="clear" w:color="000000" w:fill="C45911"/>
            <w:noWrap/>
            <w:vAlign w:val="center"/>
            <w:hideMark/>
          </w:tcPr>
          <w:p w14:paraId="28874F76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FY2025</w:t>
            </w:r>
          </w:p>
        </w:tc>
        <w:tc>
          <w:tcPr>
            <w:tcW w:w="999" w:type="dxa"/>
            <w:shd w:val="clear" w:color="000000" w:fill="C45911"/>
            <w:noWrap/>
            <w:vAlign w:val="center"/>
            <w:hideMark/>
          </w:tcPr>
          <w:p w14:paraId="6A001A96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FY2030</w:t>
            </w:r>
          </w:p>
        </w:tc>
        <w:tc>
          <w:tcPr>
            <w:tcW w:w="1892" w:type="dxa"/>
            <w:shd w:val="clear" w:color="000000" w:fill="C45911"/>
            <w:noWrap/>
            <w:vAlign w:val="center"/>
            <w:hideMark/>
          </w:tcPr>
          <w:p w14:paraId="2108D997" w14:textId="77777777" w:rsidR="008D1C8A" w:rsidRPr="008D1C8A" w:rsidRDefault="008D1C8A" w:rsidP="0051378A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CAGR 2022-2030</w:t>
            </w:r>
          </w:p>
        </w:tc>
      </w:tr>
      <w:tr w:rsidR="008D1C8A" w:rsidRPr="008D1C8A" w14:paraId="60836FBC" w14:textId="77777777" w:rsidTr="008D1C8A">
        <w:trPr>
          <w:trHeight w:val="313"/>
        </w:trPr>
        <w:tc>
          <w:tcPr>
            <w:tcW w:w="2884" w:type="dxa"/>
            <w:shd w:val="clear" w:color="000000" w:fill="FFFFFF"/>
            <w:noWrap/>
            <w:vAlign w:val="center"/>
            <w:hideMark/>
          </w:tcPr>
          <w:p w14:paraId="17405484" w14:textId="77777777" w:rsidR="008D1C8A" w:rsidRPr="008D1C8A" w:rsidRDefault="008D1C8A" w:rsidP="0051378A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t>Personal Care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F70786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8,549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E862AB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34,488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1DFC6F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52,267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369FEA5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1,09,232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745AF55A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15.5%</w:t>
            </w:r>
          </w:p>
        </w:tc>
      </w:tr>
      <w:tr w:rsidR="008D1C8A" w:rsidRPr="008D1C8A" w14:paraId="2D2A511E" w14:textId="77777777" w:rsidTr="008D1C8A">
        <w:trPr>
          <w:trHeight w:val="313"/>
        </w:trPr>
        <w:tc>
          <w:tcPr>
            <w:tcW w:w="2884" w:type="dxa"/>
            <w:shd w:val="clear" w:color="000000" w:fill="FFFFFF"/>
            <w:noWrap/>
            <w:vAlign w:val="center"/>
            <w:hideMark/>
          </w:tcPr>
          <w:p w14:paraId="2D626AD2" w14:textId="77777777" w:rsidR="008D1C8A" w:rsidRPr="008D1C8A" w:rsidRDefault="008D1C8A" w:rsidP="0051378A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lastRenderedPageBreak/>
              <w:t>Healthcare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A8C6DE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543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CE1FE8C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2,105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EF4123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3,104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9A2B45B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6,191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51EDDC54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14.4%</w:t>
            </w:r>
          </w:p>
        </w:tc>
      </w:tr>
      <w:tr w:rsidR="008D1C8A" w:rsidRPr="008D1C8A" w14:paraId="663A8367" w14:textId="77777777" w:rsidTr="008D1C8A">
        <w:trPr>
          <w:trHeight w:val="313"/>
        </w:trPr>
        <w:tc>
          <w:tcPr>
            <w:tcW w:w="2884" w:type="dxa"/>
            <w:shd w:val="clear" w:color="000000" w:fill="FFFFFF"/>
            <w:noWrap/>
            <w:vAlign w:val="center"/>
            <w:hideMark/>
          </w:tcPr>
          <w:p w14:paraId="4B76B421" w14:textId="77777777" w:rsidR="008D1C8A" w:rsidRPr="008D1C8A" w:rsidRDefault="008D1C8A" w:rsidP="0051378A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t>Agriculture &amp; Horticulture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E933BA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7222F6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880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B420A4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1,414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3E551549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3,253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611E65F6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17.8%</w:t>
            </w:r>
          </w:p>
        </w:tc>
      </w:tr>
      <w:tr w:rsidR="008D1C8A" w:rsidRPr="008D1C8A" w14:paraId="499D47D7" w14:textId="77777777" w:rsidTr="008D1C8A">
        <w:trPr>
          <w:trHeight w:val="313"/>
        </w:trPr>
        <w:tc>
          <w:tcPr>
            <w:tcW w:w="2884" w:type="dxa"/>
            <w:shd w:val="clear" w:color="000000" w:fill="FFFFFF"/>
            <w:noWrap/>
            <w:vAlign w:val="center"/>
            <w:hideMark/>
          </w:tcPr>
          <w:p w14:paraId="6DCFFBFA" w14:textId="77777777" w:rsidR="008D1C8A" w:rsidRPr="008D1C8A" w:rsidRDefault="008D1C8A" w:rsidP="0051378A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t>Others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02A5CC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228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9F663E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804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2217EA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1,094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7FC391C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1,822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0227BD7E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10.8%</w:t>
            </w:r>
          </w:p>
        </w:tc>
      </w:tr>
      <w:bookmarkEnd w:id="2"/>
      <w:tr w:rsidR="008D1C8A" w:rsidRPr="008D1C8A" w14:paraId="24879AF7" w14:textId="77777777" w:rsidTr="008D1C8A">
        <w:trPr>
          <w:trHeight w:val="313"/>
        </w:trPr>
        <w:tc>
          <w:tcPr>
            <w:tcW w:w="2884" w:type="dxa"/>
            <w:shd w:val="clear" w:color="000000" w:fill="8EAADB"/>
            <w:noWrap/>
            <w:vAlign w:val="center"/>
            <w:hideMark/>
          </w:tcPr>
          <w:p w14:paraId="31D9DE5F" w14:textId="77777777" w:rsidR="008D1C8A" w:rsidRPr="008D1C8A" w:rsidRDefault="008D1C8A" w:rsidP="0051378A">
            <w:pPr>
              <w:spacing w:line="36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 xml:space="preserve"> Total  </w:t>
            </w:r>
          </w:p>
        </w:tc>
        <w:tc>
          <w:tcPr>
            <w:tcW w:w="920" w:type="dxa"/>
            <w:shd w:val="clear" w:color="000000" w:fill="8EAADB"/>
            <w:noWrap/>
            <w:vAlign w:val="center"/>
            <w:hideMark/>
          </w:tcPr>
          <w:p w14:paraId="0E34B623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>9,521</w:t>
            </w:r>
          </w:p>
        </w:tc>
        <w:tc>
          <w:tcPr>
            <w:tcW w:w="920" w:type="dxa"/>
            <w:shd w:val="clear" w:color="000000" w:fill="8EAADB"/>
            <w:noWrap/>
            <w:vAlign w:val="center"/>
            <w:hideMark/>
          </w:tcPr>
          <w:p w14:paraId="173C051B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>38,278</w:t>
            </w:r>
          </w:p>
        </w:tc>
        <w:tc>
          <w:tcPr>
            <w:tcW w:w="920" w:type="dxa"/>
            <w:shd w:val="clear" w:color="000000" w:fill="8EAADB"/>
            <w:noWrap/>
            <w:vAlign w:val="center"/>
            <w:hideMark/>
          </w:tcPr>
          <w:p w14:paraId="749C8C9C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>57,878</w:t>
            </w:r>
          </w:p>
        </w:tc>
        <w:tc>
          <w:tcPr>
            <w:tcW w:w="999" w:type="dxa"/>
            <w:shd w:val="clear" w:color="000000" w:fill="8EAADB"/>
            <w:noWrap/>
            <w:vAlign w:val="center"/>
            <w:hideMark/>
          </w:tcPr>
          <w:p w14:paraId="34CB3888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>1,20,499</w:t>
            </w:r>
          </w:p>
        </w:tc>
        <w:tc>
          <w:tcPr>
            <w:tcW w:w="1892" w:type="dxa"/>
            <w:shd w:val="clear" w:color="000000" w:fill="8EAADB"/>
            <w:noWrap/>
            <w:vAlign w:val="center"/>
            <w:hideMark/>
          </w:tcPr>
          <w:p w14:paraId="7344769F" w14:textId="77777777" w:rsidR="008D1C8A" w:rsidRPr="008D1C8A" w:rsidRDefault="008D1C8A" w:rsidP="0051378A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>15.4%</w:t>
            </w:r>
          </w:p>
        </w:tc>
      </w:tr>
      <w:bookmarkEnd w:id="1"/>
    </w:tbl>
    <w:p w14:paraId="241B74E6" w14:textId="77777777" w:rsidR="008D1C8A" w:rsidRPr="007833E5" w:rsidRDefault="008D1C8A" w:rsidP="0051378A">
      <w:pPr>
        <w:pStyle w:val="ListParagraph"/>
        <w:spacing w:before="0" w:beforeAutospacing="0" w:after="0" w:afterAutospacing="0" w:line="360" w:lineRule="auto"/>
        <w:ind w:left="720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</w:p>
    <w:p w14:paraId="3FAA2081" w14:textId="3AE870A8" w:rsidR="000E6B89" w:rsidRDefault="000E6B89" w:rsidP="0051378A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 xml:space="preserve">The market data is probably for organised sector. Is there un-organized sector playing any important role. This might have a bearing on volume and prices. </w:t>
      </w:r>
    </w:p>
    <w:p w14:paraId="0236B6B9" w14:textId="59C51CA8" w:rsidR="00846F90" w:rsidRPr="00926416" w:rsidRDefault="00490AE7" w:rsidP="0051378A">
      <w:pPr>
        <w:pStyle w:val="ListParagraph"/>
        <w:spacing w:before="0" w:beforeAutospacing="0" w:after="0" w:afterAutospacing="0" w:line="360" w:lineRule="auto"/>
        <w:ind w:left="720"/>
        <w:jc w:val="both"/>
        <w:rPr>
          <w:rFonts w:ascii="Arial" w:eastAsia="Times New Roman" w:hAnsi="Arial" w:cs="Arial"/>
          <w:i/>
          <w:iCs/>
          <w:sz w:val="20"/>
          <w:szCs w:val="20"/>
          <w:lang w:val="en-US"/>
        </w:rPr>
      </w:pPr>
      <w:r w:rsidRPr="00490AE7">
        <w:rPr>
          <w:rFonts w:ascii="Arial" w:eastAsia="Times New Roman" w:hAnsi="Arial" w:cs="Arial"/>
          <w:i/>
          <w:iCs/>
          <w:sz w:val="20"/>
          <w:szCs w:val="20"/>
          <w:lang w:val="en-US"/>
        </w:rPr>
        <w:t>Yes, the market data is for the organized sector, as the setting up of a plant is capital-intensive and requires detailed technical know-how. Currently, no unorganized sector manufacturers are operating in the market, therefore not impacting the volume and prices.</w:t>
      </w:r>
    </w:p>
    <w:p w14:paraId="7CADD97D" w14:textId="77777777" w:rsidR="000E6B89" w:rsidRDefault="000E6B89" w:rsidP="0051378A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>Price of SAP in 2022 (To be clarified)</w:t>
      </w:r>
    </w:p>
    <w:p w14:paraId="347D8E71" w14:textId="56BEC7BB" w:rsidR="000E6B89" w:rsidRDefault="000E6B89" w:rsidP="0051378A">
      <w:pPr>
        <w:pStyle w:val="ListParagraph"/>
        <w:numPr>
          <w:ilvl w:val="1"/>
          <w:numId w:val="1"/>
        </w:numPr>
        <w:spacing w:before="0" w:beforeAutospacing="0" w:after="0" w:afterAutospacing="0" w:line="360" w:lineRule="auto"/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>P.No.41 SAP/CIF is Rs. 115.76   (Import prices ?)</w:t>
      </w:r>
      <w:r w:rsidR="00490AE7">
        <w:rPr>
          <w:rFonts w:eastAsia="Times New Roman"/>
          <w:color w:val="002060"/>
          <w:sz w:val="24"/>
          <w:szCs w:val="24"/>
          <w:lang w:val="en-US"/>
        </w:rPr>
        <w:t xml:space="preserve">- </w:t>
      </w:r>
      <w:r w:rsidR="0051378A" w:rsidRPr="0051378A">
        <w:rPr>
          <w:rFonts w:ascii="Arial" w:eastAsia="Times New Roman" w:hAnsi="Arial" w:cs="Arial"/>
          <w:i/>
          <w:iCs/>
          <w:sz w:val="20"/>
          <w:szCs w:val="20"/>
          <w:lang w:val="en-US"/>
        </w:rPr>
        <w:t>Yes, CIF prices are</w:t>
      </w:r>
      <w:r w:rsidR="0051378A">
        <w:rPr>
          <w:rFonts w:eastAsia="Times New Roman"/>
          <w:color w:val="002060"/>
          <w:sz w:val="24"/>
          <w:szCs w:val="24"/>
          <w:lang w:val="en-US"/>
        </w:rPr>
        <w:t xml:space="preserve"> </w:t>
      </w:r>
      <w:r w:rsidR="00490AE7" w:rsidRPr="00490AE7">
        <w:rPr>
          <w:rFonts w:ascii="Arial" w:eastAsia="Times New Roman" w:hAnsi="Arial" w:cs="Arial"/>
          <w:i/>
          <w:iCs/>
          <w:sz w:val="20"/>
          <w:szCs w:val="20"/>
          <w:lang w:val="en-US"/>
        </w:rPr>
        <w:t>Import Prices</w:t>
      </w:r>
    </w:p>
    <w:p w14:paraId="4FCE4C9B" w14:textId="7DB0CE09" w:rsidR="000E6B89" w:rsidRDefault="000E6B89" w:rsidP="0051378A">
      <w:pPr>
        <w:pStyle w:val="ListParagraph"/>
        <w:numPr>
          <w:ilvl w:val="1"/>
          <w:numId w:val="1"/>
        </w:numPr>
        <w:spacing w:before="0" w:beforeAutospacing="0" w:after="0" w:afterAutospacing="0" w:line="360" w:lineRule="auto"/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>P.No.39 SAP/FOB is Rs. 185.70 (Export Price ?)</w:t>
      </w:r>
      <w:r w:rsidR="00490AE7">
        <w:rPr>
          <w:rFonts w:eastAsia="Times New Roman"/>
          <w:color w:val="002060"/>
          <w:sz w:val="24"/>
          <w:szCs w:val="24"/>
          <w:lang w:val="en-US"/>
        </w:rPr>
        <w:t xml:space="preserve">- </w:t>
      </w:r>
      <w:r w:rsidR="0051378A" w:rsidRPr="0051378A">
        <w:rPr>
          <w:rFonts w:ascii="Arial" w:eastAsia="Times New Roman" w:hAnsi="Arial" w:cs="Arial"/>
          <w:i/>
          <w:iCs/>
          <w:sz w:val="20"/>
          <w:szCs w:val="20"/>
          <w:lang w:val="en-US"/>
        </w:rPr>
        <w:t xml:space="preserve">Yes, FOB prices are </w:t>
      </w:r>
      <w:r w:rsidR="00490AE7" w:rsidRPr="00490AE7">
        <w:rPr>
          <w:rFonts w:ascii="Arial" w:eastAsia="Times New Roman" w:hAnsi="Arial" w:cs="Arial"/>
          <w:i/>
          <w:iCs/>
          <w:sz w:val="20"/>
          <w:szCs w:val="20"/>
          <w:lang w:val="en-US"/>
        </w:rPr>
        <w:t>Export Prices</w:t>
      </w:r>
    </w:p>
    <w:p w14:paraId="385DC20E" w14:textId="77777777" w:rsidR="000E6B89" w:rsidRDefault="000E6B89" w:rsidP="0051378A">
      <w:pPr>
        <w:pStyle w:val="ListParagraph"/>
        <w:numPr>
          <w:ilvl w:val="1"/>
          <w:numId w:val="1"/>
        </w:numPr>
        <w:spacing w:before="0" w:beforeAutospacing="0" w:after="0" w:afterAutospacing="0" w:line="360" w:lineRule="auto"/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 xml:space="preserve">Domestic sale price ? </w:t>
      </w:r>
    </w:p>
    <w:p w14:paraId="0D830138" w14:textId="7BC7E311" w:rsidR="00C570DD" w:rsidRDefault="000E6B89" w:rsidP="0051378A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 xml:space="preserve">The capex proposed is 450 – 550 crs. Annual revenue would be around 600 crs and opex would be 450-500 crs. Considering Interest and Tax outgo, it seems Net Profit would be max 30 crores. In that case, the Project </w:t>
      </w:r>
      <w:bookmarkStart w:id="3" w:name="_Hlk131502784"/>
      <w:r>
        <w:rPr>
          <w:rFonts w:eastAsia="Times New Roman"/>
          <w:color w:val="002060"/>
          <w:sz w:val="24"/>
          <w:szCs w:val="24"/>
          <w:lang w:val="en-US"/>
        </w:rPr>
        <w:t>would have a Payback of more than 10 years</w:t>
      </w:r>
      <w:bookmarkEnd w:id="3"/>
      <w:r>
        <w:rPr>
          <w:rFonts w:eastAsia="Times New Roman"/>
          <w:color w:val="002060"/>
          <w:sz w:val="24"/>
          <w:szCs w:val="24"/>
          <w:lang w:val="en-US"/>
        </w:rPr>
        <w:t>. How come the Project is viable then.</w:t>
      </w:r>
    </w:p>
    <w:p w14:paraId="2288457D" w14:textId="2178E1EB" w:rsidR="0052483D" w:rsidRPr="0052483D" w:rsidRDefault="0052483D" w:rsidP="0052483D">
      <w:pPr>
        <w:pStyle w:val="ListParagraph"/>
        <w:spacing w:line="360" w:lineRule="auto"/>
        <w:ind w:left="720"/>
        <w:jc w:val="both"/>
        <w:rPr>
          <w:rFonts w:ascii="Arial" w:eastAsia="Times New Roman" w:hAnsi="Arial" w:cs="Arial"/>
          <w:i/>
          <w:iCs/>
          <w:sz w:val="20"/>
          <w:szCs w:val="20"/>
          <w:lang w:val="en-US"/>
        </w:rPr>
      </w:pPr>
      <w:r w:rsidRPr="0052483D">
        <w:rPr>
          <w:rFonts w:ascii="Arial" w:eastAsia="Times New Roman" w:hAnsi="Arial" w:cs="Arial"/>
          <w:i/>
          <w:iCs/>
          <w:sz w:val="20"/>
          <w:szCs w:val="20"/>
          <w:lang w:val="en-US"/>
        </w:rPr>
        <w:t>As per the initial findings based on expert interviews and industry norms, considering the proposed capex and opex, the gross margin would be around 20% of the operating revenue. Therefore, calculating the Payback period on the gross margin as per the industry practices, the project would have a payback of 5 years, resulting in the project's feasibility.</w:t>
      </w:r>
    </w:p>
    <w:p w14:paraId="79993E32" w14:textId="789C6888" w:rsidR="00AD28E8" w:rsidRPr="0051378A" w:rsidRDefault="0052483D" w:rsidP="0052483D">
      <w:pPr>
        <w:pStyle w:val="ListParagraph"/>
        <w:spacing w:before="0" w:beforeAutospacing="0" w:after="0" w:afterAutospacing="0" w:line="360" w:lineRule="auto"/>
        <w:ind w:left="720"/>
        <w:jc w:val="both"/>
        <w:rPr>
          <w:rFonts w:ascii="Arial" w:eastAsia="Times New Roman" w:hAnsi="Arial" w:cs="Arial"/>
          <w:i/>
          <w:iCs/>
          <w:sz w:val="20"/>
          <w:szCs w:val="20"/>
          <w:lang w:val="en-US"/>
        </w:rPr>
      </w:pPr>
      <w:r w:rsidRPr="0052483D">
        <w:rPr>
          <w:rFonts w:ascii="Arial" w:eastAsia="Times New Roman" w:hAnsi="Arial" w:cs="Arial"/>
          <w:i/>
          <w:iCs/>
          <w:sz w:val="20"/>
          <w:szCs w:val="20"/>
          <w:lang w:val="en-US"/>
        </w:rPr>
        <w:t>However, On realizing the interest, tax, and depreciation outgo, the net profit would be leaning maximum to 30 crores. In this case, the project would have a Payback of more than 10 years, questioning the viability of the project.</w:t>
      </w:r>
      <w:r w:rsidR="00BA2742">
        <w:rPr>
          <w:rFonts w:ascii="Arial" w:eastAsia="Times New Roman" w:hAnsi="Arial" w:cs="Arial"/>
          <w:i/>
          <w:iCs/>
          <w:sz w:val="20"/>
          <w:szCs w:val="20"/>
          <w:lang w:val="en-US"/>
        </w:rPr>
        <w:t xml:space="preserve"> </w:t>
      </w:r>
    </w:p>
    <w:sectPr w:rsidR="00AD28E8" w:rsidRPr="0051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D0831"/>
    <w:multiLevelType w:val="hybridMultilevel"/>
    <w:tmpl w:val="06AA2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2712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89"/>
    <w:rsid w:val="00051C6F"/>
    <w:rsid w:val="00081A15"/>
    <w:rsid w:val="000D0199"/>
    <w:rsid w:val="000E6B89"/>
    <w:rsid w:val="00100589"/>
    <w:rsid w:val="00120B65"/>
    <w:rsid w:val="00126D0C"/>
    <w:rsid w:val="00142BCC"/>
    <w:rsid w:val="00164852"/>
    <w:rsid w:val="002108FC"/>
    <w:rsid w:val="0024645A"/>
    <w:rsid w:val="00365EF5"/>
    <w:rsid w:val="00371712"/>
    <w:rsid w:val="003B0BFC"/>
    <w:rsid w:val="004077DB"/>
    <w:rsid w:val="00445BDE"/>
    <w:rsid w:val="00490AE7"/>
    <w:rsid w:val="00503958"/>
    <w:rsid w:val="00504257"/>
    <w:rsid w:val="00510FF6"/>
    <w:rsid w:val="0051378A"/>
    <w:rsid w:val="0052483D"/>
    <w:rsid w:val="005B548B"/>
    <w:rsid w:val="005C58DE"/>
    <w:rsid w:val="0060524D"/>
    <w:rsid w:val="00641B07"/>
    <w:rsid w:val="00743C9A"/>
    <w:rsid w:val="00763EED"/>
    <w:rsid w:val="00770EEE"/>
    <w:rsid w:val="007833E5"/>
    <w:rsid w:val="00846F90"/>
    <w:rsid w:val="008D1C8A"/>
    <w:rsid w:val="00926416"/>
    <w:rsid w:val="009727AF"/>
    <w:rsid w:val="00995604"/>
    <w:rsid w:val="009E5CCB"/>
    <w:rsid w:val="00A463DD"/>
    <w:rsid w:val="00A869BC"/>
    <w:rsid w:val="00AD28E8"/>
    <w:rsid w:val="00BA2742"/>
    <w:rsid w:val="00BE5031"/>
    <w:rsid w:val="00BF4F71"/>
    <w:rsid w:val="00C570DD"/>
    <w:rsid w:val="00C75BAB"/>
    <w:rsid w:val="00C86CFC"/>
    <w:rsid w:val="00CC1017"/>
    <w:rsid w:val="00D343C6"/>
    <w:rsid w:val="00DA02AA"/>
    <w:rsid w:val="00E67E52"/>
    <w:rsid w:val="00EB4A25"/>
    <w:rsid w:val="00EE0ABB"/>
    <w:rsid w:val="00F45838"/>
    <w:rsid w:val="00FA409D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5302"/>
  <w15:chartTrackingRefBased/>
  <w15:docId w15:val="{924F9849-3FE7-4328-9274-9B2FE115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B89"/>
    <w:pPr>
      <w:spacing w:after="0" w:line="240" w:lineRule="auto"/>
    </w:pPr>
    <w:rPr>
      <w:rFonts w:ascii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B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Malhotra</dc:creator>
  <cp:keywords/>
  <dc:description/>
  <cp:lastModifiedBy>Hardik Malhotra</cp:lastModifiedBy>
  <cp:revision>8</cp:revision>
  <dcterms:created xsi:type="dcterms:W3CDTF">2023-04-04T06:49:00Z</dcterms:created>
  <dcterms:modified xsi:type="dcterms:W3CDTF">2023-04-04T09:51:00Z</dcterms:modified>
</cp:coreProperties>
</file>