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D61F" w14:textId="7DC7AC4A" w:rsidR="000E6B89" w:rsidRDefault="000E6B89" w:rsidP="008D1C8A">
      <w:pPr>
        <w:pStyle w:val="ListParagraph"/>
        <w:numPr>
          <w:ilvl w:val="0"/>
          <w:numId w:val="1"/>
        </w:numPr>
        <w:jc w:val="both"/>
        <w:rPr>
          <w:rFonts w:eastAsia="Times New Roman"/>
          <w:color w:val="002060"/>
          <w:sz w:val="24"/>
          <w:szCs w:val="24"/>
          <w:lang w:val="en-US"/>
        </w:rPr>
      </w:pPr>
      <w:r>
        <w:rPr>
          <w:rFonts w:eastAsia="Times New Roman"/>
          <w:color w:val="002060"/>
          <w:sz w:val="24"/>
          <w:szCs w:val="24"/>
          <w:lang w:val="en-US"/>
        </w:rPr>
        <w:t xml:space="preserve">P.No.5: BPCL already has hygiene grade SAP. Process is not established yet for commercial </w:t>
      </w:r>
      <w:proofErr w:type="gramStart"/>
      <w:r>
        <w:rPr>
          <w:rFonts w:eastAsia="Times New Roman"/>
          <w:color w:val="002060"/>
          <w:sz w:val="24"/>
          <w:szCs w:val="24"/>
          <w:lang w:val="en-US"/>
        </w:rPr>
        <w:t>scale ?</w:t>
      </w:r>
      <w:proofErr w:type="gramEnd"/>
    </w:p>
    <w:p w14:paraId="702983F2" w14:textId="28CBDB67" w:rsidR="000E6B89" w:rsidRDefault="007833E5" w:rsidP="007833E5">
      <w:pPr>
        <w:pStyle w:val="ListParagraph"/>
        <w:spacing w:line="276" w:lineRule="auto"/>
        <w:ind w:left="720"/>
        <w:jc w:val="both"/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</w:pPr>
      <w:r w:rsidRPr="007833E5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The technology to produce Super Absorbent Polymers of the hygiene grade has been developed by BPCL R&amp;D. (SAP). </w:t>
      </w:r>
      <w:r w:rsidR="008D1C8A" w:rsidRPr="008D1C8A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>This process is in-house developed and patented by BPCL R&amp;D</w:t>
      </w:r>
      <w:r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>.</w:t>
      </w:r>
      <w:r w:rsidRPr="007833E5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 Acrylic Acid, which is generated at Kochi Refinery's new Propylene Derivatives Petrochemical Complex, is used to make SAP. Technology, a piping and instrumentation diagram, a detailed engineering plan, and an equipment specification were all internally developed by the Kochi Refinery team and the Corporate Research &amp; Development Center (CRDC). No </w:t>
      </w:r>
      <w:r w:rsidR="008D1C8A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>external agency</w:t>
      </w:r>
      <w:r w:rsidRPr="007833E5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 participated in this project.</w:t>
      </w:r>
      <w:r w:rsidR="000E6B89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 </w:t>
      </w:r>
    </w:p>
    <w:p w14:paraId="4289BAC7" w14:textId="5EDDB7BE" w:rsidR="000E6B89" w:rsidRPr="00081A15" w:rsidRDefault="000E6B89" w:rsidP="000E6B89">
      <w:pPr>
        <w:pStyle w:val="ListParagraph"/>
        <w:spacing w:line="276" w:lineRule="auto"/>
        <w:ind w:left="720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081A15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BP</w:t>
      </w:r>
      <w:r w:rsidR="00081A15" w:rsidRPr="00081A15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CL has established and patented the process but is yet to be commercialized. </w:t>
      </w:r>
    </w:p>
    <w:p w14:paraId="0BAB6C32" w14:textId="0724B82D" w:rsidR="000E6B89" w:rsidRDefault="000E6B89" w:rsidP="000E6B89">
      <w:pPr>
        <w:pStyle w:val="ListParagraph"/>
        <w:numPr>
          <w:ilvl w:val="0"/>
          <w:numId w:val="1"/>
        </w:numPr>
        <w:rPr>
          <w:rFonts w:eastAsia="Times New Roman"/>
          <w:color w:val="002060"/>
          <w:sz w:val="24"/>
          <w:szCs w:val="24"/>
          <w:lang w:val="en-US"/>
        </w:rPr>
      </w:pPr>
      <w:r>
        <w:rPr>
          <w:rFonts w:eastAsia="Times New Roman"/>
          <w:color w:val="002060"/>
          <w:sz w:val="24"/>
          <w:szCs w:val="24"/>
          <w:lang w:val="en-US"/>
        </w:rPr>
        <w:t xml:space="preserve">Do they produce </w:t>
      </w:r>
      <w:proofErr w:type="gramStart"/>
      <w:r>
        <w:rPr>
          <w:rFonts w:eastAsia="Times New Roman"/>
          <w:color w:val="002060"/>
          <w:sz w:val="24"/>
          <w:szCs w:val="24"/>
          <w:lang w:val="en-US"/>
        </w:rPr>
        <w:t>agriculture oriented</w:t>
      </w:r>
      <w:proofErr w:type="gramEnd"/>
      <w:r>
        <w:rPr>
          <w:rFonts w:eastAsia="Times New Roman"/>
          <w:color w:val="002060"/>
          <w:sz w:val="24"/>
          <w:szCs w:val="24"/>
          <w:lang w:val="en-US"/>
        </w:rPr>
        <w:t xml:space="preserve"> grades </w:t>
      </w:r>
      <w:r w:rsidR="00142BCC">
        <w:rPr>
          <w:rFonts w:eastAsia="Times New Roman"/>
          <w:color w:val="002060"/>
          <w:sz w:val="24"/>
          <w:szCs w:val="24"/>
          <w:lang w:val="en-US"/>
        </w:rPr>
        <w:t>also?</w:t>
      </w:r>
      <w:r>
        <w:rPr>
          <w:rFonts w:eastAsia="Times New Roman"/>
          <w:color w:val="002060"/>
          <w:sz w:val="24"/>
          <w:szCs w:val="24"/>
          <w:lang w:val="en-US"/>
        </w:rPr>
        <w:t xml:space="preserve"> (Potassium PA)</w:t>
      </w:r>
    </w:p>
    <w:p w14:paraId="5238B5B0" w14:textId="1D9C19DE" w:rsidR="00081A15" w:rsidRPr="00743C9A" w:rsidRDefault="00743C9A" w:rsidP="008D1C8A">
      <w:pPr>
        <w:pStyle w:val="ListParagraph"/>
        <w:spacing w:line="276" w:lineRule="auto"/>
        <w:ind w:left="720"/>
        <w:jc w:val="both"/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>A</w:t>
      </w:r>
      <w:r w:rsidRPr="00743C9A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>griculture oriented grade</w:t>
      </w:r>
      <w:r w:rsidR="007833E5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 of super absorbent polymer</w:t>
      </w:r>
      <w:r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8D1C8A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>is</w:t>
      </w:r>
      <w:r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 not being produced by BPCL currently. The company has patented only hygiene super absorbent polymer as of now. </w:t>
      </w:r>
    </w:p>
    <w:p w14:paraId="44AED091" w14:textId="247B5D25" w:rsidR="00743C9A" w:rsidRDefault="000E6B89" w:rsidP="005C58DE">
      <w:pPr>
        <w:pStyle w:val="ListParagraph"/>
        <w:numPr>
          <w:ilvl w:val="0"/>
          <w:numId w:val="1"/>
        </w:numPr>
        <w:jc w:val="both"/>
        <w:rPr>
          <w:rFonts w:eastAsia="Times New Roman"/>
          <w:color w:val="002060"/>
          <w:sz w:val="24"/>
          <w:szCs w:val="24"/>
          <w:lang w:val="en-US"/>
        </w:rPr>
      </w:pPr>
      <w:r>
        <w:rPr>
          <w:rFonts w:eastAsia="Times New Roman"/>
          <w:color w:val="002060"/>
          <w:sz w:val="24"/>
          <w:szCs w:val="24"/>
          <w:lang w:val="en-US"/>
        </w:rPr>
        <w:t xml:space="preserve">Major consumption is in sanitary napkins &amp; baby napkins which are growing at 14 – 14.7%. SAP CAGR is more than that (15.4% in P.No.12). Any </w:t>
      </w:r>
      <w:proofErr w:type="gramStart"/>
      <w:r>
        <w:rPr>
          <w:rFonts w:eastAsia="Times New Roman"/>
          <w:color w:val="002060"/>
          <w:sz w:val="24"/>
          <w:szCs w:val="24"/>
          <w:lang w:val="en-US"/>
        </w:rPr>
        <w:t>particular factor</w:t>
      </w:r>
      <w:proofErr w:type="gramEnd"/>
      <w:r>
        <w:rPr>
          <w:rFonts w:eastAsia="Times New Roman"/>
          <w:color w:val="002060"/>
          <w:sz w:val="24"/>
          <w:szCs w:val="24"/>
          <w:lang w:val="en-US"/>
        </w:rPr>
        <w:t xml:space="preserve"> accelerating </w:t>
      </w:r>
      <w:r w:rsidR="00142BCC">
        <w:rPr>
          <w:rFonts w:eastAsia="Times New Roman"/>
          <w:color w:val="002060"/>
          <w:sz w:val="24"/>
          <w:szCs w:val="24"/>
          <w:lang w:val="en-US"/>
        </w:rPr>
        <w:t>this?</w:t>
      </w:r>
    </w:p>
    <w:p w14:paraId="2BB10FDC" w14:textId="60EEBE67" w:rsidR="005C58DE" w:rsidRDefault="00A869BC" w:rsidP="005C58DE">
      <w:pPr>
        <w:pStyle w:val="ListParagraph"/>
        <w:spacing w:line="276" w:lineRule="auto"/>
        <w:ind w:left="720"/>
        <w:jc w:val="both"/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</w:pPr>
      <w:r w:rsidRPr="00A869BC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Major </w:t>
      </w:r>
      <w:r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consumption of super absorbent </w:t>
      </w:r>
      <w:r w:rsidR="00BE5031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polymer is in </w:t>
      </w:r>
      <w:r w:rsidR="005C58DE" w:rsidRPr="005C58DE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>personal care</w:t>
      </w:r>
      <w:r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 end use segment</w:t>
      </w:r>
      <w:r w:rsidR="005C58DE" w:rsidRPr="005C58DE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 which includes sanitary napkins, baby napkins and many more</w:t>
      </w:r>
      <w:r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>, boosting the products’ market at a CAGR of 15.5% till FY2030.</w:t>
      </w:r>
      <w:r w:rsidR="00BE5031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 However, there are other end use sectors</w:t>
      </w:r>
      <w:r w:rsidR="002108FC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 like healthcare, agriculture &amp; horticulture etc., where</w:t>
      </w:r>
      <w:r w:rsidR="00BE5031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 the consumption of super absorbent polymer </w:t>
      </w:r>
      <w:r w:rsidR="002108FC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>has been</w:t>
      </w:r>
      <w:r w:rsidR="00BE5031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 realized, accelerating </w:t>
      </w:r>
      <w:r w:rsidR="002108FC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>the consumption.</w:t>
      </w:r>
    </w:p>
    <w:p w14:paraId="4E6B734D" w14:textId="5893239A" w:rsidR="002108FC" w:rsidRDefault="00445BDE" w:rsidP="005C58DE">
      <w:pPr>
        <w:pStyle w:val="ListParagraph"/>
        <w:spacing w:line="276" w:lineRule="auto"/>
        <w:ind w:left="720"/>
        <w:jc w:val="both"/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The consumption of super absorbent polymer in Agriculture &amp; Horticulture </w:t>
      </w:r>
      <w:r w:rsidR="005B548B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sector </w:t>
      </w:r>
      <w:r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>is anticipated to be</w:t>
      </w:r>
      <w:r w:rsidR="00FA409D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 growing with the highest CAGR of 17.8% from FY 2022 to FY 2030</w:t>
      </w:r>
      <w:r w:rsidR="009E5CCB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, where it is </w:t>
      </w:r>
      <w:r w:rsidR="009E5CCB" w:rsidRPr="009E5CCB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>widely used as containers for water and plant nutrients, especially in arid and semiarid regions,</w:t>
      </w:r>
      <w:r w:rsidR="005B548B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 one of the key factors for acceleration in the consumption. Moreover, the consumption in healthcare sector is expected to</w:t>
      </w:r>
      <w:r w:rsidR="009727AF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 be growing</w:t>
      </w:r>
      <w:r w:rsidR="005B548B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 at a CAGR of </w:t>
      </w:r>
      <w:r w:rsidR="009727AF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>14.4% from FY 2022 to FY 2030,</w:t>
      </w:r>
      <w:r w:rsidR="009E5CCB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C75BAB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>surging the market consumption.</w:t>
      </w:r>
    </w:p>
    <w:p w14:paraId="601FBA91" w14:textId="119276E9" w:rsidR="00C75BAB" w:rsidRPr="005C58DE" w:rsidRDefault="00C75BAB" w:rsidP="005C58DE">
      <w:pPr>
        <w:pStyle w:val="ListParagraph"/>
        <w:spacing w:line="276" w:lineRule="auto"/>
        <w:ind w:left="720"/>
        <w:jc w:val="both"/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Therefore, </w:t>
      </w:r>
      <w:r w:rsidR="00846F90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>on using weighted average method, the cumulative CAGR comes out to be 15.4% considering the end use sectors growth in the coming years.</w:t>
      </w:r>
    </w:p>
    <w:tbl>
      <w:tblPr>
        <w:tblW w:w="8537" w:type="dxa"/>
        <w:tblInd w:w="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84"/>
        <w:gridCol w:w="920"/>
        <w:gridCol w:w="920"/>
        <w:gridCol w:w="920"/>
        <w:gridCol w:w="999"/>
        <w:gridCol w:w="1894"/>
      </w:tblGrid>
      <w:tr w:rsidR="008D1C8A" w:rsidRPr="008D1C8A" w14:paraId="0D47AE13" w14:textId="77777777" w:rsidTr="008D1C8A">
        <w:trPr>
          <w:trHeight w:val="313"/>
        </w:trPr>
        <w:tc>
          <w:tcPr>
            <w:tcW w:w="8537" w:type="dxa"/>
            <w:gridSpan w:val="6"/>
            <w:shd w:val="clear" w:color="000000" w:fill="3B3838"/>
            <w:noWrap/>
            <w:vAlign w:val="center"/>
            <w:hideMark/>
          </w:tcPr>
          <w:p w14:paraId="0957EDBA" w14:textId="77777777" w:rsidR="008D1C8A" w:rsidRPr="008D1C8A" w:rsidRDefault="008D1C8A" w:rsidP="008D1C8A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14:ligatures w14:val="none"/>
              </w:rPr>
            </w:pPr>
            <w:bookmarkStart w:id="0" w:name="RANGE!E3"/>
            <w:bookmarkStart w:id="1" w:name="_Hlk90930696" w:colFirst="0" w:colLast="6"/>
            <w:r w:rsidRPr="008D1C8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14:ligatures w14:val="none"/>
              </w:rPr>
              <w:t>India Superabsorbent Polymer Market, By End-Use Sectors, By Volume</w:t>
            </w:r>
            <w:r w:rsidRPr="008D1C8A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 xml:space="preserve"> </w:t>
            </w:r>
            <w:r w:rsidRPr="008D1C8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14:ligatures w14:val="none"/>
              </w:rPr>
              <w:t>(Metric Tons)</w:t>
            </w:r>
            <w:bookmarkEnd w:id="0"/>
          </w:p>
        </w:tc>
      </w:tr>
      <w:tr w:rsidR="008D1C8A" w:rsidRPr="008D1C8A" w14:paraId="6B903B50" w14:textId="77777777" w:rsidTr="008D1C8A">
        <w:trPr>
          <w:trHeight w:val="313"/>
        </w:trPr>
        <w:tc>
          <w:tcPr>
            <w:tcW w:w="2884" w:type="dxa"/>
            <w:shd w:val="clear" w:color="000000" w:fill="C45911"/>
            <w:noWrap/>
            <w:vAlign w:val="center"/>
            <w:hideMark/>
          </w:tcPr>
          <w:p w14:paraId="11EDB68B" w14:textId="77777777" w:rsidR="008D1C8A" w:rsidRPr="008D1C8A" w:rsidRDefault="008D1C8A" w:rsidP="008D1C8A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14:ligatures w14:val="none"/>
              </w:rPr>
            </w:pPr>
            <w:bookmarkStart w:id="2" w:name="_Hlk90050290" w:colFirst="0" w:colLast="6"/>
            <w:r w:rsidRPr="008D1C8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14:ligatures w14:val="none"/>
              </w:rPr>
              <w:t>End-Use Sectors</w:t>
            </w:r>
          </w:p>
        </w:tc>
        <w:tc>
          <w:tcPr>
            <w:tcW w:w="920" w:type="dxa"/>
            <w:shd w:val="clear" w:color="000000" w:fill="C45911"/>
            <w:noWrap/>
            <w:vAlign w:val="center"/>
            <w:hideMark/>
          </w:tcPr>
          <w:p w14:paraId="6780A957" w14:textId="77777777" w:rsidR="008D1C8A" w:rsidRPr="008D1C8A" w:rsidRDefault="008D1C8A" w:rsidP="008D1C8A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14:ligatures w14:val="none"/>
              </w:rPr>
              <w:t>FY2018</w:t>
            </w:r>
          </w:p>
        </w:tc>
        <w:tc>
          <w:tcPr>
            <w:tcW w:w="920" w:type="dxa"/>
            <w:shd w:val="clear" w:color="000000" w:fill="C45911"/>
            <w:noWrap/>
            <w:vAlign w:val="center"/>
            <w:hideMark/>
          </w:tcPr>
          <w:p w14:paraId="4DED6D4F" w14:textId="77777777" w:rsidR="008D1C8A" w:rsidRPr="008D1C8A" w:rsidRDefault="008D1C8A" w:rsidP="008D1C8A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14:ligatures w14:val="none"/>
              </w:rPr>
              <w:t>FY2022</w:t>
            </w:r>
          </w:p>
        </w:tc>
        <w:tc>
          <w:tcPr>
            <w:tcW w:w="920" w:type="dxa"/>
            <w:shd w:val="clear" w:color="000000" w:fill="C45911"/>
            <w:noWrap/>
            <w:vAlign w:val="center"/>
            <w:hideMark/>
          </w:tcPr>
          <w:p w14:paraId="28874F76" w14:textId="77777777" w:rsidR="008D1C8A" w:rsidRPr="008D1C8A" w:rsidRDefault="008D1C8A" w:rsidP="008D1C8A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14:ligatures w14:val="none"/>
              </w:rPr>
              <w:t>FY2025</w:t>
            </w:r>
          </w:p>
        </w:tc>
        <w:tc>
          <w:tcPr>
            <w:tcW w:w="999" w:type="dxa"/>
            <w:shd w:val="clear" w:color="000000" w:fill="C45911"/>
            <w:noWrap/>
            <w:vAlign w:val="center"/>
            <w:hideMark/>
          </w:tcPr>
          <w:p w14:paraId="6A001A96" w14:textId="77777777" w:rsidR="008D1C8A" w:rsidRPr="008D1C8A" w:rsidRDefault="008D1C8A" w:rsidP="008D1C8A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14:ligatures w14:val="none"/>
              </w:rPr>
              <w:t>FY2030</w:t>
            </w:r>
          </w:p>
        </w:tc>
        <w:tc>
          <w:tcPr>
            <w:tcW w:w="1892" w:type="dxa"/>
            <w:shd w:val="clear" w:color="000000" w:fill="C45911"/>
            <w:noWrap/>
            <w:vAlign w:val="center"/>
            <w:hideMark/>
          </w:tcPr>
          <w:p w14:paraId="2108D997" w14:textId="77777777" w:rsidR="008D1C8A" w:rsidRPr="008D1C8A" w:rsidRDefault="008D1C8A" w:rsidP="008D1C8A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14:ligatures w14:val="none"/>
              </w:rPr>
              <w:t>CAGR 2022-2030</w:t>
            </w:r>
          </w:p>
        </w:tc>
      </w:tr>
      <w:tr w:rsidR="008D1C8A" w:rsidRPr="008D1C8A" w14:paraId="60836FBC" w14:textId="77777777" w:rsidTr="008D1C8A">
        <w:trPr>
          <w:trHeight w:val="313"/>
        </w:trPr>
        <w:tc>
          <w:tcPr>
            <w:tcW w:w="2884" w:type="dxa"/>
            <w:shd w:val="clear" w:color="000000" w:fill="FFFFFF"/>
            <w:noWrap/>
            <w:vAlign w:val="center"/>
            <w:hideMark/>
          </w:tcPr>
          <w:p w14:paraId="17405484" w14:textId="77777777" w:rsidR="008D1C8A" w:rsidRPr="008D1C8A" w:rsidRDefault="008D1C8A" w:rsidP="008D1C8A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14:ligatures w14:val="none"/>
              </w:rPr>
              <w:t>Personal Care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9F70786" w14:textId="77777777" w:rsidR="008D1C8A" w:rsidRPr="008D1C8A" w:rsidRDefault="008D1C8A" w:rsidP="008D1C8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  <w:t>8,549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4E862AB" w14:textId="77777777" w:rsidR="008D1C8A" w:rsidRPr="008D1C8A" w:rsidRDefault="008D1C8A" w:rsidP="008D1C8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  <w:t>34,488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21DFC6F" w14:textId="77777777" w:rsidR="008D1C8A" w:rsidRPr="008D1C8A" w:rsidRDefault="008D1C8A" w:rsidP="008D1C8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  <w:t>52,267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6369FEA5" w14:textId="77777777" w:rsidR="008D1C8A" w:rsidRPr="008D1C8A" w:rsidRDefault="008D1C8A" w:rsidP="008D1C8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  <w:t>1,09,232</w:t>
            </w:r>
          </w:p>
        </w:tc>
        <w:tc>
          <w:tcPr>
            <w:tcW w:w="1892" w:type="dxa"/>
            <w:shd w:val="clear" w:color="auto" w:fill="auto"/>
            <w:noWrap/>
            <w:vAlign w:val="center"/>
            <w:hideMark/>
          </w:tcPr>
          <w:p w14:paraId="745AF55A" w14:textId="77777777" w:rsidR="008D1C8A" w:rsidRPr="008D1C8A" w:rsidRDefault="008D1C8A" w:rsidP="008D1C8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  <w:t>15.5%</w:t>
            </w:r>
          </w:p>
        </w:tc>
      </w:tr>
      <w:tr w:rsidR="008D1C8A" w:rsidRPr="008D1C8A" w14:paraId="2D2A511E" w14:textId="77777777" w:rsidTr="008D1C8A">
        <w:trPr>
          <w:trHeight w:val="313"/>
        </w:trPr>
        <w:tc>
          <w:tcPr>
            <w:tcW w:w="2884" w:type="dxa"/>
            <w:shd w:val="clear" w:color="000000" w:fill="FFFFFF"/>
            <w:noWrap/>
            <w:vAlign w:val="center"/>
            <w:hideMark/>
          </w:tcPr>
          <w:p w14:paraId="2D626AD2" w14:textId="77777777" w:rsidR="008D1C8A" w:rsidRPr="008D1C8A" w:rsidRDefault="008D1C8A" w:rsidP="008D1C8A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14:ligatures w14:val="none"/>
              </w:rPr>
              <w:t>Healthcare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3A8C6DE" w14:textId="77777777" w:rsidR="008D1C8A" w:rsidRPr="008D1C8A" w:rsidRDefault="008D1C8A" w:rsidP="008D1C8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  <w:t>543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CE1FE8C" w14:textId="77777777" w:rsidR="008D1C8A" w:rsidRPr="008D1C8A" w:rsidRDefault="008D1C8A" w:rsidP="008D1C8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  <w:t>2,105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4EF4123" w14:textId="77777777" w:rsidR="008D1C8A" w:rsidRPr="008D1C8A" w:rsidRDefault="008D1C8A" w:rsidP="008D1C8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  <w:t>3,104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59A2B45B" w14:textId="77777777" w:rsidR="008D1C8A" w:rsidRPr="008D1C8A" w:rsidRDefault="008D1C8A" w:rsidP="008D1C8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  <w:t>6,191</w:t>
            </w:r>
          </w:p>
        </w:tc>
        <w:tc>
          <w:tcPr>
            <w:tcW w:w="1892" w:type="dxa"/>
            <w:shd w:val="clear" w:color="auto" w:fill="auto"/>
            <w:noWrap/>
            <w:vAlign w:val="center"/>
            <w:hideMark/>
          </w:tcPr>
          <w:p w14:paraId="51EDDC54" w14:textId="77777777" w:rsidR="008D1C8A" w:rsidRPr="008D1C8A" w:rsidRDefault="008D1C8A" w:rsidP="008D1C8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  <w:t>14.4%</w:t>
            </w:r>
          </w:p>
        </w:tc>
      </w:tr>
      <w:tr w:rsidR="008D1C8A" w:rsidRPr="008D1C8A" w14:paraId="663A8367" w14:textId="77777777" w:rsidTr="008D1C8A">
        <w:trPr>
          <w:trHeight w:val="313"/>
        </w:trPr>
        <w:tc>
          <w:tcPr>
            <w:tcW w:w="2884" w:type="dxa"/>
            <w:shd w:val="clear" w:color="000000" w:fill="FFFFFF"/>
            <w:noWrap/>
            <w:vAlign w:val="center"/>
            <w:hideMark/>
          </w:tcPr>
          <w:p w14:paraId="4B76B421" w14:textId="77777777" w:rsidR="008D1C8A" w:rsidRPr="008D1C8A" w:rsidRDefault="008D1C8A" w:rsidP="008D1C8A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14:ligatures w14:val="none"/>
              </w:rPr>
              <w:t>Agriculture &amp; Horticulture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3E933BA" w14:textId="77777777" w:rsidR="008D1C8A" w:rsidRPr="008D1C8A" w:rsidRDefault="008D1C8A" w:rsidP="008D1C8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  <w:t>200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47222F6" w14:textId="77777777" w:rsidR="008D1C8A" w:rsidRPr="008D1C8A" w:rsidRDefault="008D1C8A" w:rsidP="008D1C8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  <w:t>880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9B420A4" w14:textId="77777777" w:rsidR="008D1C8A" w:rsidRPr="008D1C8A" w:rsidRDefault="008D1C8A" w:rsidP="008D1C8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  <w:t>1,414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3E551549" w14:textId="77777777" w:rsidR="008D1C8A" w:rsidRPr="008D1C8A" w:rsidRDefault="008D1C8A" w:rsidP="008D1C8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  <w:t>3,253</w:t>
            </w:r>
          </w:p>
        </w:tc>
        <w:tc>
          <w:tcPr>
            <w:tcW w:w="1892" w:type="dxa"/>
            <w:shd w:val="clear" w:color="auto" w:fill="auto"/>
            <w:noWrap/>
            <w:vAlign w:val="center"/>
            <w:hideMark/>
          </w:tcPr>
          <w:p w14:paraId="611E65F6" w14:textId="77777777" w:rsidR="008D1C8A" w:rsidRPr="008D1C8A" w:rsidRDefault="008D1C8A" w:rsidP="008D1C8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  <w:t>17.8%</w:t>
            </w:r>
          </w:p>
        </w:tc>
      </w:tr>
      <w:tr w:rsidR="008D1C8A" w:rsidRPr="008D1C8A" w14:paraId="499D47D7" w14:textId="77777777" w:rsidTr="008D1C8A">
        <w:trPr>
          <w:trHeight w:val="313"/>
        </w:trPr>
        <w:tc>
          <w:tcPr>
            <w:tcW w:w="2884" w:type="dxa"/>
            <w:shd w:val="clear" w:color="000000" w:fill="FFFFFF"/>
            <w:noWrap/>
            <w:vAlign w:val="center"/>
            <w:hideMark/>
          </w:tcPr>
          <w:p w14:paraId="6DCFFBFA" w14:textId="77777777" w:rsidR="008D1C8A" w:rsidRPr="008D1C8A" w:rsidRDefault="008D1C8A" w:rsidP="008D1C8A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14:ligatures w14:val="none"/>
              </w:rPr>
              <w:t>Others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F02A5CC" w14:textId="77777777" w:rsidR="008D1C8A" w:rsidRPr="008D1C8A" w:rsidRDefault="008D1C8A" w:rsidP="008D1C8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  <w:t>228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39F663E" w14:textId="77777777" w:rsidR="008D1C8A" w:rsidRPr="008D1C8A" w:rsidRDefault="008D1C8A" w:rsidP="008D1C8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  <w:t>804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52217EA" w14:textId="77777777" w:rsidR="008D1C8A" w:rsidRPr="008D1C8A" w:rsidRDefault="008D1C8A" w:rsidP="008D1C8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  <w:t>1,094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57FC391C" w14:textId="77777777" w:rsidR="008D1C8A" w:rsidRPr="008D1C8A" w:rsidRDefault="008D1C8A" w:rsidP="008D1C8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  <w:t>1,822</w:t>
            </w:r>
          </w:p>
        </w:tc>
        <w:tc>
          <w:tcPr>
            <w:tcW w:w="1892" w:type="dxa"/>
            <w:shd w:val="clear" w:color="auto" w:fill="auto"/>
            <w:noWrap/>
            <w:vAlign w:val="center"/>
            <w:hideMark/>
          </w:tcPr>
          <w:p w14:paraId="0227BD7E" w14:textId="77777777" w:rsidR="008D1C8A" w:rsidRPr="008D1C8A" w:rsidRDefault="008D1C8A" w:rsidP="008D1C8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color w:val="000000"/>
                <w:sz w:val="20"/>
                <w:szCs w:val="20"/>
                <w14:ligatures w14:val="none"/>
              </w:rPr>
              <w:t>10.8%</w:t>
            </w:r>
          </w:p>
        </w:tc>
      </w:tr>
      <w:bookmarkEnd w:id="2"/>
      <w:tr w:rsidR="008D1C8A" w:rsidRPr="008D1C8A" w14:paraId="24879AF7" w14:textId="77777777" w:rsidTr="008D1C8A">
        <w:trPr>
          <w:trHeight w:val="313"/>
        </w:trPr>
        <w:tc>
          <w:tcPr>
            <w:tcW w:w="2884" w:type="dxa"/>
            <w:shd w:val="clear" w:color="000000" w:fill="8EAADB"/>
            <w:noWrap/>
            <w:vAlign w:val="center"/>
            <w:hideMark/>
          </w:tcPr>
          <w:p w14:paraId="31D9DE5F" w14:textId="77777777" w:rsidR="008D1C8A" w:rsidRPr="008D1C8A" w:rsidRDefault="008D1C8A" w:rsidP="008D1C8A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14:ligatures w14:val="none"/>
              </w:rPr>
              <w:t xml:space="preserve"> Total  </w:t>
            </w:r>
          </w:p>
        </w:tc>
        <w:tc>
          <w:tcPr>
            <w:tcW w:w="920" w:type="dxa"/>
            <w:shd w:val="clear" w:color="000000" w:fill="8EAADB"/>
            <w:noWrap/>
            <w:vAlign w:val="center"/>
            <w:hideMark/>
          </w:tcPr>
          <w:p w14:paraId="0E34B623" w14:textId="77777777" w:rsidR="008D1C8A" w:rsidRPr="008D1C8A" w:rsidRDefault="008D1C8A" w:rsidP="008D1C8A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14:ligatures w14:val="none"/>
              </w:rPr>
              <w:t>9,521</w:t>
            </w:r>
          </w:p>
        </w:tc>
        <w:tc>
          <w:tcPr>
            <w:tcW w:w="920" w:type="dxa"/>
            <w:shd w:val="clear" w:color="000000" w:fill="8EAADB"/>
            <w:noWrap/>
            <w:vAlign w:val="center"/>
            <w:hideMark/>
          </w:tcPr>
          <w:p w14:paraId="173C051B" w14:textId="77777777" w:rsidR="008D1C8A" w:rsidRPr="008D1C8A" w:rsidRDefault="008D1C8A" w:rsidP="008D1C8A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14:ligatures w14:val="none"/>
              </w:rPr>
              <w:t>38,278</w:t>
            </w:r>
          </w:p>
        </w:tc>
        <w:tc>
          <w:tcPr>
            <w:tcW w:w="920" w:type="dxa"/>
            <w:shd w:val="clear" w:color="000000" w:fill="8EAADB"/>
            <w:noWrap/>
            <w:vAlign w:val="center"/>
            <w:hideMark/>
          </w:tcPr>
          <w:p w14:paraId="749C8C9C" w14:textId="77777777" w:rsidR="008D1C8A" w:rsidRPr="008D1C8A" w:rsidRDefault="008D1C8A" w:rsidP="008D1C8A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14:ligatures w14:val="none"/>
              </w:rPr>
              <w:t>57,878</w:t>
            </w:r>
          </w:p>
        </w:tc>
        <w:tc>
          <w:tcPr>
            <w:tcW w:w="999" w:type="dxa"/>
            <w:shd w:val="clear" w:color="000000" w:fill="8EAADB"/>
            <w:noWrap/>
            <w:vAlign w:val="center"/>
            <w:hideMark/>
          </w:tcPr>
          <w:p w14:paraId="34CB3888" w14:textId="77777777" w:rsidR="008D1C8A" w:rsidRPr="008D1C8A" w:rsidRDefault="008D1C8A" w:rsidP="008D1C8A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14:ligatures w14:val="none"/>
              </w:rPr>
              <w:t>1,20,499</w:t>
            </w:r>
          </w:p>
        </w:tc>
        <w:tc>
          <w:tcPr>
            <w:tcW w:w="1892" w:type="dxa"/>
            <w:shd w:val="clear" w:color="000000" w:fill="8EAADB"/>
            <w:noWrap/>
            <w:vAlign w:val="center"/>
            <w:hideMark/>
          </w:tcPr>
          <w:p w14:paraId="7344769F" w14:textId="77777777" w:rsidR="008D1C8A" w:rsidRPr="008D1C8A" w:rsidRDefault="008D1C8A" w:rsidP="008D1C8A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14:ligatures w14:val="none"/>
              </w:rPr>
            </w:pPr>
            <w:r w:rsidRPr="008D1C8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14:ligatures w14:val="none"/>
              </w:rPr>
              <w:t>15.4%</w:t>
            </w:r>
          </w:p>
        </w:tc>
      </w:tr>
      <w:bookmarkEnd w:id="1"/>
    </w:tbl>
    <w:p w14:paraId="241B74E6" w14:textId="77777777" w:rsidR="008D1C8A" w:rsidRPr="007833E5" w:rsidRDefault="008D1C8A" w:rsidP="00743C9A">
      <w:pPr>
        <w:pStyle w:val="ListParagraph"/>
        <w:ind w:left="720"/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</w:pPr>
    </w:p>
    <w:p w14:paraId="3FAA2081" w14:textId="3AE870A8" w:rsidR="000E6B89" w:rsidRDefault="000E6B89" w:rsidP="000E6B89">
      <w:pPr>
        <w:pStyle w:val="ListParagraph"/>
        <w:numPr>
          <w:ilvl w:val="0"/>
          <w:numId w:val="1"/>
        </w:numPr>
        <w:rPr>
          <w:rFonts w:eastAsia="Times New Roman"/>
          <w:color w:val="002060"/>
          <w:sz w:val="24"/>
          <w:szCs w:val="24"/>
          <w:lang w:val="en-US"/>
        </w:rPr>
      </w:pPr>
      <w:r>
        <w:rPr>
          <w:rFonts w:eastAsia="Times New Roman"/>
          <w:color w:val="002060"/>
          <w:sz w:val="24"/>
          <w:szCs w:val="24"/>
          <w:lang w:val="en-US"/>
        </w:rPr>
        <w:lastRenderedPageBreak/>
        <w:t xml:space="preserve">The market data is probably for </w:t>
      </w:r>
      <w:proofErr w:type="spellStart"/>
      <w:r>
        <w:rPr>
          <w:rFonts w:eastAsia="Times New Roman"/>
          <w:color w:val="002060"/>
          <w:sz w:val="24"/>
          <w:szCs w:val="24"/>
          <w:lang w:val="en-US"/>
        </w:rPr>
        <w:t>organised</w:t>
      </w:r>
      <w:proofErr w:type="spellEnd"/>
      <w:r>
        <w:rPr>
          <w:rFonts w:eastAsia="Times New Roman"/>
          <w:color w:val="002060"/>
          <w:sz w:val="24"/>
          <w:szCs w:val="24"/>
          <w:lang w:val="en-US"/>
        </w:rPr>
        <w:t xml:space="preserve"> sector. Is there un-organized sector playing any important role. This might have a bearing on volume and prices. </w:t>
      </w:r>
    </w:p>
    <w:p w14:paraId="0236B6B9" w14:textId="59C51CA8" w:rsidR="00846F90" w:rsidRPr="00926416" w:rsidRDefault="00490AE7" w:rsidP="00490AE7">
      <w:pPr>
        <w:pStyle w:val="ListParagraph"/>
        <w:spacing w:line="276" w:lineRule="auto"/>
        <w:ind w:left="720"/>
        <w:jc w:val="both"/>
        <w:rPr>
          <w:rFonts w:ascii="Arial" w:eastAsia="Times New Roman" w:hAnsi="Arial" w:cs="Arial"/>
          <w:i/>
          <w:iCs/>
          <w:sz w:val="20"/>
          <w:szCs w:val="20"/>
          <w:lang w:val="en-US"/>
        </w:rPr>
      </w:pPr>
      <w:r w:rsidRPr="00490AE7">
        <w:rPr>
          <w:rFonts w:ascii="Arial" w:eastAsia="Times New Roman" w:hAnsi="Arial" w:cs="Arial"/>
          <w:i/>
          <w:iCs/>
          <w:sz w:val="20"/>
          <w:szCs w:val="20"/>
          <w:lang w:val="en-US"/>
        </w:rPr>
        <w:t>Yes, the market data is for the organized sector, as the setting up of a plant is capital-intensive and requires detailed technical know-how. Currently, no unorganized sector manufacturers are operating in the market, therefore not impacting the volume and prices.</w:t>
      </w:r>
    </w:p>
    <w:p w14:paraId="7CADD97D" w14:textId="77777777" w:rsidR="000E6B89" w:rsidRDefault="000E6B89" w:rsidP="000E6B89">
      <w:pPr>
        <w:pStyle w:val="ListParagraph"/>
        <w:numPr>
          <w:ilvl w:val="0"/>
          <w:numId w:val="1"/>
        </w:numPr>
        <w:rPr>
          <w:rFonts w:eastAsia="Times New Roman"/>
          <w:color w:val="002060"/>
          <w:sz w:val="24"/>
          <w:szCs w:val="24"/>
          <w:lang w:val="en-US"/>
        </w:rPr>
      </w:pPr>
      <w:r>
        <w:rPr>
          <w:rFonts w:eastAsia="Times New Roman"/>
          <w:color w:val="002060"/>
          <w:sz w:val="24"/>
          <w:szCs w:val="24"/>
          <w:lang w:val="en-US"/>
        </w:rPr>
        <w:t>Price of SAP in 2022 (To be clarified)</w:t>
      </w:r>
    </w:p>
    <w:p w14:paraId="347D8E71" w14:textId="532E7FB3" w:rsidR="000E6B89" w:rsidRDefault="000E6B89" w:rsidP="000E6B89">
      <w:pPr>
        <w:pStyle w:val="ListParagraph"/>
        <w:numPr>
          <w:ilvl w:val="1"/>
          <w:numId w:val="1"/>
        </w:numPr>
        <w:rPr>
          <w:rFonts w:eastAsia="Times New Roman"/>
          <w:color w:val="002060"/>
          <w:sz w:val="24"/>
          <w:szCs w:val="24"/>
          <w:lang w:val="en-US"/>
        </w:rPr>
      </w:pPr>
      <w:r>
        <w:rPr>
          <w:rFonts w:eastAsia="Times New Roman"/>
          <w:color w:val="002060"/>
          <w:sz w:val="24"/>
          <w:szCs w:val="24"/>
          <w:lang w:val="en-US"/>
        </w:rPr>
        <w:t>P.No.41 SAP/CIF is Rs. 115.76</w:t>
      </w:r>
      <w:proofErr w:type="gramStart"/>
      <w:r>
        <w:rPr>
          <w:rFonts w:eastAsia="Times New Roman"/>
          <w:color w:val="002060"/>
          <w:sz w:val="24"/>
          <w:szCs w:val="24"/>
          <w:lang w:val="en-US"/>
        </w:rPr>
        <w:t>   (</w:t>
      </w:r>
      <w:proofErr w:type="gramEnd"/>
      <w:r>
        <w:rPr>
          <w:rFonts w:eastAsia="Times New Roman"/>
          <w:color w:val="002060"/>
          <w:sz w:val="24"/>
          <w:szCs w:val="24"/>
          <w:lang w:val="en-US"/>
        </w:rPr>
        <w:t>Import prices ?)</w:t>
      </w:r>
      <w:r w:rsidR="00490AE7">
        <w:rPr>
          <w:rFonts w:eastAsia="Times New Roman"/>
          <w:color w:val="002060"/>
          <w:sz w:val="24"/>
          <w:szCs w:val="24"/>
          <w:lang w:val="en-US"/>
        </w:rPr>
        <w:t xml:space="preserve">- </w:t>
      </w:r>
      <w:r w:rsidR="00490AE7" w:rsidRPr="00490AE7">
        <w:rPr>
          <w:rFonts w:ascii="Arial" w:eastAsia="Times New Roman" w:hAnsi="Arial" w:cs="Arial"/>
          <w:i/>
          <w:iCs/>
          <w:sz w:val="20"/>
          <w:szCs w:val="20"/>
          <w:lang w:val="en-US"/>
        </w:rPr>
        <w:t>Import Prices</w:t>
      </w:r>
    </w:p>
    <w:p w14:paraId="4FCE4C9B" w14:textId="0730F230" w:rsidR="000E6B89" w:rsidRDefault="000E6B89" w:rsidP="000E6B89">
      <w:pPr>
        <w:pStyle w:val="ListParagraph"/>
        <w:numPr>
          <w:ilvl w:val="1"/>
          <w:numId w:val="1"/>
        </w:numPr>
        <w:rPr>
          <w:rFonts w:eastAsia="Times New Roman"/>
          <w:color w:val="002060"/>
          <w:sz w:val="24"/>
          <w:szCs w:val="24"/>
          <w:lang w:val="en-US"/>
        </w:rPr>
      </w:pPr>
      <w:r>
        <w:rPr>
          <w:rFonts w:eastAsia="Times New Roman"/>
          <w:color w:val="002060"/>
          <w:sz w:val="24"/>
          <w:szCs w:val="24"/>
          <w:lang w:val="en-US"/>
        </w:rPr>
        <w:t xml:space="preserve">P.No.39 SAP/FOB is Rs. 185.70 (Export </w:t>
      </w:r>
      <w:proofErr w:type="gramStart"/>
      <w:r>
        <w:rPr>
          <w:rFonts w:eastAsia="Times New Roman"/>
          <w:color w:val="002060"/>
          <w:sz w:val="24"/>
          <w:szCs w:val="24"/>
          <w:lang w:val="en-US"/>
        </w:rPr>
        <w:t>Price ?)</w:t>
      </w:r>
      <w:r w:rsidR="00490AE7">
        <w:rPr>
          <w:rFonts w:eastAsia="Times New Roman"/>
          <w:color w:val="002060"/>
          <w:sz w:val="24"/>
          <w:szCs w:val="24"/>
          <w:lang w:val="en-US"/>
        </w:rPr>
        <w:t>-</w:t>
      </w:r>
      <w:proofErr w:type="gramEnd"/>
      <w:r w:rsidR="00490AE7">
        <w:rPr>
          <w:rFonts w:eastAsia="Times New Roman"/>
          <w:color w:val="002060"/>
          <w:sz w:val="24"/>
          <w:szCs w:val="24"/>
          <w:lang w:val="en-US"/>
        </w:rPr>
        <w:t xml:space="preserve"> </w:t>
      </w:r>
      <w:r w:rsidR="00490AE7" w:rsidRPr="00490AE7">
        <w:rPr>
          <w:rFonts w:ascii="Arial" w:eastAsia="Times New Roman" w:hAnsi="Arial" w:cs="Arial"/>
          <w:i/>
          <w:iCs/>
          <w:sz w:val="20"/>
          <w:szCs w:val="20"/>
          <w:lang w:val="en-US"/>
        </w:rPr>
        <w:t>Export Prices</w:t>
      </w:r>
    </w:p>
    <w:p w14:paraId="385DC20E" w14:textId="77777777" w:rsidR="000E6B89" w:rsidRDefault="000E6B89" w:rsidP="000E6B89">
      <w:pPr>
        <w:pStyle w:val="ListParagraph"/>
        <w:numPr>
          <w:ilvl w:val="1"/>
          <w:numId w:val="1"/>
        </w:numPr>
        <w:rPr>
          <w:rFonts w:eastAsia="Times New Roman"/>
          <w:color w:val="002060"/>
          <w:sz w:val="24"/>
          <w:szCs w:val="24"/>
          <w:lang w:val="en-US"/>
        </w:rPr>
      </w:pPr>
      <w:r>
        <w:rPr>
          <w:rFonts w:eastAsia="Times New Roman"/>
          <w:color w:val="002060"/>
          <w:sz w:val="24"/>
          <w:szCs w:val="24"/>
          <w:lang w:val="en-US"/>
        </w:rPr>
        <w:t xml:space="preserve">Domestic sale </w:t>
      </w:r>
      <w:proofErr w:type="gramStart"/>
      <w:r>
        <w:rPr>
          <w:rFonts w:eastAsia="Times New Roman"/>
          <w:color w:val="002060"/>
          <w:sz w:val="24"/>
          <w:szCs w:val="24"/>
          <w:lang w:val="en-US"/>
        </w:rPr>
        <w:t>price ?</w:t>
      </w:r>
      <w:proofErr w:type="gramEnd"/>
      <w:r>
        <w:rPr>
          <w:rFonts w:eastAsia="Times New Roman"/>
          <w:color w:val="002060"/>
          <w:sz w:val="24"/>
          <w:szCs w:val="24"/>
          <w:lang w:val="en-US"/>
        </w:rPr>
        <w:t xml:space="preserve"> </w:t>
      </w:r>
    </w:p>
    <w:p w14:paraId="0D830138" w14:textId="7BC7E311" w:rsidR="00C570DD" w:rsidRDefault="000E6B89" w:rsidP="000E6B89">
      <w:pPr>
        <w:rPr>
          <w:rFonts w:eastAsia="Times New Roman"/>
          <w:color w:val="002060"/>
          <w:sz w:val="24"/>
          <w:szCs w:val="24"/>
          <w:lang w:val="en-US"/>
        </w:rPr>
      </w:pPr>
      <w:r>
        <w:rPr>
          <w:rFonts w:eastAsia="Times New Roman"/>
          <w:color w:val="002060"/>
          <w:sz w:val="24"/>
          <w:szCs w:val="24"/>
          <w:lang w:val="en-US"/>
        </w:rPr>
        <w:t xml:space="preserve">The capex proposed is 450 – 550 </w:t>
      </w:r>
      <w:proofErr w:type="spellStart"/>
      <w:r>
        <w:rPr>
          <w:rFonts w:eastAsia="Times New Roman"/>
          <w:color w:val="002060"/>
          <w:sz w:val="24"/>
          <w:szCs w:val="24"/>
          <w:lang w:val="en-US"/>
        </w:rPr>
        <w:t>crs</w:t>
      </w:r>
      <w:proofErr w:type="spellEnd"/>
      <w:r>
        <w:rPr>
          <w:rFonts w:eastAsia="Times New Roman"/>
          <w:color w:val="002060"/>
          <w:sz w:val="24"/>
          <w:szCs w:val="24"/>
          <w:lang w:val="en-US"/>
        </w:rPr>
        <w:t xml:space="preserve">. Annual revenue would be around 600 </w:t>
      </w:r>
      <w:proofErr w:type="spellStart"/>
      <w:r>
        <w:rPr>
          <w:rFonts w:eastAsia="Times New Roman"/>
          <w:color w:val="002060"/>
          <w:sz w:val="24"/>
          <w:szCs w:val="24"/>
          <w:lang w:val="en-US"/>
        </w:rPr>
        <w:t>crs</w:t>
      </w:r>
      <w:proofErr w:type="spellEnd"/>
      <w:r>
        <w:rPr>
          <w:rFonts w:eastAsia="Times New Roman"/>
          <w:color w:val="002060"/>
          <w:sz w:val="24"/>
          <w:szCs w:val="24"/>
          <w:lang w:val="en-US"/>
        </w:rPr>
        <w:t xml:space="preserve"> and </w:t>
      </w:r>
      <w:proofErr w:type="spellStart"/>
      <w:r>
        <w:rPr>
          <w:rFonts w:eastAsia="Times New Roman"/>
          <w:color w:val="002060"/>
          <w:sz w:val="24"/>
          <w:szCs w:val="24"/>
          <w:lang w:val="en-US"/>
        </w:rPr>
        <w:t>opex</w:t>
      </w:r>
      <w:proofErr w:type="spellEnd"/>
      <w:r>
        <w:rPr>
          <w:rFonts w:eastAsia="Times New Roman"/>
          <w:color w:val="002060"/>
          <w:sz w:val="24"/>
          <w:szCs w:val="24"/>
          <w:lang w:val="en-US"/>
        </w:rPr>
        <w:t xml:space="preserve"> would be 450-500 </w:t>
      </w:r>
      <w:proofErr w:type="spellStart"/>
      <w:r>
        <w:rPr>
          <w:rFonts w:eastAsia="Times New Roman"/>
          <w:color w:val="002060"/>
          <w:sz w:val="24"/>
          <w:szCs w:val="24"/>
          <w:lang w:val="en-US"/>
        </w:rPr>
        <w:t>crs</w:t>
      </w:r>
      <w:proofErr w:type="spellEnd"/>
      <w:r>
        <w:rPr>
          <w:rFonts w:eastAsia="Times New Roman"/>
          <w:color w:val="002060"/>
          <w:sz w:val="24"/>
          <w:szCs w:val="24"/>
          <w:lang w:val="en-US"/>
        </w:rPr>
        <w:t>. Considering Interest and Tax outgo, it seems Net Profit would be max 30 crores. In that case, the Project would have a Payback of more than 10 years. How come the Project is viable then.</w:t>
      </w:r>
    </w:p>
    <w:p w14:paraId="3E5F0165" w14:textId="3C24471D" w:rsidR="00490AE7" w:rsidRDefault="00490AE7" w:rsidP="000E6B89">
      <w:pPr>
        <w:rPr>
          <w:rFonts w:ascii="Arial" w:eastAsia="Times New Roman" w:hAnsi="Arial" w:cs="Arial"/>
          <w:i/>
          <w:iCs/>
          <w:color w:val="002060"/>
          <w:sz w:val="20"/>
          <w:szCs w:val="20"/>
          <w:lang w:val="en-US"/>
        </w:rPr>
      </w:pPr>
    </w:p>
    <w:p w14:paraId="56C8EEB0" w14:textId="5A7A60D1" w:rsidR="00490AE7" w:rsidRPr="00490AE7" w:rsidRDefault="00F45838" w:rsidP="00F45838">
      <w:p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00F45838">
        <w:rPr>
          <w:rFonts w:ascii="Arial" w:eastAsia="Times New Roman" w:hAnsi="Arial" w:cs="Arial"/>
          <w:i/>
          <w:iCs/>
          <w:sz w:val="20"/>
          <w:szCs w:val="20"/>
          <w:lang w:val="en-US"/>
        </w:rPr>
        <w:t>Yes, the net profit would be maxing 30 crores, but the Gross margin would be around 20% of the operating revenue. Therefore calculating the Payback period on the gross margin, the project would have a payback of 5 years, resulting in the feasibility of the project.</w:t>
      </w:r>
    </w:p>
    <w:sectPr w:rsidR="00490AE7" w:rsidRPr="00490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D0831"/>
    <w:multiLevelType w:val="hybridMultilevel"/>
    <w:tmpl w:val="06AA2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727121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89"/>
    <w:rsid w:val="00081A15"/>
    <w:rsid w:val="000D0199"/>
    <w:rsid w:val="000E6B89"/>
    <w:rsid w:val="00100589"/>
    <w:rsid w:val="00120B65"/>
    <w:rsid w:val="00142BCC"/>
    <w:rsid w:val="002108FC"/>
    <w:rsid w:val="00365EF5"/>
    <w:rsid w:val="00445BDE"/>
    <w:rsid w:val="00490AE7"/>
    <w:rsid w:val="005B548B"/>
    <w:rsid w:val="005C58DE"/>
    <w:rsid w:val="00641B07"/>
    <w:rsid w:val="00743C9A"/>
    <w:rsid w:val="007833E5"/>
    <w:rsid w:val="00846F90"/>
    <w:rsid w:val="008D1C8A"/>
    <w:rsid w:val="00926416"/>
    <w:rsid w:val="009727AF"/>
    <w:rsid w:val="009E5CCB"/>
    <w:rsid w:val="00A463DD"/>
    <w:rsid w:val="00A869BC"/>
    <w:rsid w:val="00BE5031"/>
    <w:rsid w:val="00BF4F71"/>
    <w:rsid w:val="00C570DD"/>
    <w:rsid w:val="00C75BAB"/>
    <w:rsid w:val="00C86CFC"/>
    <w:rsid w:val="00CC1017"/>
    <w:rsid w:val="00DA02AA"/>
    <w:rsid w:val="00EB4A25"/>
    <w:rsid w:val="00F45838"/>
    <w:rsid w:val="00FA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5302"/>
  <w15:chartTrackingRefBased/>
  <w15:docId w15:val="{924F9849-3FE7-4328-9274-9B2FE115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B89"/>
    <w:pPr>
      <w:spacing w:after="0" w:line="240" w:lineRule="auto"/>
    </w:pPr>
    <w:rPr>
      <w:rFonts w:ascii="Calibri" w:hAnsi="Calibri" w:cs="Calibri"/>
      <w:kern w:val="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B8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1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Malhotra</dc:creator>
  <cp:keywords/>
  <dc:description/>
  <cp:lastModifiedBy>Hardik Malhotra</cp:lastModifiedBy>
  <cp:revision>3</cp:revision>
  <dcterms:created xsi:type="dcterms:W3CDTF">2023-03-31T06:15:00Z</dcterms:created>
  <dcterms:modified xsi:type="dcterms:W3CDTF">2023-04-03T06:06:00Z</dcterms:modified>
</cp:coreProperties>
</file>