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AC3C" w14:textId="77777777" w:rsidR="00AB472C" w:rsidRPr="00927B78" w:rsidRDefault="00AB472C" w:rsidP="00AB472C">
      <w:pPr>
        <w:spacing w:line="480" w:lineRule="auto"/>
        <w:rPr>
          <w:rFonts w:ascii="Arial" w:eastAsia="Verdana" w:hAnsi="Arial" w:cs="Arial"/>
          <w:b/>
          <w:bCs/>
          <w:color w:val="000000" w:themeColor="text1"/>
          <w:kern w:val="24"/>
          <w:sz w:val="24"/>
          <w:szCs w:val="24"/>
          <w:lang w:val="en-US"/>
          <w14:textOutline w14:w="9525" w14:cap="rnd" w14:cmpd="sng" w14:algn="ctr">
            <w14:noFill/>
            <w14:prstDash w14:val="solid"/>
            <w14:bevel/>
          </w14:textOutline>
        </w:rPr>
      </w:pPr>
      <w:r w:rsidRPr="00927B78">
        <w:rPr>
          <w:rFonts w:ascii="Arial" w:eastAsia="Verdana" w:hAnsi="Arial" w:cs="Arial"/>
          <w:b/>
          <w:bCs/>
          <w:color w:val="000000" w:themeColor="text1"/>
          <w:kern w:val="24"/>
          <w:sz w:val="24"/>
          <w:szCs w:val="24"/>
          <w:lang w:val="en-US"/>
        </w:rPr>
        <w:t>3.6. Pricing Analysis</w:t>
      </w:r>
    </w:p>
    <w:p w14:paraId="658966AA" w14:textId="77777777" w:rsidR="00AB472C" w:rsidRPr="002B5730" w:rsidRDefault="00AB472C" w:rsidP="00AB472C">
      <w:pPr>
        <w:spacing w:line="360" w:lineRule="auto"/>
        <w:jc w:val="both"/>
        <w:rPr>
          <w:rFonts w:ascii="Arial" w:eastAsia="Arial" w:hAnsi="Arial" w:cs="Arial"/>
          <w:color w:val="000000" w:themeColor="text1"/>
          <w:sz w:val="24"/>
          <w:szCs w:val="24"/>
        </w:rPr>
      </w:pPr>
      <w:r w:rsidRPr="002B5730">
        <w:rPr>
          <w:rFonts w:ascii="Arial" w:eastAsia="Arial" w:hAnsi="Arial" w:cs="Arial"/>
          <w:color w:val="000000" w:themeColor="text1"/>
          <w:sz w:val="24"/>
          <w:szCs w:val="24"/>
        </w:rPr>
        <w:t>Discussions on Vinyl E</w:t>
      </w:r>
      <w:r>
        <w:rPr>
          <w:rFonts w:ascii="Arial" w:eastAsia="Arial" w:hAnsi="Arial" w:cs="Arial"/>
          <w:color w:val="000000" w:themeColor="text1"/>
          <w:sz w:val="24"/>
          <w:szCs w:val="24"/>
        </w:rPr>
        <w:t>st</w:t>
      </w:r>
      <w:r w:rsidRPr="002B5730">
        <w:rPr>
          <w:rFonts w:ascii="Arial" w:eastAsia="Arial" w:hAnsi="Arial" w:cs="Arial"/>
          <w:color w:val="000000" w:themeColor="text1"/>
          <w:sz w:val="24"/>
          <w:szCs w:val="24"/>
        </w:rPr>
        <w:t>er Resin</w:t>
      </w:r>
      <w:r>
        <w:rPr>
          <w:rFonts w:ascii="Arial" w:eastAsia="Arial" w:hAnsi="Arial" w:cs="Arial"/>
          <w:color w:val="000000" w:themeColor="text1"/>
          <w:sz w:val="24"/>
          <w:szCs w:val="24"/>
        </w:rPr>
        <w:t xml:space="preserve"> </w:t>
      </w:r>
      <w:r w:rsidRPr="002B5730">
        <w:rPr>
          <w:rFonts w:ascii="Arial" w:eastAsia="Arial" w:hAnsi="Arial" w:cs="Arial"/>
          <w:color w:val="000000" w:themeColor="text1"/>
          <w:sz w:val="24"/>
          <w:szCs w:val="24"/>
        </w:rPr>
        <w:t xml:space="preserve">remained firm since the beginning of 2021 following the pickup in </w:t>
      </w:r>
      <w:r>
        <w:rPr>
          <w:rFonts w:ascii="Arial" w:eastAsia="Arial" w:hAnsi="Arial" w:cs="Arial"/>
          <w:color w:val="000000" w:themeColor="text1"/>
          <w:sz w:val="24"/>
          <w:szCs w:val="24"/>
        </w:rPr>
        <w:t xml:space="preserve">the </w:t>
      </w:r>
      <w:r w:rsidRPr="002B5730">
        <w:rPr>
          <w:rFonts w:ascii="Arial" w:eastAsia="Arial" w:hAnsi="Arial" w:cs="Arial"/>
          <w:color w:val="000000" w:themeColor="text1"/>
          <w:sz w:val="24"/>
          <w:szCs w:val="24"/>
        </w:rPr>
        <w:t xml:space="preserve">market activities as the economy significantly rebounded from COVID-19 repercussions. However, the increment has been marginal yet consistent due to constraint fluctuations in base </w:t>
      </w:r>
      <w:proofErr w:type="spellStart"/>
      <w:r w:rsidRPr="002B5730">
        <w:rPr>
          <w:rFonts w:ascii="Arial" w:eastAsia="Arial" w:hAnsi="Arial" w:cs="Arial"/>
          <w:color w:val="000000" w:themeColor="text1"/>
          <w:sz w:val="24"/>
          <w:szCs w:val="24"/>
        </w:rPr>
        <w:t>Novolac</w:t>
      </w:r>
      <w:proofErr w:type="spellEnd"/>
      <w:r w:rsidRPr="002B5730">
        <w:rPr>
          <w:rFonts w:ascii="Arial" w:eastAsia="Arial" w:hAnsi="Arial" w:cs="Arial"/>
          <w:color w:val="000000" w:themeColor="text1"/>
          <w:sz w:val="24"/>
          <w:szCs w:val="24"/>
        </w:rPr>
        <w:t xml:space="preserve"> costs. </w:t>
      </w:r>
      <w:r w:rsidRPr="00A03ADD">
        <w:rPr>
          <w:rFonts w:ascii="Arial" w:eastAsia="Arial" w:hAnsi="Arial" w:cs="Arial"/>
          <w:color w:val="000000" w:themeColor="text1"/>
          <w:sz w:val="24"/>
          <w:szCs w:val="24"/>
        </w:rPr>
        <w:t xml:space="preserve">There has been little to no adverse impact of the second wave of Covid in India, as demand for the material remained </w:t>
      </w:r>
      <w:r w:rsidRPr="002B5730">
        <w:rPr>
          <w:rFonts w:ascii="Arial" w:eastAsia="Arial" w:hAnsi="Arial" w:cs="Arial"/>
          <w:color w:val="000000" w:themeColor="text1"/>
          <w:sz w:val="24"/>
          <w:szCs w:val="24"/>
        </w:rPr>
        <w:t>consistent from packaging sector amidst favourable consumer sentiments. Thus, after showcasing a marginal dullness in May</w:t>
      </w:r>
      <w:r>
        <w:rPr>
          <w:rFonts w:ascii="Arial" w:eastAsia="Arial" w:hAnsi="Arial" w:cs="Arial"/>
          <w:color w:val="000000" w:themeColor="text1"/>
          <w:sz w:val="24"/>
          <w:szCs w:val="24"/>
        </w:rPr>
        <w:t xml:space="preserve"> 2021</w:t>
      </w:r>
      <w:r w:rsidRPr="002B5730">
        <w:rPr>
          <w:rFonts w:ascii="Arial" w:eastAsia="Arial" w:hAnsi="Arial" w:cs="Arial"/>
          <w:color w:val="000000" w:themeColor="text1"/>
          <w:sz w:val="24"/>
          <w:szCs w:val="24"/>
        </w:rPr>
        <w:t>, prices again revived in June</w:t>
      </w:r>
      <w:r>
        <w:rPr>
          <w:rFonts w:ascii="Arial" w:eastAsia="Arial" w:hAnsi="Arial" w:cs="Arial"/>
          <w:color w:val="000000" w:themeColor="text1"/>
          <w:sz w:val="24"/>
          <w:szCs w:val="24"/>
        </w:rPr>
        <w:t xml:space="preserve"> 2021</w:t>
      </w:r>
      <w:r w:rsidRPr="002B5730">
        <w:rPr>
          <w:rFonts w:ascii="Arial" w:eastAsia="Arial" w:hAnsi="Arial" w:cs="Arial"/>
          <w:color w:val="000000" w:themeColor="text1"/>
          <w:sz w:val="24"/>
          <w:szCs w:val="24"/>
        </w:rPr>
        <w:t xml:space="preserve">, following the resumption in market activities across the nation. Besides, soaring freight cost along several trade routes since the beginning </w:t>
      </w:r>
      <w:r>
        <w:rPr>
          <w:rFonts w:ascii="Arial" w:eastAsia="Arial" w:hAnsi="Arial" w:cs="Arial"/>
          <w:color w:val="000000" w:themeColor="text1"/>
          <w:sz w:val="24"/>
          <w:szCs w:val="24"/>
        </w:rPr>
        <w:t xml:space="preserve">of </w:t>
      </w:r>
      <w:r w:rsidRPr="002B5730">
        <w:rPr>
          <w:rFonts w:ascii="Arial" w:eastAsia="Arial" w:hAnsi="Arial" w:cs="Arial"/>
          <w:color w:val="000000" w:themeColor="text1"/>
          <w:sz w:val="24"/>
          <w:szCs w:val="24"/>
        </w:rPr>
        <w:t>202</w:t>
      </w:r>
      <w:r>
        <w:rPr>
          <w:rFonts w:ascii="Arial" w:eastAsia="Arial" w:hAnsi="Arial" w:cs="Arial"/>
          <w:color w:val="000000" w:themeColor="text1"/>
          <w:sz w:val="24"/>
          <w:szCs w:val="24"/>
        </w:rPr>
        <w:t>1</w:t>
      </w:r>
      <w:r w:rsidRPr="002B5730">
        <w:rPr>
          <w:rFonts w:ascii="Arial" w:eastAsia="Arial" w:hAnsi="Arial" w:cs="Arial"/>
          <w:color w:val="000000" w:themeColor="text1"/>
          <w:sz w:val="24"/>
          <w:szCs w:val="24"/>
        </w:rPr>
        <w:t xml:space="preserve"> has also contributed to raise in values at times of prevalent demand pattern.</w:t>
      </w:r>
    </w:p>
    <w:p w14:paraId="6334851C" w14:textId="77777777" w:rsidR="00AB472C" w:rsidRDefault="00AB472C" w:rsidP="00AB472C">
      <w:pPr>
        <w:spacing w:line="480" w:lineRule="auto"/>
        <w:rPr>
          <w:rFonts w:ascii="Verdana" w:eastAsia="Verdana" w:hAnsi="Verdana" w:cs="Verdana"/>
          <w:b/>
          <w:bCs/>
          <w:color w:val="000000" w:themeColor="text1"/>
          <w:kern w:val="24"/>
          <w:sz w:val="20"/>
          <w:szCs w:val="20"/>
        </w:rPr>
        <w:sectPr w:rsidR="00AB472C" w:rsidSect="00AB472C">
          <w:pgSz w:w="11906" w:h="16838" w:code="9"/>
          <w:pgMar w:top="1134" w:right="836" w:bottom="630" w:left="9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0E37EF3" w14:textId="77777777" w:rsidR="00AB472C" w:rsidRPr="002B5730" w:rsidRDefault="00AB472C" w:rsidP="00AB472C">
      <w:pPr>
        <w:spacing w:line="480" w:lineRule="auto"/>
        <w:rPr>
          <w:rFonts w:ascii="Verdana" w:eastAsia="Verdana" w:hAnsi="Verdana" w:cs="Verdana"/>
          <w:b/>
          <w:bCs/>
          <w:color w:val="000000" w:themeColor="text1"/>
          <w:kern w:val="24"/>
          <w:sz w:val="20"/>
          <w:szCs w:val="20"/>
        </w:rPr>
      </w:pPr>
      <w:r>
        <w:rPr>
          <w:rFonts w:ascii="Verdana" w:eastAsia="Verdana" w:hAnsi="Verdana" w:cs="Verdana"/>
          <w:b/>
          <w:bCs/>
          <w:color w:val="000000" w:themeColor="text1"/>
          <w:kern w:val="24"/>
          <w:sz w:val="20"/>
          <w:szCs w:val="20"/>
        </w:rPr>
        <w:t>Global</w:t>
      </w:r>
      <w:r w:rsidRPr="002B5730">
        <w:rPr>
          <w:rFonts w:ascii="Verdana" w:eastAsia="Verdana" w:hAnsi="Verdana" w:cs="Verdana"/>
          <w:b/>
          <w:bCs/>
          <w:color w:val="000000" w:themeColor="text1"/>
          <w:kern w:val="24"/>
          <w:sz w:val="20"/>
          <w:szCs w:val="20"/>
        </w:rPr>
        <w:t xml:space="preserve"> Vinyl E</w:t>
      </w:r>
      <w:r>
        <w:rPr>
          <w:rFonts w:ascii="Verdana" w:eastAsia="Verdana" w:hAnsi="Verdana" w:cs="Verdana"/>
          <w:b/>
          <w:bCs/>
          <w:color w:val="000000" w:themeColor="text1"/>
          <w:kern w:val="24"/>
          <w:sz w:val="20"/>
          <w:szCs w:val="20"/>
        </w:rPr>
        <w:t>st</w:t>
      </w:r>
      <w:r w:rsidRPr="002B5730">
        <w:rPr>
          <w:rFonts w:ascii="Verdana" w:eastAsia="Verdana" w:hAnsi="Verdana" w:cs="Verdana"/>
          <w:b/>
          <w:bCs/>
          <w:color w:val="000000" w:themeColor="text1"/>
          <w:kern w:val="24"/>
          <w:sz w:val="20"/>
          <w:szCs w:val="20"/>
        </w:rPr>
        <w:t>er Resin Yearly Prices, 201</w:t>
      </w:r>
      <w:r>
        <w:rPr>
          <w:rFonts w:ascii="Verdana" w:eastAsia="Verdana" w:hAnsi="Verdana" w:cs="Verdana"/>
          <w:b/>
          <w:bCs/>
          <w:color w:val="000000" w:themeColor="text1"/>
          <w:kern w:val="24"/>
          <w:sz w:val="20"/>
          <w:szCs w:val="20"/>
        </w:rPr>
        <w:t>5-2030</w:t>
      </w:r>
      <w:r w:rsidRPr="002B5730">
        <w:rPr>
          <w:rFonts w:ascii="Verdana" w:eastAsia="Verdana" w:hAnsi="Verdana" w:cs="Verdana"/>
          <w:b/>
          <w:bCs/>
          <w:color w:val="000000" w:themeColor="text1"/>
          <w:kern w:val="24"/>
          <w:sz w:val="20"/>
          <w:szCs w:val="20"/>
        </w:rPr>
        <w:t xml:space="preserve"> (</w:t>
      </w:r>
      <w:r>
        <w:rPr>
          <w:rFonts w:ascii="Verdana" w:eastAsia="Verdana" w:hAnsi="Verdana" w:cs="Verdana"/>
          <w:b/>
          <w:bCs/>
          <w:color w:val="000000" w:themeColor="text1"/>
          <w:kern w:val="24"/>
          <w:sz w:val="20"/>
          <w:szCs w:val="20"/>
        </w:rPr>
        <w:t>USD</w:t>
      </w:r>
      <w:r w:rsidRPr="002B5730">
        <w:rPr>
          <w:rFonts w:ascii="Verdana" w:eastAsia="Verdana" w:hAnsi="Verdana" w:cs="Verdana"/>
          <w:b/>
          <w:bCs/>
          <w:color w:val="000000" w:themeColor="text1"/>
          <w:kern w:val="24"/>
          <w:sz w:val="20"/>
          <w:szCs w:val="20"/>
        </w:rPr>
        <w:t>/Tonne)</w:t>
      </w:r>
    </w:p>
    <w:p w14:paraId="628A332D" w14:textId="77777777" w:rsidR="00AB472C" w:rsidRPr="002B5730" w:rsidRDefault="00AB472C" w:rsidP="00AB472C">
      <w:pPr>
        <w:spacing w:line="480" w:lineRule="auto"/>
        <w:rPr>
          <w:rFonts w:ascii="Arial" w:eastAsia="Arial" w:hAnsi="Arial" w:cs="Arial"/>
          <w:b/>
          <w:bCs/>
          <w:color w:val="000000" w:themeColor="text1"/>
          <w:sz w:val="24"/>
          <w:szCs w:val="24"/>
        </w:rPr>
      </w:pPr>
      <w:r w:rsidRPr="002B5730">
        <w:rPr>
          <w:rFonts w:ascii="Arial" w:eastAsia="Arial" w:hAnsi="Arial" w:cs="Arial"/>
          <w:b/>
          <w:bCs/>
          <w:noProof/>
          <w:color w:val="000000" w:themeColor="text1"/>
          <w:sz w:val="24"/>
          <w:szCs w:val="24"/>
        </w:rPr>
        <w:drawing>
          <wp:inline distT="0" distB="0" distL="0" distR="0" wp14:anchorId="7377B957" wp14:editId="530E3EA8">
            <wp:extent cx="6343650" cy="2419350"/>
            <wp:effectExtent l="0" t="0" r="0" b="0"/>
            <wp:docPr id="1027" name="Chart 1027">
              <a:extLst xmlns:a="http://schemas.openxmlformats.org/drawingml/2006/main">
                <a:ext uri="{FF2B5EF4-FFF2-40B4-BE49-F238E27FC236}">
                  <a16:creationId xmlns:a16="http://schemas.microsoft.com/office/drawing/2014/main" id="{906CF5DD-5964-4F6B-8CC0-2B13FA970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ADA2BC6" w14:textId="77777777" w:rsidR="00AB472C" w:rsidRPr="002B5730" w:rsidRDefault="00AB472C" w:rsidP="00AB472C">
      <w:pPr>
        <w:spacing w:line="360" w:lineRule="auto"/>
        <w:rPr>
          <w:rFonts w:ascii="Arial" w:eastAsia="Arial" w:hAnsi="Arial" w:cs="Arial"/>
          <w:color w:val="000000" w:themeColor="text1"/>
          <w:sz w:val="24"/>
          <w:szCs w:val="24"/>
        </w:rPr>
      </w:pPr>
    </w:p>
    <w:p w14:paraId="4ECE3062" w14:textId="68BAB7DB" w:rsidR="00AB472C" w:rsidRDefault="00AB472C" w:rsidP="00AB472C">
      <w:pPr>
        <w:spacing w:line="360" w:lineRule="auto"/>
        <w:jc w:val="both"/>
        <w:rPr>
          <w:rFonts w:ascii="Arial" w:eastAsia="Arial" w:hAnsi="Arial" w:cs="Arial"/>
          <w:color w:val="000000" w:themeColor="text1"/>
          <w:sz w:val="24"/>
          <w:szCs w:val="24"/>
        </w:rPr>
        <w:sectPr w:rsidR="00AB472C" w:rsidSect="00600A5E">
          <w:type w:val="continuous"/>
          <w:pgSz w:w="11906" w:h="16838" w:code="9"/>
          <w:pgMar w:top="1134" w:right="836" w:bottom="630" w:left="9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AB472C">
        <w:rPr>
          <w:rFonts w:ascii="Arial" w:eastAsia="Arial" w:hAnsi="Arial" w:cs="Arial"/>
          <w:color w:val="000000" w:themeColor="text1"/>
          <w:sz w:val="24"/>
          <w:szCs w:val="24"/>
        </w:rPr>
        <w:t>Sharp fall in values of upstream crude in 2016 hampered the performance of the overall chemical and petrochemical sector leading to a drop in prices of Vinyl Ester Resin along with various other products. Its market fundamentals revived significantly in 2017 following sharp rebound in market activities. However, in 2019 and 2020 prices remained in a stable to narrow range amidst the uncertainty prevailing from stable feedstock and muted demand pattern. In Q1 and Q2 2020, VER witnessed a marginal dive, due to ground-breaking fall in crude values and devastating hit on the global economy in the wake of the Covid outbreak.</w:t>
      </w:r>
    </w:p>
    <w:p w14:paraId="2957F27D" w14:textId="5E2C3F6C" w:rsidR="00AB472C" w:rsidRDefault="00AB472C" w:rsidP="00AB472C"/>
    <w:sectPr w:rsidR="00AB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2C"/>
    <w:rsid w:val="00A05FA5"/>
    <w:rsid w:val="00AB4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9857"/>
  <w15:chartTrackingRefBased/>
  <w15:docId w15:val="{E4C35AC5-0E58-4A32-AE05-84386E45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72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7187500000000001E-2"/>
          <c:y val="4.6793695378569901E-2"/>
          <c:w val="0.96562499999999996"/>
          <c:h val="0.74196900132612842"/>
        </c:manualLayout>
      </c:layout>
      <c:lineChart>
        <c:grouping val="stacked"/>
        <c:varyColors val="0"/>
        <c:ser>
          <c:idx val="0"/>
          <c:order val="0"/>
          <c:tx>
            <c:strRef>
              <c:f>Sheet1!$B$1</c:f>
              <c:strCache>
                <c:ptCount val="1"/>
                <c:pt idx="0">
                  <c:v>Vinyl Ester Resin-Novalac Based Ex Mumbai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numCache>
            </c:numRef>
          </c:cat>
          <c:val>
            <c:numRef>
              <c:f>Sheet1!$B$2:$B$17</c:f>
              <c:numCache>
                <c:formatCode>General</c:formatCode>
                <c:ptCount val="16"/>
                <c:pt idx="0">
                  <c:v>2843</c:v>
                </c:pt>
                <c:pt idx="1">
                  <c:v>2910</c:v>
                </c:pt>
                <c:pt idx="2">
                  <c:v>2674</c:v>
                </c:pt>
                <c:pt idx="3">
                  <c:v>2430</c:v>
                </c:pt>
                <c:pt idx="4">
                  <c:v>2980</c:v>
                </c:pt>
                <c:pt idx="5">
                  <c:v>3210</c:v>
                </c:pt>
                <c:pt idx="6">
                  <c:v>3020</c:v>
                </c:pt>
                <c:pt idx="7">
                  <c:v>2800</c:v>
                </c:pt>
                <c:pt idx="8">
                  <c:v>2775</c:v>
                </c:pt>
                <c:pt idx="9">
                  <c:v>4365</c:v>
                </c:pt>
                <c:pt idx="10">
                  <c:v>4768</c:v>
                </c:pt>
                <c:pt idx="11">
                  <c:v>5010</c:v>
                </c:pt>
                <c:pt idx="12">
                  <c:v>4578</c:v>
                </c:pt>
                <c:pt idx="13">
                  <c:v>4387</c:v>
                </c:pt>
                <c:pt idx="14">
                  <c:v>4075</c:v>
                </c:pt>
                <c:pt idx="15">
                  <c:v>4210</c:v>
                </c:pt>
              </c:numCache>
            </c:numRef>
          </c:val>
          <c:smooth val="0"/>
          <c:extLst>
            <c:ext xmlns:c16="http://schemas.microsoft.com/office/drawing/2014/chart" uri="{C3380CC4-5D6E-409C-BE32-E72D297353CC}">
              <c16:uniqueId val="{00000000-5FAC-4173-B5D9-8B54EBF64B5D}"/>
            </c:ext>
          </c:extLst>
        </c:ser>
        <c:ser>
          <c:idx val="1"/>
          <c:order val="1"/>
          <c:tx>
            <c:strRef>
              <c:f>Sheet1!$C$1</c:f>
              <c:strCache>
                <c:ptCount val="1"/>
                <c:pt idx="0">
                  <c:v>Vinyl Ester Resin-Novalac Based FOB Texas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numCache>
            </c:numRef>
          </c:cat>
          <c:val>
            <c:numRef>
              <c:f>Sheet1!$C$2:$C$17</c:f>
              <c:numCache>
                <c:formatCode>General</c:formatCode>
                <c:ptCount val="16"/>
                <c:pt idx="0">
                  <c:v>2543</c:v>
                </c:pt>
                <c:pt idx="1">
                  <c:v>2354</c:v>
                </c:pt>
                <c:pt idx="2">
                  <c:v>2970</c:v>
                </c:pt>
                <c:pt idx="3">
                  <c:v>2883</c:v>
                </c:pt>
                <c:pt idx="4">
                  <c:v>2746</c:v>
                </c:pt>
                <c:pt idx="5">
                  <c:v>3110</c:v>
                </c:pt>
                <c:pt idx="6">
                  <c:v>4085</c:v>
                </c:pt>
                <c:pt idx="7">
                  <c:v>3850</c:v>
                </c:pt>
                <c:pt idx="8">
                  <c:v>3750</c:v>
                </c:pt>
                <c:pt idx="9">
                  <c:v>3990</c:v>
                </c:pt>
                <c:pt idx="10">
                  <c:v>4200</c:v>
                </c:pt>
                <c:pt idx="11">
                  <c:v>4400</c:v>
                </c:pt>
                <c:pt idx="12">
                  <c:v>4100</c:v>
                </c:pt>
                <c:pt idx="13">
                  <c:v>4050</c:v>
                </c:pt>
                <c:pt idx="14">
                  <c:v>3840</c:v>
                </c:pt>
                <c:pt idx="15">
                  <c:v>4020</c:v>
                </c:pt>
              </c:numCache>
            </c:numRef>
          </c:val>
          <c:smooth val="0"/>
          <c:extLst>
            <c:ext xmlns:c16="http://schemas.microsoft.com/office/drawing/2014/chart" uri="{C3380CC4-5D6E-409C-BE32-E72D297353CC}">
              <c16:uniqueId val="{00000001-5FAC-4173-B5D9-8B54EBF64B5D}"/>
            </c:ext>
          </c:extLst>
        </c:ser>
        <c:ser>
          <c:idx val="2"/>
          <c:order val="2"/>
          <c:tx>
            <c:strRef>
              <c:f>Sheet1!$D$1</c:f>
              <c:strCache>
                <c:ptCount val="1"/>
                <c:pt idx="0">
                  <c:v>Vinyl Ester Resin-Novalac Based FOB Seoul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numCache>
            </c:numRef>
          </c:cat>
          <c:val>
            <c:numRef>
              <c:f>Sheet1!$D$2:$D$17</c:f>
              <c:numCache>
                <c:formatCode>General</c:formatCode>
                <c:ptCount val="16"/>
                <c:pt idx="0">
                  <c:v>2540</c:v>
                </c:pt>
                <c:pt idx="1">
                  <c:v>2091</c:v>
                </c:pt>
                <c:pt idx="2">
                  <c:v>2546</c:v>
                </c:pt>
                <c:pt idx="3">
                  <c:v>2730</c:v>
                </c:pt>
                <c:pt idx="4">
                  <c:v>2559</c:v>
                </c:pt>
                <c:pt idx="5">
                  <c:v>2473</c:v>
                </c:pt>
                <c:pt idx="6">
                  <c:v>3877</c:v>
                </c:pt>
                <c:pt idx="7">
                  <c:v>3623</c:v>
                </c:pt>
                <c:pt idx="8">
                  <c:v>3503</c:v>
                </c:pt>
                <c:pt idx="9">
                  <c:v>3675</c:v>
                </c:pt>
                <c:pt idx="10">
                  <c:v>3973</c:v>
                </c:pt>
                <c:pt idx="11">
                  <c:v>4243</c:v>
                </c:pt>
                <c:pt idx="12">
                  <c:v>3910</c:v>
                </c:pt>
                <c:pt idx="13">
                  <c:v>3823</c:v>
                </c:pt>
                <c:pt idx="14">
                  <c:v>3636</c:v>
                </c:pt>
                <c:pt idx="15">
                  <c:v>3813</c:v>
                </c:pt>
              </c:numCache>
            </c:numRef>
          </c:val>
          <c:smooth val="0"/>
          <c:extLst>
            <c:ext xmlns:c16="http://schemas.microsoft.com/office/drawing/2014/chart" uri="{C3380CC4-5D6E-409C-BE32-E72D297353CC}">
              <c16:uniqueId val="{00000002-5FAC-4173-B5D9-8B54EBF64B5D}"/>
            </c:ext>
          </c:extLst>
        </c:ser>
        <c:ser>
          <c:idx val="3"/>
          <c:order val="3"/>
          <c:tx>
            <c:strRef>
              <c:f>Sheet1!$E$1</c:f>
              <c:strCache>
                <c:ptCount val="1"/>
                <c:pt idx="0">
                  <c:v>Vinyl Ester Resin-Novalac Based FOB Qingdao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numCache>
            </c:numRef>
          </c:cat>
          <c:val>
            <c:numRef>
              <c:f>Sheet1!$E$2:$E$17</c:f>
              <c:numCache>
                <c:formatCode>General</c:formatCode>
                <c:ptCount val="16"/>
                <c:pt idx="0">
                  <c:v>2400</c:v>
                </c:pt>
                <c:pt idx="1">
                  <c:v>1950</c:v>
                </c:pt>
                <c:pt idx="2">
                  <c:v>2220</c:v>
                </c:pt>
                <c:pt idx="3">
                  <c:v>2921</c:v>
                </c:pt>
                <c:pt idx="4">
                  <c:v>2749</c:v>
                </c:pt>
                <c:pt idx="5">
                  <c:v>2474</c:v>
                </c:pt>
                <c:pt idx="6">
                  <c:v>4000</c:v>
                </c:pt>
                <c:pt idx="7">
                  <c:v>3933</c:v>
                </c:pt>
                <c:pt idx="8">
                  <c:v>3657</c:v>
                </c:pt>
                <c:pt idx="9">
                  <c:v>3890</c:v>
                </c:pt>
                <c:pt idx="10">
                  <c:v>4283</c:v>
                </c:pt>
                <c:pt idx="11">
                  <c:v>4420</c:v>
                </c:pt>
                <c:pt idx="12">
                  <c:v>4187</c:v>
                </c:pt>
                <c:pt idx="13">
                  <c:v>4133</c:v>
                </c:pt>
                <c:pt idx="14">
                  <c:v>3870</c:v>
                </c:pt>
                <c:pt idx="15">
                  <c:v>4123</c:v>
                </c:pt>
              </c:numCache>
            </c:numRef>
          </c:val>
          <c:smooth val="0"/>
          <c:extLst>
            <c:ext xmlns:c16="http://schemas.microsoft.com/office/drawing/2014/chart" uri="{C3380CC4-5D6E-409C-BE32-E72D297353CC}">
              <c16:uniqueId val="{00000003-5FAC-4173-B5D9-8B54EBF64B5D}"/>
            </c:ext>
          </c:extLst>
        </c:ser>
        <c:ser>
          <c:idx val="4"/>
          <c:order val="4"/>
          <c:tx>
            <c:strRef>
              <c:f>Sheet1!$F$1</c:f>
              <c:strCache>
                <c:ptCount val="1"/>
                <c:pt idx="0">
                  <c:v>Vinyl Ester Resin-Novalac Based FOB Hamburg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numCache>
            </c:numRef>
          </c:cat>
          <c:val>
            <c:numRef>
              <c:f>Sheet1!$F$2:$F$17</c:f>
              <c:numCache>
                <c:formatCode>General</c:formatCode>
                <c:ptCount val="16"/>
                <c:pt idx="0">
                  <c:v>2625</c:v>
                </c:pt>
                <c:pt idx="1">
                  <c:v>2580</c:v>
                </c:pt>
                <c:pt idx="2">
                  <c:v>2783</c:v>
                </c:pt>
                <c:pt idx="3">
                  <c:v>2774</c:v>
                </c:pt>
                <c:pt idx="4">
                  <c:v>2745</c:v>
                </c:pt>
                <c:pt idx="5">
                  <c:v>2959</c:v>
                </c:pt>
                <c:pt idx="6">
                  <c:v>4319</c:v>
                </c:pt>
                <c:pt idx="7">
                  <c:v>4223</c:v>
                </c:pt>
                <c:pt idx="8">
                  <c:v>3890</c:v>
                </c:pt>
                <c:pt idx="9">
                  <c:v>4180</c:v>
                </c:pt>
                <c:pt idx="10">
                  <c:v>4421</c:v>
                </c:pt>
                <c:pt idx="11">
                  <c:v>4890</c:v>
                </c:pt>
                <c:pt idx="12">
                  <c:v>4359</c:v>
                </c:pt>
                <c:pt idx="13">
                  <c:v>4423</c:v>
                </c:pt>
                <c:pt idx="14">
                  <c:v>4087</c:v>
                </c:pt>
                <c:pt idx="15">
                  <c:v>4413</c:v>
                </c:pt>
              </c:numCache>
            </c:numRef>
          </c:val>
          <c:smooth val="0"/>
          <c:extLst>
            <c:ext xmlns:c16="http://schemas.microsoft.com/office/drawing/2014/chart" uri="{C3380CC4-5D6E-409C-BE32-E72D297353CC}">
              <c16:uniqueId val="{00000004-5FAC-4173-B5D9-8B54EBF64B5D}"/>
            </c:ext>
          </c:extLst>
        </c:ser>
        <c:dLbls>
          <c:dLblPos val="t"/>
          <c:showLegendKey val="0"/>
          <c:showVal val="1"/>
          <c:showCatName val="0"/>
          <c:showSerName val="0"/>
          <c:showPercent val="0"/>
          <c:showBubbleSize val="0"/>
        </c:dLbls>
        <c:marker val="1"/>
        <c:smooth val="0"/>
        <c:axId val="567335776"/>
        <c:axId val="339206304"/>
      </c:lineChart>
      <c:catAx>
        <c:axId val="56733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339206304"/>
        <c:crosses val="autoZero"/>
        <c:auto val="1"/>
        <c:lblAlgn val="ctr"/>
        <c:lblOffset val="100"/>
        <c:noMultiLvlLbl val="1"/>
      </c:catAx>
      <c:valAx>
        <c:axId val="339206304"/>
        <c:scaling>
          <c:orientation val="minMax"/>
        </c:scaling>
        <c:delete val="1"/>
        <c:axPos val="l"/>
        <c:numFmt formatCode="General" sourceLinked="1"/>
        <c:majorTickMark val="none"/>
        <c:minorTickMark val="none"/>
        <c:tickLblPos val="nextTo"/>
        <c:crossAx val="567335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0.70611</cdr:x>
      <cdr:y>0.879</cdr:y>
    </cdr:from>
    <cdr:to>
      <cdr:x>1</cdr:x>
      <cdr:y>1</cdr:y>
    </cdr:to>
    <cdr:sp macro="" textlink="">
      <cdr:nvSpPr>
        <cdr:cNvPr id="2" name="TextBox 4"/>
        <cdr:cNvSpPr txBox="1"/>
      </cdr:nvSpPr>
      <cdr:spPr>
        <a:xfrm xmlns:a="http://schemas.openxmlformats.org/drawingml/2006/main">
          <a:off x="4479315" y="2126609"/>
          <a:ext cx="1864335" cy="292741"/>
        </a:xfrm>
        <a:prstGeom xmlns:a="http://schemas.openxmlformats.org/drawingml/2006/main" prst="rect">
          <a:avLst/>
        </a:prstGeom>
        <a:noFill xmlns:a="http://schemas.openxmlformats.org/drawingml/2006/main"/>
      </cdr:spPr>
      <cdr:txBody>
        <a:bodyPr xmlns:a="http://schemas.openxmlformats.org/drawingml/2006/main" wrap="square" rtlCol="0">
          <a:spAutoFit/>
        </a:bodyPr>
        <a:lstStyle xmlns:a="http://schemas.openxmlformats.org/drawingml/2006/main"/>
        <a:p xmlns:a="http://schemas.openxmlformats.org/drawingml/2006/main">
          <a:pPr marL="0" marR="0" algn="r" fontAlgn="base">
            <a:lnSpc>
              <a:spcPct val="107000"/>
            </a:lnSpc>
            <a:spcBef>
              <a:spcPts val="0"/>
            </a:spcBef>
            <a:spcAft>
              <a:spcPts val="800"/>
            </a:spcAft>
          </a:pPr>
          <a:r>
            <a:rPr lang="en-IN" sz="600" i="1" kern="1200">
              <a:solidFill>
                <a:srgbClr val="000000"/>
              </a:solidFill>
              <a:effectLst/>
              <a:latin typeface="Verdana" panose="020B0604030504040204" pitchFamily="34" charset="0"/>
              <a:ea typeface="Verdana" panose="020B0604030504040204" pitchFamily="34" charset="0"/>
              <a:cs typeface="Verdana" panose="020B0604030504040204" pitchFamily="34" charset="0"/>
            </a:rPr>
            <a:t>Source: TechSci Research</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1</cp:revision>
  <dcterms:created xsi:type="dcterms:W3CDTF">2021-10-18T13:48:00Z</dcterms:created>
  <dcterms:modified xsi:type="dcterms:W3CDTF">2021-10-18T13:53:00Z</dcterms:modified>
</cp:coreProperties>
</file>