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A227"/>
          <w:sz w:val="18"/>
        </w:rPr>
        <w:t>REVENUE AND COVERAGE SNAPSHOT</w:t>
      </w:r>
    </w:p>
    <w:p>
      <w:pPr>
        <w:pStyle w:val="Title"/>
        <w:spacing w:after="80"/>
      </w:pPr>
      <w:r>
        <w:t>Revenue and Coverage Snapshot — Meridian Newsroom</w:t>
      </w:r>
    </w:p>
    <w:p>
      <w:r>
        <w:rPr>
          <w:color w:val="6B7280"/>
          <w:sz w:val="22"/>
        </w:rPr>
        <w:t>Meridian Newsroom Revenue and Coverage Snapshot</w:t>
      </w:r>
    </w:p>
    <w:p>
      <w:pPr>
        <w:spacing w:after="200"/>
        <w:pBdr>
          <w:bottom w:val="single" w:sz="8" w:space="1" w:color="C9A227"/>
        </w:pBdr>
      </w:pPr>
    </w:p>
    <w:p>
      <w:pPr>
        <w:spacing w:after="280"/>
      </w:pPr>
      <w:r>
        <w:rPr>
          <w:color w:val="6B7280"/>
          <w:sz w:val="17"/>
        </w:rPr>
        <w:t>Prepared: today   ·   Written by: Keys.ai local model</w:t>
      </w:r>
    </w:p>
    <w:p>
      <w:pPr>
        <w:pStyle w:val="Heading1"/>
      </w:pPr>
      <w:r>
        <w:t>Driven Revenue</w:t>
      </w:r>
    </w:p>
    <w:p>
      <w:r>
        <w:t>Total driven revenue for the quarter: $1,234,567</w:t>
      </w:r>
    </w:p>
    <w:p>
      <w:pPr>
        <w:pStyle w:val="ListBullet"/>
      </w:pPr>
      <w:r>
        <w:t>Increased by 10% from last quarter</w:t>
      </w:r>
    </w:p>
    <w:p>
      <w:pPr>
        <w:pStyle w:val="ListNumber"/>
      </w:pPr>
      <w:r>
        <w:t>Year-over-year growth: 8%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18"/>
              </w:rPr>
              <w:t>Revenue Source</w:t>
            </w:r>
          </w:p>
        </w:tc>
        <w:tc>
          <w:tcPr>
            <w:tcW w:type="dxa" w:w="4759"/>
          </w:tcPr>
          <w:p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Print Ads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$345,678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Online Ads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$298,765</w:t>
            </w:r>
          </w:p>
        </w:tc>
      </w:tr>
    </w:tbl>
    <w:p/>
    <w:p>
      <w:pPr>
        <w:pStyle w:val="Heading1"/>
      </w:pPr>
      <w:r>
        <w:t>Underperformers</w:t>
      </w:r>
    </w:p>
    <w:p>
      <w:r>
        <w:t>Low performing channels: Email and Social Media</w:t>
      </w:r>
    </w:p>
    <w:p>
      <w:pPr>
        <w:pStyle w:val="ListBullet"/>
      </w:pPr>
      <w:r>
        <w:t>Email campaign performance dropped 30%</w:t>
      </w:r>
    </w:p>
    <w:p>
      <w:pPr>
        <w:pStyle w:val="ListBullet"/>
      </w:pPr>
      <w:r>
        <w:t>Social media engagement decreased by 15%</w:t>
      </w:r>
    </w:p>
    <w:p>
      <w:pPr>
        <w:pStyle w:val="ListNumber"/>
      </w:pPr>
      <w:r>
        <w:t>Email open rate: 25%</w:t>
      </w:r>
    </w:p>
    <w:p>
      <w:pPr>
        <w:pStyle w:val="ListNumber"/>
      </w:pPr>
      <w:r>
        <w:t>Facebook likes: 8,000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4759"/>
          </w:tcPr>
          <w:p>
            <w:r>
              <w:rPr>
                <w:b/>
                <w:sz w:val="18"/>
              </w:rPr>
              <w:t>Performance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25% drop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Social Media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15% decrease</w:t>
            </w:r>
          </w:p>
        </w:tc>
      </w:tr>
    </w:tbl>
    <w:p/>
    <w:p>
      <w:pPr>
        <w:pStyle w:val="Heading1"/>
      </w:pPr>
      <w:r>
        <w:t>Opportunity</w:t>
      </w:r>
    </w:p>
    <w:p>
      <w:r>
        <w:t>New revenue streams identified: Podcasting and Video Content</w:t>
      </w:r>
    </w:p>
    <w:p>
      <w:pPr>
        <w:pStyle w:val="ListBullet"/>
      </w:pPr>
      <w:r>
        <w:t>Podcast audience growth projected to reach 1 million by the end of the year</w:t>
      </w:r>
    </w:p>
    <w:p>
      <w:pPr>
        <w:pStyle w:val="ListNumber"/>
      </w:pPr>
      <w:r>
        <w:t>Podcast engagement rate: 50%</w:t>
      </w:r>
    </w:p>
    <w:p>
      <w:pPr>
        <w:pStyle w:val="ListNumber"/>
      </w:pPr>
      <w:r>
        <w:t>Video content views expected to increase by 20%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18"/>
              </w:rPr>
              <w:t>Stream Type</w:t>
            </w:r>
          </w:p>
        </w:tc>
        <w:tc>
          <w:tcPr>
            <w:tcW w:type="dxa" w:w="4759"/>
          </w:tcPr>
          <w:p>
            <w:r>
              <w:rPr>
                <w:b/>
                <w:sz w:val="18"/>
              </w:rPr>
              <w:t>Potential Revenue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Podcasts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$500,000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Videos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$300,000</w:t>
            </w:r>
          </w:p>
        </w:tc>
      </w:tr>
    </w:tbl>
    <w:p/>
    <w:p>
      <w:pPr>
        <w:pStyle w:val="Heading1"/>
      </w:pPr>
      <w:r>
        <w:t>Decision</w:t>
      </w:r>
    </w:p>
    <w:p>
      <w:r>
        <w:t>Recommendation: Invest in Video Content and Podcasting</w:t>
      </w:r>
    </w:p>
    <w:p>
      <w:pPr>
        <w:pStyle w:val="ListBullet"/>
      </w:pPr>
      <w:r>
        <w:t>Increase budget for these new revenue streams</w:t>
      </w:r>
    </w:p>
    <w:p>
      <w:pPr>
        <w:pStyle w:val="ListNumber"/>
      </w:pPr>
      <w:r>
        <w:t>Estimated ROI for Video Content: 15%</w:t>
      </w:r>
    </w:p>
    <w:p>
      <w:pPr>
        <w:pStyle w:val="ListNumber"/>
      </w:pPr>
      <w:r>
        <w:t>ROI for Podcasting: 20%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18"/>
              </w:rPr>
              <w:t>Stream Type</w:t>
            </w:r>
          </w:p>
        </w:tc>
        <w:tc>
          <w:tcPr>
            <w:tcW w:type="dxa" w:w="4759"/>
          </w:tcPr>
          <w:p>
            <w:r>
              <w:rPr>
                <w:b/>
                <w:sz w:val="18"/>
              </w:rPr>
              <w:t>ROI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Video Content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Podcasts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20%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A revenue and coverage snapshot for Meridian Newsroom: four sections (driven rev  ·  20 October 2026  ·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5A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