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SUPPLIER RISK MEMO</w:t>
      </w:r>
    </w:p>
    <w:p>
      <w:pPr>
        <w:pStyle w:val="Title"/>
        <w:spacing w:after="80"/>
      </w:pPr>
      <w:r>
        <w:t>Supplier Risk Memo — Atlas Parts</w:t>
      </w:r>
    </w:p>
    <w:p>
      <w:r>
        <w:rPr>
          <w:color w:val="6B7280"/>
          <w:sz w:val="22"/>
        </w:rPr>
        <w:t>Supplier Risk Memo — Atlas Parts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today   ·   Written by: Keys.ai local model</w:t>
      </w:r>
    </w:p>
    <w:p>
      <w:pPr>
        <w:pStyle w:val="Heading1"/>
      </w:pPr>
      <w:r>
        <w:t>Supplier Disruption</w:t>
      </w:r>
    </w:p>
    <w:p>
      <w:r>
        <w:t>Port closures disrupted one supplier in Southeast Asia, affecting 10% of inventory.</w:t>
      </w:r>
    </w:p>
    <w:p>
      <w:pPr>
        <w:pStyle w:val="ListBullet"/>
      </w:pPr>
      <w:r>
        <w:t>Port closure duration: 2 weeks</w:t>
      </w:r>
    </w:p>
    <w:p>
      <w:pPr>
        <w:pStyle w:val="ListBullet"/>
      </w:pPr>
      <w:r>
        <w:t>Inventory impact: $50,000 loss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Supplier Name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Atlas Parts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$50,000</w:t>
            </w:r>
          </w:p>
        </w:tc>
      </w:tr>
    </w:tbl>
    <w:p/>
    <w:p>
      <w:pPr>
        <w:pStyle w:val="Heading1"/>
      </w:pPr>
      <w:r>
        <w:t>Single-Source Exposure</w:t>
      </w:r>
    </w:p>
    <w:p>
      <w:r>
        <w:t>Two single-source components are critical for Atlas Parts' operations in Southeast Asia.</w:t>
      </w:r>
    </w:p>
    <w:p>
      <w:pPr>
        <w:pStyle w:val="ListBullet"/>
      </w:pPr>
      <w:r>
        <w:t>Component 1: $20,000 annual cost</w:t>
      </w:r>
    </w:p>
    <w:p>
      <w:pPr>
        <w:pStyle w:val="ListBullet"/>
      </w:pPr>
      <w:r>
        <w:t>Component 2: $30,000 annual cost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Component Name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Annual Cost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Component 1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$20,000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Component 2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$30,000</w:t>
            </w:r>
          </w:p>
        </w:tc>
      </w:tr>
    </w:tbl>
    <w:p/>
    <w:p>
      <w:pPr>
        <w:pStyle w:val="Heading1"/>
      </w:pPr>
      <w:r>
        <w:t>Mitigations</w:t>
      </w:r>
    </w:p>
    <w:p>
      <w:r>
        <w:t>Three recommended mitigations to address single-source exposure and supplier disruption risks.</w:t>
      </w:r>
    </w:p>
    <w:p>
      <w:pPr>
        <w:pStyle w:val="ListBullet"/>
      </w:pPr>
      <w:r>
        <w:t>Supplier diversification: Add two new suppliers in Southeast Asia</w:t>
      </w:r>
    </w:p>
    <w:p>
      <w:pPr>
        <w:pStyle w:val="Heading1"/>
      </w:pPr>
      <w:r>
        <w:t>Risks Snapshot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Risk Category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Supplier Disruption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$50,000 loss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Single-Source Exposure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$50,000 annual cost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Risk memo for Atlas Parts' Southeast Asia supplier base: one supplier disrupted   ·  20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