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A227"/>
          <w:sz w:val="18"/>
        </w:rPr>
        <w:t>BUSINESS PROPOSAL</w:t>
      </w:r>
    </w:p>
    <w:p>
      <w:pPr>
        <w:pStyle w:val="Title"/>
        <w:spacing w:after="80"/>
      </w:pPr>
      <w:r>
        <w:t>Business Proposal — Northwind Bakery Expansion</w:t>
      </w:r>
    </w:p>
    <w:p>
      <w:r>
        <w:rPr>
          <w:color w:val="6B7280"/>
          <w:sz w:val="22"/>
        </w:rPr>
        <w:t>Prepared for Northwind Bakery Expansion · 19 October 2026</w:t>
      </w:r>
    </w:p>
    <w:p>
      <w:pPr>
        <w:spacing w:after="200"/>
        <w:pBdr>
          <w:bottom w:val="single" w:sz="8" w:space="1" w:color="C9A227"/>
        </w:pBdr>
      </w:pPr>
    </w:p>
    <w:p>
      <w:pPr>
        <w:spacing w:after="280"/>
      </w:pPr>
      <w:r>
        <w:rPr>
          <w:color w:val="6B7280"/>
          <w:sz w:val="17"/>
        </w:rPr>
        <w:t>Prepared: 19 October 2026   ·   Document: Business Proposal   ·   Status: Final draft   ·   Reference: KC-2026-062</w:t>
      </w:r>
    </w:p>
    <w:p>
      <w:pPr>
        <w:pStyle w:val="Heading1"/>
      </w:pPr>
      <w:r>
        <w:t>Executive Summary</w:t>
      </w:r>
    </w:p>
    <w:p>
      <w:r>
        <w:t>Northwind Bakery Expansion has reached the point where demand is outgrowing the current operation. This proposal sets out a 14-month plan to open a second site, move 12 roles onto a single roster and lift contribution margin from 57% to 63%. The investment is $217,600, with payback projected in month 12.</w:t>
      </w:r>
    </w:p>
    <w:p>
      <w:r>
        <w:t>The case is deliberately conservative: it assumes no price increase, no new wholesale accounts and a 12% fall in footfall during the fit-out. Even under that scenario the second site covers its own fixed costs by month seven.</w:t>
      </w:r>
    </w:p>
    <w:p>
      <w:pPr>
        <w:pStyle w:val="Heading1"/>
      </w:pPr>
      <w:r>
        <w:t>Business Opportunity</w:t>
      </w:r>
    </w:p>
    <w:p>
      <w:r>
        <w:t>Current revenue is $469,400 a year, with 3,742 transactions and an average basket that has grown 16% over the last twelve months. The constraint is capacity: the existing site turns away or queues demand at peak weekend hours, and wholesale enquiries are declined because production cannot flex.</w:t>
      </w:r>
    </w:p>
    <w:p>
      <w:pPr>
        <w:pStyle w:val="ListBullet"/>
      </w:pPr>
      <w:r>
        <w:t>Weekend capacity is running at 92% between 10:00 and 14:00.</w:t>
      </w:r>
    </w:p>
    <w:p>
      <w:pPr>
        <w:pStyle w:val="ListBullet"/>
      </w:pPr>
      <w:r>
        <w:t>A second site within 2.4 km captures the same catchment without cannibalising the first.</w:t>
      </w:r>
    </w:p>
    <w:p>
      <w:pPr>
        <w:pStyle w:val="ListBullet"/>
      </w:pPr>
      <w:r>
        <w:t>Wholesale interest exists from four independent retailers, currently on a waiting list.</w:t>
      </w:r>
    </w:p>
    <w:p>
      <w:pPr>
        <w:pStyle w:val="Heading1"/>
      </w:pPr>
      <w:r>
        <w:t>Objectives</w:t>
      </w:r>
    </w:p>
    <w:p>
      <w:pPr>
        <w:pStyle w:val="ListNumber"/>
      </w:pPr>
      <w:r>
        <w:t>Open the second site within the planned window and reach break-even in month seven.</w:t>
      </w:r>
    </w:p>
    <w:p>
      <w:pPr>
        <w:pStyle w:val="ListNumber"/>
      </w:pPr>
      <w:r>
        <w:t>Grow group revenue to $760,428 by the end of year one.</w:t>
      </w:r>
    </w:p>
    <w:p>
      <w:pPr>
        <w:pStyle w:val="ListNumber"/>
      </w:pPr>
      <w:r>
        <w:t>Keep product quality and staff retention at or above current levels.</w:t>
      </w:r>
    </w:p>
    <w:p>
      <w:pPr>
        <w:pStyle w:val="ListNumber"/>
      </w:pPr>
      <w:r>
        <w:t>Establish a single production plan shared by both sites.</w:t>
      </w:r>
    </w:p>
    <w:p>
      <w:pPr>
        <w:pStyle w:val="Heading1"/>
      </w:pPr>
      <w:r>
        <w:t>Target Market</w:t>
      </w:r>
    </w:p>
    <w:p>
      <w:r>
        <w:t>The primary catchment is Northwind Bakery Expansion and the three surrounding districts. The customer profile is unchanged: 25–44, weekday commuters and weekend families, with a growing segment of small offices ordering trays. The second site adds 18,000 residents and two office buildings within a ten-minute walk.</w:t>
      </w:r>
    </w:p>
    <w:p>
      <w:pPr>
        <w:pStyle w:val="ListBullet"/>
      </w:pPr>
      <w:r>
        <w:t>Weekday commuter: 62% of current transactions, high frequency, low basket.</w:t>
      </w:r>
    </w:p>
    <w:p>
      <w:pPr>
        <w:pStyle w:val="ListBullet"/>
      </w:pPr>
      <w:r>
        <w:t>Weekend family: 24% of transactions, highest basket value.</w:t>
      </w:r>
    </w:p>
    <w:p>
      <w:pPr>
        <w:pStyle w:val="ListBullet"/>
      </w:pPr>
      <w:r>
        <w:t>Office orders: 14% and growing, concentrated Monday to Thursday.</w:t>
      </w:r>
    </w:p>
    <w:p>
      <w:pPr>
        <w:pStyle w:val="Heading1"/>
      </w:pPr>
      <w:r>
        <w:t>Implementation Timeline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Months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Design and permits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1–3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Approved layout and consent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Operations lead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Fit-out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3–5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Site ready for equipment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Project manager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Hire and train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5–6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Team of twelve trained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People lead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Soft launch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Two weeks of limited service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Site manager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Full launch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Both sites on one roster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Founder</w:t>
            </w:r>
          </w:p>
        </w:tc>
      </w:tr>
    </w:tbl>
    <w:p/>
    <w:p>
      <w:r>
        <w:t>The critical path is the permit, not the fit-out. The plan holds two weeks of float before the hire window, so a short planning delay does not move the launch date.</w:t>
      </w:r>
    </w:p>
    <w:p>
      <w:pPr>
        <w:pStyle w:val="Heading1"/>
      </w:pPr>
      <w:r>
        <w:t>Budget Summary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One-off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Annual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Fit-out and equipment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$121,856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Deposit and legal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$26,112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Working capital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$43,520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$185,900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Rent and utilities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$70,642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$217,600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$256,541</w:t>
            </w:r>
          </w:p>
        </w:tc>
      </w:tr>
    </w:tbl>
    <w:p/>
    <w:p>
      <w:r>
        <w:t>Contingency is held at 10% of one-off costs. The total ask is $217,600, of which $152,320 is committed before launch.</w:t>
      </w:r>
    </w:p>
    <w:p>
      <w:pPr>
        <w:pStyle w:val="Heading1"/>
      </w:pPr>
      <w:r>
        <w:t>Risks and Mitigation</w:t>
      </w:r>
    </w:p>
    <w:p>
      <w:pPr>
        <w:pStyle w:val="ListBullet"/>
      </w:pPr>
      <w:r>
        <w:t>Planning delay — two-week float held before hiring; alternate layout pre-approved.</w:t>
      </w:r>
    </w:p>
    <w:p>
      <w:pPr>
        <w:pStyle w:val="ListBullet"/>
      </w:pPr>
      <w:r>
        <w:t>Cannibalisation — shared loyalty scheme and staggered promotions.</w:t>
      </w:r>
    </w:p>
    <w:p>
      <w:pPr>
        <w:pStyle w:val="ListBullet"/>
      </w:pPr>
      <w:r>
        <w:t>Staff shortage — two trained leads transfer from the first site with retention bonuses.</w:t>
      </w:r>
    </w:p>
    <w:p>
      <w:pPr>
        <w:pStyle w:val="ListBullet"/>
      </w:pPr>
      <w:r>
        <w:t>Demand shortfall — rent structured with a three-month rent-free period.</w:t>
      </w:r>
    </w:p>
    <w:p>
      <w:pPr>
        <w:pStyle w:val="Heading1"/>
      </w:pPr>
      <w:r>
        <w:t>Recommendation</w:t>
      </w:r>
    </w:p>
    <w:p>
      <w:r>
        <w:t>Approve the $217,600 investment and authorise the fit-out to begin. The downside is bounded by the short lease and staged capital, while the upside is a second site that pays back inside the first year of trading.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Northwind Bakery Expansion  ·  19 October 2026  ·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