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9A227"/>
          <w:sz w:val="18"/>
        </w:rPr>
        <w:t>TECHNICAL PROJECT REPORT</w:t>
      </w:r>
    </w:p>
    <w:p>
      <w:pPr>
        <w:pStyle w:val="Title"/>
        <w:spacing w:after="80"/>
      </w:pPr>
      <w:r>
        <w:t>Technical Project Report — Mosaic Sensor Gateway</w:t>
      </w:r>
    </w:p>
    <w:p>
      <w:r>
        <w:rPr>
          <w:color w:val="6B7280"/>
          <w:sz w:val="22"/>
        </w:rPr>
        <w:t>Prepared for Mosaic Sensor Gateway · 19 October 2026</w:t>
      </w:r>
    </w:p>
    <w:p>
      <w:pPr>
        <w:spacing w:after="200"/>
        <w:pBdr>
          <w:bottom w:val="single" w:sz="8" w:space="1" w:color="C9A227"/>
        </w:pBdr>
      </w:pPr>
    </w:p>
    <w:p>
      <w:pPr>
        <w:spacing w:after="280"/>
      </w:pPr>
      <w:r>
        <w:rPr>
          <w:color w:val="6B7280"/>
          <w:sz w:val="17"/>
        </w:rPr>
        <w:t>Prepared: 19 October 2026   ·   Document: Technical Project Report   ·   Status: Final draft   ·   Reference: KC-2026-026</w:t>
      </w:r>
    </w:p>
    <w:p>
      <w:pPr>
        <w:pStyle w:val="Heading1"/>
      </w:pPr>
      <w:r>
        <w:t>Project Overview</w:t>
      </w:r>
    </w:p>
    <w:p>
      <w:r>
        <w:t>This report covers the delivery of Mosaic Sensor Gateway, from the initial requirements through to the performance results measured in the pilot environment. It records what was built, what was measured and what remains open.</w:t>
      </w:r>
    </w:p>
    <w:p>
      <w:r>
        <w:t>The programme ran for 13 weeks with a team of 18. The scope was held to the original brief; two requested extensions were deferred to the next phase.</w:t>
      </w:r>
    </w:p>
    <w:p>
      <w:pPr>
        <w:pStyle w:val="Heading1"/>
      </w:pPr>
      <w:r>
        <w:t>System Architecture</w:t>
      </w:r>
    </w:p>
    <w:p>
      <w:r>
        <w:t>Mosaic Sensor Gateway is organised as three cooperating layers: a collector at the edge, a processing service and a storage layer. Each layer can be restarted or replaced without stopping the others, which was the central design constraint.</w:t>
      </w:r>
    </w:p>
    <w:p>
      <w:pPr>
        <w:pStyle w:val="ListBullet"/>
      </w:pPr>
      <w:r>
        <w:t>Edge collector: buffers readings locally and forwards them in batches.</w:t>
      </w:r>
    </w:p>
    <w:p>
      <w:pPr>
        <w:pStyle w:val="ListBullet"/>
      </w:pPr>
      <w:r>
        <w:t>Processing service: validates, enriches and routes each batch.</w:t>
      </w:r>
    </w:p>
    <w:p>
      <w:pPr>
        <w:pStyle w:val="ListBullet"/>
      </w:pPr>
      <w:r>
        <w:t>Storage: a time-series store for readings plus an object store for raw payloads.</w:t>
      </w:r>
    </w:p>
    <w:p>
      <w:pPr>
        <w:pStyle w:val="ListBullet"/>
      </w:pPr>
      <w:r>
        <w:t>Control plane: configuration, health and release management.</w:t>
      </w:r>
    </w:p>
    <w:p>
      <w:pPr>
        <w:pStyle w:val="Heading1"/>
      </w:pPr>
      <w:r>
        <w:t>Components</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tcPr>
          <w:p>
            <w:r>
              <w:rPr>
                <w:b/>
                <w:sz w:val="18"/>
              </w:rPr>
              <w:t>Component</w:t>
            </w:r>
          </w:p>
        </w:tc>
        <w:tc>
          <w:tcPr>
            <w:tcW w:type="dxa" w:w="3173"/>
          </w:tcPr>
          <w:p>
            <w:r>
              <w:rPr>
                <w:b/>
                <w:sz w:val="18"/>
              </w:rPr>
              <w:t>Responsibility</w:t>
            </w:r>
          </w:p>
        </w:tc>
        <w:tc>
          <w:tcPr>
            <w:tcW w:type="dxa" w:w="3173"/>
          </w:tcPr>
          <w:p>
            <w:r>
              <w:rPr>
                <w:b/>
                <w:sz w:val="18"/>
              </w:rPr>
              <w:t>Technology</w:t>
            </w:r>
          </w:p>
        </w:tc>
      </w:tr>
      <w:tr>
        <w:tc>
          <w:tcPr>
            <w:tcW w:type="dxa" w:w="3173"/>
          </w:tcPr>
          <w:p>
            <w:r>
              <w:rPr>
                <w:sz w:val="18"/>
              </w:rPr>
              <w:t>Collector</w:t>
            </w:r>
          </w:p>
        </w:tc>
        <w:tc>
          <w:tcPr>
            <w:tcW w:type="dxa" w:w="3173"/>
          </w:tcPr>
          <w:p>
            <w:r>
              <w:rPr>
                <w:sz w:val="18"/>
              </w:rPr>
              <w:t>Read sensors, buffer, forward</w:t>
            </w:r>
          </w:p>
        </w:tc>
        <w:tc>
          <w:tcPr>
            <w:tcW w:type="dxa" w:w="3173"/>
          </w:tcPr>
          <w:p>
            <w:r>
              <w:rPr>
                <w:sz w:val="18"/>
              </w:rPr>
              <w:t>Go service on ARM</w:t>
            </w:r>
          </w:p>
        </w:tc>
      </w:tr>
      <w:tr>
        <w:tc>
          <w:tcPr>
            <w:tcW w:type="dxa" w:w="3173"/>
          </w:tcPr>
          <w:p>
            <w:r>
              <w:rPr>
                <w:sz w:val="18"/>
              </w:rPr>
              <w:t>Ingest API</w:t>
            </w:r>
          </w:p>
        </w:tc>
        <w:tc>
          <w:tcPr>
            <w:tcW w:type="dxa" w:w="3173"/>
          </w:tcPr>
          <w:p>
            <w:r>
              <w:rPr>
                <w:sz w:val="18"/>
              </w:rPr>
              <w:t>Authenticate and validate batches</w:t>
            </w:r>
          </w:p>
        </w:tc>
        <w:tc>
          <w:tcPr>
            <w:tcW w:type="dxa" w:w="3173"/>
          </w:tcPr>
          <w:p>
            <w:r>
              <w:rPr>
                <w:sz w:val="18"/>
              </w:rPr>
              <w:t>HTTP/JSON, mTLS</w:t>
            </w:r>
          </w:p>
        </w:tc>
      </w:tr>
      <w:tr>
        <w:tc>
          <w:tcPr>
            <w:tcW w:type="dxa" w:w="3173"/>
          </w:tcPr>
          <w:p>
            <w:r>
              <w:rPr>
                <w:sz w:val="18"/>
              </w:rPr>
              <w:t>Processor</w:t>
            </w:r>
          </w:p>
        </w:tc>
        <w:tc>
          <w:tcPr>
            <w:tcW w:type="dxa" w:w="3173"/>
          </w:tcPr>
          <w:p>
            <w:r>
              <w:rPr>
                <w:sz w:val="18"/>
              </w:rPr>
              <w:t>Enrich and route</w:t>
            </w:r>
          </w:p>
        </w:tc>
        <w:tc>
          <w:tcPr>
            <w:tcW w:type="dxa" w:w="3173"/>
          </w:tcPr>
          <w:p>
            <w:r>
              <w:rPr>
                <w:sz w:val="18"/>
              </w:rPr>
              <w:t>Python workers</w:t>
            </w:r>
          </w:p>
        </w:tc>
      </w:tr>
      <w:tr>
        <w:tc>
          <w:tcPr>
            <w:tcW w:type="dxa" w:w="3173"/>
          </w:tcPr>
          <w:p>
            <w:r>
              <w:rPr>
                <w:sz w:val="18"/>
              </w:rPr>
              <w:t>Time-series store</w:t>
            </w:r>
          </w:p>
        </w:tc>
        <w:tc>
          <w:tcPr>
            <w:tcW w:type="dxa" w:w="3173"/>
          </w:tcPr>
          <w:p>
            <w:r>
              <w:rPr>
                <w:sz w:val="18"/>
              </w:rPr>
              <w:t>Retain readings</w:t>
            </w:r>
          </w:p>
        </w:tc>
        <w:tc>
          <w:tcPr>
            <w:tcW w:type="dxa" w:w="3173"/>
          </w:tcPr>
          <w:p>
            <w:r>
              <w:rPr>
                <w:sz w:val="18"/>
              </w:rPr>
              <w:t>PostgreSQL + Timescale</w:t>
            </w:r>
          </w:p>
        </w:tc>
      </w:tr>
      <w:tr>
        <w:tc>
          <w:tcPr>
            <w:tcW w:type="dxa" w:w="3173"/>
          </w:tcPr>
          <w:p>
            <w:r>
              <w:rPr>
                <w:sz w:val="18"/>
              </w:rPr>
              <w:t>Object store</w:t>
            </w:r>
          </w:p>
        </w:tc>
        <w:tc>
          <w:tcPr>
            <w:tcW w:type="dxa" w:w="3173"/>
          </w:tcPr>
          <w:p>
            <w:r>
              <w:rPr>
                <w:sz w:val="18"/>
              </w:rPr>
              <w:t>Keep raw payloads</w:t>
            </w:r>
          </w:p>
        </w:tc>
        <w:tc>
          <w:tcPr>
            <w:tcW w:type="dxa" w:w="3173"/>
          </w:tcPr>
          <w:p>
            <w:r>
              <w:rPr>
                <w:sz w:val="18"/>
              </w:rPr>
              <w:t>S3-compatible</w:t>
            </w:r>
          </w:p>
        </w:tc>
      </w:tr>
    </w:tbl>
    <w:p/>
    <w:p>
      <w:pPr>
        <w:pStyle w:val="Heading1"/>
      </w:pPr>
      <w:r>
        <w:t>Data Flow</w:t>
      </w:r>
    </w:p>
    <w:p>
      <w:pPr>
        <w:pStyle w:val="ListNumber"/>
      </w:pPr>
      <w:r>
        <w:t>A sensor reading is written to the collector's local buffer.</w:t>
      </w:r>
    </w:p>
    <w:p>
      <w:pPr>
        <w:pStyle w:val="ListNumber"/>
      </w:pPr>
      <w:r>
        <w:t>The collector batches readings every five seconds or 500 events.</w:t>
      </w:r>
    </w:p>
    <w:p>
      <w:pPr>
        <w:pStyle w:val="ListNumber"/>
      </w:pPr>
      <w:r>
        <w:t>The ingest API authenticates the batch and rejects malformed records individually.</w:t>
      </w:r>
    </w:p>
    <w:p>
      <w:pPr>
        <w:pStyle w:val="ListNumber"/>
      </w:pPr>
      <w:r>
        <w:t>The processor enriches each record with site and calibration metadata.</w:t>
      </w:r>
    </w:p>
    <w:p>
      <w:pPr>
        <w:pStyle w:val="ListNumber"/>
      </w:pPr>
      <w:r>
        <w:t>The record is written to the time-series store; the raw payload is archived.</w:t>
      </w:r>
    </w:p>
    <w:p>
      <w:pPr>
        <w:pStyle w:val="ListNumber"/>
      </w:pPr>
      <w:r>
        <w:t>Dashboards read only from the time-series store, never from the archive.</w:t>
      </w:r>
    </w:p>
    <w:p>
      <w:pPr>
        <w:pStyle w:val="Heading1"/>
      </w:pPr>
      <w:r>
        <w:t>Performance Results</w:t>
      </w:r>
    </w:p>
    <w:p>
      <w:r>
        <w:t>In the pilot, the system sustained 2,266 readings a minute with a p95 ingest latency of 84 ms. No batch was lost during a 72-hour soak test that included two forced collector restarts.</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tcPr>
          <w:p>
            <w:r>
              <w:rPr>
                <w:b/>
                <w:sz w:val="18"/>
              </w:rPr>
              <w:t>Measure</w:t>
            </w:r>
          </w:p>
        </w:tc>
        <w:tc>
          <w:tcPr>
            <w:tcW w:type="dxa" w:w="3173"/>
          </w:tcPr>
          <w:p>
            <w:r>
              <w:rPr>
                <w:b/>
                <w:sz w:val="18"/>
              </w:rPr>
              <w:t>Target</w:t>
            </w:r>
          </w:p>
        </w:tc>
        <w:tc>
          <w:tcPr>
            <w:tcW w:type="dxa" w:w="3173"/>
          </w:tcPr>
          <w:p>
            <w:r>
              <w:rPr>
                <w:b/>
                <w:sz w:val="18"/>
              </w:rPr>
              <w:t>Observed</w:t>
            </w:r>
          </w:p>
        </w:tc>
      </w:tr>
      <w:tr>
        <w:tc>
          <w:tcPr>
            <w:tcW w:type="dxa" w:w="3173"/>
          </w:tcPr>
          <w:p>
            <w:r>
              <w:rPr>
                <w:sz w:val="18"/>
              </w:rPr>
              <w:t>Ingest latency (p95)</w:t>
            </w:r>
          </w:p>
        </w:tc>
        <w:tc>
          <w:tcPr>
            <w:tcW w:type="dxa" w:w="3173"/>
          </w:tcPr>
          <w:p>
            <w:r>
              <w:rPr>
                <w:sz w:val="18"/>
              </w:rPr>
              <w:t>&lt; 150 ms</w:t>
            </w:r>
          </w:p>
        </w:tc>
        <w:tc>
          <w:tcPr>
            <w:tcW w:type="dxa" w:w="3173"/>
          </w:tcPr>
          <w:p>
            <w:r>
              <w:rPr>
                <w:sz w:val="18"/>
              </w:rPr>
              <w:t>84 ms</w:t>
            </w:r>
          </w:p>
        </w:tc>
      </w:tr>
      <w:tr>
        <w:tc>
          <w:tcPr>
            <w:tcW w:type="dxa" w:w="3173"/>
          </w:tcPr>
          <w:p>
            <w:r>
              <w:rPr>
                <w:sz w:val="18"/>
              </w:rPr>
              <w:t>Throughput</w:t>
            </w:r>
          </w:p>
        </w:tc>
        <w:tc>
          <w:tcPr>
            <w:tcW w:type="dxa" w:w="3173"/>
          </w:tcPr>
          <w:p>
            <w:r>
              <w:rPr>
                <w:sz w:val="18"/>
              </w:rPr>
              <w:t>50k/min</w:t>
            </w:r>
          </w:p>
        </w:tc>
        <w:tc>
          <w:tcPr>
            <w:tcW w:type="dxa" w:w="3173"/>
          </w:tcPr>
          <w:p>
            <w:r>
              <w:rPr>
                <w:sz w:val="18"/>
              </w:rPr>
              <w:t>2,266/min</w:t>
            </w:r>
          </w:p>
        </w:tc>
      </w:tr>
      <w:tr>
        <w:tc>
          <w:tcPr>
            <w:tcW w:type="dxa" w:w="3173"/>
          </w:tcPr>
          <w:p>
            <w:r>
              <w:rPr>
                <w:sz w:val="18"/>
              </w:rPr>
              <w:t>Loss during restart</w:t>
            </w:r>
          </w:p>
        </w:tc>
        <w:tc>
          <w:tcPr>
            <w:tcW w:type="dxa" w:w="3173"/>
          </w:tcPr>
          <w:p>
            <w:r>
              <w:rPr>
                <w:sz w:val="18"/>
              </w:rPr>
              <w:t>0</w:t>
            </w:r>
          </w:p>
        </w:tc>
        <w:tc>
          <w:tcPr>
            <w:tcW w:type="dxa" w:w="3173"/>
          </w:tcPr>
          <w:p>
            <w:r>
              <w:rPr>
                <w:sz w:val="18"/>
              </w:rPr>
              <w:t>0</w:t>
            </w:r>
          </w:p>
        </w:tc>
      </w:tr>
      <w:tr>
        <w:tc>
          <w:tcPr>
            <w:tcW w:type="dxa" w:w="3173"/>
          </w:tcPr>
          <w:p>
            <w:r>
              <w:rPr>
                <w:sz w:val="18"/>
              </w:rPr>
              <w:t>Storage per day</w:t>
            </w:r>
          </w:p>
        </w:tc>
        <w:tc>
          <w:tcPr>
            <w:tcW w:type="dxa" w:w="3173"/>
          </w:tcPr>
          <w:p>
            <w:r>
              <w:rPr>
                <w:sz w:val="18"/>
              </w:rPr>
              <w:t>&lt; 4 GB</w:t>
            </w:r>
          </w:p>
        </w:tc>
        <w:tc>
          <w:tcPr>
            <w:tcW w:type="dxa" w:w="3173"/>
          </w:tcPr>
          <w:p>
            <w:r>
              <w:rPr>
                <w:sz w:val="18"/>
              </w:rPr>
              <w:t>2.7 GB</w:t>
            </w:r>
          </w:p>
        </w:tc>
      </w:tr>
    </w:tbl>
    <w:p/>
    <w:p>
      <w:pPr>
        <w:pStyle w:val="Heading1"/>
      </w:pPr>
      <w:r>
        <w:t>Known Limitations</w:t>
      </w:r>
    </w:p>
    <w:p>
      <w:pPr>
        <w:pStyle w:val="ListBullet"/>
      </w:pPr>
      <w:r>
        <w:t>The collector has no remote firmware update path yet.</w:t>
      </w:r>
    </w:p>
    <w:p>
      <w:pPr>
        <w:pStyle w:val="ListBullet"/>
      </w:pPr>
      <w:r>
        <w:t>Clock drift on long-offline devices is corrected only on reconnect.</w:t>
      </w:r>
    </w:p>
    <w:p>
      <w:pPr>
        <w:pStyle w:val="ListBullet"/>
      </w:pPr>
      <w:r>
        <w:t>The archive has no lifecycle policy; retention is manual.</w:t>
      </w:r>
    </w:p>
    <w:p>
      <w:pPr>
        <w:pStyle w:val="ListBullet"/>
      </w:pPr>
      <w:r>
        <w:t>Dashboards do not yet expose per-sensor calibration history.</w:t>
      </w:r>
    </w:p>
    <w:p>
      <w:pPr>
        <w:pStyle w:val="Heading1"/>
      </w:pPr>
      <w:r>
        <w:t>Future Work</w:t>
      </w:r>
    </w:p>
    <w:p>
      <w:pPr>
        <w:pStyle w:val="ListNumber"/>
      </w:pPr>
      <w:r>
        <w:t>Add signed over-the-air updates for the collector.</w:t>
      </w:r>
    </w:p>
    <w:p>
      <w:pPr>
        <w:pStyle w:val="ListNumber"/>
      </w:pPr>
      <w:r>
        <w:t>Introduce an automated retention policy for raw payloads.</w:t>
      </w:r>
    </w:p>
    <w:p>
      <w:pPr>
        <w:pStyle w:val="ListNumber"/>
      </w:pPr>
      <w:r>
        <w:t>Expose calibration history and drift alerts in the dashboard.</w:t>
      </w:r>
    </w:p>
    <w:p>
      <w:pPr>
        <w:pStyle w:val="ListNumber"/>
      </w:pPr>
      <w:r>
        <w:t>Test a second store to remove the single-region dependency.</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Mosaic Sensor Gateway  ·  19 October 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