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C9A227"/>
          <w:sz w:val="18"/>
        </w:rPr>
        <w:t>INVOICE</w:t>
      </w:r>
    </w:p>
    <w:p>
      <w:pPr>
        <w:pStyle w:val="Title"/>
        <w:spacing w:after="80"/>
      </w:pPr>
      <w:r>
        <w:t>Invoice — Brightline Studio to Cobalt Retail</w:t>
      </w:r>
    </w:p>
    <w:p>
      <w:r>
        <w:rPr>
          <w:color w:val="6B7280"/>
          <w:sz w:val="22"/>
        </w:rPr>
        <w:t>Prepared for Brightline Studio to Cobalt Retail · 19 October 2026</w:t>
      </w:r>
    </w:p>
    <w:p>
      <w:pPr>
        <w:spacing w:after="200"/>
        <w:pBdr>
          <w:bottom w:val="single" w:sz="8" w:space="1" w:color="C9A227"/>
        </w:pBdr>
      </w:pPr>
    </w:p>
    <w:p>
      <w:pPr>
        <w:spacing w:after="280"/>
      </w:pPr>
      <w:r>
        <w:rPr>
          <w:color w:val="6B7280"/>
          <w:sz w:val="17"/>
        </w:rPr>
        <w:t>Prepared: 19 October 2026   ·   Document: Invoice   ·   Status: Final draft   ·   Reference: KC-2026-079</w:t>
      </w:r>
    </w:p>
    <w:p>
      <w:pPr>
        <w:pStyle w:val="Heading1"/>
      </w:pPr>
      <w:r>
        <w:t>Invoice</w:t>
      </w:r>
    </w:p>
    <w:p>
      <w:r>
        <w:t>Invoice Number INV-2079 · Invoice Date 19 October 2026 · Due Date 19 October 2026</w:t>
      </w:r>
    </w:p>
    <w:p>
      <w:r>
        <w:t>From Brightline Studio, 14 Vyner Street, London E2 9DG, VAT GB 412 883 771. Bill To: Brightline Studio to Cobalt Retail, accounts payable.</w:t>
      </w:r>
    </w:p>
    <w:p>
      <w:pPr>
        <w:pStyle w:val="Heading1"/>
      </w:pPr>
      <w:r>
        <w:t>Line Items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904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904"/>
          </w:tcPr>
          <w:p>
            <w:r>
              <w:rPr>
                <w:b/>
                <w:sz w:val="18"/>
              </w:rPr>
              <w:t>Qty</w:t>
            </w:r>
          </w:p>
        </w:tc>
        <w:tc>
          <w:tcPr>
            <w:tcW w:type="dxa" w:w="1904"/>
          </w:tcPr>
          <w:p>
            <w:r>
              <w:rPr>
                <w:b/>
                <w:sz w:val="18"/>
              </w:rPr>
              <w:t>Unit price</w:t>
            </w:r>
          </w:p>
        </w:tc>
        <w:tc>
          <w:tcPr>
            <w:tcW w:type="dxa" w:w="1904"/>
          </w:tcPr>
          <w:p>
            <w:r>
              <w:rPr>
                <w:b/>
                <w:sz w:val="18"/>
              </w:rPr>
              <w:t>Amount</w:t>
            </w:r>
          </w:p>
        </w:tc>
      </w:tr>
      <w:tr>
        <w:tc>
          <w:tcPr>
            <w:tcW w:type="dxa" w:w="19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Brand strategy workshop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$1,800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$3,600</w:t>
            </w:r>
          </w:p>
        </w:tc>
      </w:tr>
      <w:tr>
        <w:tc>
          <w:tcPr>
            <w:tcW w:type="dxa" w:w="19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Visual identity system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$6,400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$6,400</w:t>
            </w:r>
          </w:p>
        </w:tc>
      </w:tr>
      <w:tr>
        <w:tc>
          <w:tcPr>
            <w:tcW w:type="dxa" w:w="19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Website design and build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$9,200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$9,200</w:t>
            </w:r>
          </w:p>
        </w:tc>
      </w:tr>
      <w:tr>
        <w:tc>
          <w:tcPr>
            <w:tcW w:type="dxa" w:w="19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Launch collateral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$950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$2,850</w:t>
            </w:r>
          </w:p>
        </w:tc>
      </w:tr>
    </w:tbl>
    <w:p/>
    <w:p>
      <w:pPr>
        <w:pStyle w:val="Heading1"/>
      </w:pPr>
      <w:r>
        <w:t>Subtotal and Tax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  <w:sz w:val="18"/>
              </w:rPr>
              <w:t>Summary</w:t>
            </w:r>
          </w:p>
        </w:tc>
        <w:tc>
          <w:tcPr>
            <w:tcW w:type="dxa" w:w="4759"/>
          </w:tcPr>
          <w:p>
            <w:r>
              <w:rPr>
                <w:b/>
                <w:sz w:val="18"/>
              </w:rPr>
              <w:t>Amount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Subtotal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$22,050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Tax (8%)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$1,764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Total Due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$23,814</w:t>
            </w:r>
          </w:p>
        </w:tc>
      </w:tr>
    </w:tbl>
    <w:p/>
    <w:p>
      <w:r>
        <w:t>Subtotal $22,050 plus tax of $1,764 gives a total due of $23,814.</w:t>
      </w:r>
    </w:p>
    <w:p>
      <w:pPr>
        <w:pStyle w:val="Heading1"/>
      </w:pPr>
      <w:r>
        <w:t>Payment Terms</w:t>
      </w:r>
    </w:p>
    <w:p>
      <w:pPr>
        <w:pStyle w:val="ListBullet"/>
      </w:pPr>
      <w:r>
        <w:t>Payment is due within 14 days of the invoice date.</w:t>
      </w:r>
    </w:p>
    <w:p>
      <w:pPr>
        <w:pStyle w:val="ListBullet"/>
      </w:pPr>
      <w:r>
        <w:t>Bank transfer to Brightline Studio, account 20411877, sort code 40-11-22.</w:t>
      </w:r>
    </w:p>
    <w:p>
      <w:pPr>
        <w:pStyle w:val="ListBullet"/>
      </w:pPr>
      <w:r>
        <w:t>Please quote the invoice number with the transfer.</w:t>
      </w:r>
    </w:p>
    <w:p>
      <w:pPr>
        <w:pStyle w:val="ListBullet"/>
      </w:pPr>
      <w:r>
        <w:t>Late payment is charged at 2% per month after the due date.</w:t>
      </w:r>
    </w:p>
    <w:p>
      <w:r>
        <w:t>Thank you for working with Brightline Studio. A PDF copy and a signed statement of work are available on request.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 xml:space="preserve">Brightline Studio to Cobalt Retail  ·  19 October 2026  ·  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5A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