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C9A227"/>
          <w:sz w:val="18"/>
        </w:rPr>
        <w:t>TECHNICAL USER MANUAL</w:t>
      </w:r>
    </w:p>
    <w:p>
      <w:pPr>
        <w:pStyle w:val="Title"/>
        <w:spacing w:after="80"/>
      </w:pPr>
      <w:r>
        <w:t>Technical User Manual — Aegis Home Hub</w:t>
      </w:r>
    </w:p>
    <w:p>
      <w:r>
        <w:rPr>
          <w:color w:val="6B7280"/>
          <w:sz w:val="22"/>
        </w:rPr>
        <w:t>Prepared for Aegis Home Hub · 19 October 2026</w:t>
      </w:r>
    </w:p>
    <w:p>
      <w:pPr>
        <w:spacing w:after="200"/>
        <w:pBdr>
          <w:bottom w:val="single" w:sz="8" w:space="1" w:color="C9A227"/>
        </w:pBdr>
      </w:pPr>
    </w:p>
    <w:p>
      <w:pPr>
        <w:spacing w:after="280"/>
      </w:pPr>
      <w:r>
        <w:rPr>
          <w:color w:val="6B7280"/>
          <w:sz w:val="17"/>
        </w:rPr>
        <w:t>Prepared: 19 October 2026   ·   Document: Technical User Manual   ·   Status: Final draft   ·   Reference: KC-2026-040</w:t>
      </w:r>
    </w:p>
    <w:p>
      <w:pPr>
        <w:pStyle w:val="Heading1"/>
      </w:pPr>
      <w:r>
        <w:t>Introduction</w:t>
      </w:r>
    </w:p>
    <w:p>
      <w:r>
        <w:t>This manual explains how to install, set up and use Aegis Home Hub. It is written for a competent adult who has not used the product before; no tools beyond the supplied bracket and a phone are required.</w:t>
      </w:r>
    </w:p>
    <w:p>
      <w:pPr>
        <w:pStyle w:val="Heading1"/>
      </w:pPr>
      <w:r>
        <w:t>Package Contents</w:t>
      </w:r>
    </w:p>
    <w:p>
      <w:pPr>
        <w:pStyle w:val="ListBullet"/>
      </w:pPr>
      <w:r>
        <w:t>One hub unit with a removable base.</w:t>
      </w:r>
    </w:p>
    <w:p>
      <w:pPr>
        <w:pStyle w:val="ListBullet"/>
      </w:pPr>
      <w:r>
        <w:t>One power adapter and a 1.5 m cable.</w:t>
      </w:r>
    </w:p>
    <w:p>
      <w:pPr>
        <w:pStyle w:val="ListBullet"/>
      </w:pPr>
      <w:r>
        <w:t>One mounting bracket and four screws.</w:t>
      </w:r>
    </w:p>
    <w:p>
      <w:pPr>
        <w:pStyle w:val="ListBullet"/>
      </w:pPr>
      <w:r>
        <w:t>One quick-start card with a setup code.</w:t>
      </w:r>
    </w:p>
    <w:p>
      <w:pPr>
        <w:pStyle w:val="Heading1"/>
      </w:pPr>
      <w:r>
        <w:t>Installation</w:t>
      </w:r>
    </w:p>
    <w:p>
      <w:pPr>
        <w:pStyle w:val="ListNumber"/>
      </w:pPr>
      <w:r>
        <w:t>Choose a position within two metres of a power socket and the Wi-Fi router.</w:t>
      </w:r>
    </w:p>
    <w:p>
      <w:pPr>
        <w:pStyle w:val="ListNumber"/>
      </w:pPr>
      <w:r>
        <w:t>Fix the bracket with the supplied screws, using the template on the card.</w:t>
      </w:r>
    </w:p>
    <w:p>
      <w:pPr>
        <w:pStyle w:val="ListNumber"/>
      </w:pPr>
      <w:r>
        <w:t>Slide the hub onto the bracket until it clicks.</w:t>
      </w:r>
    </w:p>
    <w:p>
      <w:pPr>
        <w:pStyle w:val="ListNumber"/>
      </w:pPr>
      <w:r>
        <w:t>Connect the power adapter and wait for the light to pulse amber.</w:t>
      </w:r>
    </w:p>
    <w:p>
      <w:pPr>
        <w:pStyle w:val="Heading1"/>
      </w:pPr>
      <w:r>
        <w:t>Initial Setup</w:t>
      </w:r>
    </w:p>
    <w:p>
      <w:pPr>
        <w:pStyle w:val="ListNumber"/>
      </w:pPr>
      <w:r>
        <w:t>Open the companion app and sign in.</w:t>
      </w:r>
    </w:p>
    <w:p>
      <w:pPr>
        <w:pStyle w:val="ListNumber"/>
      </w:pPr>
      <w:r>
        <w:t>Choose Add device and scan the setup code on the card.</w:t>
      </w:r>
    </w:p>
    <w:p>
      <w:pPr>
        <w:pStyle w:val="ListNumber"/>
      </w:pPr>
      <w:r>
        <w:t>Join the temporary network when prompted.</w:t>
      </w:r>
    </w:p>
    <w:p>
      <w:pPr>
        <w:pStyle w:val="ListNumber"/>
      </w:pPr>
      <w:r>
        <w:t>Name the device and assign it to a room.</w:t>
      </w:r>
    </w:p>
    <w:p>
      <w:pPr>
        <w:pStyle w:val="ListNumber"/>
      </w:pPr>
      <w:r>
        <w:t>Wait for the light to turn solid green.</w:t>
      </w:r>
    </w:p>
    <w:p>
      <w:pPr>
        <w:pStyle w:val="Heading1"/>
      </w:pPr>
      <w:r>
        <w:t>Using the App</w:t>
      </w:r>
    </w:p>
    <w:p>
      <w:pPr>
        <w:pStyle w:val="ListBullet"/>
      </w:pPr>
      <w:r>
        <w:t>Home shows current status and the last seven days of activity.</w:t>
      </w:r>
    </w:p>
    <w:p>
      <w:pPr>
        <w:pStyle w:val="ListBullet"/>
      </w:pPr>
      <w:r>
        <w:t>Schedules run locally even when the internet is unavailable.</w:t>
      </w:r>
    </w:p>
    <w:p>
      <w:pPr>
        <w:pStyle w:val="ListBullet"/>
      </w:pPr>
      <w:r>
        <w:t>Sharing invites another account with view-only access.</w:t>
      </w:r>
    </w:p>
    <w:p>
      <w:pPr>
        <w:pStyle w:val="ListBullet"/>
      </w:pPr>
      <w:r>
        <w:t>Settings contains firmware updates and a diagnostic export.</w:t>
      </w:r>
    </w:p>
    <w:p>
      <w:pPr>
        <w:pStyle w:val="Heading1"/>
      </w:pPr>
      <w:r>
        <w:t>Troubleshooting</w:t>
      </w:r>
    </w:p>
    <w:tbl>
      <w:tblPr>
        <w:tblStyle w:val="LightGrid-Accent1"/>
        <w:tblW w:type="auto" w:w="0"/>
        <w:tblLayout w:type="autofit"/>
        <w:tblLook w:firstColumn="1" w:firstRow="1" w:lastColumn="0" w:lastRow="0" w:noHBand="0" w:noVBand="1" w:val="04A0"/>
      </w:tblPr>
      <w:tblGrid>
        <w:gridCol w:w="3173"/>
        <w:gridCol w:w="3173"/>
        <w:gridCol w:w="3173"/>
      </w:tblGrid>
      <w:tr>
        <w:tc>
          <w:tcPr>
            <w:tcW w:type="dxa" w:w="3173"/>
          </w:tcPr>
          <w:p>
            <w:r>
              <w:rPr>
                <w:b/>
                <w:sz w:val="18"/>
              </w:rPr>
              <w:t>Symptom</w:t>
            </w:r>
          </w:p>
        </w:tc>
        <w:tc>
          <w:tcPr>
            <w:tcW w:type="dxa" w:w="3173"/>
          </w:tcPr>
          <w:p>
            <w:r>
              <w:rPr>
                <w:b/>
                <w:sz w:val="18"/>
              </w:rPr>
              <w:t>Likely cause</w:t>
            </w:r>
          </w:p>
        </w:tc>
        <w:tc>
          <w:tcPr>
            <w:tcW w:type="dxa" w:w="3173"/>
          </w:tcPr>
          <w:p>
            <w:r>
              <w:rPr>
                <w:b/>
                <w:sz w:val="18"/>
              </w:rPr>
              <w:t>Action</w:t>
            </w:r>
          </w:p>
        </w:tc>
      </w:tr>
      <w:tr>
        <w:tc>
          <w:tcPr>
            <w:tcW w:type="dxa" w:w="3173"/>
          </w:tcPr>
          <w:p>
            <w:r>
              <w:rPr>
                <w:sz w:val="18"/>
              </w:rPr>
              <w:t>Light pulses amber</w:t>
            </w:r>
          </w:p>
        </w:tc>
        <w:tc>
          <w:tcPr>
            <w:tcW w:type="dxa" w:w="3173"/>
          </w:tcPr>
          <w:p>
            <w:r>
              <w:rPr>
                <w:sz w:val="18"/>
              </w:rPr>
              <w:t>No network</w:t>
            </w:r>
          </w:p>
        </w:tc>
        <w:tc>
          <w:tcPr>
            <w:tcW w:type="dxa" w:w="3173"/>
          </w:tcPr>
          <w:p>
            <w:r>
              <w:rPr>
                <w:sz w:val="18"/>
              </w:rPr>
              <w:t>Check the password, then restart the hub</w:t>
            </w:r>
          </w:p>
        </w:tc>
      </w:tr>
      <w:tr>
        <w:tc>
          <w:tcPr>
            <w:tcW w:type="dxa" w:w="3173"/>
          </w:tcPr>
          <w:p>
            <w:r>
              <w:rPr>
                <w:sz w:val="18"/>
              </w:rPr>
              <w:t>App cannot find device</w:t>
            </w:r>
          </w:p>
        </w:tc>
        <w:tc>
          <w:tcPr>
            <w:tcW w:type="dxa" w:w="3173"/>
          </w:tcPr>
          <w:p>
            <w:r>
              <w:rPr>
                <w:sz w:val="18"/>
              </w:rPr>
              <w:t>Bluetooth off</w:t>
            </w:r>
          </w:p>
        </w:tc>
        <w:tc>
          <w:tcPr>
            <w:tcW w:type="dxa" w:w="3173"/>
          </w:tcPr>
          <w:p>
            <w:r>
              <w:rPr>
                <w:sz w:val="18"/>
              </w:rPr>
              <w:t>Enable Bluetooth and retry setup</w:t>
            </w:r>
          </w:p>
        </w:tc>
      </w:tr>
      <w:tr>
        <w:tc>
          <w:tcPr>
            <w:tcW w:type="dxa" w:w="3173"/>
          </w:tcPr>
          <w:p>
            <w:r>
              <w:rPr>
                <w:sz w:val="18"/>
              </w:rPr>
              <w:t>Schedule did not run</w:t>
            </w:r>
          </w:p>
        </w:tc>
        <w:tc>
          <w:tcPr>
            <w:tcW w:type="dxa" w:w="3173"/>
          </w:tcPr>
          <w:p>
            <w:r>
              <w:rPr>
                <w:sz w:val="18"/>
              </w:rPr>
              <w:t>Clock reset</w:t>
            </w:r>
          </w:p>
        </w:tc>
        <w:tc>
          <w:tcPr>
            <w:tcW w:type="dxa" w:w="3173"/>
          </w:tcPr>
          <w:p>
            <w:r>
              <w:rPr>
                <w:sz w:val="18"/>
              </w:rPr>
              <w:t>Open the app once to resync the clock</w:t>
            </w:r>
          </w:p>
        </w:tc>
      </w:tr>
      <w:tr>
        <w:tc>
          <w:tcPr>
            <w:tcW w:type="dxa" w:w="3173"/>
          </w:tcPr>
          <w:p>
            <w:r>
              <w:rPr>
                <w:sz w:val="18"/>
              </w:rPr>
              <w:t>Light is red</w:t>
            </w:r>
          </w:p>
        </w:tc>
        <w:tc>
          <w:tcPr>
            <w:tcW w:type="dxa" w:w="3173"/>
          </w:tcPr>
          <w:p>
            <w:r>
              <w:rPr>
                <w:sz w:val="18"/>
              </w:rPr>
              <w:t>Hardware fault</w:t>
            </w:r>
          </w:p>
        </w:tc>
        <w:tc>
          <w:tcPr>
            <w:tcW w:type="dxa" w:w="3173"/>
          </w:tcPr>
          <w:p>
            <w:r>
              <w:rPr>
                <w:sz w:val="18"/>
              </w:rPr>
              <w:t>Contact support with the diagnostic export</w:t>
            </w:r>
          </w:p>
        </w:tc>
      </w:tr>
    </w:tbl>
    <w:p/>
    <w:p>
      <w:pPr>
        <w:pStyle w:val="Heading1"/>
      </w:pPr>
      <w:r>
        <w:t>Safety Information</w:t>
      </w:r>
    </w:p>
    <w:p>
      <w:pPr>
        <w:pStyle w:val="ListBullet"/>
      </w:pPr>
      <w:r>
        <w:t>Do not open the case; there are no user-serviceable parts inside.</w:t>
      </w:r>
    </w:p>
    <w:p>
      <w:pPr>
        <w:pStyle w:val="ListBullet"/>
      </w:pPr>
      <w:r>
        <w:t>Keep away from water and direct heat.</w:t>
      </w:r>
    </w:p>
    <w:p>
      <w:pPr>
        <w:pStyle w:val="ListBullet"/>
      </w:pPr>
      <w:r>
        <w:t>Use only the supplied adapter.</w:t>
      </w:r>
    </w:p>
    <w:p>
      <w:pPr>
        <w:pStyle w:val="ListBullet"/>
      </w:pPr>
      <w:r>
        <w:t>Disconnect power before moving the unit.</w:t>
      </w:r>
    </w:p>
    <w:p>
      <w:pPr>
        <w:pStyle w:val="Heading1"/>
      </w:pPr>
      <w:r>
        <w:t>Support</w:t>
      </w:r>
    </w:p>
    <w:p>
      <w:r>
        <w:t>Support is available at support.example.com and by phone on weekdays. Quote the serial number on the base and the diagnostic export. The warranty is two years from the date of purchase.</w:t>
      </w:r>
    </w:p>
    <w:sectPr w:rsidR="00FC693F" w:rsidRPr="0006063C" w:rsidSect="00034616">
      <w:footerReference w:type="default" r:id="rId9"/>
      <w:pgSz w:w="12240" w:h="15840"/>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280"/>
        <w:sz w:val="16"/>
      </w:rPr>
      <w:t xml:space="preserve">Aegis Home Hub  ·  19 October 2026  ·  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Theme="majorHAnsi" w:eastAsiaTheme="majorEastAsia" w:hAnsiTheme="majorHAnsi" w:cstheme="majorBidi" w:ascii="Calibri" w:hAnsi="Calibri"/>
      <w:b/>
      <w:bCs/>
      <w:color w:val="1F3A5F"/>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E5A8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Calibri" w:hAnsi="Calibri"/>
      <w:b/>
      <w:color w:val="1F3A5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