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1AC5B556" w:rsidR="00820A4D" w:rsidRPr="00855472" w:rsidRDefault="00E92DD4" w:rsidP="00BD05D4">
            <w:pPr>
              <w:spacing w:before="120"/>
              <w:rPr>
                <w:rFonts w:ascii="Times New Roman" w:hAnsi="Times New Roman"/>
              </w:rPr>
            </w:pPr>
            <w:r w:rsidRPr="00E92DD4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2633EA85" w:rsidR="00F5734E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12CD61C9" w:rsidR="00820A4D" w:rsidRPr="00855472" w:rsidRDefault="00F5734E" w:rsidP="00BD05D4">
            <w:pPr>
              <w:spacing w:before="120"/>
              <w:rPr>
                <w:rFonts w:ascii="Times New Roman" w:hAnsi="Times New Roman"/>
              </w:rPr>
            </w:pPr>
            <w:r w:rsidRPr="00F5734E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931244" w:rsidRDefault="001A15E9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31D4E528" w14:textId="499364FD" w:rsidR="00855472" w:rsidRPr="00931244" w:rsidRDefault="001A15E9" w:rsidP="00BD05D4">
            <w:pPr>
              <w:spacing w:before="120"/>
            </w:pPr>
            <w:r w:rsidRPr="00931244"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5C08B861" w:rsidR="00855472" w:rsidRPr="00931244" w:rsidRDefault="005B0E88" w:rsidP="00BD05D4">
            <w:pPr>
              <w:spacing w:before="120"/>
              <w:rPr>
                <w:color w:val="FF0000"/>
              </w:rPr>
            </w:pPr>
            <w:r w:rsidRPr="005B0E88">
              <w:rPr>
                <w:color w:val="00B050"/>
              </w:rPr>
              <w:t>Closed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931244" w:rsidRDefault="001A15E9" w:rsidP="00BD05D4">
            <w:pPr>
              <w:spacing w:before="120"/>
            </w:pPr>
            <w:r w:rsidRPr="00931244"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Pr="00931244" w:rsidRDefault="001A15E9" w:rsidP="00BD05D4">
            <w:pPr>
              <w:spacing w:before="120"/>
            </w:pPr>
            <w:r w:rsidRPr="00931244"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are located </w:t>
            </w:r>
          </w:p>
        </w:tc>
        <w:tc>
          <w:tcPr>
            <w:tcW w:w="1134" w:type="dxa"/>
          </w:tcPr>
          <w:p w14:paraId="2AAD477E" w14:textId="37CF5732" w:rsidR="00855472" w:rsidRPr="00E92DD4" w:rsidRDefault="00F8461A" w:rsidP="00BD05D4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558E723D" w:rsidR="001A15E9" w:rsidRPr="00931244" w:rsidRDefault="00931244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1E8485E6" w14:textId="167466EA" w:rsidR="001A15E9" w:rsidRPr="00931244" w:rsidRDefault="00931244" w:rsidP="00BD05D4">
            <w:pPr>
              <w:spacing w:before="120"/>
            </w:pPr>
            <w:r w:rsidRPr="00931244">
              <w:t>Setting up database using PHP &amp; MySQL</w:t>
            </w:r>
          </w:p>
        </w:tc>
        <w:tc>
          <w:tcPr>
            <w:tcW w:w="3827" w:type="dxa"/>
          </w:tcPr>
          <w:p w14:paraId="5D119C53" w14:textId="7B96D413" w:rsidR="001A15E9" w:rsidRDefault="00931244" w:rsidP="00BD05D4">
            <w:pPr>
              <w:spacing w:before="120"/>
            </w:pPr>
            <w:r>
              <w:t>As a team, we have not implemented a database, so will be something new to all of us</w:t>
            </w:r>
          </w:p>
        </w:tc>
        <w:tc>
          <w:tcPr>
            <w:tcW w:w="3827" w:type="dxa"/>
          </w:tcPr>
          <w:p w14:paraId="07A6F8D8" w14:textId="3F14C970" w:rsidR="001A15E9" w:rsidRDefault="00931244" w:rsidP="00BD05D4">
            <w:pPr>
              <w:spacing w:before="120"/>
            </w:pPr>
            <w:r>
              <w:t xml:space="preserve">Henry/Harman will be working on the database </w:t>
            </w:r>
            <w:proofErr w:type="gramStart"/>
            <w:r>
              <w:t>end, and</w:t>
            </w:r>
            <w:proofErr w:type="gramEnd"/>
            <w:r>
              <w:t xml:space="preserve"> will research on that. Will start early on database</w:t>
            </w:r>
          </w:p>
        </w:tc>
        <w:tc>
          <w:tcPr>
            <w:tcW w:w="1134" w:type="dxa"/>
          </w:tcPr>
          <w:p w14:paraId="2BA51E08" w14:textId="11554823" w:rsidR="001A15E9" w:rsidRPr="00E92DD4" w:rsidRDefault="00E92DD4" w:rsidP="00BD05D4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C85547" w14:paraId="68B44DA4" w14:textId="77777777" w:rsidTr="0069731B">
        <w:tc>
          <w:tcPr>
            <w:tcW w:w="1668" w:type="dxa"/>
          </w:tcPr>
          <w:p w14:paraId="7CD08B77" w14:textId="04785513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678350C2" w14:textId="17646C68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Bluetooth beacon technology</w:t>
            </w:r>
          </w:p>
        </w:tc>
        <w:tc>
          <w:tcPr>
            <w:tcW w:w="3827" w:type="dxa"/>
          </w:tcPr>
          <w:p w14:paraId="33BE1E7C" w14:textId="029F9598" w:rsidR="00C85547" w:rsidRDefault="00C85547" w:rsidP="00C85547">
            <w:pPr>
              <w:spacing w:before="120"/>
            </w:pPr>
            <w:r>
              <w:t>New technology being introduced to group. Also has a hardware component that may cause issues</w:t>
            </w:r>
          </w:p>
        </w:tc>
        <w:tc>
          <w:tcPr>
            <w:tcW w:w="3827" w:type="dxa"/>
          </w:tcPr>
          <w:p w14:paraId="1FA44621" w14:textId="3F3AAA75" w:rsidR="00C85547" w:rsidRDefault="00C85547" w:rsidP="00C85547">
            <w:pPr>
              <w:spacing w:before="120"/>
            </w:pPr>
            <w:r>
              <w:t xml:space="preserve">Oliver will gather information and test the technology. If any issues are encountered, we can contact </w:t>
            </w:r>
          </w:p>
        </w:tc>
        <w:tc>
          <w:tcPr>
            <w:tcW w:w="1134" w:type="dxa"/>
          </w:tcPr>
          <w:p w14:paraId="7C23139C" w14:textId="3220CCCA" w:rsidR="00C85547" w:rsidRPr="00E92DD4" w:rsidRDefault="00E92DD4" w:rsidP="00C85547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C85547" w14:paraId="3C71D904" w14:textId="77777777" w:rsidTr="0069731B">
        <w:tc>
          <w:tcPr>
            <w:tcW w:w="1668" w:type="dxa"/>
          </w:tcPr>
          <w:p w14:paraId="68138416" w14:textId="3FC8C918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4FBF3554" w14:textId="14D78652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Location services with Android studio</w:t>
            </w:r>
          </w:p>
        </w:tc>
        <w:tc>
          <w:tcPr>
            <w:tcW w:w="3827" w:type="dxa"/>
          </w:tcPr>
          <w:p w14:paraId="756DC296" w14:textId="2B48C125" w:rsidR="00C85547" w:rsidRDefault="00C85547" w:rsidP="00C85547">
            <w:pPr>
              <w:spacing w:before="120"/>
            </w:pPr>
            <w:r>
              <w:t>Need to display location on a map GUI, as well grab coordinates of the user</w:t>
            </w:r>
          </w:p>
        </w:tc>
        <w:tc>
          <w:tcPr>
            <w:tcW w:w="3827" w:type="dxa"/>
          </w:tcPr>
          <w:p w14:paraId="0ECEE3FD" w14:textId="21267B9D" w:rsidR="00C85547" w:rsidRDefault="00C85547" w:rsidP="00C85547">
            <w:pPr>
              <w:spacing w:before="120"/>
            </w:pPr>
            <w:r>
              <w:t>Work is done on locating the user, but some issues exist on some devices. Our Android instructor (Medhat) is available to help if needed</w:t>
            </w:r>
          </w:p>
        </w:tc>
        <w:tc>
          <w:tcPr>
            <w:tcW w:w="1134" w:type="dxa"/>
          </w:tcPr>
          <w:p w14:paraId="320D1F2D" w14:textId="37E1E014" w:rsidR="00C85547" w:rsidRPr="00C85547" w:rsidRDefault="00F5734E" w:rsidP="00C85547">
            <w:pPr>
              <w:spacing w:before="120"/>
              <w:rPr>
                <w:color w:val="FF0000"/>
              </w:rPr>
            </w:pPr>
            <w:r w:rsidRPr="00F5734E">
              <w:rPr>
                <w:color w:val="00B050"/>
              </w:rPr>
              <w:t>Closed</w:t>
            </w:r>
          </w:p>
        </w:tc>
      </w:tr>
      <w:tr w:rsidR="00C85547" w14:paraId="439EB6F3" w14:textId="77777777" w:rsidTr="0069731B">
        <w:tc>
          <w:tcPr>
            <w:tcW w:w="1668" w:type="dxa"/>
          </w:tcPr>
          <w:p w14:paraId="769F35DB" w14:textId="107D2F24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54E216BB" w14:textId="2D8624F6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Creating a user manual</w:t>
            </w:r>
          </w:p>
        </w:tc>
        <w:tc>
          <w:tcPr>
            <w:tcW w:w="3827" w:type="dxa"/>
          </w:tcPr>
          <w:p w14:paraId="008EEDA9" w14:textId="0E44C3A4" w:rsidR="00C85547" w:rsidRDefault="00C85547" w:rsidP="00C85547">
            <w:pPr>
              <w:spacing w:before="120"/>
            </w:pPr>
            <w:r>
              <w:t>Will need to create a user manual at the end of the project for both business owners and users</w:t>
            </w:r>
          </w:p>
        </w:tc>
        <w:tc>
          <w:tcPr>
            <w:tcW w:w="3827" w:type="dxa"/>
          </w:tcPr>
          <w:p w14:paraId="06402B30" w14:textId="7F122EFC" w:rsidR="00C85547" w:rsidRDefault="00C85547" w:rsidP="00C85547">
            <w:pPr>
              <w:spacing w:before="120"/>
            </w:pPr>
            <w:r>
              <w:t>We do have experience in creating instruction sets, but will likely need to communicate back and forth between Reese and Judy for feedback</w:t>
            </w:r>
          </w:p>
        </w:tc>
        <w:tc>
          <w:tcPr>
            <w:tcW w:w="1134" w:type="dxa"/>
          </w:tcPr>
          <w:p w14:paraId="66C58C28" w14:textId="77A17387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E018BE" w14:paraId="377563C0" w14:textId="77777777" w:rsidTr="0069731B">
        <w:tc>
          <w:tcPr>
            <w:tcW w:w="1668" w:type="dxa"/>
          </w:tcPr>
          <w:p w14:paraId="3ADD6FC1" w14:textId="71D0F491" w:rsidR="00E018BE" w:rsidRDefault="00E018BE" w:rsidP="00E018BE">
            <w:pPr>
              <w:spacing w:before="120"/>
              <w:rPr>
                <w:color w:val="5B9BD5"/>
              </w:rPr>
            </w:pPr>
            <w:r w:rsidRPr="00683F46">
              <w:t>2019-02-06</w:t>
            </w:r>
          </w:p>
        </w:tc>
        <w:tc>
          <w:tcPr>
            <w:tcW w:w="3827" w:type="dxa"/>
          </w:tcPr>
          <w:p w14:paraId="5C151308" w14:textId="78435B6E" w:rsidR="00E018BE" w:rsidRDefault="00E018BE" w:rsidP="00E018BE">
            <w:pPr>
              <w:spacing w:before="120"/>
              <w:rPr>
                <w:i/>
                <w:color w:val="5B9BD5"/>
              </w:rPr>
            </w:pPr>
            <w:r w:rsidRPr="00683F46">
              <w:t xml:space="preserve">Basing GUI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provided wireframe</w:t>
            </w:r>
          </w:p>
        </w:tc>
        <w:tc>
          <w:tcPr>
            <w:tcW w:w="3827" w:type="dxa"/>
          </w:tcPr>
          <w:p w14:paraId="2F880488" w14:textId="4B17756F" w:rsidR="00E018BE" w:rsidRDefault="00E018BE" w:rsidP="00E018BE">
            <w:pPr>
              <w:spacing w:before="120"/>
            </w:pPr>
            <w:r w:rsidRPr="00683F46">
              <w:t xml:space="preserve">Will base the GUI of the android application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provided wireframe</w:t>
            </w:r>
          </w:p>
        </w:tc>
        <w:tc>
          <w:tcPr>
            <w:tcW w:w="3827" w:type="dxa"/>
          </w:tcPr>
          <w:p w14:paraId="10229B18" w14:textId="5E010182" w:rsidR="00E018BE" w:rsidRDefault="00E018BE" w:rsidP="00E018BE">
            <w:pPr>
              <w:spacing w:before="120"/>
            </w:pPr>
            <w:r w:rsidRPr="00683F46">
              <w:t xml:space="preserve">Wireframe may have some errors or issues that may not be visible right away, thus will base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wireframe rather than create an exact copy</w:t>
            </w:r>
          </w:p>
        </w:tc>
        <w:tc>
          <w:tcPr>
            <w:tcW w:w="1134" w:type="dxa"/>
          </w:tcPr>
          <w:p w14:paraId="1AA4985A" w14:textId="09C07699" w:rsidR="00E018BE" w:rsidRPr="00E92DD4" w:rsidRDefault="00E92DD4" w:rsidP="00E018BE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E018BE" w14:paraId="4C01AB6E" w14:textId="77777777" w:rsidTr="0069731B">
        <w:tc>
          <w:tcPr>
            <w:tcW w:w="1668" w:type="dxa"/>
          </w:tcPr>
          <w:p w14:paraId="2D80994A" w14:textId="297A6937" w:rsidR="00E018BE" w:rsidRPr="00FF0EA1" w:rsidRDefault="00FF0EA1" w:rsidP="00E018BE">
            <w:pPr>
              <w:spacing w:before="120"/>
            </w:pPr>
            <w:r w:rsidRPr="00FF0EA1">
              <w:t>2019.02-13</w:t>
            </w:r>
          </w:p>
        </w:tc>
        <w:tc>
          <w:tcPr>
            <w:tcW w:w="3827" w:type="dxa"/>
          </w:tcPr>
          <w:p w14:paraId="39856BDF" w14:textId="4F2F79FC" w:rsidR="00E018BE" w:rsidRPr="00FF0EA1" w:rsidRDefault="00FF0EA1" w:rsidP="00E018BE">
            <w:pPr>
              <w:spacing w:before="120"/>
            </w:pPr>
            <w:r w:rsidRPr="00FF0EA1">
              <w:t>Non-technical understanding of workflow</w:t>
            </w:r>
          </w:p>
        </w:tc>
        <w:tc>
          <w:tcPr>
            <w:tcW w:w="3827" w:type="dxa"/>
          </w:tcPr>
          <w:p w14:paraId="4E88287F" w14:textId="492DB425" w:rsidR="00E018BE" w:rsidRDefault="00FF0EA1" w:rsidP="00E018BE">
            <w:pPr>
              <w:spacing w:before="120"/>
            </w:pPr>
            <w:r>
              <w:t>Client may not have the best understanding of how the workflow works even if we document it to the best of our abilities</w:t>
            </w:r>
          </w:p>
        </w:tc>
        <w:tc>
          <w:tcPr>
            <w:tcW w:w="3827" w:type="dxa"/>
          </w:tcPr>
          <w:p w14:paraId="58866BD9" w14:textId="5CA4C2F1" w:rsidR="00E018BE" w:rsidRDefault="00FF0EA1" w:rsidP="00E018BE">
            <w:pPr>
              <w:spacing w:before="120"/>
            </w:pPr>
            <w:r>
              <w:t>We will schedule a physical meeting with the client to ensure that he understands our vision of the project</w:t>
            </w:r>
          </w:p>
        </w:tc>
        <w:tc>
          <w:tcPr>
            <w:tcW w:w="1134" w:type="dxa"/>
          </w:tcPr>
          <w:p w14:paraId="37E44A43" w14:textId="568168A5" w:rsidR="00E018BE" w:rsidRPr="00E92DD4" w:rsidRDefault="00E92DD4" w:rsidP="00E018BE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E018BE" w14:paraId="02FACB9A" w14:textId="77777777" w:rsidTr="0069731B">
        <w:tc>
          <w:tcPr>
            <w:tcW w:w="1668" w:type="dxa"/>
          </w:tcPr>
          <w:p w14:paraId="771A728D" w14:textId="3A9CB514" w:rsidR="00E018BE" w:rsidRPr="00E92DD4" w:rsidRDefault="00E92DD4" w:rsidP="00E018BE">
            <w:pPr>
              <w:spacing w:before="120"/>
              <w:rPr>
                <w:color w:val="000000" w:themeColor="text1"/>
              </w:rPr>
            </w:pPr>
            <w:r w:rsidRPr="00E92DD4">
              <w:rPr>
                <w:color w:val="000000" w:themeColor="text1"/>
              </w:rPr>
              <w:lastRenderedPageBreak/>
              <w:t>2019-03-31</w:t>
            </w:r>
          </w:p>
        </w:tc>
        <w:tc>
          <w:tcPr>
            <w:tcW w:w="3827" w:type="dxa"/>
          </w:tcPr>
          <w:p w14:paraId="4CA97206" w14:textId="4C5BB570" w:rsidR="00E018BE" w:rsidRPr="00E92DD4" w:rsidRDefault="00E92DD4" w:rsidP="00E018BE">
            <w:pPr>
              <w:spacing w:before="120"/>
              <w:rPr>
                <w:color w:val="000000" w:themeColor="text1"/>
              </w:rPr>
            </w:pPr>
            <w:r w:rsidRPr="00E92DD4">
              <w:rPr>
                <w:color w:val="000000" w:themeColor="text1"/>
              </w:rPr>
              <w:t>Field testing in TSQB</w:t>
            </w:r>
          </w:p>
        </w:tc>
        <w:tc>
          <w:tcPr>
            <w:tcW w:w="3827" w:type="dxa"/>
          </w:tcPr>
          <w:p w14:paraId="1B88321D" w14:textId="0212E275" w:rsidR="00E018BE" w:rsidRDefault="00E92DD4" w:rsidP="00E018BE">
            <w:pPr>
              <w:spacing w:before="120"/>
            </w:pPr>
            <w:r>
              <w:t>We may run into complications mimicking the applications capabilities in our demo environment, need to be able to show functionality without moving large distances</w:t>
            </w:r>
          </w:p>
        </w:tc>
        <w:tc>
          <w:tcPr>
            <w:tcW w:w="3827" w:type="dxa"/>
          </w:tcPr>
          <w:p w14:paraId="52F74585" w14:textId="5760EB4C" w:rsidR="00E018BE" w:rsidRDefault="00E92DD4" w:rsidP="00E018BE">
            <w:pPr>
              <w:spacing w:before="120"/>
            </w:pPr>
            <w:r>
              <w:t>We will test in the environment ahead of time to ensure functionality is enabled</w:t>
            </w:r>
          </w:p>
        </w:tc>
        <w:tc>
          <w:tcPr>
            <w:tcW w:w="1134" w:type="dxa"/>
          </w:tcPr>
          <w:p w14:paraId="7332E7FD" w14:textId="18AE74C3" w:rsidR="00E018BE" w:rsidRDefault="00F5734E" w:rsidP="00E018BE">
            <w:pPr>
              <w:spacing w:before="120"/>
            </w:pPr>
            <w:r w:rsidRPr="00F5734E">
              <w:rPr>
                <w:color w:val="00B050"/>
              </w:rPr>
              <w:t>Closed</w:t>
            </w:r>
          </w:p>
        </w:tc>
      </w:tr>
      <w:tr w:rsidR="00F5734E" w14:paraId="19B93F7C" w14:textId="77777777" w:rsidTr="0069731B">
        <w:tc>
          <w:tcPr>
            <w:tcW w:w="1668" w:type="dxa"/>
          </w:tcPr>
          <w:p w14:paraId="3AB0C4B0" w14:textId="550CA05D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2A766071" w14:textId="54130663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a “new” GUI</w:t>
            </w:r>
          </w:p>
        </w:tc>
        <w:tc>
          <w:tcPr>
            <w:tcW w:w="3827" w:type="dxa"/>
          </w:tcPr>
          <w:p w14:paraId="1A5E93FD" w14:textId="0A95E171" w:rsidR="00F5734E" w:rsidRDefault="00F5734E" w:rsidP="00E018BE">
            <w:pPr>
              <w:spacing w:before="120"/>
            </w:pPr>
            <w:r>
              <w:t xml:space="preserve">Client may disagree with some design choices. </w:t>
            </w:r>
            <w:proofErr w:type="gramStart"/>
            <w:r>
              <w:t>Also</w:t>
            </w:r>
            <w:proofErr w:type="gramEnd"/>
            <w:r>
              <w:t xml:space="preserve"> we are not graphic designers so we may not make the best choices either.</w:t>
            </w:r>
          </w:p>
        </w:tc>
        <w:tc>
          <w:tcPr>
            <w:tcW w:w="3827" w:type="dxa"/>
          </w:tcPr>
          <w:p w14:paraId="39600895" w14:textId="50B364E9" w:rsidR="00F5734E" w:rsidRDefault="00F5734E" w:rsidP="00E018BE">
            <w:pPr>
              <w:spacing w:before="120"/>
            </w:pPr>
            <w:r>
              <w:t>Will communicate with the client as much as possible to ensure that the vision is aligned as much as possible</w:t>
            </w:r>
          </w:p>
        </w:tc>
        <w:tc>
          <w:tcPr>
            <w:tcW w:w="1134" w:type="dxa"/>
          </w:tcPr>
          <w:p w14:paraId="34361465" w14:textId="42DE730D" w:rsidR="00F5734E" w:rsidRPr="00F5734E" w:rsidRDefault="00F5734E" w:rsidP="00E018BE">
            <w:pPr>
              <w:spacing w:before="120"/>
              <w:rPr>
                <w:color w:val="00B050"/>
              </w:rPr>
            </w:pPr>
            <w:r w:rsidRPr="00F5734E">
              <w:rPr>
                <w:color w:val="FF0000"/>
              </w:rPr>
              <w:t>Open</w:t>
            </w:r>
          </w:p>
        </w:tc>
      </w:tr>
      <w:tr w:rsidR="00F5734E" w14:paraId="6230634F" w14:textId="77777777" w:rsidTr="0069731B">
        <w:tc>
          <w:tcPr>
            <w:tcW w:w="1668" w:type="dxa"/>
          </w:tcPr>
          <w:p w14:paraId="72C534E3" w14:textId="052E3873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128AD530" w14:textId="6D26570F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Getting/Uploading an Image to s3</w:t>
            </w:r>
          </w:p>
        </w:tc>
        <w:tc>
          <w:tcPr>
            <w:tcW w:w="3827" w:type="dxa"/>
          </w:tcPr>
          <w:p w14:paraId="7708D949" w14:textId="1834B211" w:rsidR="00F5734E" w:rsidRDefault="00C719C9" w:rsidP="00E018BE">
            <w:pPr>
              <w:spacing w:before="120"/>
            </w:pPr>
            <w:r>
              <w:t>Needed a way to get and upload images. Will use s3 to store the images.</w:t>
            </w:r>
          </w:p>
          <w:p w14:paraId="740EEAA5" w14:textId="28D86088" w:rsidR="00C719C9" w:rsidRDefault="00C719C9" w:rsidP="00E018BE">
            <w:pPr>
              <w:spacing w:before="120"/>
            </w:pPr>
            <w:r>
              <w:t>Will need to do Java to upload to s3.</w:t>
            </w:r>
          </w:p>
          <w:p w14:paraId="73215B7D" w14:textId="156FBCFB" w:rsidR="00C719C9" w:rsidRDefault="00C719C9" w:rsidP="00E018BE">
            <w:pPr>
              <w:spacing w:before="120"/>
            </w:pPr>
            <w:r>
              <w:t>Then need to do ec2 grabbing from s3</w:t>
            </w:r>
          </w:p>
        </w:tc>
        <w:tc>
          <w:tcPr>
            <w:tcW w:w="3827" w:type="dxa"/>
          </w:tcPr>
          <w:p w14:paraId="61BFCE6F" w14:textId="786F66D2" w:rsidR="00F5734E" w:rsidRDefault="00C719C9" w:rsidP="00E018BE">
            <w:pPr>
              <w:spacing w:before="120"/>
            </w:pPr>
            <w:r>
              <w:t>Read as much documentation as possible, and do a lot of test cases</w:t>
            </w:r>
          </w:p>
        </w:tc>
        <w:tc>
          <w:tcPr>
            <w:tcW w:w="1134" w:type="dxa"/>
          </w:tcPr>
          <w:p w14:paraId="165F5444" w14:textId="31BA131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1ED3CAB4" w14:textId="77777777" w:rsidTr="0069731B">
        <w:tc>
          <w:tcPr>
            <w:tcW w:w="1668" w:type="dxa"/>
          </w:tcPr>
          <w:p w14:paraId="755EA6C9" w14:textId="539D83F5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4B316C19" w14:textId="582C232B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from Stage 1</w:t>
            </w:r>
          </w:p>
        </w:tc>
        <w:tc>
          <w:tcPr>
            <w:tcW w:w="3827" w:type="dxa"/>
          </w:tcPr>
          <w:p w14:paraId="420CD752" w14:textId="3C90F270" w:rsidR="00F5734E" w:rsidRDefault="00C719C9" w:rsidP="00E018BE">
            <w:pPr>
              <w:spacing w:before="120"/>
            </w:pPr>
            <w:r>
              <w:t>Found some bugs from Stage 1</w:t>
            </w:r>
          </w:p>
        </w:tc>
        <w:tc>
          <w:tcPr>
            <w:tcW w:w="3827" w:type="dxa"/>
          </w:tcPr>
          <w:p w14:paraId="01AD2F46" w14:textId="270FB10F" w:rsidR="00F5734E" w:rsidRDefault="00C719C9" w:rsidP="00E018BE">
            <w:pPr>
              <w:spacing w:before="120"/>
            </w:pPr>
            <w:r>
              <w:t xml:space="preserve">Will fix and take more measures in test cases to reduce the </w:t>
            </w:r>
            <w:proofErr w:type="gramStart"/>
            <w:r>
              <w:t>amount</w:t>
            </w:r>
            <w:proofErr w:type="gramEnd"/>
            <w:r>
              <w:t xml:space="preserve"> of bugs in the future</w:t>
            </w:r>
          </w:p>
        </w:tc>
        <w:tc>
          <w:tcPr>
            <w:tcW w:w="1134" w:type="dxa"/>
          </w:tcPr>
          <w:p w14:paraId="6BFB32AB" w14:textId="3506BEA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06747A50" w14:textId="77777777" w:rsidTr="0069731B">
        <w:tc>
          <w:tcPr>
            <w:tcW w:w="1668" w:type="dxa"/>
          </w:tcPr>
          <w:p w14:paraId="3E141A42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bookmarkStart w:id="2" w:name="_GoBack"/>
            <w:bookmarkEnd w:id="2"/>
          </w:p>
        </w:tc>
        <w:tc>
          <w:tcPr>
            <w:tcW w:w="3827" w:type="dxa"/>
          </w:tcPr>
          <w:p w14:paraId="244018AA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9FEFE8F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567894C1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6AEFA406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3344618D" w14:textId="77777777" w:rsidTr="0069731B">
        <w:tc>
          <w:tcPr>
            <w:tcW w:w="1668" w:type="dxa"/>
          </w:tcPr>
          <w:p w14:paraId="3D84F38E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08053AC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616B318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6FE16FBD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3688A590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20ADE7F2" w14:textId="77777777" w:rsidTr="0069731B">
        <w:tc>
          <w:tcPr>
            <w:tcW w:w="1668" w:type="dxa"/>
          </w:tcPr>
          <w:p w14:paraId="615F28B3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AA94A00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B8895D9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71E99A58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29D30D3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73C00C92" w14:textId="77777777" w:rsidTr="0069731B">
        <w:tc>
          <w:tcPr>
            <w:tcW w:w="1668" w:type="dxa"/>
          </w:tcPr>
          <w:p w14:paraId="4AA7EBE8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711F794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753A980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5F9A914E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47C53647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668C3342" w14:textId="77777777" w:rsidTr="0069731B">
        <w:tc>
          <w:tcPr>
            <w:tcW w:w="1668" w:type="dxa"/>
          </w:tcPr>
          <w:p w14:paraId="29AF2185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EA5B51F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6223CE0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1A865CAE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2F9E4A1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16A965DB" w14:textId="77777777" w:rsidTr="0069731B">
        <w:tc>
          <w:tcPr>
            <w:tcW w:w="1668" w:type="dxa"/>
          </w:tcPr>
          <w:p w14:paraId="2B9756F3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EF784C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E6FB83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004BACC1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722F2B9F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3C7FAF8A" w14:textId="77777777" w:rsidTr="0069731B">
        <w:tc>
          <w:tcPr>
            <w:tcW w:w="1668" w:type="dxa"/>
          </w:tcPr>
          <w:p w14:paraId="7BB5446B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40EB01C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2870A18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419B3886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7AD4459E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0AAD6C0E" w14:textId="77777777" w:rsidTr="0069731B">
        <w:tc>
          <w:tcPr>
            <w:tcW w:w="1668" w:type="dxa"/>
          </w:tcPr>
          <w:p w14:paraId="097E25C4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7B8181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241FA2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4CDE67A9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0B3BA81F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0CC96207" w14:textId="77777777" w:rsidTr="0069731B">
        <w:tc>
          <w:tcPr>
            <w:tcW w:w="1668" w:type="dxa"/>
          </w:tcPr>
          <w:p w14:paraId="3A1710CE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1EC7FC3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EE15EA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30CB5CB8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04B0C6DB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653D3123" w14:textId="77777777" w:rsidTr="0069731B">
        <w:tc>
          <w:tcPr>
            <w:tcW w:w="1668" w:type="dxa"/>
          </w:tcPr>
          <w:p w14:paraId="24C26F4D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2349EC2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BB64BF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7B14DF48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6AC6BC93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7BFABEA4" w14:textId="77777777" w:rsidTr="0069731B">
        <w:tc>
          <w:tcPr>
            <w:tcW w:w="1668" w:type="dxa"/>
          </w:tcPr>
          <w:p w14:paraId="7792EE8B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AD63ABD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984265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5737FF72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1A4FA1B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075A1924" w14:textId="77777777" w:rsidTr="0069731B">
        <w:tc>
          <w:tcPr>
            <w:tcW w:w="1668" w:type="dxa"/>
          </w:tcPr>
          <w:p w14:paraId="5D709462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2F968B7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5330AA5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422C57CC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3A3110B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E84B9" w14:textId="77777777" w:rsidR="00862B06" w:rsidRDefault="00862B06">
      <w:r>
        <w:separator/>
      </w:r>
    </w:p>
  </w:endnote>
  <w:endnote w:type="continuationSeparator" w:id="0">
    <w:p w14:paraId="4BF082F5" w14:textId="77777777" w:rsidR="00862B06" w:rsidRDefault="0086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EF497" w14:textId="77777777" w:rsidR="00862B06" w:rsidRDefault="00862B06">
      <w:r>
        <w:separator/>
      </w:r>
    </w:p>
  </w:footnote>
  <w:footnote w:type="continuationSeparator" w:id="0">
    <w:p w14:paraId="3ABBE5F2" w14:textId="77777777" w:rsidR="00862B06" w:rsidRDefault="0086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4511B"/>
    <w:rsid w:val="00172382"/>
    <w:rsid w:val="00182272"/>
    <w:rsid w:val="001A15E9"/>
    <w:rsid w:val="001C50E4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62B06"/>
    <w:rsid w:val="0088299B"/>
    <w:rsid w:val="008B03F8"/>
    <w:rsid w:val="0092063C"/>
    <w:rsid w:val="00923E1E"/>
    <w:rsid w:val="0092500E"/>
    <w:rsid w:val="00931244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719C9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51D4D"/>
    <w:rsid w:val="00E564F2"/>
    <w:rsid w:val="00E62D1D"/>
    <w:rsid w:val="00E66D29"/>
    <w:rsid w:val="00E82629"/>
    <w:rsid w:val="00E92DD4"/>
    <w:rsid w:val="00EB06D8"/>
    <w:rsid w:val="00EC79CA"/>
    <w:rsid w:val="00EE0AD5"/>
    <w:rsid w:val="00EE5F45"/>
    <w:rsid w:val="00EE60FF"/>
    <w:rsid w:val="00EF3CFE"/>
    <w:rsid w:val="00F30A2E"/>
    <w:rsid w:val="00F423EF"/>
    <w:rsid w:val="00F5734E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12</cp:revision>
  <cp:lastPrinted>2011-01-18T20:36:00Z</cp:lastPrinted>
  <dcterms:created xsi:type="dcterms:W3CDTF">2019-01-25T03:33:00Z</dcterms:created>
  <dcterms:modified xsi:type="dcterms:W3CDTF">2019-04-25T22:13:00Z</dcterms:modified>
</cp:coreProperties>
</file>