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PROGRAMACIÓN CURRICULAR ANUAL -2024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~ ( pon tu logo aquí )</w:t>
      </w: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DATOS GENERALES</w:t>
      </w: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tabs>
          <w:tab w:val="left" w:pos="1418" w:leader="none"/>
          <w:tab w:val="left" w:pos="3686" w:leader="none"/>
        </w:tabs>
        <w:spacing w:before="0" w:after="0" w:line="276"/>
        <w:ind w:right="0" w:left="1418" w:hanging="567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I.E.</w:t>
        <w:tab/>
        <w:t xml:space="preserve">: {</w:t>
      </w:r>
      <w:r>
        <w:rPr>
          <w:rFonts w:ascii="Consolas" w:hAnsi="Consolas" w:cs="Consolas" w:eastAsia="Consolas"/>
          <w:color w:val="ADBAC7"/>
          <w:spacing w:val="0"/>
          <w:position w:val="0"/>
          <w:sz w:val="21"/>
          <w:shd w:fill="auto" w:val="clear"/>
        </w:rPr>
        <w:t xml:space="preserve">institutionName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4"/>
        </w:numPr>
        <w:tabs>
          <w:tab w:val="left" w:pos="1418" w:leader="none"/>
          <w:tab w:val="left" w:pos="3686" w:leader="none"/>
        </w:tabs>
        <w:spacing w:before="0" w:after="0" w:line="276"/>
        <w:ind w:right="0" w:left="1418" w:hanging="567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UGEL</w:t>
        <w:tab/>
        <w:t xml:space="preserve">: {</w:t>
      </w:r>
      <w:r>
        <w:rPr>
          <w:rFonts w:ascii="Consolas" w:hAnsi="Consolas" w:cs="Consolas" w:eastAsia="Consolas"/>
          <w:color w:val="ADBAC7"/>
          <w:spacing w:val="0"/>
          <w:position w:val="0"/>
          <w:sz w:val="21"/>
          <w:u w:val="single"/>
          <w:shd w:fill="auto" w:val="clear"/>
        </w:rPr>
        <w:t xml:space="preserve">department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4"/>
        </w:numPr>
        <w:tabs>
          <w:tab w:val="left" w:pos="1418" w:leader="none"/>
          <w:tab w:val="left" w:pos="3686" w:leader="none"/>
        </w:tabs>
        <w:spacing w:before="0" w:after="0" w:line="276"/>
        <w:ind w:right="0" w:left="1418" w:hanging="567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Nivel</w:t>
        <w:tab/>
        <w:t xml:space="preserve">: {</w:t>
      </w:r>
      <w:r>
        <w:rPr>
          <w:rFonts w:ascii="Consolas" w:hAnsi="Consolas" w:cs="Consolas" w:eastAsia="Consolas"/>
          <w:color w:val="ADBAC7"/>
          <w:spacing w:val="0"/>
          <w:position w:val="0"/>
          <w:sz w:val="21"/>
          <w:shd w:fill="auto" w:val="clear"/>
        </w:rPr>
        <w:t xml:space="preserve">educationLevel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4"/>
        </w:numPr>
        <w:tabs>
          <w:tab w:val="left" w:pos="1418" w:leader="none"/>
          <w:tab w:val="left" w:pos="3686" w:leader="none"/>
        </w:tabs>
        <w:spacing w:before="0" w:after="0" w:line="276"/>
        <w:ind w:right="0" w:left="1418" w:hanging="567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Ciclo </w:t>
        <w:tab/>
        <w:t xml:space="preserve">: {averageAge}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4"/>
        </w:numPr>
        <w:tabs>
          <w:tab w:val="left" w:pos="1418" w:leader="none"/>
          <w:tab w:val="left" w:pos="3686" w:leader="none"/>
        </w:tabs>
        <w:spacing w:before="0" w:after="0" w:line="276"/>
        <w:ind w:right="0" w:left="1418" w:hanging="567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Grado y Sección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{</w:t>
      </w:r>
      <w:r>
        <w:rPr>
          <w:rFonts w:ascii="Consolas" w:hAnsi="Consolas" w:cs="Consolas" w:eastAsia="Consolas"/>
          <w:color w:val="ADBAC7"/>
          <w:spacing w:val="0"/>
          <w:position w:val="0"/>
          <w:sz w:val="21"/>
          <w:shd w:fill="auto" w:val="clear"/>
        </w:rPr>
        <w:t xml:space="preserve">academyLevel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4"/>
        </w:numPr>
        <w:tabs>
          <w:tab w:val="left" w:pos="1418" w:leader="none"/>
          <w:tab w:val="left" w:pos="3686" w:leader="none"/>
        </w:tabs>
        <w:spacing w:before="0" w:after="0" w:line="276"/>
        <w:ind w:right="0" w:left="1418" w:hanging="567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Profesor(es)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: {</w:t>
      </w:r>
      <w:r>
        <w:rPr>
          <w:rFonts w:ascii="Consolas" w:hAnsi="Consolas" w:cs="Consolas" w:eastAsia="Consolas"/>
          <w:i/>
          <w:color w:val="ADBAC7"/>
          <w:spacing w:val="0"/>
          <w:position w:val="0"/>
          <w:sz w:val="21"/>
          <w:shd w:fill="auto" w:val="clear"/>
        </w:rPr>
        <w:t xml:space="preserve">proffesorName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4"/>
        </w:numPr>
        <w:tabs>
          <w:tab w:val="left" w:pos="1418" w:leader="none"/>
          <w:tab w:val="left" w:pos="3686" w:leader="none"/>
        </w:tabs>
        <w:spacing w:before="0" w:after="0" w:line="276"/>
        <w:ind w:right="0" w:left="1418" w:hanging="567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Coordinador de nivel   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{</w:t>
      </w:r>
      <w:r>
        <w:rPr>
          <w:rFonts w:ascii="Consolas" w:hAnsi="Consolas" w:cs="Consolas" w:eastAsia="Consolas"/>
          <w:color w:val="ADBAC7"/>
          <w:spacing w:val="0"/>
          <w:position w:val="0"/>
          <w:sz w:val="21"/>
          <w:shd w:fill="auto" w:val="clear"/>
        </w:rPr>
        <w:t xml:space="preserve">city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1418" w:leader="none"/>
          <w:tab w:val="left" w:pos="3686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BASE LEGAL</w:t>
      </w:r>
    </w:p>
    <w:p>
      <w:pPr>
        <w:numPr>
          <w:ilvl w:val="0"/>
          <w:numId w:val="7"/>
        </w:numPr>
        <w:spacing w:before="0" w:after="160" w:line="279"/>
        <w:ind w:right="-2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Ley General de Educación N° 28044</w:t>
      </w:r>
    </w:p>
    <w:p>
      <w:pPr>
        <w:numPr>
          <w:ilvl w:val="0"/>
          <w:numId w:val="7"/>
        </w:numPr>
        <w:spacing w:before="0" w:after="160" w:line="279"/>
        <w:ind w:right="-2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Ley General de Educación N° 28044 </w:t>
      </w:r>
    </w:p>
    <w:p>
      <w:pPr>
        <w:numPr>
          <w:ilvl w:val="0"/>
          <w:numId w:val="7"/>
        </w:numPr>
        <w:spacing w:before="0" w:after="160" w:line="279"/>
        <w:ind w:right="-2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Ley N° 26549, Ley de Centros Educativos Privados </w:t>
      </w:r>
    </w:p>
    <w:p>
      <w:pPr>
        <w:numPr>
          <w:ilvl w:val="0"/>
          <w:numId w:val="7"/>
        </w:numPr>
        <w:spacing w:before="0" w:after="160" w:line="279"/>
        <w:ind w:right="-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Decreto Supremo N° 005-2021-MINEDU, Decreto Supremo que aprueba el Reglamento de las Instituciones Educativas Privadas de Educación Básica.</w:t>
      </w:r>
    </w:p>
    <w:p>
      <w:pPr>
        <w:numPr>
          <w:ilvl w:val="0"/>
          <w:numId w:val="7"/>
        </w:numPr>
        <w:spacing w:before="0" w:after="160" w:line="279"/>
        <w:ind w:right="-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Resolución Ministerial N° 281-2016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MINEDU, por la que se aprueba el Currículo Nacional de Educación Básica Regular. </w:t>
      </w:r>
    </w:p>
    <w:p>
      <w:pPr>
        <w:numPr>
          <w:ilvl w:val="0"/>
          <w:numId w:val="7"/>
        </w:numPr>
        <w:spacing w:before="0" w:after="160" w:line="279"/>
        <w:ind w:right="-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Resolución Ministerial N° 629-2016- MINEDU, que aprueba el Programa Curricular para la Educación Inicial, Primaria y Secundaria </w:t>
      </w:r>
    </w:p>
    <w:p>
      <w:pPr>
        <w:numPr>
          <w:ilvl w:val="0"/>
          <w:numId w:val="7"/>
        </w:numPr>
        <w:spacing w:before="0" w:after="160" w:line="279"/>
        <w:ind w:right="-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Resolución Ministerial N° 159-2017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MINEDU que modifica el Curr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ículo Nacional de Educación Básica </w:t>
      </w:r>
    </w:p>
    <w:p>
      <w:pPr>
        <w:numPr>
          <w:ilvl w:val="0"/>
          <w:numId w:val="7"/>
        </w:numPr>
        <w:spacing w:before="0" w:after="160" w:line="279"/>
        <w:ind w:right="-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Resolución Viceministerial N° 094-2020-MINEDU, Norma que regula la Evaluación de las Competencias de los Estudiantes de Educación Básica </w:t>
      </w:r>
    </w:p>
    <w:p>
      <w:pPr>
        <w:numPr>
          <w:ilvl w:val="0"/>
          <w:numId w:val="7"/>
        </w:numPr>
        <w:spacing w:before="0" w:after="160" w:line="279"/>
        <w:ind w:right="-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Resolución Viceministerial N° 212-2020-MINEDU, que aprueba los “Lineamientos para la Tutoría y Orientación Educativa para la Educación Básica” </w:t>
      </w:r>
    </w:p>
    <w:p>
      <w:pPr>
        <w:numPr>
          <w:ilvl w:val="0"/>
          <w:numId w:val="7"/>
        </w:numPr>
        <w:spacing w:before="0" w:after="160" w:line="279"/>
        <w:ind w:right="-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Resolución Viceministerial N° 211-2021-MINEDU, por la que se aprueba el documento normativo “Lineamientos para el Aprendizaje en el Hogar, el Aprendizaje en la Escuela y el Aprendizaje en la Comunidad” </w:t>
      </w:r>
    </w:p>
    <w:p>
      <w:pPr>
        <w:numPr>
          <w:ilvl w:val="0"/>
          <w:numId w:val="7"/>
        </w:numPr>
        <w:spacing w:before="0" w:after="160" w:line="279"/>
        <w:ind w:right="-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Resolución Viceministerial N° 222-2021-MINEDU, por la que se aprueba el documento normativo “Lineamientos para la diversificación curricular en la Educación Básica”.  </w:t>
      </w:r>
    </w:p>
    <w:p>
      <w:pPr>
        <w:numPr>
          <w:ilvl w:val="0"/>
          <w:numId w:val="7"/>
        </w:numPr>
        <w:spacing w:before="0" w:after="160" w:line="279"/>
        <w:ind w:right="-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Resolución Ministerial N° 263-2021-MINEDU, por la que se aprueban los “Lineamientos que establecen las condiciones básicas para la prestación de los servicios educativos en la Educación Básica”  </w:t>
      </w:r>
    </w:p>
    <w:p>
      <w:pPr>
        <w:numPr>
          <w:ilvl w:val="0"/>
          <w:numId w:val="7"/>
        </w:numPr>
        <w:spacing w:before="0" w:after="160" w:line="279"/>
        <w:ind w:right="-2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CARTA OFICIAL MÚLTIPLE NO. 00035-2021-MINEDU/VMGI-DIGC. ACTUALIZACIÓN DE LA “GUÍA PARA LA GESTIÓN ESCOLAR EN II.EE. Y PROGRAMAS DE EDUCACIÓN BÁSICA” </w:t>
      </w:r>
    </w:p>
    <w:p>
      <w:pPr>
        <w:numPr>
          <w:ilvl w:val="0"/>
          <w:numId w:val="7"/>
        </w:numPr>
        <w:spacing w:before="0" w:after="160" w:line="279"/>
        <w:ind w:right="-2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Resolución Ministerial N° 587-2023-MINEDU, que aprueba el documento normativo denominado "Lineamientos para la prestación del servicio educativo en instituciones y programas educativos de Educación Básica para el año 2024”. </w:t>
      </w:r>
    </w:p>
    <w:p>
      <w:pPr>
        <w:spacing w:before="0" w:after="160" w:line="279"/>
        <w:ind w:right="-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-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-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PERFIL DEL EGRESADO </w:t>
      </w:r>
    </w:p>
    <w:p>
      <w:pPr>
        <w:spacing w:before="0" w:after="160" w:line="279"/>
        <w:ind w:right="-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Los estudiantes se reconocen como personas valiosas y se identifican con su cultura en diferentes contextos. </w:t>
      </w:r>
    </w:p>
    <w:p>
      <w:pPr>
        <w:spacing w:before="0" w:after="160" w:line="279"/>
        <w:ind w:right="-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Los estudiantes promueven la vida en democracia a partir del reconocimiento de sus derechos y deberes y la comprensión de los procesos históricos y sociales de nuestro país y del mundo.  </w:t>
      </w:r>
    </w:p>
    <w:p>
      <w:pPr>
        <w:spacing w:before="0" w:after="160" w:line="279"/>
        <w:ind w:right="-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 estudiante practica una vida activa y saludable para su bienestar, cuida su cuerpo e interactúa respetuosamente en la práctica de diferentes actividades físicas, diarias o deportivas. </w:t>
      </w:r>
    </w:p>
    <w:p>
      <w:pPr>
        <w:spacing w:before="0" w:after="160" w:line="279"/>
        <w:ind w:right="-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 estudiante aprecia las manifestaciones artístico-culturales para comprender el aporte del arte a la cultura y la sociedad, y crea proyectos artísticos utilizando los diversos lenguajes del arte para comunicar sus ideas a los demás. </w:t>
      </w:r>
    </w:p>
    <w:p>
      <w:pPr>
        <w:spacing w:before="0" w:after="160" w:line="279"/>
        <w:ind w:right="-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 estudiante investiga y comprende el mundo natural y artificial utilizando el conocimiento científico en diálogo con el conocimiento local para mejorar la calidad de vida y el cuidado de la naturaleza. </w:t>
      </w:r>
    </w:p>
    <w:p>
      <w:pPr>
        <w:spacing w:before="0" w:after="160" w:line="279"/>
        <w:ind w:right="-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Los estudiantes interpretan la realidad y toman decisiones basadas en conocimientos matemáticos que aportan a su contexto. </w:t>
      </w:r>
    </w:p>
    <w:p>
      <w:pPr>
        <w:spacing w:before="0" w:after="160" w:line="279"/>
        <w:ind w:right="-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Los estudiantes se comunican en su lengua materna, en español como segunda lengua3 y en inglés como lengua extranjera de manera asertiva y responsable para interactuar con otras personas en diferentes contextos y con diferentes propósitos. </w:t>
      </w:r>
    </w:p>
    <w:p>
      <w:pPr>
        <w:spacing w:before="0" w:after="160" w:line="279"/>
        <w:ind w:right="-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 estudiante comprende y aprecia la dimensión espiritual y religiosa en la vida de los individuos y las sociedades. </w:t>
      </w:r>
    </w:p>
    <w:p>
      <w:pPr>
        <w:spacing w:before="0" w:after="160" w:line="279"/>
        <w:ind w:right="-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Los estudiantes gestionan de forma ética proyectos de emprendimiento económico o social, que les permitan articularse con el mundo laboral y con el desarrollo social, económico y ambiental del entorno. </w:t>
      </w:r>
    </w:p>
    <w:p>
      <w:pPr>
        <w:spacing w:before="0" w:after="160" w:line="279"/>
        <w:ind w:right="-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Los estudiantes aprovechan responsablemente las tecnologías de la información y la comunicación (TIC) para interactuar con la información, gestionar su comunicación y aprendizaje. </w:t>
      </w:r>
    </w:p>
    <w:p>
      <w:pPr>
        <w:spacing w:before="0" w:after="160" w:line="279"/>
        <w:ind w:right="-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Los estudiantes desarrollan procesos de aprendizaje autónomos de forma permanente para la mejora continua de su proceso de aprendizaje y de sus resultados. </w:t>
      </w:r>
    </w:p>
    <w:p>
      <w:pPr>
        <w:spacing w:before="0" w:after="160" w:line="279"/>
        <w:ind w:right="-2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CHARACTERIZATION OF STUDENTS (BY CYCLE)</w:t>
      </w:r>
    </w:p>
    <w:p>
      <w:pPr>
        <w:tabs>
          <w:tab w:val="left" w:pos="851" w:leader="none"/>
        </w:tabs>
        <w:spacing w:before="0" w:after="0" w:line="276"/>
        <w:ind w:right="0" w:left="85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85"/>
        <w:ind w:right="-20" w:left="-20" w:firstLine="0"/>
        <w:jc w:val="both"/>
        <w:rPr>
          <w:rFonts w:ascii="Consolas" w:hAnsi="Consolas" w:cs="Consolas" w:eastAsia="Consolas"/>
          <w:color w:val="ADBAC7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DBAC7"/>
          <w:spacing w:val="0"/>
          <w:position w:val="0"/>
          <w:sz w:val="21"/>
          <w:shd w:fill="auto" w:val="clear"/>
        </w:rPr>
        <w:t xml:space="preserve">{characteristics}</w:t>
      </w:r>
    </w:p>
    <w:p>
      <w:pPr>
        <w:spacing w:before="0" w:after="160" w:line="285"/>
        <w:ind w:right="-20" w:left="-20" w:firstLine="0"/>
        <w:jc w:val="both"/>
        <w:rPr>
          <w:rFonts w:ascii="Consolas" w:hAnsi="Consolas" w:cs="Consolas" w:eastAsia="Consolas"/>
          <w:color w:val="ADBAC7"/>
          <w:spacing w:val="0"/>
          <w:position w:val="0"/>
          <w:sz w:val="21"/>
          <w:shd w:fill="auto" w:val="clear"/>
        </w:rPr>
      </w:pPr>
    </w:p>
    <w:p>
      <w:pPr>
        <w:spacing w:before="0" w:after="160" w:line="285"/>
        <w:ind w:right="-20" w:left="-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85"/>
        <w:ind w:right="-20" w:left="-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ENFOQUE TRANSVERSAL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689"/>
        <w:gridCol w:w="2835"/>
        <w:gridCol w:w="7229"/>
      </w:tblGrid>
      <w:tr>
        <w:trPr>
          <w:trHeight w:val="1" w:hRule="atLeast"/>
          <w:jc w:val="center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VALORES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ACTITUDES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 DERECHOS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Conciencia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 derechos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Disposición a conocer, reconocer y valorar los derechos individuales y colectivos que tenemos las personas en el ámbito privado y público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Libertad 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responsabilidad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Disposición a elegir de manera voluntaria y responsable la propia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forma de actuar dentro de una sociedad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Diálogo 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concertación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Disposición a conversar con otras personas, intercambiando ideas o afectos de modo alternativo para construir juntos una postura común</w:t>
            </w:r>
          </w:p>
        </w:tc>
      </w:tr>
      <w:tr>
        <w:trPr>
          <w:trHeight w:val="301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INCLUSIVO O ATENCIÓN A LA DIVERSIDAD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Respeto por las diferencias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Reconocimiento al valor inherente de cada persona y de sus derechos, por encima de cualquier diferencia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Equidad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 la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enseñanza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Disposición a enseñar ofreciendo a los estudiantes las condiciones y oportunidades que cada uno necesita para lograr los mismos resultados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Confianza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 la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persona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Disposición a depositar expectativas en una persona, creyendo sinceramente en su capacidad de superación y crecimiento por sobre cualquier circunstancia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INTERCULTURAL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Respeto 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la identidad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cultural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Reconocimiento al valor de las diversas identidades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culturales y relaciones de pertenencia de los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estudiantes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Justicia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Disposición a actuar de manera justa, respetando el derecho de todos, exigiendo sus propios derechos y reconociendo derechos a quienes les corresponde</w:t>
            </w: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Diálogo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intercultural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Fomento de una interacción equitativa entre diversas culturas, mediante el diálogo y el respeto mutuo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IGUALDAD DE GÉNERO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Igualdad 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Dignidad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Reconocimiento al valor inherente de cada persona, por encima de cualquier diferencia de género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Justicia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Disposición a actuar de modo que se dé a cada quien lo que le corresponde, en especial a quienes se ven perjudicados por las desigualdades de género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Empatía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Reconoce y valora las emociones y necesidades afectivas de los otros/as y muestra sensibilidad ante ellas al identificar situaciones de desigualdad de género, evidenciando así la capacidad de comprender o acompañar a las personas en dichas emociones o necesidades afectivas.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AMBIENTAL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Solidaridad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planetaria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 equidad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intergeneracional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Disposición para colaborar con el bienestar y la calidad de vida de las generaciones presentes y futuras, así como con la naturaleza asumiendo el cuidado del planeta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Justicia 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solidaridad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Disposición a evaluar los impactos y costos ambientales de las acciones y actividades cotidianas, y a actuar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 beneficio de todas las personas, así como de los sistemas, instituciones y medios compartidos de los que todos dependemos.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Respeto a toda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forma de vida</w:t>
            </w: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Aprecio, valoración y disposición para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 cuidado a toda forma de vida sobre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la Tierra desde una mirada sistémica 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global, revalorando los saberes ancestrales.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ORIENTACIÓN AL BIEN COMÚN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Equidad y justicia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Disposición a reconocer a que ante situaciones de inicio diferentes, se requieren compensaciones a aquellos con mayores dificultades</w:t>
            </w: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Solidaridad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Disposición a apoyar incondicionalmente a personas en situaciones comprometidas o difíciles</w:t>
            </w: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Empatía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Identificación afectiva con los sentimientos del otro y disposición para apoyar y comprender sus circunstancias</w:t>
            </w:r>
          </w:p>
        </w:tc>
      </w:tr>
      <w:tr>
        <w:trPr>
          <w:trHeight w:val="1" w:hRule="atLeast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Responsabilidad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Disposición a valorar y proteger los bienes comunes y compartidos de un colectivo</w:t>
            </w:r>
          </w:p>
        </w:tc>
      </w:tr>
      <w:tr>
        <w:trPr>
          <w:trHeight w:val="276" w:hRule="auto"/>
          <w:jc w:val="center"/>
        </w:trPr>
        <w:tc>
          <w:tcPr>
            <w:tcW w:w="26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BÚSQUEDA DE LA EXCELENCIA</w:t>
            </w: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Flexibilidad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 apertura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Disposición para adaptarse a los cambios, modificando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 fuera necesario la propia conducta para alcanzar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determinados objetivos cuando surgen dificultades,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información no conocida o situaciones nuevas</w:t>
            </w:r>
          </w:p>
        </w:tc>
      </w:tr>
      <w:tr>
        <w:trPr>
          <w:trHeight w:val="269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9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Superación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personal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Disposición a adquirir cualidades que mejorarán el propio desempeño y aumentarán el estado de satisfacción consigo mismo y con las circunstancias</w:t>
            </w:r>
          </w:p>
        </w:tc>
      </w:tr>
      <w:tr>
        <w:trPr>
          <w:trHeight w:val="230" w:hRule="auto"/>
          <w:jc w:val="center"/>
        </w:trPr>
        <w:tc>
          <w:tcPr>
            <w:tcW w:w="26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85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DESCRIPTION OF THE AREA AND ITS COMPETENCIES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85"/>
        <w:ind w:right="-20" w:left="-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Consolas" w:hAnsi="Consolas" w:cs="Consolas" w:eastAsia="Consolas"/>
          <w:color w:val="ADBAC7"/>
          <w:spacing w:val="0"/>
          <w:position w:val="0"/>
          <w:sz w:val="21"/>
          <w:shd w:fill="auto" w:val="clear"/>
        </w:rPr>
        <w:t xml:space="preserve">acdescription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144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TABLE OF COMPETENCIES, CAPABILITIES, AND STANDARDS </w:t>
      </w:r>
    </w:p>
    <w:p>
      <w:pPr>
        <w:spacing w:before="0" w:after="200" w:line="276"/>
        <w:ind w:right="0" w:left="64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78"/>
        <w:gridCol w:w="1105"/>
        <w:gridCol w:w="1136"/>
        <w:gridCol w:w="3316"/>
        <w:gridCol w:w="2924"/>
      </w:tblGrid>
      <w:tr>
        <w:trPr>
          <w:trHeight w:val="300" w:hRule="auto"/>
          <w:jc w:val="left"/>
        </w:trPr>
        <w:tc>
          <w:tcPr>
            <w:tcW w:w="878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AREA</w:t>
            </w:r>
          </w:p>
        </w:tc>
        <w:tc>
          <w:tcPr>
            <w:tcW w:w="8481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LEARNING PURPOSES</w:t>
            </w:r>
          </w:p>
        </w:tc>
      </w:tr>
      <w:tr>
        <w:trPr>
          <w:trHeight w:val="300" w:hRule="auto"/>
          <w:jc w:val="left"/>
        </w:trPr>
        <w:tc>
          <w:tcPr>
            <w:tcW w:w="878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COMPETENCES</w:t>
            </w:r>
          </w:p>
        </w:tc>
        <w:tc>
          <w:tcPr>
            <w:tcW w:w="11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CAPABILITIES</w:t>
            </w:r>
          </w:p>
        </w:tc>
        <w:tc>
          <w:tcPr>
            <w:tcW w:w="33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CYCLE LEARNING STANDARD (CONTAINS COMPLEX PERFORMANCES)</w:t>
            </w:r>
          </w:p>
        </w:tc>
        <w:tc>
          <w:tcPr>
            <w:tcW w:w="2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b08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GRADE PERFORMANCES (LIMITED)</w:t>
            </w:r>
          </w:p>
        </w:tc>
      </w:tr>
    </w:tbl>
    <w:p>
      <w:pPr>
        <w:spacing w:before="0" w:after="160" w:line="285"/>
        <w:ind w:right="-20" w:left="-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{</w:t>
      </w:r>
      <w:r>
        <w:rPr>
          <w:rFonts w:ascii="Consolas" w:hAnsi="Consolas" w:cs="Consolas" w:eastAsia="Consolas"/>
          <w:color w:val="ADBAC7"/>
          <w:spacing w:val="0"/>
          <w:position w:val="0"/>
          <w:sz w:val="21"/>
          <w:shd w:fill="auto" w:val="clear"/>
        </w:rPr>
        <w:t xml:space="preserve">learningPurposes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85"/>
        <w:ind w:right="-20" w:left="-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85"/>
        <w:ind w:right="-20" w:left="-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Métodos y estrategias</w:t>
      </w:r>
    </w:p>
    <w:p>
      <w:pPr>
        <w:spacing w:before="0" w:after="160" w:line="285"/>
        <w:ind w:right="-20" w:left="-20" w:firstLine="0"/>
        <w:jc w:val="both"/>
        <w:rPr>
          <w:rFonts w:ascii="Consolas" w:hAnsi="Consolas" w:cs="Consolas" w:eastAsia="Consolas"/>
          <w:color w:val="ADBAC7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DBAC7"/>
          <w:spacing w:val="0"/>
          <w:position w:val="0"/>
          <w:sz w:val="21"/>
          <w:shd w:fill="auto" w:val="clear"/>
        </w:rPr>
        <w:t xml:space="preserve">{methodsStrategies}</w:t>
      </w:r>
    </w:p>
    <w:p>
      <w:pPr>
        <w:spacing w:before="0" w:after="160" w:line="285"/>
        <w:ind w:right="-20" w:left="-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0"/>
        </w:numPr>
        <w:tabs>
          <w:tab w:val="left" w:pos="851" w:leader="none"/>
        </w:tabs>
        <w:spacing w:before="0" w:after="0" w:line="276"/>
        <w:ind w:right="0" w:left="851" w:hanging="49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MATERIALS AND/OR RESOURCES</w:t>
      </w:r>
    </w:p>
    <w:tbl>
      <w:tblPr>
        <w:tblInd w:w="840" w:type="dxa"/>
      </w:tblPr>
      <w:tblGrid>
        <w:gridCol w:w="4685"/>
        <w:gridCol w:w="4675"/>
      </w:tblGrid>
      <w:tr>
        <w:trPr>
          <w:trHeight w:val="300" w:hRule="auto"/>
          <w:jc w:val="left"/>
        </w:trPr>
        <w:tc>
          <w:tcPr>
            <w:tcW w:w="4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MATERIALS</w:t>
            </w:r>
          </w:p>
        </w:tc>
        <w:tc>
          <w:tcPr>
            <w:tcW w:w="46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RESOURCES</w:t>
            </w:r>
          </w:p>
        </w:tc>
      </w:tr>
      <w:tr>
        <w:trPr>
          <w:trHeight w:val="300" w:hRule="auto"/>
          <w:jc w:val="left"/>
        </w:trPr>
        <w:tc>
          <w:tcPr>
            <w:tcW w:w="46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85"/>
              <w:ind w:right="-20" w:left="-2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ADBAC7"/>
                <w:spacing w:val="0"/>
                <w:position w:val="0"/>
                <w:sz w:val="21"/>
                <w:shd w:fill="auto" w:val="clear"/>
              </w:rPr>
              <w:t xml:space="preserve">materials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467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   {resources}</w:t>
            </w:r>
          </w:p>
        </w:tc>
      </w:tr>
    </w:tbl>
    <w:p>
      <w:pPr>
        <w:tabs>
          <w:tab w:val="left" w:pos="851" w:leader="none"/>
        </w:tabs>
        <w:spacing w:before="0" w:after="0" w:line="276"/>
        <w:ind w:right="0" w:left="85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76"/>
        <w:ind w:right="0" w:left="851" w:hanging="491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SOURCES OF INFORMATION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851" w:leader="none"/>
        </w:tabs>
        <w:spacing w:before="0" w:after="0" w:line="276"/>
        <w:ind w:right="0" w:left="851" w:hanging="491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840" w:type="dxa"/>
      </w:tblPr>
      <w:tblGrid>
        <w:gridCol w:w="9360"/>
      </w:tblGrid>
      <w:tr>
        <w:trPr>
          <w:trHeight w:val="300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BIBLIOGRAPHY and/or TEACHER WEBOGRAPHY </w:t>
            </w:r>
          </w:p>
        </w:tc>
      </w:tr>
      <w:tr>
        <w:trPr>
          <w:trHeight w:val="300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85"/>
              <w:ind w:right="-20" w:left="-2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DBAC7"/>
                <w:spacing w:val="0"/>
                <w:position w:val="0"/>
                <w:sz w:val="21"/>
                <w:shd w:fill="auto" w:val="clear"/>
              </w:rPr>
              <w:t xml:space="preserve">{bibliography}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85"/>
        <w:ind w:right="-20" w:left="-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85"/>
        <w:ind w:right="-20" w:left="-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85"/>
        <w:ind w:right="-20" w:left="-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85"/>
        <w:ind w:right="-20" w:left="-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tbl>
      <w:tblPr>
        <w:tblInd w:w="840" w:type="dxa"/>
      </w:tblPr>
      <w:tblGrid>
        <w:gridCol w:w="3103"/>
        <w:gridCol w:w="6256"/>
      </w:tblGrid>
      <w:tr>
        <w:trPr>
          <w:trHeight w:val="1410" w:hRule="auto"/>
          <w:jc w:val="left"/>
        </w:trPr>
        <w:tc>
          <w:tcPr>
            <w:tcW w:w="31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4" w:type="dxa"/>
              <w:right w:w="10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________________________________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Prof. </w:t>
            </w:r>
          </w:p>
        </w:tc>
        <w:tc>
          <w:tcPr>
            <w:tcW w:w="6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4" w:type="dxa"/>
              <w:right w:w="10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________________________________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Prof. </w:t>
            </w:r>
          </w:p>
        </w:tc>
      </w:tr>
      <w:tr>
        <w:trPr>
          <w:trHeight w:val="1560" w:hRule="auto"/>
          <w:jc w:val="left"/>
        </w:trPr>
        <w:tc>
          <w:tcPr>
            <w:tcW w:w="31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4" w:type="dxa"/>
              <w:right w:w="10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________________________________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VºBº Prof.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Deputy Academic Director</w:t>
            </w:r>
          </w:p>
        </w:tc>
        <w:tc>
          <w:tcPr>
            <w:tcW w:w="62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4" w:type="dxa"/>
              <w:right w:w="10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85"/>
        <w:ind w:right="-20" w:left="-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7">
    <w:abstractNumId w:val="6"/>
  </w:num>
  <w:num w:numId="1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