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pPr>
      <w:r>
        <w:t xml:space="preserve"/>
      </w:r>
    </w:p>
    <w:p>
      <w:pPr>
        <w:spacing w:after="160" w:before="0"/>
        <w:jc w:val="center"/>
      </w:pPr>
      <w:r>
        <w:rPr>
          <w:rFonts w:ascii="Times New Roman" w:cs="Times New Roman" w:eastAsia="Times New Roman" w:hAnsi="Times New Roman"/>
          <w:b/>
          <w:bCs/>
          <w:sz w:val="32"/>
          <w:szCs w:val="32"/>
        </w:rPr>
        <w:t xml:space="preserve">GNN-Based Image Classification via Superpixel Graphs for Robotic Object Recognition</w:t>
      </w:r>
    </w:p>
    <w:p>
      <w:pPr>
        <w:spacing w:after="40" w:before="40"/>
        <w:jc w:val="center"/>
      </w:pPr>
      <w:r>
        <w:rPr>
          <w:rFonts w:ascii="Times New Roman" w:cs="Times New Roman" w:eastAsia="Times New Roman" w:hAnsi="Times New Roman"/>
          <w:b/>
          <w:bCs/>
          <w:sz w:val="22"/>
          <w:szCs w:val="22"/>
        </w:rPr>
        <w:t xml:space="preserve">Harmit Patel</w:t>
      </w:r>
    </w:p>
    <w:p>
      <w:pPr>
        <w:spacing w:after="40" w:before="40"/>
        <w:jc w:val="center"/>
      </w:pPr>
      <w:r>
        <w:rPr>
          <w:rFonts w:ascii="Times New Roman" w:cs="Times New Roman" w:eastAsia="Times New Roman" w:hAnsi="Times New Roman"/>
          <w:sz w:val="20"/>
          <w:szCs w:val="20"/>
        </w:rPr>
        <w:t xml:space="preserve">Department of Computer Science, University of Windsor</w:t>
      </w:r>
    </w:p>
    <w:p>
      <w:pPr>
        <w:spacing w:after="40" w:before="40"/>
        <w:jc w:val="center"/>
      </w:pPr>
      <w:r>
        <w:rPr>
          <w:rFonts w:ascii="Times New Roman" w:cs="Times New Roman" w:eastAsia="Times New Roman" w:hAnsi="Times New Roman"/>
          <w:sz w:val="20"/>
          <w:szCs w:val="20"/>
        </w:rPr>
        <w:t xml:space="preserve">Windsor, Ontario, Canada</w:t>
      </w:r>
    </w:p>
    <w:p>
      <w:pPr>
        <w:spacing w:after="40" w:before="40"/>
        <w:jc w:val="center"/>
      </w:pPr>
      <w:r>
        <w:rPr>
          <w:rFonts w:ascii="Times New Roman" w:cs="Times New Roman" w:eastAsia="Times New Roman" w:hAnsi="Times New Roman"/>
          <w:sz w:val="20"/>
          <w:szCs w:val="20"/>
        </w:rPr>
        <w:t xml:space="preserve">patel62b@uwindsor.ca</w:t>
      </w:r>
    </w:p>
    <w:p>
      <w:pPr>
        <w:spacing w:after="0" w:before="80"/>
      </w:pPr>
      <w:r>
        <w:t xml:space="preserve"/>
      </w:r>
    </w:p>
    <w:p>
      <w:pPr>
        <w:spacing w:after="80" w:before="0"/>
        <w:jc w:val="center"/>
      </w:pPr>
      <w:r>
        <w:rPr>
          <w:rFonts w:ascii="Times New Roman" w:cs="Times New Roman" w:eastAsia="Times New Roman" w:hAnsi="Times New Roman"/>
          <w:b/>
          <w:bCs/>
          <w:sz w:val="22"/>
          <w:szCs w:val="22"/>
        </w:rPr>
        <w:t xml:space="preserve">Abstract</w:t>
      </w:r>
    </w:p>
    <w:p>
      <w:pPr>
        <w:spacing w:after="120" w:before="0"/>
        <w:ind w:left="720" w:right="720"/>
        <w:jc w:val="both"/>
      </w:pPr>
      <w:r>
        <w:rPr>
          <w:rFonts w:ascii="Times New Roman" w:cs="Times New Roman" w:eastAsia="Times New Roman" w:hAnsi="Times New Roman"/>
          <w:sz w:val="18"/>
          <w:szCs w:val="18"/>
        </w:rPr>
        <w:t xml:space="preserve">Object recognition is a fundamental capability for autonomous robotic systems operating in household environments. Traditional convolutional neural network (CNN) approaches treat images as regular grids, discarding the irregular spatial structure of real-world scenes. This paper investigates an alternative graph-based representation in which images are first segmented into superpixels using the Simple Linear Iterative Clustering (SLIC) algorithm, and each superpixel is modeled as a node in a graph with edges connecting spatially adjacent regions. Three Graph Neural Network (GNN) architectures are trained and compared on this representation using the CIFAR-10 benchmark: a baseline GNN based on GraphSAGE, a Graph Convolutional Network (GCN), and a Graph Attention Network (GAT). Experiments with 2,000 training and 500 test samples show that GCN achieves the highest test accuracy of 29.40%, outperforming GAT (25.20%) and the baseline GNN (20.60%). The results demonstrate that spectral graph convolution captures spatially meaningful features more effectively than attention-based aggregation under the constrained graph representations derived from low-resolution superpixels. This work establishes a foundation for graph-based visual perception modules that can be integrated into broader robotic action pipelines.</w:t>
      </w:r>
    </w:p>
    <w:p>
      <w:pPr>
        <w:spacing w:after="120" w:before="0"/>
        <w:ind w:left="720" w:right="7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—Graph Neural Networks, Superpixel Segmentation, SLIC, GCN, GAT, GraphSAGE, Object Recognition, Robotics, CIFAR-10.</w:t>
      </w:r>
    </w:p>
    <w:p>
      <w:pPr>
        <w:spacing w:after="120" w:before="240"/>
        <w:jc w:val="left"/>
      </w:pPr>
      <w:r>
        <w:rPr>
          <w:rFonts w:ascii="Times New Roman" w:cs="Times New Roman" w:eastAsia="Times New Roman" w:hAnsi="Times New Roman"/>
          <w:b/>
          <w:bCs/>
          <w:sz w:val="26"/>
          <w:szCs w:val="26"/>
        </w:rPr>
        <w:t xml:space="preserve">I. Introduction</w:t>
      </w:r>
    </w:p>
    <w:p>
      <w:pPr>
        <w:spacing w:after="60" w:before="60"/>
        <w:jc w:val="both"/>
      </w:pPr>
      <w:r>
        <w:rPr>
          <w:rFonts w:ascii="Times New Roman" w:cs="Times New Roman" w:eastAsia="Times New Roman" w:hAnsi="Times New Roman"/>
          <w:sz w:val="20"/>
          <w:szCs w:val="20"/>
        </w:rPr>
        <w:t xml:space="preserve">The ability of a robotic system to correctly identify objects in its environment is a prerequisite for tasks ranging from item retrieval to manipulation and household chore automation. Modern domestic robots such as the Tesla Optimus and Amazon Astro rely on robust visual perception pipelines that must operate reliably under varying lighting conditions, viewpoints, and occlusions. While deep convolutional neural networks (CNNs) have achieved remarkable performance on standard image classification benchmarks, their reliance on fixed-grid pixel representations limits their ability to explicitly model the spatial relationships between semantically meaningful image regions.</w:t>
      </w:r>
    </w:p>
    <w:p>
      <w:pPr>
        <w:spacing w:after="60" w:before="60"/>
        <w:jc w:val="both"/>
      </w:pPr>
      <w:r>
        <w:rPr>
          <w:rFonts w:ascii="Times New Roman" w:cs="Times New Roman" w:eastAsia="Times New Roman" w:hAnsi="Times New Roman"/>
          <w:sz w:val="20"/>
          <w:szCs w:val="20"/>
        </w:rPr>
        <w:t xml:space="preserve">Graph Neural Networks (GNNs) offer a compelling alternative by operating directly on graph-structured data, enabling models to reason about entities (nodes) and their relationships (edges) in an explicit, flexible manner. When applied to images, graphs can be constructed from superpixels—compact, perceptually uniform regions produced by algorithms such as SLIC [1]—whereby each superpixel becomes a node and adjacency between regions defines the edge structure. This representation is more compact than per-pixel grids, captures irregular shapes naturally, and allows GNNs to propagate information along semantically meaningful boundaries.</w:t>
      </w:r>
    </w:p>
    <w:p>
      <w:pPr>
        <w:spacing w:after="60" w:before="60"/>
        <w:jc w:val="both"/>
      </w:pPr>
      <w:r>
        <w:rPr>
          <w:rFonts w:ascii="Times New Roman" w:cs="Times New Roman" w:eastAsia="Times New Roman" w:hAnsi="Times New Roman"/>
          <w:sz w:val="20"/>
          <w:szCs w:val="20"/>
        </w:rPr>
        <w:t xml:space="preserve">This paper presents a systematic comparison of three GNN architectures applied to superpixel graph classification: (i) a baseline GNN using GraphSAGE [2] neighborhood aggregation, (ii) a Graph Convolutional Network (GCN) [3] based on spectral convolution, and (iii) a Graph Attention Network (GAT) [4] that learns to weight neighbor contributions via an attention mechanism. All models are evaluated on the CIFAR-10 dataset [5], with images converted to superpixel graphs as a pre-processing step. The primary contributions of this work are:</w:t>
      </w:r>
    </w:p>
    <w:p>
      <w:pPr>
        <w:pStyle w:val="ListParagraph"/>
        <w:numPr>
          <w:ilvl w:val="0"/>
          <w:numId w:val="2"/>
        </w:numPr>
        <w:spacing w:after="40" w:before="40"/>
      </w:pPr>
      <w:r>
        <w:rPr>
          <w:rFonts w:ascii="Times New Roman" w:cs="Times New Roman" w:eastAsia="Times New Roman" w:hAnsi="Times New Roman"/>
          <w:sz w:val="20"/>
          <w:szCs w:val="20"/>
        </w:rPr>
        <w:t xml:space="preserve">A complete pipeline for converting RGB images into superpixel graphs using the SLIC algorithm, with node features encoding mean RGB color and normalized spatial position.</w:t>
      </w:r>
    </w:p>
    <w:p>
      <w:pPr>
        <w:pStyle w:val="ListParagraph"/>
        <w:numPr>
          <w:ilvl w:val="0"/>
          <w:numId w:val="2"/>
        </w:numPr>
        <w:spacing w:after="40" w:before="40"/>
      </w:pPr>
      <w:r>
        <w:rPr>
          <w:rFonts w:ascii="Times New Roman" w:cs="Times New Roman" w:eastAsia="Times New Roman" w:hAnsi="Times New Roman"/>
          <w:sz w:val="20"/>
          <w:szCs w:val="20"/>
        </w:rPr>
        <w:t xml:space="preserve">An empirical comparison of Baseline GNN, GCN, and GAT on the graph classification task, including per-class analysis and confusion matrix evaluation.</w:t>
      </w:r>
    </w:p>
    <w:p>
      <w:pPr>
        <w:pStyle w:val="ListParagraph"/>
        <w:numPr>
          <w:ilvl w:val="0"/>
          <w:numId w:val="2"/>
        </w:numPr>
        <w:spacing w:after="40" w:before="40"/>
      </w:pPr>
      <w:r>
        <w:rPr>
          <w:rFonts w:ascii="Times New Roman" w:cs="Times New Roman" w:eastAsia="Times New Roman" w:hAnsi="Times New Roman"/>
          <w:sz w:val="20"/>
          <w:szCs w:val="20"/>
        </w:rPr>
        <w:t xml:space="preserve">Analysis of the relative strengths and failure modes of each architecture on low-resolution superpixel representations.</w:t>
      </w:r>
    </w:p>
    <w:p>
      <w:pPr>
        <w:spacing w:after="60" w:before="60"/>
        <w:jc w:val="both"/>
      </w:pPr>
      <w:r>
        <w:rPr>
          <w:rFonts w:ascii="Times New Roman" w:cs="Times New Roman" w:eastAsia="Times New Roman" w:hAnsi="Times New Roman"/>
          <w:sz w:val="20"/>
          <w:szCs w:val="20"/>
        </w:rPr>
        <w:t xml:space="preserve">The remainder of the paper is organized as follows. Section II reviews related work. Section III describes the methodology. Section IV presents the experimental setup. Section V reports results and analysis. Section VI concludes with directions for future work.</w:t>
      </w:r>
    </w:p>
    <w:p>
      <w:pPr>
        <w:spacing w:after="120" w:before="240"/>
        <w:jc w:val="left"/>
      </w:pPr>
      <w:r>
        <w:rPr>
          <w:rFonts w:ascii="Times New Roman" w:cs="Times New Roman" w:eastAsia="Times New Roman" w:hAnsi="Times New Roman"/>
          <w:b/>
          <w:bCs/>
          <w:sz w:val="26"/>
          <w:szCs w:val="26"/>
        </w:rPr>
        <w:t xml:space="preserve">II. Related Work</w:t>
      </w:r>
    </w:p>
    <w:p>
      <w:pPr>
        <w:spacing w:after="80" w:before="200"/>
      </w:pPr>
      <w:r>
        <w:rPr>
          <w:rFonts w:ascii="Times New Roman" w:cs="Times New Roman" w:eastAsia="Times New Roman" w:hAnsi="Times New Roman"/>
          <w:b/>
          <w:bCs/>
          <w:sz w:val="22"/>
          <w:szCs w:val="22"/>
        </w:rPr>
        <w:t xml:space="preserve">A. GRAPH NEURAL NETWORKS</w:t>
      </w:r>
    </w:p>
    <w:p>
      <w:pPr>
        <w:spacing w:after="60" w:before="60"/>
        <w:jc w:val="both"/>
      </w:pPr>
      <w:r>
        <w:rPr>
          <w:rFonts w:ascii="Times New Roman" w:cs="Times New Roman" w:eastAsia="Times New Roman" w:hAnsi="Times New Roman"/>
          <w:sz w:val="20"/>
          <w:szCs w:val="20"/>
        </w:rPr>
        <w:t xml:space="preserve">Graph Neural Networks were introduced as a generalization of convolutional networks to graph-structured data [6]. Kipf and Welling [3] proposed the Graph Convolutional Network (GCN), which performs layer-wise propagation using a symmetrically normalized adjacency matrix, enabling each node to aggregate information from its first-order neighbors. Hamilton et al. [2] introduced GraphSAGE, which samples and aggregates features from a fixed-size neighborhood, making the approach inductive and applicable to unseen graphs. Velickovic et al. [4] proposed the Graph Attention Network (GAT), which assigns learned attention coefficients to each neighbor during aggregation, allowing the model to focus on the most informative connections.</w:t>
      </w:r>
    </w:p>
    <w:p>
      <w:pPr>
        <w:spacing w:after="80" w:before="200"/>
      </w:pPr>
      <w:r>
        <w:rPr>
          <w:rFonts w:ascii="Times New Roman" w:cs="Times New Roman" w:eastAsia="Times New Roman" w:hAnsi="Times New Roman"/>
          <w:b/>
          <w:bCs/>
          <w:sz w:val="22"/>
          <w:szCs w:val="22"/>
        </w:rPr>
        <w:t xml:space="preserve">B. SUPERPIXELS FOR GRAPH-BASED VISION</w:t>
      </w:r>
    </w:p>
    <w:p>
      <w:pPr>
        <w:spacing w:after="60" w:before="60"/>
        <w:jc w:val="both"/>
      </w:pPr>
      <w:r>
        <w:rPr>
          <w:rFonts w:ascii="Times New Roman" w:cs="Times New Roman" w:eastAsia="Times New Roman" w:hAnsi="Times New Roman"/>
          <w:sz w:val="20"/>
          <w:szCs w:val="20"/>
        </w:rPr>
        <w:t xml:space="preserve">The use of superpixels as a basis for graph construction in computer vision was explored by Monti et al. [7] in the context of geometric deep learning, and by Knyazev et al. [8] who demonstrated GNN-based image classification competitive with CNNs on MNIST using superpixel graphs. More recently, superpixel-based GNNs have been applied to medical image segmentation [9] and remote sensing [10], where irregular spatial structures are common. The SLIC algorithm [1] is widely adopted due to its efficiency, adherence to object boundaries, and parameter simplicity.</w:t>
      </w:r>
    </w:p>
    <w:p>
      <w:pPr>
        <w:spacing w:after="80" w:before="200"/>
      </w:pPr>
      <w:r>
        <w:rPr>
          <w:rFonts w:ascii="Times New Roman" w:cs="Times New Roman" w:eastAsia="Times New Roman" w:hAnsi="Times New Roman"/>
          <w:b/>
          <w:bCs/>
          <w:sz w:val="22"/>
          <w:szCs w:val="22"/>
        </w:rPr>
        <w:t xml:space="preserve">C. OBJECT RECOGNITION FOR ROBOTICS</w:t>
      </w:r>
    </w:p>
    <w:p>
      <w:pPr>
        <w:spacing w:after="60" w:before="60"/>
        <w:jc w:val="both"/>
      </w:pPr>
      <w:r>
        <w:rPr>
          <w:rFonts w:ascii="Times New Roman" w:cs="Times New Roman" w:eastAsia="Times New Roman" w:hAnsi="Times New Roman"/>
          <w:sz w:val="20"/>
          <w:szCs w:val="20"/>
        </w:rPr>
        <w:t xml:space="preserve">Object recognition for robotic manipulation has been addressed through a variety of approaches. RGB-D data with point cloud GNNs has been explored for 6-DoF pose estimation [11]. Visual Language Action (VLA) models such as RT-2 [12] integrate visual perception with language grounding and action generation. The present work focuses specifically on the visual perception component—graph-based object classification—which constitutes a foundational module in such larger architectures.</w:t>
      </w:r>
    </w:p>
    <w:p>
      <w:pPr>
        <w:spacing w:after="120" w:before="240"/>
        <w:jc w:val="left"/>
      </w:pPr>
      <w:r>
        <w:rPr>
          <w:rFonts w:ascii="Times New Roman" w:cs="Times New Roman" w:eastAsia="Times New Roman" w:hAnsi="Times New Roman"/>
          <w:b/>
          <w:bCs/>
          <w:sz w:val="26"/>
          <w:szCs w:val="26"/>
        </w:rPr>
        <w:t xml:space="preserve">III. Methodology</w:t>
      </w:r>
    </w:p>
    <w:p>
      <w:pPr>
        <w:spacing w:after="80" w:before="200"/>
      </w:pPr>
      <w:r>
        <w:rPr>
          <w:rFonts w:ascii="Times New Roman" w:cs="Times New Roman" w:eastAsia="Times New Roman" w:hAnsi="Times New Roman"/>
          <w:b/>
          <w:bCs/>
          <w:sz w:val="22"/>
          <w:szCs w:val="22"/>
        </w:rPr>
        <w:t xml:space="preserve">A. DATASET</w:t>
      </w:r>
    </w:p>
    <w:p>
      <w:pPr>
        <w:spacing w:after="60" w:before="60"/>
        <w:jc w:val="both"/>
      </w:pPr>
      <w:r>
        <w:rPr>
          <w:rFonts w:ascii="Times New Roman" w:cs="Times New Roman" w:eastAsia="Times New Roman" w:hAnsi="Times New Roman"/>
          <w:sz w:val="20"/>
          <w:szCs w:val="20"/>
        </w:rPr>
        <w:t xml:space="preserve">Experiments are conducted on CIFAR-10 [5], a standard benchmark comprising 60,000 32x32 color images distributed uniformly across 10 classes: airplane, automobile, bird, cat, deer, dog, frog, horse, ship, and truck. Images are resized to 64x64 pixels prior to superpixel construction to increase the resolution available to the SLIC algorithm. A subset of 2,000 training samples and 500 test samples is used, stratified across classes, to allow training on Google Colab within practical time constraints. This subset size is consistent with prior superpixel GNN studies [8] that demonstrated valid model comparison on CIFAR-10 subsets.</w:t>
      </w:r>
    </w:p>
    <w:p>
      <w:pPr>
        <w:spacing w:after="80" w:before="200"/>
      </w:pPr>
      <w:r>
        <w:rPr>
          <w:rFonts w:ascii="Times New Roman" w:cs="Times New Roman" w:eastAsia="Times New Roman" w:hAnsi="Times New Roman"/>
          <w:b/>
          <w:bCs/>
          <w:sz w:val="22"/>
          <w:szCs w:val="22"/>
        </w:rPr>
        <w:t xml:space="preserve">B. SUPERPIXEL GRAPH CONSTRUCTION</w:t>
      </w:r>
    </w:p>
    <w:p>
      <w:pPr>
        <w:spacing w:after="60" w:before="60"/>
        <w:jc w:val="both"/>
      </w:pPr>
      <w:r>
        <w:rPr>
          <w:rFonts w:ascii="Times New Roman" w:cs="Times New Roman" w:eastAsia="Times New Roman" w:hAnsi="Times New Roman"/>
          <w:sz w:val="20"/>
          <w:szCs w:val="20"/>
        </w:rPr>
        <w:t xml:space="preserve">Each image I is segmented into approximately 75 superpixels using the SLIC algorithm with compactness parameter c = 10. SLIC clusters pixels in the five-dimensional space [R, G, B, x, y] using k-means, enforcing spatial proximity through the compactness term. The resulting segmentation S partitions the image into K regions {s_1, ..., s_K}, where K varies between 66 and 80 in practice due to SLIC's adaptive behavior near image boundaries.</w:t>
      </w:r>
    </w:p>
    <w:p>
      <w:pPr>
        <w:spacing w:after="60" w:before="60"/>
        <w:jc w:val="both"/>
      </w:pPr>
      <w:r>
        <w:rPr>
          <w:rFonts w:ascii="Times New Roman" w:cs="Times New Roman" w:eastAsia="Times New Roman" w:hAnsi="Times New Roman"/>
          <w:sz w:val="20"/>
          <w:szCs w:val="20"/>
        </w:rPr>
        <w:t xml:space="preserve">A graph G = (V, E) is then constructed as follows. Each superpixel s_i defines a node v_i with feature vector x_i = [R_mean, G_mean, B_mean, x_norm, y_norm] where R_mean, G_mean, B_mean are the mean normalized RGB values of pixels within s_i, and x_norm, y_norm are the normalized centroid coordinates. An edge (v_i, v_j) is inserted if superpixels s_i and s_j share a pixel-level boundary, determined by scanning horizontal and vertical pixel adjacencies. All edges are made bidirectional to ensure symmetric message passing. The resulting graphs contain on average 72 nodes and approximately 180 edges per image.</w:t>
      </w:r>
    </w:p>
    <w:p>
      <w:pPr>
        <w:spacing w:after="80" w:before="200"/>
      </w:pPr>
      <w:r>
        <w:rPr>
          <w:rFonts w:ascii="Times New Roman" w:cs="Times New Roman" w:eastAsia="Times New Roman" w:hAnsi="Times New Roman"/>
          <w:b/>
          <w:bCs/>
          <w:sz w:val="22"/>
          <w:szCs w:val="22"/>
        </w:rPr>
        <w:t xml:space="preserve">C. GNN ARCHITECTURES</w:t>
      </w:r>
    </w:p>
    <w:p>
      <w:pPr>
        <w:spacing w:after="60" w:before="60"/>
        <w:jc w:val="both"/>
      </w:pPr>
      <w:r>
        <w:rPr>
          <w:rFonts w:ascii="Times New Roman" w:cs="Times New Roman" w:eastAsia="Times New Roman" w:hAnsi="Times New Roman"/>
          <w:sz w:val="20"/>
          <w:szCs w:val="20"/>
        </w:rPr>
        <w:t xml:space="preserve">All three models follow the same high-level structure: three message-passing layers, global mean pooling to produce a graph-level embedding, and a two-layer MLP classifier with dropout (p = 0.5).</w:t>
      </w:r>
    </w:p>
    <w:p>
      <w:pPr>
        <w:spacing w:after="60" w:before="60"/>
        <w:jc w:val="both"/>
      </w:pPr>
      <w:r>
        <w:rPr>
          <w:rFonts w:ascii="Times New Roman" w:cs="Times New Roman" w:eastAsia="Times New Roman" w:hAnsi="Times New Roman"/>
          <w:sz w:val="20"/>
          <w:szCs w:val="20"/>
        </w:rPr>
        <w:t xml:space="preserve">Baseline GNN (GraphSAGE): Uses the MEAN aggregator from Hamilton et al. [2]. At each layer, node representations are updated by concatenating the node's own representation with the mean of its neighbors' representations, followed by a linear transformation and ReLU activation. Dropout (p = 0.3) is applied between layers. This model has approximately 215,000 trainable parameters.</w:t>
      </w:r>
    </w:p>
    <w:p>
      <w:pPr>
        <w:spacing w:after="60" w:before="60"/>
        <w:jc w:val="both"/>
      </w:pPr>
      <w:r>
        <w:rPr>
          <w:rFonts w:ascii="Times New Roman" w:cs="Times New Roman" w:eastAsia="Times New Roman" w:hAnsi="Times New Roman"/>
          <w:sz w:val="20"/>
          <w:szCs w:val="20"/>
        </w:rPr>
        <w:t xml:space="preserve">GCN: Implements the layer-wise propagation rule of Kipf and Welling [3]: H^(l+1) = ReLU(D^{-1/2} A D^{-1/2} H^(l) W^(l)), where A is the adjacency matrix with self-loops and D is the degree matrix. Batch normalization is applied after each convolutional layer to stabilize training. This model has approximately 205,000 trainable parameters.</w:t>
      </w:r>
    </w:p>
    <w:p>
      <w:pPr>
        <w:spacing w:after="60" w:before="60"/>
        <w:jc w:val="both"/>
      </w:pPr>
      <w:r>
        <w:rPr>
          <w:rFonts w:ascii="Times New Roman" w:cs="Times New Roman" w:eastAsia="Times New Roman" w:hAnsi="Times New Roman"/>
          <w:sz w:val="20"/>
          <w:szCs w:val="20"/>
        </w:rPr>
        <w:t xml:space="preserve">GAT: Implements the multi-head attention mechanism of Velickovic et al. [4]. Layers 1 and 2 use 4 attention heads, with the outputs concatenated; layer 3 uses a single head. The attention coefficients are computed via a shared attentional mechanism applied to the concatenated node pair features, followed by LeakyReLU activation and softmax normalization. This model has approximately 340,000 trainable parameters.</w:t>
      </w:r>
    </w:p>
    <w:p>
      <w:pPr>
        <w:spacing w:after="120" w:before="240"/>
        <w:jc w:val="left"/>
      </w:pPr>
      <w:r>
        <w:rPr>
          <w:rFonts w:ascii="Times New Roman" w:cs="Times New Roman" w:eastAsia="Times New Roman" w:hAnsi="Times New Roman"/>
          <w:b/>
          <w:bCs/>
          <w:sz w:val="26"/>
          <w:szCs w:val="26"/>
        </w:rPr>
        <w:t xml:space="preserve">IV. Experimental Setup</w:t>
      </w:r>
    </w:p>
    <w:p>
      <w:pPr>
        <w:spacing w:after="60" w:before="60"/>
        <w:jc w:val="both"/>
      </w:pPr>
      <w:r>
        <w:rPr>
          <w:rFonts w:ascii="Times New Roman" w:cs="Times New Roman" w:eastAsia="Times New Roman" w:hAnsi="Times New Roman"/>
          <w:sz w:val="20"/>
          <w:szCs w:val="20"/>
        </w:rPr>
        <w:t xml:space="preserve">All experiments are implemented in PyTorch 2.10 and PyTorch Geometric 2.7 and executed on a Google Colab instance equipped with an NVIDIA Tesla T4 GPU (16 GB VRAM). All models are trained for 30 epochs using the Adam optimizer [13] with learning rate 0.001, weight decay 5e-4, and a step learning rate schedule (gamma = 0.5, step size = 10 epochs). Mini-batches of size 32 are used, and graph batching is performed via PyTorch Geometric's DataLoader which concatenates disjoint graph components. The cross-entropy loss is used as the training objective. Per-class accuracy, macro-average F1-score, and confusion matrices are reported for the best-performing model.</w:t>
      </w:r>
    </w:p>
    <w:p>
      <w:pPr>
        <w:spacing w:after="120" w:before="240"/>
        <w:jc w:val="left"/>
      </w:pPr>
      <w:r>
        <w:rPr>
          <w:rFonts w:ascii="Times New Roman" w:cs="Times New Roman" w:eastAsia="Times New Roman" w:hAnsi="Times New Roman"/>
          <w:b/>
          <w:bCs/>
          <w:sz w:val="26"/>
          <w:szCs w:val="26"/>
        </w:rPr>
        <w:t xml:space="preserve">V. Results and Discussion</w:t>
      </w:r>
    </w:p>
    <w:p>
      <w:pPr>
        <w:spacing w:after="80" w:before="200"/>
      </w:pPr>
      <w:r>
        <w:rPr>
          <w:rFonts w:ascii="Times New Roman" w:cs="Times New Roman" w:eastAsia="Times New Roman" w:hAnsi="Times New Roman"/>
          <w:b/>
          <w:bCs/>
          <w:sz w:val="22"/>
          <w:szCs w:val="22"/>
        </w:rPr>
        <w:t xml:space="preserve">A. OVERALL PERFORMANCE COMPARISON</w:t>
      </w:r>
    </w:p>
    <w:p>
      <w:pPr>
        <w:spacing w:after="60" w:before="60"/>
        <w:jc w:val="both"/>
      </w:pPr>
      <w:r>
        <w:rPr>
          <w:rFonts w:ascii="Times New Roman" w:cs="Times New Roman" w:eastAsia="Times New Roman" w:hAnsi="Times New Roman"/>
          <w:sz w:val="20"/>
          <w:szCs w:val="20"/>
        </w:rPr>
        <w:t xml:space="preserve">Table I reports the final test accuracy, training accuracy, test loss, and approximate training time for each model. GCN achieves the highest test accuracy of 29.40%, followed by GAT at 25.20% and the Baseline GNN at 20.60%. All three models substantially exceed the random baseline of 10% for a 10-class classification task.</w:t>
      </w:r>
    </w:p>
    <w:p>
      <w:pPr>
        <w:spacing w:after="0" w:before="60"/>
      </w:pPr>
      <w:r>
        <w:t xml:space="preserve"/>
      </w:r>
    </w:p>
    <w:p>
      <w:pPr>
        <w:spacing w:after="40" w:before="40"/>
        <w:jc w:val="center"/>
      </w:pPr>
      <w:r>
        <w:rPr>
          <w:rFonts w:ascii="Times New Roman" w:cs="Times New Roman" w:eastAsia="Times New Roman" w:hAnsi="Times New Roman"/>
          <w:b/>
          <w:bCs/>
          <w:sz w:val="18"/>
          <w:szCs w:val="18"/>
        </w:rPr>
        <w:t xml:space="preserve">TABLE I</w:t>
      </w:r>
    </w:p>
    <w:p>
      <w:pPr>
        <w:spacing w:after="40" w:before="40"/>
        <w:jc w:val="center"/>
      </w:pPr>
      <w:r>
        <w:rPr>
          <w:rFonts w:ascii="Times New Roman" w:cs="Times New Roman" w:eastAsia="Times New Roman" w:hAnsi="Times New Roman"/>
          <w:sz w:val="18"/>
          <w:szCs w:val="18"/>
        </w:rPr>
        <w:t xml:space="preserve">Model Performance Comparison on CIFAR-10 Superpixel Graphs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Model</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Test Acc. (%)</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Train Acc. (%)</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Test Loss</w:t>
            </w:r>
          </w:p>
        </w:tc>
        <w:tc>
          <w:tcPr>
            <w:tcW w:type="dxa" w:w="1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Train Time (s)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Baseline GNN (GraphSAGE)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20.60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22.30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2.083</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~420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GCN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29.40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34.10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1.882</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~390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GAT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25.20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26.50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2.043</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~450</w:t>
            </w:r>
          </w:p>
        </w:tc>
      </w:tr>
    </w:tbl>
    <w:p>
      <w:pPr>
        <w:spacing w:after="0" w:before="80"/>
      </w:pPr>
      <w:r>
        <w:t xml:space="preserve"/>
      </w:r>
    </w:p>
    <w:p>
      <w:pPr>
        <w:spacing w:after="60" w:before="60"/>
        <w:jc w:val="both"/>
      </w:pPr>
      <w:r>
        <w:rPr>
          <w:rFonts w:ascii="Times New Roman" w:cs="Times New Roman" w:eastAsia="Times New Roman" w:hAnsi="Times New Roman"/>
          <w:sz w:val="20"/>
          <w:szCs w:val="20"/>
        </w:rPr>
        <w:t xml:space="preserve">The gap of 8.8 percentage points between GCN and the Baseline GNN indicates that spectral graph convolution provides a meaningful advantage over simple neighborhood mean aggregation on this task. The GCN's use of the symmetrically normalized adjacency matrix implicitly performs degree normalization, reducing the influence of high-degree hub nodes that appear at boundaries between large uniform regions in CIFAR-10 images.</w:t>
      </w:r>
    </w:p>
    <w:p>
      <w:pPr>
        <w:spacing w:after="80" w:before="200"/>
      </w:pPr>
      <w:r>
        <w:rPr>
          <w:rFonts w:ascii="Times New Roman" w:cs="Times New Roman" w:eastAsia="Times New Roman" w:hAnsi="Times New Roman"/>
          <w:b/>
          <w:bCs/>
          <w:sz w:val="22"/>
          <w:szCs w:val="22"/>
        </w:rPr>
        <w:t xml:space="preserve">B. PER-CLASS ANALYSIS</w:t>
      </w:r>
    </w:p>
    <w:p>
      <w:pPr>
        <w:spacing w:after="60" w:before="60"/>
        <w:jc w:val="both"/>
      </w:pPr>
      <w:r>
        <w:rPr>
          <w:rFonts w:ascii="Times New Roman" w:cs="Times New Roman" w:eastAsia="Times New Roman" w:hAnsi="Times New Roman"/>
          <w:sz w:val="20"/>
          <w:szCs w:val="20"/>
        </w:rPr>
        <w:t xml:space="preserve">Table II reports per-class precision, recall, and F1-score for the best-performing GCN model. The model achieves highest recall on horse (0.51) and ship (0.52), which exhibit relatively distinctive color distributions (brown/tan backgrounds and blue water respectively). The lowest performance occurs on bird (F1 = 0.03) and dog (F1 = 0.09), classes that share similar color profiles with other animal categories and whose distinctive features (beaks, fur texture) are averaged away during superpixel aggregation.</w:t>
      </w:r>
    </w:p>
    <w:p>
      <w:pPr>
        <w:spacing w:after="0" w:before="60"/>
      </w:pPr>
      <w:r>
        <w:t xml:space="preserve"/>
      </w:r>
    </w:p>
    <w:p>
      <w:pPr>
        <w:spacing w:after="40" w:before="40"/>
        <w:jc w:val="center"/>
      </w:pPr>
      <w:r>
        <w:rPr>
          <w:rFonts w:ascii="Times New Roman" w:cs="Times New Roman" w:eastAsia="Times New Roman" w:hAnsi="Times New Roman"/>
          <w:b/>
          <w:bCs/>
          <w:sz w:val="18"/>
          <w:szCs w:val="18"/>
        </w:rPr>
        <w:t xml:space="preserve">TABLE II</w:t>
      </w:r>
    </w:p>
    <w:p>
      <w:pPr>
        <w:spacing w:after="40" w:before="40"/>
        <w:jc w:val="center"/>
      </w:pPr>
      <w:r>
        <w:rPr>
          <w:rFonts w:ascii="Times New Roman" w:cs="Times New Roman" w:eastAsia="Times New Roman" w:hAnsi="Times New Roman"/>
          <w:sz w:val="18"/>
          <w:szCs w:val="18"/>
        </w:rPr>
        <w:t xml:space="preserve">Per-Class Metrics for GCN (Best Model) on 500 Test Samples</w:t>
      </w:r>
    </w:p>
    <w:p>
      <w:pPr>
        <w:spacing w:after="0" w:before="40"/>
      </w:pPr>
      <w: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500"/>
        <w:gridCol w:w="1215"/>
        <w:gridCol w:w="1215"/>
        <w:gridCol w:w="1215"/>
        <w:gridCol w:w="1215"/>
      </w:tblGrid>
      <w:tr>
        <w:tc>
          <w:tcPr>
            <w:tcW w:type="dxa" w:w="1500"/>
            <w:tcBorders>
              <w:top w:val="single" w:color="AAAAAA" w:sz="1"/>
              <w:left w:val="single" w:color="AAAAAA" w:sz="1"/>
              <w:bottom w:val="single" w:color="AAAAAA" w:sz="1"/>
              <w:right w:val="single" w:color="AAAAAA" w:sz="1"/>
            </w:tcBorders>
            <w:shd w:fill="1F497D"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Class</w:t>
            </w:r>
          </w:p>
        </w:tc>
        <w:tc>
          <w:tcPr>
            <w:tcW w:type="dxa" w:w="1215"/>
            <w:tcBorders>
              <w:top w:val="single" w:color="AAAAAA" w:sz="1"/>
              <w:left w:val="single" w:color="AAAAAA" w:sz="1"/>
              <w:bottom w:val="single" w:color="AAAAAA" w:sz="1"/>
              <w:right w:val="single" w:color="AAAAAA" w:sz="1"/>
            </w:tcBorders>
            <w:shd w:fill="1F497D"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Precision</w:t>
            </w:r>
          </w:p>
        </w:tc>
        <w:tc>
          <w:tcPr>
            <w:tcW w:type="dxa" w:w="1215"/>
            <w:tcBorders>
              <w:top w:val="single" w:color="AAAAAA" w:sz="1"/>
              <w:left w:val="single" w:color="AAAAAA" w:sz="1"/>
              <w:bottom w:val="single" w:color="AAAAAA" w:sz="1"/>
              <w:right w:val="single" w:color="AAAAAA" w:sz="1"/>
            </w:tcBorders>
            <w:shd w:fill="1F497D"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Recall</w:t>
            </w:r>
          </w:p>
        </w:tc>
        <w:tc>
          <w:tcPr>
            <w:tcW w:type="dxa" w:w="1215"/>
            <w:tcBorders>
              <w:top w:val="single" w:color="AAAAAA" w:sz="1"/>
              <w:left w:val="single" w:color="AAAAAA" w:sz="1"/>
              <w:bottom w:val="single" w:color="AAAAAA" w:sz="1"/>
              <w:right w:val="single" w:color="AAAAAA" w:sz="1"/>
            </w:tcBorders>
            <w:shd w:fill="1F497D"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F1-Score</w:t>
            </w:r>
          </w:p>
        </w:tc>
        <w:tc>
          <w:tcPr>
            <w:tcW w:type="dxa" w:w="1215"/>
            <w:tcBorders>
              <w:top w:val="single" w:color="AAAAAA" w:sz="1"/>
              <w:left w:val="single" w:color="AAAAAA" w:sz="1"/>
              <w:bottom w:val="single" w:color="AAAAAA" w:sz="1"/>
              <w:right w:val="single" w:color="AAAAAA" w:sz="1"/>
            </w:tcBorders>
            <w:shd w:fill="1F497D"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Support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Airplane</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0.35</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0.39</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0.37</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46</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Automobile</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0.28</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0.31</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0.29</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52</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Bird</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0.12</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0.02</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0.03</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51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Cat</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0.18</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0.18</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0.18</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50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Deer</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0.28</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0.25</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0.26</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53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Dog</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0.20</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0.06</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0.09</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53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Frog</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0.29</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0.40</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0.34</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53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Horse</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0.25</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0.51</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0.33</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35</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Ship</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0.37</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0.52</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0.43</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60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Truck</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0.37</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0.36</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0.37</w:t>
            </w:r>
          </w:p>
        </w:tc>
        <w:tc>
          <w:tcPr>
            <w:tcW w:type="dxa" w:w="1215"/>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6"/>
                <w:szCs w:val="16"/>
              </w:rPr>
              <w:t xml:space="preserve">47</w:t>
            </w:r>
          </w:p>
        </w:tc>
      </w:tr>
    </w:tbl>
    <w:p>
      <w:pPr>
        <w:spacing w:after="0" w:before="80"/>
      </w:pPr>
      <w:r>
        <w:t xml:space="preserve"/>
      </w:r>
    </w:p>
    <w:p>
      <w:pPr>
        <w:spacing w:after="80" w:before="200"/>
      </w:pPr>
      <w:r>
        <w:rPr>
          <w:rFonts w:ascii="Times New Roman" w:cs="Times New Roman" w:eastAsia="Times New Roman" w:hAnsi="Times New Roman"/>
          <w:b/>
          <w:bCs/>
          <w:sz w:val="22"/>
          <w:szCs w:val="22"/>
        </w:rPr>
        <w:t xml:space="preserve">C. CONFUSION MATRIX ANALYSIS</w:t>
      </w:r>
    </w:p>
    <w:p>
      <w:pPr>
        <w:spacing w:after="60" w:before="60"/>
        <w:jc w:val="both"/>
      </w:pPr>
      <w:r>
        <w:rPr>
          <w:rFonts w:ascii="Times New Roman" w:cs="Times New Roman" w:eastAsia="Times New Roman" w:hAnsi="Times New Roman"/>
          <w:sz w:val="20"/>
          <w:szCs w:val="20"/>
        </w:rPr>
        <w:t xml:space="preserve">Inspection of the confusion matrix (Figure 1) reveals systematic confusions. Frog images are frequently misclassified as deer (13 of 53 frog samples), likely because both classes share green-dominated color distributions. Similarly, dog and cat images are mutually confused (14 dog-as-cat, 10 cat-as-dog), consistent with their overlapping fur textures and body proportions. Ship is the best-recognized class (31/60 correct), supported by distinctive blue ocean backgrounds that produce spatially coherent superpixels with high color homogeneity.</w:t>
      </w:r>
    </w:p>
    <w:p>
      <w:pPr>
        <w:spacing w:after="80" w:before="200"/>
      </w:pPr>
      <w:r>
        <w:rPr>
          <w:rFonts w:ascii="Times New Roman" w:cs="Times New Roman" w:eastAsia="Times New Roman" w:hAnsi="Times New Roman"/>
          <w:b/>
          <w:bCs/>
          <w:sz w:val="22"/>
          <w:szCs w:val="22"/>
        </w:rPr>
        <w:t xml:space="preserve">D. EFFECT OF ARCHITECTURE</w:t>
      </w:r>
    </w:p>
    <w:p>
      <w:pPr>
        <w:spacing w:after="60" w:before="60"/>
        <w:jc w:val="both"/>
      </w:pPr>
      <w:r>
        <w:rPr>
          <w:rFonts w:ascii="Times New Roman" w:cs="Times New Roman" w:eastAsia="Times New Roman" w:hAnsi="Times New Roman"/>
          <w:sz w:val="20"/>
          <w:szCs w:val="20"/>
        </w:rPr>
        <w:t xml:space="preserve">The training curves reveal that GCN converges steadily and monotonically, while GAT shows higher variance across epochs due to the stochastic nature of attention weight computation. The baseline GNN plateaus earliest, suggesting that simple mean aggregation reaches its representational limit quickly. The GCN's advantage is likely attributable to its normalized aggregation scheme, which is better suited to the approximately uniform superpixel degree distribution arising from SLIC's regularity constraint.</w:t>
      </w:r>
    </w:p>
    <w:p>
      <w:pPr>
        <w:spacing w:after="60" w:before="60"/>
        <w:jc w:val="both"/>
      </w:pPr>
      <w:r>
        <w:rPr>
          <w:rFonts w:ascii="Times New Roman" w:cs="Times New Roman" w:eastAsia="Times New Roman" w:hAnsi="Times New Roman"/>
          <w:sz w:val="20"/>
          <w:szCs w:val="20"/>
        </w:rPr>
        <w:t xml:space="preserve">The relatively low absolute accuracies across all models (20-30%) are expected given the limited node feature dimensionality (5 features per node), the small training subset (2,000 samples), and the inherent difficulty of CIFAR-10, which challenges even standard CNNs without augmentation. Prior work [8] reports comparable GNN results on CIFAR-10 superpixel subsets, validating our experimental setup.</w:t>
      </w:r>
    </w:p>
    <w:p>
      <w:pPr>
        <w:spacing w:after="80" w:before="200"/>
      </w:pPr>
      <w:r>
        <w:rPr>
          <w:rFonts w:ascii="Times New Roman" w:cs="Times New Roman" w:eastAsia="Times New Roman" w:hAnsi="Times New Roman"/>
          <w:b/>
          <w:bCs/>
          <w:sz w:val="22"/>
          <w:szCs w:val="22"/>
        </w:rPr>
        <w:t xml:space="preserve">E. IMPLICATIONS FOR ROBOTIC PERCEPTION</w:t>
      </w:r>
    </w:p>
    <w:p>
      <w:pPr>
        <w:spacing w:after="60" w:before="60"/>
        <w:jc w:val="both"/>
      </w:pPr>
      <w:r>
        <w:rPr>
          <w:rFonts w:ascii="Times New Roman" w:cs="Times New Roman" w:eastAsia="Times New Roman" w:hAnsi="Times New Roman"/>
          <w:sz w:val="20"/>
          <w:szCs w:val="20"/>
        </w:rPr>
        <w:t xml:space="preserve">The demonstrated ability of GCN to extract discriminative graph-level representations from superpixel graphs has direct implications for robotic perception pipelines. In environments with predictable color statistics (e.g., household objects on neutral backgrounds), the color-position node features exploited by GCN may be sufficient for reliable grasping target identification. Future work can enhance node features with texture descriptors (e.g., local binary patterns, Gabor responses) and edge features encoding superpixel boundary strength, which would better discriminate visually similar categories such as bird, cat, and dog.</w:t>
      </w:r>
    </w:p>
    <w:p>
      <w:pPr>
        <w:spacing w:after="120" w:before="240"/>
        <w:jc w:val="left"/>
      </w:pPr>
      <w:r>
        <w:rPr>
          <w:rFonts w:ascii="Times New Roman" w:cs="Times New Roman" w:eastAsia="Times New Roman" w:hAnsi="Times New Roman"/>
          <w:b/>
          <w:bCs/>
          <w:sz w:val="26"/>
          <w:szCs w:val="26"/>
        </w:rPr>
        <w:t xml:space="preserve">VI. Conclusion</w:t>
      </w:r>
    </w:p>
    <w:p>
      <w:pPr>
        <w:spacing w:after="60" w:before="60"/>
        <w:jc w:val="both"/>
      </w:pPr>
      <w:r>
        <w:rPr>
          <w:rFonts w:ascii="Times New Roman" w:cs="Times New Roman" w:eastAsia="Times New Roman" w:hAnsi="Times New Roman"/>
          <w:sz w:val="20"/>
          <w:szCs w:val="20"/>
        </w:rPr>
        <w:t xml:space="preserve">This paper presented a graph-based image classification pipeline in which SLIC superpixels define the node structure and spatial adjacency defines the edge structure of graphs fed to three GNN architectures. On the CIFAR-10 benchmark, the Graph Convolutional Network (GCN) achieved the best test accuracy of 29.40%, outperforming the Graph Attention Network (GAT) at 25.20% and the Baseline GNN (GraphSAGE) at 20.60%. Analysis of per-class metrics revealed that classes with distinctive color distributions benefit most from this representation, while fine-grained categories that rely on texture are more challenging.</w:t>
      </w:r>
    </w:p>
    <w:p>
      <w:pPr>
        <w:spacing w:after="60" w:before="60"/>
        <w:jc w:val="both"/>
      </w:pPr>
      <w:r>
        <w:rPr>
          <w:rFonts w:ascii="Times New Roman" w:cs="Times New Roman" w:eastAsia="Times New Roman" w:hAnsi="Times New Roman"/>
          <w:sz w:val="20"/>
          <w:szCs w:val="20"/>
        </w:rPr>
        <w:t xml:space="preserve">These findings establish graph-based visual perception as a viable approach for robotic object recognition, particularly in structured environments. Future directions include incorporating richer node features (depth, texture), exploring hierarchical graph pooling operators such as DiffPool [14], and integrating the perception module into a full Visual Language Action (VLA) pipeline for household robotics.</w:t>
      </w:r>
    </w:p>
    <w:p>
      <w:pPr>
        <w:spacing w:after="60" w:before="60"/>
        <w:jc w:val="both"/>
      </w:pPr>
      <w:r>
        <w:rPr>
          <w:rFonts w:ascii="Times New Roman" w:cs="Times New Roman" w:eastAsia="Times New Roman" w:hAnsi="Times New Roman"/>
          <w:sz w:val="20"/>
          <w:szCs w:val="20"/>
        </w:rPr>
        <w:t xml:space="preserve">The source code, trained models, and all experimental artifacts are available alongside this submission.</w:t>
      </w:r>
    </w:p>
    <w:p>
      <w:pPr>
        <w:spacing w:after="120" w:before="240"/>
        <w:jc w:val="left"/>
      </w:pPr>
      <w:r>
        <w:rPr>
          <w:rFonts w:ascii="Times New Roman" w:cs="Times New Roman" w:eastAsia="Times New Roman" w:hAnsi="Times New Roman"/>
          <w:b/>
          <w:bCs/>
          <w:sz w:val="26"/>
          <w:szCs w:val="26"/>
        </w:rPr>
        <w:t xml:space="preserve">Statement of Contribution</w:t>
      </w:r>
    </w:p>
    <w:p>
      <w:pPr>
        <w:spacing w:after="60" w:before="60"/>
        <w:jc w:val="both"/>
      </w:pPr>
      <w:r>
        <w:rPr>
          <w:rFonts w:ascii="Times New Roman" w:cs="Times New Roman" w:eastAsia="Times New Roman" w:hAnsi="Times New Roman"/>
          <w:sz w:val="20"/>
          <w:szCs w:val="20"/>
        </w:rPr>
        <w:t xml:space="preserve">This project was completed individually by Harmit Patel. All components—including dataset preparation, superpixel graph construction, GNN model implementation, training, evaluation, and this report—were carried out solely by the author.</w:t>
      </w:r>
    </w:p>
    <w:p>
      <w:pPr>
        <w:spacing w:after="120" w:before="240"/>
        <w:jc w:val="left"/>
      </w:pPr>
      <w:r>
        <w:rPr>
          <w:rFonts w:ascii="Times New Roman" w:cs="Times New Roman" w:eastAsia="Times New Roman" w:hAnsi="Times New Roman"/>
          <w:b/>
          <w:bCs/>
          <w:sz w:val="26"/>
          <w:szCs w:val="26"/>
        </w:rPr>
        <w:t xml:space="preserve">References</w:t>
      </w:r>
    </w:p>
    <w:p>
      <w:pPr>
        <w:spacing w:after="40" w:before="40"/>
        <w:jc w:val="both"/>
      </w:pPr>
      <w:r>
        <w:rPr>
          <w:rFonts w:ascii="Times New Roman" w:cs="Times New Roman" w:eastAsia="Times New Roman" w:hAnsi="Times New Roman"/>
          <w:sz w:val="18"/>
          <w:szCs w:val="18"/>
        </w:rPr>
        <w:t xml:space="preserve">[1] R. Achanta, A. Shaji, K. Smith, A. Lucchi, P. Fua, and S. Susstrunk, "SLIC Superpixels Compared to State-of-the-Art Superpixel Methods," IEEE Trans. Pattern Anal. Mach. Intell., vol. 34, no. 11, pp. 2274-2282, Nov. 2012.</w:t>
      </w:r>
    </w:p>
    <w:p>
      <w:pPr>
        <w:spacing w:after="40" w:before="40"/>
        <w:jc w:val="both"/>
      </w:pPr>
      <w:r>
        <w:rPr>
          <w:rFonts w:ascii="Times New Roman" w:cs="Times New Roman" w:eastAsia="Times New Roman" w:hAnsi="Times New Roman"/>
          <w:sz w:val="18"/>
          <w:szCs w:val="18"/>
        </w:rPr>
        <w:t xml:space="preserve">[2] W. Hamilton, Z. Ying, and J. Leskovec, "Inductive Representation Learning on Large Graphs," in Proc. NeurIPS, 2017, pp. 1024-1034.</w:t>
      </w:r>
    </w:p>
    <w:p>
      <w:pPr>
        <w:spacing w:after="40" w:before="40"/>
        <w:jc w:val="both"/>
      </w:pPr>
      <w:r>
        <w:rPr>
          <w:rFonts w:ascii="Times New Roman" w:cs="Times New Roman" w:eastAsia="Times New Roman" w:hAnsi="Times New Roman"/>
          <w:sz w:val="18"/>
          <w:szCs w:val="18"/>
        </w:rPr>
        <w:t xml:space="preserve">[3] T. N. Kipf and M. Welling, "Semi-Supervised Classification with Graph Convolutional Networks," in Proc. ICLR, 2017.</w:t>
      </w:r>
    </w:p>
    <w:p>
      <w:pPr>
        <w:spacing w:after="40" w:before="40"/>
        <w:jc w:val="both"/>
      </w:pPr>
      <w:r>
        <w:rPr>
          <w:rFonts w:ascii="Times New Roman" w:cs="Times New Roman" w:eastAsia="Times New Roman" w:hAnsi="Times New Roman"/>
          <w:sz w:val="18"/>
          <w:szCs w:val="18"/>
        </w:rPr>
        <w:t xml:space="preserve">[4] P. Velickovic, G. Cucurull, A. Casanova, A. Romero, P. Lio, and Y. Bengio, "Graph Attention Networks," in Proc. ICLR, 2018.</w:t>
      </w:r>
    </w:p>
    <w:p>
      <w:pPr>
        <w:spacing w:after="40" w:before="40"/>
        <w:jc w:val="both"/>
      </w:pPr>
      <w:r>
        <w:rPr>
          <w:rFonts w:ascii="Times New Roman" w:cs="Times New Roman" w:eastAsia="Times New Roman" w:hAnsi="Times New Roman"/>
          <w:sz w:val="18"/>
          <w:szCs w:val="18"/>
        </w:rPr>
        <w:t xml:space="preserve">[5] A. Krizhevsky and G. Hinton, "Learning Multiple Layers of Features from Tiny Images," Tech. Rep., Univ. of Toronto, 2009.</w:t>
      </w:r>
    </w:p>
    <w:p>
      <w:pPr>
        <w:spacing w:after="40" w:before="40"/>
        <w:jc w:val="both"/>
      </w:pPr>
      <w:r>
        <w:rPr>
          <w:rFonts w:ascii="Times New Roman" w:cs="Times New Roman" w:eastAsia="Times New Roman" w:hAnsi="Times New Roman"/>
          <w:sz w:val="18"/>
          <w:szCs w:val="18"/>
        </w:rPr>
        <w:t xml:space="preserve">[6] F. Scarselli, M. Gori, A. C. Tsoi, M. Hagenbuchner, and G. Monfardini, "The Graph Neural Network Model," IEEE Trans. Neural Netw., vol. 20, no. 1, pp. 61-80, 2009.</w:t>
      </w:r>
    </w:p>
    <w:p>
      <w:pPr>
        <w:spacing w:after="40" w:before="40"/>
        <w:jc w:val="both"/>
      </w:pPr>
      <w:r>
        <w:rPr>
          <w:rFonts w:ascii="Times New Roman" w:cs="Times New Roman" w:eastAsia="Times New Roman" w:hAnsi="Times New Roman"/>
          <w:sz w:val="18"/>
          <w:szCs w:val="18"/>
        </w:rPr>
        <w:t xml:space="preserve">[7] F. Monti, D. Boscaini, J. Masci, E. Rodola, J. Svoboda, and M. M. Bronstein, "Geometric Deep Learning on Graphs and Manifolds Using Mixture Model CNNs," in Proc. CVPR, 2017, pp. 5115-5124.</w:t>
      </w:r>
    </w:p>
    <w:p>
      <w:pPr>
        <w:spacing w:after="40" w:before="40"/>
        <w:jc w:val="both"/>
      </w:pPr>
      <w:r>
        <w:rPr>
          <w:rFonts w:ascii="Times New Roman" w:cs="Times New Roman" w:eastAsia="Times New Roman" w:hAnsi="Times New Roman"/>
          <w:sz w:val="18"/>
          <w:szCs w:val="18"/>
        </w:rPr>
        <w:t xml:space="preserve">[8] B. Knyazev, G. W. Taylor, and M. R. Amer, "Understanding Attention and Generalization in Graph Neural Networks," in Proc. NeurIPS, 2019.</w:t>
      </w:r>
    </w:p>
    <w:p>
      <w:pPr>
        <w:spacing w:after="40" w:before="40"/>
        <w:jc w:val="both"/>
      </w:pPr>
      <w:r>
        <w:rPr>
          <w:rFonts w:ascii="Times New Roman" w:cs="Times New Roman" w:eastAsia="Times New Roman" w:hAnsi="Times New Roman"/>
          <w:sz w:val="18"/>
          <w:szCs w:val="18"/>
        </w:rPr>
        <w:t xml:space="preserve">[9] Z. Zhang et al., "Graph-Based Medical Image Segmentation with Superpixel Nodes," in Proc. MICCAI, 2021.</w:t>
      </w:r>
    </w:p>
    <w:p>
      <w:pPr>
        <w:spacing w:after="40" w:before="40"/>
        <w:jc w:val="both"/>
      </w:pPr>
      <w:r>
        <w:rPr>
          <w:rFonts w:ascii="Times New Roman" w:cs="Times New Roman" w:eastAsia="Times New Roman" w:hAnsi="Times New Roman"/>
          <w:sz w:val="18"/>
          <w:szCs w:val="18"/>
        </w:rPr>
        <w:t xml:space="preserve">[10] Y. Qin, Z. Li, and W. Hu, "Superpixel-Based Graph Convolutional Networks for Remote Sensing Image Classification," IEEE J. Sel. Topics Appl. Earth Obs. Remote Sens., vol. 14, pp. 7459-7470, 2021.</w:t>
      </w:r>
    </w:p>
    <w:p>
      <w:pPr>
        <w:spacing w:after="40" w:before="40"/>
        <w:jc w:val="both"/>
      </w:pPr>
      <w:r>
        <w:rPr>
          <w:rFonts w:ascii="Times New Roman" w:cs="Times New Roman" w:eastAsia="Times New Roman" w:hAnsi="Times New Roman"/>
          <w:sz w:val="18"/>
          <w:szCs w:val="18"/>
        </w:rPr>
        <w:t xml:space="preserve">[11] Y. Shi et al., "RGB-D-Based Point Cloud GNNs for 6-DoF Object Pose Estimation," in Proc. IROS, 2022.</w:t>
      </w:r>
    </w:p>
    <w:p>
      <w:pPr>
        <w:spacing w:after="40" w:before="40"/>
        <w:jc w:val="both"/>
      </w:pPr>
      <w:r>
        <w:rPr>
          <w:rFonts w:ascii="Times New Roman" w:cs="Times New Roman" w:eastAsia="Times New Roman" w:hAnsi="Times New Roman"/>
          <w:sz w:val="18"/>
          <w:szCs w:val="18"/>
        </w:rPr>
        <w:t xml:space="preserve">[12] A. Brohan et al., "RT-2: Vision-Language-Action Models Transfer Web Knowledge to Robotic Control," in Proc. CoRL, 2023.</w:t>
      </w:r>
    </w:p>
    <w:p>
      <w:pPr>
        <w:spacing w:after="40" w:before="40"/>
        <w:jc w:val="both"/>
      </w:pPr>
      <w:r>
        <w:rPr>
          <w:rFonts w:ascii="Times New Roman" w:cs="Times New Roman" w:eastAsia="Times New Roman" w:hAnsi="Times New Roman"/>
          <w:sz w:val="18"/>
          <w:szCs w:val="18"/>
        </w:rPr>
        <w:t xml:space="preserve">[13] D. P. Kingma and J. Ba, "Adam: A Method for Stochastic Optimization," in Proc. ICLR, 2015.</w:t>
      </w:r>
    </w:p>
    <w:p>
      <w:pPr>
        <w:spacing w:after="40" w:before="40"/>
        <w:jc w:val="both"/>
      </w:pPr>
      <w:r>
        <w:rPr>
          <w:rFonts w:ascii="Times New Roman" w:cs="Times New Roman" w:eastAsia="Times New Roman" w:hAnsi="Times New Roman"/>
          <w:sz w:val="18"/>
          <w:szCs w:val="18"/>
        </w:rPr>
        <w:t xml:space="preserve">[14] Z. Ying, J. You, C. Morris, X. Ren, W. Hamilton, and J. Leskovec, "Hierarchical Graph Representation Learning with Differentiable Pooling," in Proc. NeurIPS,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2026-04-06T08:45:32.185Z</dcterms:created>
  <dcterms:modified xsi:type="dcterms:W3CDTF">2026-04-06T08:45:32.185Z</dcterms:modified>
</cp:coreProperties>
</file>

<file path=docProps/custom.xml><?xml version="1.0" encoding="utf-8"?>
<Properties xmlns="http://schemas.openxmlformats.org/officeDocument/2006/custom-properties" xmlns:vt="http://schemas.openxmlformats.org/officeDocument/2006/docPropsVTypes"/>
</file>