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28"/>
          <w:szCs w:val="28"/>
        </w:rPr>
        <w:t xml:space="preserve">Convolutional Neural Networks for Plant Leaf Disease Detection in Smart Agriculture Systems: A Deep Learning Approach</w:t>
      </w:r>
    </w:p>
    <w:p>
      <w:pPr>
        <w:spacing w:after="60"/>
        <w:jc w:val="center"/>
      </w:pPr>
      <w:r>
        <w:rPr>
          <w:rFonts w:ascii="Times New Roman" w:cs="Times New Roman" w:eastAsia="Times New Roman" w:hAnsi="Times New Roman"/>
          <w:sz w:val="22"/>
          <w:szCs w:val="22"/>
        </w:rPr>
        <w:t xml:space="preserve">Arjun Sharma, Priya Nair, Rahul Deshmukh, Sunita Verma</w:t>
      </w:r>
    </w:p>
    <w:p>
      <w:pPr>
        <w:spacing w:after="160"/>
        <w:jc w:val="center"/>
      </w:pPr>
      <w:r>
        <w:rPr>
          <w:rFonts w:ascii="Times New Roman" w:cs="Times New Roman" w:eastAsia="Times New Roman" w:hAnsi="Times New Roman"/>
          <w:sz w:val="20"/>
          <w:szCs w:val="20"/>
        </w:rPr>
        <w:t xml:space="preserve">Department of Information Technology, K.J. Somaiya College of Engineering, Mumbai, India</w:t>
      </w:r>
    </w:p>
    <w:p>
      <w:pPr>
        <w:spacing w:after="60" w:before="80"/>
        <w:jc w:val="center"/>
      </w:pPr>
      <w:r>
        <w:rPr>
          <w:rFonts w:ascii="Times New Roman" w:cs="Times New Roman" w:eastAsia="Times New Roman" w:hAnsi="Times New Roman"/>
          <w:b/>
          <w:bCs/>
          <w:sz w:val="20"/>
          <w:szCs w:val="20"/>
        </w:rPr>
        <w:t xml:space="preserve">Abstract</w:t>
      </w:r>
    </w:p>
    <w:p>
      <w:pPr>
        <w:spacing w:after="80" w:before="0" w:line="276"/>
        <w:jc w:val="both"/>
      </w:pPr>
      <w:r>
        <w:rPr>
          <w:rFonts w:ascii="Times New Roman" w:cs="Times New Roman" w:eastAsia="Times New Roman" w:hAnsi="Times New Roman"/>
          <w:b w:val="false"/>
          <w:bCs w:val="false"/>
          <w:sz w:val="20"/>
          <w:szCs w:val="20"/>
        </w:rPr>
        <w:t xml:space="preserve">Plant leaf diseases represent a critical threat to global agricultural productivity, causing annual crop losses estimated between 20% and 40% worldwide [1]. Timely and accurate identification of these diseases is imperative for effective crop management and food security. This paper proposes a specialized Convolutional Neural Network (CNN) architecture, designated </w:t>
      </w:r>
      <w:r>
        <w:rPr>
          <w:rFonts w:ascii="Times New Roman" w:cs="Times New Roman" w:eastAsia="Times New Roman" w:hAnsi="Times New Roman"/>
          <w:b w:val="false"/>
          <w:bCs w:val="false"/>
          <w:sz w:val="20"/>
          <w:szCs w:val="20"/>
        </w:rPr>
        <w:t xml:space="preserve">AgriNet-V2</w:t>
      </w:r>
      <w:r>
        <w:rPr>
          <w:rFonts w:ascii="Times New Roman" w:cs="Times New Roman" w:eastAsia="Times New Roman" w:hAnsi="Times New Roman"/>
          <w:b w:val="false"/>
          <w:bCs w:val="false"/>
          <w:sz w:val="20"/>
          <w:szCs w:val="20"/>
        </w:rPr>
        <w:t xml:space="preserve">, tailored for plant leaf disease classification in smart agriculture deployments. The model is trained and evaluated on the PlantVillage dataset comprising 54,306 images spanning 38 disease classes across 14 plant species [2]. AgriNet-V2 incorporates six convolutional blocks with progressive depth, batch normalization, residual skip connections, spatial dropout regularization, and global average pooling. Experimental results demonstrate a classification accuracy of 97.84%, with a macro-averaged F1-score of 0.9761, outperforming baseline methods including SVM (86.24%), VGG-16 (93.48%), and ResNet-50 (96.13%). The model's 18.7M parameter count and 8.3 ms inference latency make it suitable for real-time edge deployment in smart agriculture IoT systems [3].</w:t>
      </w:r>
    </w:p>
    <w:p>
      <w:pPr>
        <w:spacing w:after="160"/>
        <w:jc w:val="both"/>
      </w:pPr>
      <w:r>
        <w:rPr>
          <w:rFonts w:ascii="Times New Roman" w:cs="Times New Roman" w:eastAsia="Times New Roman" w:hAnsi="Times New Roman"/>
          <w:b/>
          <w:bCs/>
          <w:sz w:val="20"/>
          <w:szCs w:val="20"/>
        </w:rPr>
        <w:t xml:space="preserve">Index Terms</w:t>
      </w:r>
      <w:r>
        <w:rPr>
          <w:rFonts w:ascii="Times New Roman" w:cs="Times New Roman" w:eastAsia="Times New Roman" w:hAnsi="Times New Roman"/>
          <w:sz w:val="20"/>
          <w:szCs w:val="20"/>
        </w:rPr>
        <w:t xml:space="preserve">—Convolutional Neural Networks; Plant Leaf Disease Detection; Deep Learning; PlantVillage Dataset; Image Classification; Smart Agriculture; Transfer Learning; ResNet.</w:t>
      </w:r>
    </w:p>
    <w:p>
      <w:pPr>
        <w:sectPr>
          <w:pgSz w:w="12240" w:h="15840" w:orient="portrait"/>
          <w:pgMar w:top="1080" w:right="1080" w:bottom="1080" w:left="1080" w:header="708" w:footer="708" w:gutter="0"/>
          <w:pgNumType/>
          <w:docGrid w:linePitch="360"/>
        </w:sectPr>
      </w:pPr>
    </w:p>
    <w:p>
      <w:pPr>
        <w:spacing w:after="80" w:before="160"/>
        <w:jc w:val="center"/>
      </w:pPr>
      <w:r>
        <w:rPr>
          <w:rFonts w:ascii="Times New Roman" w:cs="Times New Roman" w:eastAsia="Times New Roman" w:hAnsi="Times New Roman"/>
          <w:b/>
          <w:bCs/>
          <w:sz w:val="20"/>
          <w:szCs w:val="20"/>
        </w:rPr>
        <w:t xml:space="preserve">I. INTRODUCTION</w:t>
      </w:r>
    </w:p>
    <w:p>
      <w:pPr>
        <w:spacing w:after="80" w:before="0" w:line="276"/>
        <w:jc w:val="both"/>
      </w:pPr>
      <w:r>
        <w:rPr>
          <w:rFonts w:ascii="Times New Roman" w:cs="Times New Roman" w:eastAsia="Times New Roman" w:hAnsi="Times New Roman"/>
          <w:b w:val="false"/>
          <w:bCs w:val="false"/>
          <w:sz w:val="20"/>
          <w:szCs w:val="20"/>
        </w:rPr>
        <w:t xml:space="preserve">The global agricultural sector sustains more than eight billion people and constitutes the economic backbone of numerous developing nations. Plant diseases caused by fungal pathogens, bacterial infections, and viral agents reduce crop yields by 20–40% annually, translating to economic losses exceeding $220 billion USD [1]. In densely farmed regions of South Asia, Sub-Saharan Africa, and Southeast Asia, a single outbreak can devastate subsistence farmers' livelihoods within a single growing season.</w:t>
      </w:r>
    </w:p>
    <w:p>
      <w:pPr>
        <w:spacing w:after="80" w:before="0" w:line="276"/>
        <w:jc w:val="both"/>
      </w:pPr>
      <w:r>
        <w:rPr>
          <w:rFonts w:ascii="Times New Roman" w:cs="Times New Roman" w:eastAsia="Times New Roman" w:hAnsi="Times New Roman"/>
          <w:b w:val="false"/>
          <w:bCs w:val="false"/>
          <w:sz w:val="20"/>
          <w:szCs w:val="20"/>
        </w:rPr>
        <w:t xml:space="preserve">Traditional disease identification depends on expert visual inspection by plant pathologists — a method fundamentally limited by human availability, geographic accessibility, and cost in rural areas [4]. Early-stage infections, when intervention is most beneficial, are often subtle and require specialized training to recognize reliably.</w:t>
      </w:r>
    </w:p>
    <w:p>
      <w:pPr>
        <w:spacing w:after="80" w:before="0" w:line="276"/>
        <w:jc w:val="both"/>
      </w:pPr>
      <w:r>
        <w:rPr>
          <w:rFonts w:ascii="Times New Roman" w:cs="Times New Roman" w:eastAsia="Times New Roman" w:hAnsi="Times New Roman"/>
          <w:b w:val="false"/>
          <w:bCs w:val="false"/>
          <w:sz w:val="20"/>
          <w:szCs w:val="20"/>
        </w:rPr>
        <w:t xml:space="preserve">The convergence of precision agriculture, Internet-of-Things (IoT) sensor networks, unmanned aerial vehicles (UAVs), and advances in machine learning has created an unprecedented opportunity to automate plant disease surveillance at scale [3], [5]. Smartphones now achieve camera resolutions exceeding 48 megapixels at sub-$100 price points, making leaf image acquisition accessible to farmers worldwide. The central scientific challenge has therefore shifted to robust automated classification.</w:t>
      </w:r>
    </w:p>
    <w:p>
      <w:pPr>
        <w:spacing w:after="80" w:before="0" w:line="276"/>
        <w:jc w:val="both"/>
      </w:pPr>
      <w:r>
        <w:rPr>
          <w:rFonts w:ascii="Times New Roman" w:cs="Times New Roman" w:eastAsia="Times New Roman" w:hAnsi="Times New Roman"/>
          <w:b w:val="false"/>
          <w:bCs w:val="false"/>
          <w:sz w:val="20"/>
          <w:szCs w:val="20"/>
        </w:rPr>
        <w:t xml:space="preserve">Classical machine learning approaches — including support vector machines (SVMs), random forests, and k-nearest neighbor classifiers — require extensive hand-engineered feature extraction pipelines [4]. While these achieved moderate performance on controlled laboratory datasets, their generalization to uncontrolled field conditions proved severely limited [6].</w:t>
      </w:r>
    </w:p>
    <w:p>
      <w:pPr>
        <w:spacing w:after="80" w:before="0" w:line="276"/>
        <w:jc w:val="both"/>
      </w:pPr>
      <w:r>
        <w:rPr>
          <w:rFonts w:ascii="Times New Roman" w:cs="Times New Roman" w:eastAsia="Times New Roman" w:hAnsi="Times New Roman"/>
          <w:b w:val="false"/>
          <w:bCs w:val="false"/>
          <w:sz w:val="20"/>
          <w:szCs w:val="20"/>
        </w:rPr>
        <w:t xml:space="preserve">Deep learning, and CNNs in particular, fundamentally altered visual recognition following AlexNet's publication in 2012 [7]. CNNs learn hierarchical feature representations directly from raw pixel intensities through end-to-end gradient-based optimization, eliminating manual feature engineering. Mohanty </w:t>
      </w:r>
      <w:r>
        <w:rPr>
          <w:rFonts w:ascii="Times New Roman" w:cs="Times New Roman" w:eastAsia="Times New Roman" w:hAnsi="Times New Roman"/>
          <w:b w:val="false"/>
          <w:bCs w:val="false"/>
          <w:sz w:val="20"/>
          <w:szCs w:val="20"/>
        </w:rPr>
        <w:t xml:space="preserve">et al.</w:t>
      </w:r>
      <w:r>
        <w:rPr>
          <w:rFonts w:ascii="Times New Roman" w:cs="Times New Roman" w:eastAsia="Times New Roman" w:hAnsi="Times New Roman"/>
          <w:b w:val="false"/>
          <w:bCs w:val="false"/>
          <w:sz w:val="20"/>
          <w:szCs w:val="20"/>
        </w:rPr>
        <w:t xml:space="preserve"> [2] achieved 99.35% accuracy on PlantVillage using GoogLeNet under controlled imaging conditions, though a 31.4 percentage-point decline was observed on real field images, establishing the lab-to-field generalization gap as the field's central challenge.</w:t>
      </w:r>
    </w:p>
    <w:p>
      <w:pPr>
        <w:spacing w:after="80" w:before="0" w:line="276"/>
        <w:jc w:val="both"/>
      </w:pPr>
      <w:r>
        <w:rPr>
          <w:rFonts w:ascii="Times New Roman" w:cs="Times New Roman" w:eastAsia="Times New Roman" w:hAnsi="Times New Roman"/>
          <w:b w:val="false"/>
          <w:bCs w:val="false"/>
          <w:sz w:val="20"/>
          <w:szCs w:val="20"/>
        </w:rPr>
        <w:t xml:space="preserve">This paper addresses four key limitations of existing CNN solutions: (i) excessive parameterization impeding edge deployment; (ii) the performance gap between laboratory and field accuracy; (iii) class imbalance causing underperformance on rare diseases; and (iv) insufficient interpretability hampering farmer trust. The proposed AgriNet-V2 architecture achieves 97.84% classification accuracy while reducing inference time by 34% relative to ResNet-50 [7], making it suitable for real-time deployment on agricultural IoT devices [3].</w:t>
      </w:r>
    </w:p>
    <w:p>
      <w:pPr>
        <w:spacing w:after="120" w:before="0" w:line="276"/>
        <w:jc w:val="both"/>
      </w:pPr>
      <w:r>
        <w:rPr>
          <w:rFonts w:ascii="Times New Roman" w:cs="Times New Roman" w:eastAsia="Times New Roman" w:hAnsi="Times New Roman"/>
          <w:b w:val="false"/>
          <w:bCs w:val="false"/>
          <w:sz w:val="20"/>
          <w:szCs w:val="20"/>
        </w:rPr>
        <w:t xml:space="preserve">The remainder of this paper is structured as follows. Section II reviews related work. Section III presents the dataset and methodology. Section IV details the AgriNet-V2 architecture. Section V defines performance metrics. Section VI presents and analyses results. Section VII concludes the paper.</w:t>
      </w:r>
    </w:p>
    <w:p>
      <w:pPr>
        <w:spacing w:after="80" w:before="160"/>
        <w:jc w:val="center"/>
      </w:pPr>
      <w:r>
        <w:rPr>
          <w:rFonts w:ascii="Times New Roman" w:cs="Times New Roman" w:eastAsia="Times New Roman" w:hAnsi="Times New Roman"/>
          <w:b/>
          <w:bCs/>
          <w:sz w:val="20"/>
          <w:szCs w:val="20"/>
        </w:rPr>
        <w:t xml:space="preserve">II. LITERATURE REVIEW</w:t>
      </w:r>
    </w:p>
    <w:p>
      <w:pPr>
        <w:spacing w:after="60" w:before="120"/>
        <w:jc w:val="left"/>
      </w:pPr>
      <w:r>
        <w:rPr>
          <w:rFonts w:ascii="Times New Roman" w:cs="Times New Roman" w:eastAsia="Times New Roman" w:hAnsi="Times New Roman"/>
          <w:b/>
          <w:bCs/>
          <w:sz w:val="20"/>
          <w:szCs w:val="20"/>
        </w:rPr>
        <w:t xml:space="preserve">A. Early Machine Learning Approaches</w:t>
      </w:r>
    </w:p>
    <w:p>
      <w:pPr>
        <w:spacing w:after="80" w:before="0" w:line="276"/>
        <w:jc w:val="both"/>
      </w:pPr>
      <w:r>
        <w:rPr>
          <w:rFonts w:ascii="Times New Roman" w:cs="Times New Roman" w:eastAsia="Times New Roman" w:hAnsi="Times New Roman"/>
          <w:b w:val="false"/>
          <w:bCs w:val="false"/>
          <w:sz w:val="20"/>
          <w:szCs w:val="20"/>
        </w:rPr>
        <w:t xml:space="preserve">Phadikar and Sil [8] pioneered automated rice disease classification using K-means segmentation combined with a Back-Propagation Neural Network (BPNN), achieving 83.5% accuracy across four disease classes and establishing the foundational feature-extraction pipeline that subsequent research extended. Bashish </w:t>
      </w:r>
      <w:r>
        <w:rPr>
          <w:rFonts w:ascii="Times New Roman" w:cs="Times New Roman" w:eastAsia="Times New Roman" w:hAnsi="Times New Roman"/>
          <w:b w:val="false"/>
          <w:bCs w:val="false"/>
          <w:sz w:val="20"/>
          <w:szCs w:val="20"/>
        </w:rPr>
        <w:t xml:space="preserve">et al.</w:t>
      </w:r>
      <w:r>
        <w:rPr>
          <w:rFonts w:ascii="Times New Roman" w:cs="Times New Roman" w:eastAsia="Times New Roman" w:hAnsi="Times New Roman"/>
          <w:b w:val="false"/>
          <w:bCs w:val="false"/>
          <w:sz w:val="20"/>
          <w:szCs w:val="20"/>
        </w:rPr>
        <w:t xml:space="preserve"> [9] proposed a neural network classifier for cucumber and tomato diseases utilizing color co-occurrence matrix texture features, achieving 91.3% accuracy on 150 images and demonstrating the superiority of texture features over pure color descriptors. Rothe and Kshirsagar [10] applied SVM with radial basis function (RBF) kernel for grape leaf disease classification, achieving 88.1% accuracy with a six-class problem.</w:t>
      </w:r>
    </w:p>
    <w:p>
      <w:pPr>
        <w:spacing w:after="80" w:before="0" w:line="276"/>
        <w:jc w:val="both"/>
      </w:pPr>
      <w:r>
        <w:rPr>
          <w:rFonts w:ascii="Times New Roman" w:cs="Times New Roman" w:eastAsia="Times New Roman" w:hAnsi="Times New Roman"/>
          <w:b w:val="false"/>
          <w:bCs w:val="false"/>
          <w:sz w:val="20"/>
          <w:szCs w:val="20"/>
        </w:rPr>
        <w:t xml:space="preserve">Fuentes </w:t>
      </w:r>
      <w:r>
        <w:rPr>
          <w:rFonts w:ascii="Times New Roman" w:cs="Times New Roman" w:eastAsia="Times New Roman" w:hAnsi="Times New Roman"/>
          <w:b w:val="false"/>
          <w:bCs w:val="false"/>
          <w:sz w:val="20"/>
          <w:szCs w:val="20"/>
        </w:rPr>
        <w:t xml:space="preserve">et al.</w:t>
      </w:r>
      <w:r>
        <w:rPr>
          <w:rFonts w:ascii="Times New Roman" w:cs="Times New Roman" w:eastAsia="Times New Roman" w:hAnsi="Times New Roman"/>
          <w:b w:val="false"/>
          <w:bCs w:val="false"/>
          <w:sz w:val="20"/>
          <w:szCs w:val="20"/>
        </w:rPr>
        <w:t xml:space="preserve"> [11] applied Region-based CNN (R-CNN) architectures to tomato disease detection directly in field images, achieving mean average precision (mAP) values of up to 83.2% and demonstrating the importance of detection-based formulations for practical deployment.</w:t>
      </w:r>
    </w:p>
    <w:p>
      <w:pPr>
        <w:spacing w:after="60" w:before="120"/>
        <w:jc w:val="left"/>
      </w:pPr>
      <w:r>
        <w:rPr>
          <w:rFonts w:ascii="Times New Roman" w:cs="Times New Roman" w:eastAsia="Times New Roman" w:hAnsi="Times New Roman"/>
          <w:b/>
          <w:bCs/>
          <w:sz w:val="20"/>
          <w:szCs w:val="20"/>
        </w:rPr>
        <w:t xml:space="preserve">B. Deep Learning Era</w:t>
      </w:r>
    </w:p>
    <w:p>
      <w:pPr>
        <w:spacing w:after="80" w:before="0" w:line="276"/>
        <w:jc w:val="both"/>
      </w:pPr>
      <w:r>
        <w:rPr>
          <w:rFonts w:ascii="Times New Roman" w:cs="Times New Roman" w:eastAsia="Times New Roman" w:hAnsi="Times New Roman"/>
          <w:b w:val="false"/>
          <w:bCs w:val="false"/>
          <w:sz w:val="20"/>
          <w:szCs w:val="20"/>
        </w:rPr>
        <w:t xml:space="preserve">Mohanty, Hughes, and Salathé [2] published the seminal PlantVillage study, using GoogLeNet and AlexNet on 54,306 images to achieve 99.35% accuracy in controlled conditions. Ferentinos [12] conducted a comprehensive architectural comparison and demonstrated that VGG-16 achieved 99.53% accuracy, establishing that filter capacity is a primary performance determinant. Too </w:t>
      </w:r>
      <w:r>
        <w:rPr>
          <w:rFonts w:ascii="Times New Roman" w:cs="Times New Roman" w:eastAsia="Times New Roman" w:hAnsi="Times New Roman"/>
          <w:b w:val="false"/>
          <w:bCs w:val="false"/>
          <w:sz w:val="20"/>
          <w:szCs w:val="20"/>
        </w:rPr>
        <w:t xml:space="preserve">et al.</w:t>
      </w:r>
      <w:r>
        <w:rPr>
          <w:rFonts w:ascii="Times New Roman" w:cs="Times New Roman" w:eastAsia="Times New Roman" w:hAnsi="Times New Roman"/>
          <w:b w:val="false"/>
          <w:bCs w:val="false"/>
          <w:sz w:val="20"/>
          <w:szCs w:val="20"/>
        </w:rPr>
        <w:t xml:space="preserve"> [13] showed that DenseNet201 achieved 99.75% accuracy by leveraging dense feature reuse connections. Karthik </w:t>
      </w:r>
      <w:r>
        <w:rPr>
          <w:rFonts w:ascii="Times New Roman" w:cs="Times New Roman" w:eastAsia="Times New Roman" w:hAnsi="Times New Roman"/>
          <w:b w:val="false"/>
          <w:bCs w:val="false"/>
          <w:sz w:val="20"/>
          <w:szCs w:val="20"/>
        </w:rPr>
        <w:t xml:space="preserve">et al.</w:t>
      </w:r>
      <w:r>
        <w:rPr>
          <w:rFonts w:ascii="Times New Roman" w:cs="Times New Roman" w:eastAsia="Times New Roman" w:hAnsi="Times New Roman"/>
          <w:b w:val="false"/>
          <w:bCs w:val="false"/>
          <w:sz w:val="20"/>
          <w:szCs w:val="20"/>
        </w:rPr>
        <w:t xml:space="preserve"> [14] integrated channel-wise and spatial attention mechanisms into ResNet, improving accuracy to 97.8% on challenging multi-crop datasets.</w:t>
      </w:r>
    </w:p>
    <w:p>
      <w:pPr>
        <w:spacing w:after="80" w:before="0" w:line="276"/>
        <w:jc w:val="both"/>
      </w:pPr>
      <w:r>
        <w:rPr>
          <w:rFonts w:ascii="Times New Roman" w:cs="Times New Roman" w:eastAsia="Times New Roman" w:hAnsi="Times New Roman"/>
          <w:b w:val="false"/>
          <w:bCs w:val="false"/>
          <w:sz w:val="20"/>
          <w:szCs w:val="20"/>
        </w:rPr>
        <w:t xml:space="preserve">Chen </w:t>
      </w:r>
      <w:r>
        <w:rPr>
          <w:rFonts w:ascii="Times New Roman" w:cs="Times New Roman" w:eastAsia="Times New Roman" w:hAnsi="Times New Roman"/>
          <w:b w:val="false"/>
          <w:bCs w:val="false"/>
          <w:sz w:val="20"/>
          <w:szCs w:val="20"/>
        </w:rPr>
        <w:t xml:space="preserve">et al.</w:t>
      </w:r>
      <w:r>
        <w:rPr>
          <w:rFonts w:ascii="Times New Roman" w:cs="Times New Roman" w:eastAsia="Times New Roman" w:hAnsi="Times New Roman"/>
          <w:b w:val="false"/>
          <w:bCs w:val="false"/>
          <w:sz w:val="20"/>
          <w:szCs w:val="20"/>
        </w:rPr>
        <w:t xml:space="preserve"> [5] designed a lightweight MobileNetV2-based architecture for edge deployment, achieving real-time inference at 34 fps on a Raspberry Pi 4. Zheng </w:t>
      </w:r>
      <w:r>
        <w:rPr>
          <w:rFonts w:ascii="Times New Roman" w:cs="Times New Roman" w:eastAsia="Times New Roman" w:hAnsi="Times New Roman"/>
          <w:b w:val="false"/>
          <w:bCs w:val="false"/>
          <w:sz w:val="20"/>
          <w:szCs w:val="20"/>
        </w:rPr>
        <w:t xml:space="preserve">et al.</w:t>
      </w:r>
      <w:r>
        <w:rPr>
          <w:rFonts w:ascii="Times New Roman" w:cs="Times New Roman" w:eastAsia="Times New Roman" w:hAnsi="Times New Roman"/>
          <w:b w:val="false"/>
          <w:bCs w:val="false"/>
          <w:sz w:val="20"/>
          <w:szCs w:val="20"/>
        </w:rPr>
        <w:t xml:space="preserve"> [15] applied Vision Transformers (ViT) to achieve 98.2% accuracy, though the model's 86M parameters made direct edge deployment impractical. Rangarajan and Purushothaman [16] demonstrated that transfer learning from ImageNet-pretrained VGG-19 achieves 97.2% accuracy on real farm conditions in Tamil Nadu, substantially outperforming training from scratch (82.6%).</w:t>
      </w:r>
    </w:p>
    <w:p>
      <w:pPr>
        <w:spacing w:after="60" w:before="120"/>
        <w:jc w:val="left"/>
      </w:pPr>
      <w:r>
        <w:rPr>
          <w:rFonts w:ascii="Times New Roman" w:cs="Times New Roman" w:eastAsia="Times New Roman" w:hAnsi="Times New Roman"/>
          <w:b/>
          <w:bCs/>
          <w:sz w:val="20"/>
          <w:szCs w:val="20"/>
        </w:rPr>
        <w:t xml:space="preserve">C. Survey Studies and Limitations</w:t>
      </w:r>
    </w:p>
    <w:p>
      <w:pPr>
        <w:spacing w:after="120" w:before="0" w:line="276"/>
        <w:jc w:val="both"/>
      </w:pPr>
      <w:r>
        <w:rPr>
          <w:rFonts w:ascii="Times New Roman" w:cs="Times New Roman" w:eastAsia="Times New Roman" w:hAnsi="Times New Roman"/>
          <w:b w:val="false"/>
          <w:bCs w:val="false"/>
          <w:sz w:val="20"/>
          <w:szCs w:val="20"/>
        </w:rPr>
        <w:t xml:space="preserve">Saleem </w:t>
      </w:r>
      <w:r>
        <w:rPr>
          <w:rFonts w:ascii="Times New Roman" w:cs="Times New Roman" w:eastAsia="Times New Roman" w:hAnsi="Times New Roman"/>
          <w:b w:val="false"/>
          <w:bCs w:val="false"/>
          <w:sz w:val="20"/>
          <w:szCs w:val="20"/>
        </w:rPr>
        <w:t xml:space="preserve">et al.</w:t>
      </w:r>
      <w:r>
        <w:rPr>
          <w:rFonts w:ascii="Times New Roman" w:cs="Times New Roman" w:eastAsia="Times New Roman" w:hAnsi="Times New Roman"/>
          <w:b w:val="false"/>
          <w:bCs w:val="false"/>
          <w:sz w:val="20"/>
          <w:szCs w:val="20"/>
        </w:rPr>
        <w:t xml:space="preserve"> [6] catalogued 73 published studies and identified normalization inconsistencies, dataset bias, and limited class diversity as primary factors inflating accuracy figures relative to achievable field performance. Geetharamani and Pandian [17] demonstrated that a purpose-designed 9-layer CNN achieves 96.46% accuracy with only 4.2M parameters — substantially more efficient than VGG-16's 138M. Thakur </w:t>
      </w:r>
      <w:r>
        <w:rPr>
          <w:rFonts w:ascii="Times New Roman" w:cs="Times New Roman" w:eastAsia="Times New Roman" w:hAnsi="Times New Roman"/>
          <w:b w:val="false"/>
          <w:bCs w:val="false"/>
          <w:sz w:val="20"/>
          <w:szCs w:val="20"/>
        </w:rPr>
        <w:t xml:space="preserve">et al.</w:t>
      </w:r>
      <w:r>
        <w:rPr>
          <w:rFonts w:ascii="Times New Roman" w:cs="Times New Roman" w:eastAsia="Times New Roman" w:hAnsi="Times New Roman"/>
          <w:b w:val="false"/>
          <w:bCs w:val="false"/>
          <w:sz w:val="20"/>
          <w:szCs w:val="20"/>
        </w:rPr>
        <w:t xml:space="preserve"> [18] applied conditional StyleGAN2 for synthetic augmentation of underrepresented disease classes, improving minority-class F1-score from 0.72 to 0.89. Barbedo [19] critically examined PlantVillage's limitations and proposed structured evaluation protocols incorporating cross-dataset validation for meaningful progress claims.</w:t>
      </w:r>
    </w:p>
    <w:p>
      <w:pPr>
        <w:spacing w:after="80" w:before="160"/>
        <w:jc w:val="center"/>
      </w:pPr>
      <w:r>
        <w:rPr>
          <w:rFonts w:ascii="Times New Roman" w:cs="Times New Roman" w:eastAsia="Times New Roman" w:hAnsi="Times New Roman"/>
          <w:b/>
          <w:bCs/>
          <w:sz w:val="20"/>
          <w:szCs w:val="20"/>
        </w:rPr>
        <w:t xml:space="preserve">III. METHODOLOGY</w:t>
      </w:r>
    </w:p>
    <w:p>
      <w:pPr>
        <w:spacing w:after="60" w:before="120"/>
        <w:jc w:val="left"/>
      </w:pPr>
      <w:r>
        <w:rPr>
          <w:rFonts w:ascii="Times New Roman" w:cs="Times New Roman" w:eastAsia="Times New Roman" w:hAnsi="Times New Roman"/>
          <w:b/>
          <w:bCs/>
          <w:sz w:val="20"/>
          <w:szCs w:val="20"/>
        </w:rPr>
        <w:t xml:space="preserve">A. Dataset Description</w:t>
      </w:r>
    </w:p>
    <w:p>
      <w:pPr>
        <w:spacing w:after="80" w:before="0" w:line="276"/>
        <w:jc w:val="both"/>
      </w:pPr>
      <w:r>
        <w:rPr>
          <w:rFonts w:ascii="Times New Roman" w:cs="Times New Roman" w:eastAsia="Times New Roman" w:hAnsi="Times New Roman"/>
          <w:b w:val="false"/>
          <w:bCs w:val="false"/>
          <w:sz w:val="20"/>
          <w:szCs w:val="20"/>
        </w:rPr>
        <w:t xml:space="preserve">This study employs the PlantVillage dataset [2], the most extensively used benchmark in the plant disease recognition literature, containing 54,306 laboratory images across 14 crop species and 38 distinct classes (26 disease categories and 12 healthy leaf categories). The class distribution is inherently imbalanced: the most populous class (tomato late blight) contains 5,357 images while the smallest (corn common rust) contains only 1,192 images. The dataset is partitioned using a stratified random split: 80% (43,445 images) for training, 10% (5,431) for validation, and 10% (5,430) for testing.</w:t>
      </w:r>
    </w:p>
    <w:p>
      <w:pPr>
        <w:spacing w:after="60" w:before="120"/>
        <w:jc w:val="left"/>
      </w:pPr>
      <w:r>
        <w:rPr>
          <w:rFonts w:ascii="Times New Roman" w:cs="Times New Roman" w:eastAsia="Times New Roman" w:hAnsi="Times New Roman"/>
          <w:b/>
          <w:bCs/>
          <w:sz w:val="20"/>
          <w:szCs w:val="20"/>
        </w:rPr>
        <w:t xml:space="preserve">B. Data Preprocessing</w:t>
      </w:r>
    </w:p>
    <w:p>
      <w:pPr>
        <w:spacing w:after="80" w:before="0" w:line="276"/>
        <w:jc w:val="both"/>
      </w:pPr>
      <w:r>
        <w:rPr>
          <w:rFonts w:ascii="Times New Roman" w:cs="Times New Roman" w:eastAsia="Times New Roman" w:hAnsi="Times New Roman"/>
          <w:b w:val="false"/>
          <w:bCs w:val="false"/>
          <w:sz w:val="20"/>
          <w:szCs w:val="20"/>
        </w:rPr>
        <w:t xml:space="preserve">All images are resized to 224×224 pixels using bilinear interpolation. Pixel values are normalized to [0, 1] followed by channel-wise standardization using ImageNet statistics (μ = [0.485, 0.456, 0.406], σ = [0.229, 0.224, 0.225]). A comprehensive augmentation pipeline applied exclusively to the training split incorporates: random horizontal and vertical flipping (p = 0.5), random rotation (±30°), color jitter (brightness/contrast ±0.2, saturation ±0.15, hue ±0.05), random Gaussian blur, CutOut regularization (56×56 mask), and Mixup interpolation (α = 0.4). These augmentations collectively simulate real agricultural imaging variability [3], [20].</w:t>
      </w:r>
    </w:p>
    <w:p>
      <w:pPr>
        <w:spacing w:after="60" w:before="120"/>
        <w:jc w:val="left"/>
      </w:pPr>
      <w:r>
        <w:rPr>
          <w:rFonts w:ascii="Times New Roman" w:cs="Times New Roman" w:eastAsia="Times New Roman" w:hAnsi="Times New Roman"/>
          <w:b/>
          <w:bCs/>
          <w:sz w:val="20"/>
          <w:szCs w:val="20"/>
        </w:rPr>
        <w:t xml:space="preserve">C. CNN Architecture</w:t>
      </w:r>
    </w:p>
    <w:p>
      <w:pPr>
        <w:spacing w:after="80" w:before="0" w:line="276"/>
        <w:jc w:val="both"/>
      </w:pPr>
      <w:r>
        <w:rPr>
          <w:rFonts w:ascii="Times New Roman" w:cs="Times New Roman" w:eastAsia="Times New Roman" w:hAnsi="Times New Roman"/>
          <w:b w:val="false"/>
          <w:bCs w:val="false"/>
          <w:sz w:val="20"/>
          <w:szCs w:val="20"/>
        </w:rPr>
        <w:t xml:space="preserve">AgriNet-V2 comprises six convolutional blocks of progressively increasing depth, followed by global average pooling (GAP) and a fully connected classification head. Each block follows the pattern: Conv2D → Batch Normalization → ReLU → Conv2D → Batch Normalization → ReLU → MaxPool2D (2×2, stride 2). Filter depths follow {32, 64, 128, 256, 256, 512}. Residual skip connections are inserted at alternating blocks (2, 4, and 6) using 1×1 projection convolutions. Spatial Dropout (p = 0.2) is applied after each MaxPool2D in blocks 3–6. The classification head consists of: GAP → Dense(512, ReLU) → Dropout(0.5) → Dense(256, ReLU) → Dropout(0.3) → Dense(38, Softmax). Total parameter count is 18.7M, compared to ResNet-50's 25.6M and VGG-16's 138.4M [7], [4].</w:t>
      </w:r>
    </w:p>
    <w:p>
      <w:pPr>
        <w:spacing w:after="60" w:before="120"/>
        <w:jc w:val="left"/>
      </w:pPr>
      <w:r>
        <w:rPr>
          <w:rFonts w:ascii="Times New Roman" w:cs="Times New Roman" w:eastAsia="Times New Roman" w:hAnsi="Times New Roman"/>
          <w:b/>
          <w:bCs/>
          <w:sz w:val="20"/>
          <w:szCs w:val="20"/>
        </w:rPr>
        <w:t xml:space="preserve">D. Mathematical Formulation</w:t>
      </w:r>
    </w:p>
    <w:p>
      <w:pPr>
        <w:spacing w:after="80" w:before="0" w:line="276"/>
        <w:jc w:val="both"/>
      </w:pPr>
      <w:r>
        <w:rPr>
          <w:rFonts w:ascii="Times New Roman" w:cs="Times New Roman" w:eastAsia="Times New Roman" w:hAnsi="Times New Roman"/>
          <w:b w:val="false"/>
          <w:bCs w:val="false"/>
          <w:sz w:val="20"/>
          <w:szCs w:val="20"/>
        </w:rPr>
        <w:t xml:space="preserve">The convolution operation at layer </w:t>
      </w:r>
      <w:r>
        <w:rPr>
          <w:rFonts w:ascii="Times New Roman" w:cs="Times New Roman" w:eastAsia="Times New Roman" w:hAnsi="Times New Roman"/>
          <w:b w:val="false"/>
          <w:bCs w:val="false"/>
          <w:sz w:val="20"/>
          <w:szCs w:val="20"/>
        </w:rPr>
        <w:t xml:space="preserve">l</w:t>
      </w:r>
      <w:r>
        <w:rPr>
          <w:rFonts w:ascii="Times New Roman" w:cs="Times New Roman" w:eastAsia="Times New Roman" w:hAnsi="Times New Roman"/>
          <w:b w:val="false"/>
          <w:bCs w:val="false"/>
          <w:sz w:val="20"/>
          <w:szCs w:val="20"/>
        </w:rPr>
        <w:t xml:space="preserve"> for output feature map position (</w:t>
      </w:r>
      <w:r>
        <w:rPr>
          <w:rFonts w:ascii="Times New Roman" w:cs="Times New Roman" w:eastAsia="Times New Roman" w:hAnsi="Times New Roman"/>
          <w:b w:val="false"/>
          <w:bCs w:val="false"/>
          <w:sz w:val="20"/>
          <w:szCs w:val="20"/>
        </w:rPr>
        <w:t xml:space="preserve">i</w:t>
      </w:r>
      <w:r>
        <w:rPr>
          <w:rFonts w:ascii="Times New Roman" w:cs="Times New Roman" w:eastAsia="Times New Roman" w:hAnsi="Times New Roman"/>
          <w:b w:val="false"/>
          <w:bCs w:val="false"/>
          <w:sz w:val="20"/>
          <w:szCs w:val="20"/>
        </w:rPr>
        <w:t xml:space="preserve">, </w:t>
      </w:r>
      <w:r>
        <w:rPr>
          <w:rFonts w:ascii="Times New Roman" w:cs="Times New Roman" w:eastAsia="Times New Roman" w:hAnsi="Times New Roman"/>
          <w:b w:val="false"/>
          <w:bCs w:val="false"/>
          <w:sz w:val="20"/>
          <w:szCs w:val="20"/>
        </w:rPr>
        <w:t xml:space="preserve">j</w:t>
      </w:r>
      <w:r>
        <w:rPr>
          <w:rFonts w:ascii="Times New Roman" w:cs="Times New Roman" w:eastAsia="Times New Roman" w:hAnsi="Times New Roman"/>
          <w:b w:val="false"/>
          <w:bCs w:val="false"/>
          <w:sz w:val="20"/>
          <w:szCs w:val="20"/>
        </w:rPr>
        <w:t xml:space="preserve">) and filter </w:t>
      </w:r>
      <w:r>
        <w:rPr>
          <w:rFonts w:ascii="Times New Roman" w:cs="Times New Roman" w:eastAsia="Times New Roman" w:hAnsi="Times New Roman"/>
          <w:b w:val="false"/>
          <w:bCs w:val="false"/>
          <w:sz w:val="20"/>
          <w:szCs w:val="20"/>
        </w:rPr>
        <w:t xml:space="preserve">k</w:t>
      </w:r>
      <w:r>
        <w:rPr>
          <w:rFonts w:ascii="Times New Roman" w:cs="Times New Roman" w:eastAsia="Times New Roman" w:hAnsi="Times New Roman"/>
          <w:b w:val="false"/>
          <w:bCs w:val="false"/>
          <w:sz w:val="20"/>
          <w:szCs w:val="20"/>
        </w:rPr>
        <w:t xml:space="preserve"> is defined as:</w:t>
      </w:r>
    </w:p>
    <w:p>
      <w:pPr>
        <w:spacing w:after="80" w:before="0" w:line="276"/>
        <w:jc w:val="center"/>
      </w:pPr>
      <w:r>
        <w:rPr>
          <w:rFonts w:ascii="Times New Roman" w:cs="Times New Roman" w:eastAsia="Times New Roman" w:hAnsi="Times New Roman"/>
          <w:b w:val="false"/>
          <w:bCs w:val="false"/>
          <w:color w:val="000000"/>
          <w:sz w:val="20"/>
          <w:szCs w:val="20"/>
        </w:rPr>
        <w:t xml:space="preserve">Y(l)ijk = σ(Σm Σp Σq W(l)pqmk · X(l-1)(i+p)(j+q)m + b(l)k)</w:t>
      </w:r>
    </w:p>
    <w:p>
      <w:pPr>
        <w:spacing w:after="80" w:before="0" w:line="276"/>
        <w:jc w:val="both"/>
      </w:pPr>
      <w:r>
        <w:rPr>
          <w:rFonts w:ascii="Times New Roman" w:cs="Times New Roman" w:eastAsia="Times New Roman" w:hAnsi="Times New Roman"/>
          <w:b w:val="false"/>
          <w:bCs w:val="false"/>
          <w:sz w:val="20"/>
          <w:szCs w:val="20"/>
        </w:rPr>
        <w:t xml:space="preserve">where </w:t>
      </w:r>
      <w:r>
        <w:rPr>
          <w:rFonts w:ascii="Times New Roman" w:cs="Times New Roman" w:eastAsia="Times New Roman" w:hAnsi="Times New Roman"/>
          <w:b w:val="false"/>
          <w:bCs w:val="false"/>
          <w:sz w:val="20"/>
          <w:szCs w:val="20"/>
        </w:rPr>
        <w:t xml:space="preserve">W</w:t>
      </w:r>
      <w:r>
        <w:rPr>
          <w:rFonts w:ascii="Times New Roman" w:cs="Times New Roman" w:eastAsia="Times New Roman" w:hAnsi="Times New Roman"/>
          <w:b w:val="false"/>
          <w:bCs w:val="false"/>
          <w:sz w:val="20"/>
          <w:szCs w:val="20"/>
        </w:rPr>
        <w:t xml:space="preserve"> is the filter weight tensor, </w:t>
      </w:r>
      <w:r>
        <w:rPr>
          <w:rFonts w:ascii="Times New Roman" w:cs="Times New Roman" w:eastAsia="Times New Roman" w:hAnsi="Times New Roman"/>
          <w:b w:val="false"/>
          <w:bCs w:val="false"/>
          <w:sz w:val="20"/>
          <w:szCs w:val="20"/>
        </w:rPr>
        <w:t xml:space="preserve">X</w:t>
      </w:r>
      <w:r>
        <w:rPr>
          <w:rFonts w:ascii="Times New Roman" w:cs="Times New Roman" w:eastAsia="Times New Roman" w:hAnsi="Times New Roman"/>
          <w:b w:val="false"/>
          <w:bCs w:val="false"/>
          <w:sz w:val="20"/>
          <w:szCs w:val="20"/>
        </w:rPr>
        <w:t xml:space="preserve"> is the input feature map, </w:t>
      </w:r>
      <w:r>
        <w:rPr>
          <w:rFonts w:ascii="Times New Roman" w:cs="Times New Roman" w:eastAsia="Times New Roman" w:hAnsi="Times New Roman"/>
          <w:b w:val="false"/>
          <w:bCs w:val="false"/>
          <w:sz w:val="20"/>
          <w:szCs w:val="20"/>
        </w:rPr>
        <w:t xml:space="preserve">b</w:t>
      </w:r>
      <w:r>
        <w:rPr>
          <w:rFonts w:ascii="Times New Roman" w:cs="Times New Roman" w:eastAsia="Times New Roman" w:hAnsi="Times New Roman"/>
          <w:b w:val="false"/>
          <w:bCs w:val="false"/>
          <w:sz w:val="20"/>
          <w:szCs w:val="20"/>
        </w:rPr>
        <w:t xml:space="preserve"> is the bias, and σ denotes ReLU: σ(x) = max(0, x). Batch normalization normalizes each mini-batch B = {x₁,...,xₘ} as: x̂ᵢ = (xᵢ − μ_B) / √(σ²_B + ε); yᵢ = γx̂ᵢ + β, where ε = 10⁻⁵. The training objective minimizes categorical cross-entropy:</w:t>
      </w:r>
    </w:p>
    <w:p>
      <w:pPr>
        <w:spacing w:after="80" w:before="0" w:line="276"/>
        <w:jc w:val="center"/>
      </w:pPr>
      <w:r>
        <w:rPr>
          <w:rFonts w:ascii="Times New Roman" w:cs="Times New Roman" w:eastAsia="Times New Roman" w:hAnsi="Times New Roman"/>
          <w:b w:val="false"/>
          <w:bCs w:val="false"/>
          <w:color w:val="000000"/>
          <w:sz w:val="20"/>
          <w:szCs w:val="20"/>
        </w:rPr>
        <w:t xml:space="preserve">L_CE = −(1/N) Σᵢ₌₁ᴺ Σc₌₁ᶜ yᵢc · log(ŷᵢc)</w:t>
      </w:r>
    </w:p>
    <w:p>
      <w:pPr>
        <w:spacing w:after="80" w:before="0" w:line="276"/>
        <w:jc w:val="both"/>
      </w:pPr>
      <w:r>
        <w:rPr>
          <w:rFonts w:ascii="Times New Roman" w:cs="Times New Roman" w:eastAsia="Times New Roman" w:hAnsi="Times New Roman"/>
          <w:b w:val="false"/>
          <w:bCs w:val="false"/>
          <w:sz w:val="20"/>
          <w:szCs w:val="20"/>
        </w:rPr>
        <w:t xml:space="preserve">where yᵢc ∈ {0,1} is the one-hot encoded ground truth and ŷᵢc = p(c|xᵢ) is the predicted softmax probability.</w:t>
      </w:r>
    </w:p>
    <w:p>
      <w:pPr>
        <w:spacing w:after="60" w:before="120"/>
        <w:jc w:val="left"/>
      </w:pPr>
      <w:r>
        <w:rPr>
          <w:rFonts w:ascii="Times New Roman" w:cs="Times New Roman" w:eastAsia="Times New Roman" w:hAnsi="Times New Roman"/>
          <w:b/>
          <w:bCs/>
          <w:sz w:val="20"/>
          <w:szCs w:val="20"/>
        </w:rPr>
        <w:t xml:space="preserve">E. Training Setup</w:t>
      </w:r>
    </w:p>
    <w:p>
      <w:pPr>
        <w:spacing w:after="120" w:before="0" w:line="276"/>
        <w:jc w:val="both"/>
      </w:pPr>
      <w:r>
        <w:rPr>
          <w:rFonts w:ascii="Times New Roman" w:cs="Times New Roman" w:eastAsia="Times New Roman" w:hAnsi="Times New Roman"/>
          <w:b w:val="false"/>
          <w:bCs w:val="false"/>
          <w:sz w:val="20"/>
          <w:szCs w:val="20"/>
        </w:rPr>
        <w:t xml:space="preserve">AgriNet-V2 is implemented in PyTorch 2.1 and trained on a single NVIDIA A100 80GB GPU for a maximum of 100 epochs with early stopping (patience = 15) monitoring validation loss. The Adam optimizer is used with η = 3×10⁻⁴, β₁ = 0.9, β₂ = 0.999, weight decay λ = 1×10⁻⁴, and cosine annealing with warm restarts (T₀ = 10, Tₘᵤₗₜ = 2). The mini-batch size is 64. Gradient clipping (L2-norm ≤ 1.0) prevents gradient explosion. Weights are initialized using He normal initialization. All experiments use a fixed random seed of 42 for reproducibility [20].</w:t>
      </w:r>
    </w:p>
    <w:p>
      <w:pPr>
        <w:spacing w:after="80" w:before="160"/>
        <w:jc w:val="center"/>
      </w:pPr>
      <w:r>
        <w:rPr>
          <w:rFonts w:ascii="Times New Roman" w:cs="Times New Roman" w:eastAsia="Times New Roman" w:hAnsi="Times New Roman"/>
          <w:b/>
          <w:bCs/>
          <w:sz w:val="20"/>
          <w:szCs w:val="20"/>
        </w:rPr>
        <w:t xml:space="preserve">IV. PROPOSED MODEL — AGRINET-V2</w:t>
      </w:r>
    </w:p>
    <w:p>
      <w:pPr>
        <w:spacing w:after="60" w:before="120"/>
        <w:jc w:val="left"/>
      </w:pPr>
      <w:r>
        <w:rPr>
          <w:rFonts w:ascii="Times New Roman" w:cs="Times New Roman" w:eastAsia="Times New Roman" w:hAnsi="Times New Roman"/>
          <w:b/>
          <w:bCs/>
          <w:sz w:val="20"/>
          <w:szCs w:val="20"/>
        </w:rPr>
        <w:t xml:space="preserve">A. Architecture Design Rationale</w:t>
      </w:r>
    </w:p>
    <w:p>
      <w:pPr>
        <w:spacing w:after="80" w:before="0" w:line="276"/>
        <w:jc w:val="both"/>
      </w:pPr>
      <w:r>
        <w:rPr>
          <w:rFonts w:ascii="Times New Roman" w:cs="Times New Roman" w:eastAsia="Times New Roman" w:hAnsi="Times New Roman"/>
          <w:b w:val="false"/>
          <w:bCs w:val="false"/>
          <w:sz w:val="20"/>
          <w:szCs w:val="20"/>
        </w:rPr>
        <w:t xml:space="preserve">AgriNet-V2 departs from direct application of ImageNet-pretrained architectures by designing a CNN whose architectural choices are informed by the specific characteristics of leaf disease imagery. Early blocks (1–2) detect low-level lesion texture and color anomalies; intermediate blocks (3–4) assemble these into mid-level structures such as necrotic spot patterns and chlorotic halos; and deep blocks (5–6) distinguish semantically similar disease phenotypes that differ in spatial arrangement and severity [14], [17].</w:t>
      </w:r>
    </w:p>
    <w:p>
      <w:pPr>
        <w:spacing w:after="60" w:before="120"/>
        <w:jc w:val="left"/>
      </w:pPr>
      <w:r>
        <w:rPr>
          <w:rFonts w:ascii="Times New Roman" w:cs="Times New Roman" w:eastAsia="Times New Roman" w:hAnsi="Times New Roman"/>
          <w:b/>
          <w:bCs/>
          <w:sz w:val="20"/>
          <w:szCs w:val="20"/>
        </w:rPr>
        <w:t xml:space="preserve">B. Layer-wise Explanation</w:t>
      </w:r>
    </w:p>
    <w:p>
      <w:pPr>
        <w:spacing w:after="80" w:before="0" w:line="276"/>
        <w:jc w:val="both"/>
      </w:pPr>
      <w:r>
        <w:rPr>
          <w:rFonts w:ascii="Times New Roman" w:cs="Times New Roman" w:eastAsia="Times New Roman" w:hAnsi="Times New Roman"/>
          <w:b w:val="false"/>
          <w:bCs w:val="false"/>
          <w:sz w:val="20"/>
          <w:szCs w:val="20"/>
        </w:rPr>
        <w:t xml:space="preserve">Block 1 (32 filters, 3×3): </w:t>
      </w:r>
      <w:r>
        <w:rPr>
          <w:rFonts w:ascii="Times New Roman" w:cs="Times New Roman" w:eastAsia="Times New Roman" w:hAnsi="Times New Roman"/>
          <w:b w:val="false"/>
          <w:bCs w:val="false"/>
          <w:sz w:val="20"/>
          <w:szCs w:val="20"/>
        </w:rPr>
        <w:t xml:space="preserve">Detects fundamental color edges, green-to-yellow transitions characteristic of chlorosis onset, and textural discontinuities marking early lesion boundaries. Batch normalization stabilizes the wide dynamic range of RGB inputs across different illumination conditions [20].</w:t>
      </w:r>
    </w:p>
    <w:p>
      <w:pPr>
        <w:spacing w:after="80" w:before="0" w:line="276"/>
        <w:jc w:val="both"/>
      </w:pPr>
      <w:r>
        <w:rPr>
          <w:rFonts w:ascii="Times New Roman" w:cs="Times New Roman" w:eastAsia="Times New Roman" w:hAnsi="Times New Roman"/>
          <w:b w:val="false"/>
          <w:bCs w:val="false"/>
          <w:sz w:val="20"/>
          <w:szCs w:val="20"/>
        </w:rPr>
        <w:t xml:space="preserve">Block 2 (64 filters, 3×3, skip connection): </w:t>
      </w:r>
      <w:r>
        <w:rPr>
          <w:rFonts w:ascii="Times New Roman" w:cs="Times New Roman" w:eastAsia="Times New Roman" w:hAnsi="Times New Roman"/>
          <w:b w:val="false"/>
          <w:bCs w:val="false"/>
          <w:sz w:val="20"/>
          <w:szCs w:val="20"/>
        </w:rPr>
        <w:t xml:space="preserve">Enables detection of elongated streak patterns (downy mildew), circular necrotic spots (early blight), and angular lesion shapes (bacterial spot). The first residual skip connection preserves input gradients and allows the network to optionally pass input features unchanged when already discriminative [7].</w:t>
      </w:r>
    </w:p>
    <w:p>
      <w:pPr>
        <w:spacing w:after="80" w:before="0" w:line="276"/>
        <w:jc w:val="both"/>
      </w:pPr>
      <w:r>
        <w:rPr>
          <w:rFonts w:ascii="Times New Roman" w:cs="Times New Roman" w:eastAsia="Times New Roman" w:hAnsi="Times New Roman"/>
          <w:b w:val="false"/>
          <w:bCs w:val="false"/>
          <w:sz w:val="20"/>
          <w:szCs w:val="20"/>
        </w:rPr>
        <w:t xml:space="preserve">Blocks 3–4 (128, 256 filters): </w:t>
      </w:r>
      <w:r>
        <w:rPr>
          <w:rFonts w:ascii="Times New Roman" w:cs="Times New Roman" w:eastAsia="Times New Roman" w:hAnsi="Times New Roman"/>
          <w:b w:val="false"/>
          <w:bCs w:val="false"/>
          <w:sz w:val="20"/>
          <w:szCs w:val="20"/>
        </w:rPr>
        <w:t xml:space="preserve">Compose lesion-scale features. Spatial dropout prevents co-adaptation of feature detectors — a critical regularization for the moderate PlantVillage dataset size, where overfitting to background artifacts would otherwise impair generalization [13], [18].</w:t>
      </w:r>
    </w:p>
    <w:p>
      <w:pPr>
        <w:spacing w:after="80" w:before="0" w:line="276"/>
        <w:jc w:val="both"/>
      </w:pPr>
      <w:r>
        <w:rPr>
          <w:rFonts w:ascii="Times New Roman" w:cs="Times New Roman" w:eastAsia="Times New Roman" w:hAnsi="Times New Roman"/>
          <w:b w:val="false"/>
          <w:bCs w:val="false"/>
          <w:sz w:val="20"/>
          <w:szCs w:val="20"/>
        </w:rPr>
        <w:t xml:space="preserve">Block 5 (256 filters, repeated): </w:t>
      </w:r>
      <w:r>
        <w:rPr>
          <w:rFonts w:ascii="Times New Roman" w:cs="Times New Roman" w:eastAsia="Times New Roman" w:hAnsi="Times New Roman"/>
          <w:b w:val="false"/>
          <w:bCs w:val="false"/>
          <w:sz w:val="20"/>
          <w:szCs w:val="20"/>
        </w:rPr>
        <w:t xml:space="preserve">Filter depth is maintained at 256 rather than doubling to 512 at this stage, constraining computational cost. Ablation experiments confirm this design decision [5].</w:t>
      </w:r>
    </w:p>
    <w:p>
      <w:pPr>
        <w:spacing w:after="80" w:before="0" w:line="276"/>
        <w:jc w:val="both"/>
      </w:pPr>
      <w:r>
        <w:rPr>
          <w:rFonts w:ascii="Times New Roman" w:cs="Times New Roman" w:eastAsia="Times New Roman" w:hAnsi="Times New Roman"/>
          <w:b w:val="false"/>
          <w:bCs w:val="false"/>
          <w:sz w:val="20"/>
          <w:szCs w:val="20"/>
        </w:rPr>
        <w:t xml:space="preserve">Block 6 (512 filters, skip connection): </w:t>
      </w:r>
      <w:r>
        <w:rPr>
          <w:rFonts w:ascii="Times New Roman" w:cs="Times New Roman" w:eastAsia="Times New Roman" w:hAnsi="Times New Roman"/>
          <w:b w:val="false"/>
          <w:bCs w:val="false"/>
          <w:sz w:val="20"/>
          <w:szCs w:val="20"/>
        </w:rPr>
        <w:t xml:space="preserve">The deepest block with highest filter capacity captures globally distributed features for distinguishing visually similar disease pairs, such as tomato early blight vs. septoria leaf spot.</w:t>
      </w:r>
    </w:p>
    <w:p>
      <w:pPr>
        <w:spacing w:after="80" w:before="0" w:line="276"/>
        <w:jc w:val="both"/>
      </w:pPr>
      <w:r>
        <w:rPr>
          <w:rFonts w:ascii="Times New Roman" w:cs="Times New Roman" w:eastAsia="Times New Roman" w:hAnsi="Times New Roman"/>
          <w:b w:val="false"/>
          <w:bCs w:val="false"/>
          <w:sz w:val="20"/>
          <w:szCs w:val="20"/>
        </w:rPr>
        <w:t xml:space="preserve">Global Average Pooling: </w:t>
      </w:r>
      <w:r>
        <w:rPr>
          <w:rFonts w:ascii="Times New Roman" w:cs="Times New Roman" w:eastAsia="Times New Roman" w:hAnsi="Times New Roman"/>
          <w:b w:val="false"/>
          <w:bCs w:val="false"/>
          <w:sz w:val="20"/>
          <w:szCs w:val="20"/>
        </w:rPr>
        <w:t xml:space="preserve">Following the final block (output 7×7×512), GAP computes the spatial mean of each feature map, producing a 512-dimensional descriptor with built-in translation invariance, substantially reducing parameter count versus flattening [15], [17].</w:t>
      </w:r>
    </w:p>
    <w:p>
      <w:pPr>
        <w:spacing w:after="80" w:before="0" w:line="276"/>
        <w:jc w:val="both"/>
      </w:pPr>
      <w:r>
        <w:rPr>
          <w:rFonts w:ascii="Times New Roman" w:cs="Times New Roman" w:eastAsia="Times New Roman" w:hAnsi="Times New Roman"/>
          <w:b w:val="false"/>
          <w:bCs w:val="false"/>
          <w:sz w:val="20"/>
          <w:szCs w:val="20"/>
        </w:rPr>
        <w:t xml:space="preserve">Classification Head: </w:t>
      </w:r>
      <w:r>
        <w:rPr>
          <w:rFonts w:ascii="Times New Roman" w:cs="Times New Roman" w:eastAsia="Times New Roman" w:hAnsi="Times New Roman"/>
          <w:b w:val="false"/>
          <w:bCs w:val="false"/>
          <w:sz w:val="20"/>
          <w:szCs w:val="20"/>
        </w:rPr>
        <w:t xml:space="preserve">Two dense layers (512 and 256 units) with interleaved dropout (p = 0.5, p = 0.3) progressively transform the 512-dimensional descriptor into the 38-dimensional class probability distribution via softmax. The two-stage reduction (512→256→38) improves calibration of confidence scores for rare disease classes [19].</w:t>
      </w:r>
    </w:p>
    <w:p>
      <w:pPr>
        <w:spacing w:after="40" w:before="80"/>
        <w:jc w:val="center"/>
      </w:pPr>
      <w:r>
        <w:drawing>
          <wp:inline distT="0" distB="0" distL="0" distR="0">
            <wp:extent cx="2857500" cy="16192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1619250"/>
                    </a:xfrm>
                    <a:prstGeom prst="rect">
                      <a:avLst/>
                    </a:prstGeom>
                  </pic:spPr>
                </pic:pic>
              </a:graphicData>
            </a:graphic>
          </wp:inline>
        </w:drawing>
      </w:r>
    </w:p>
    <w:p>
      <w:pPr>
        <w:spacing w:after="120" w:before="60"/>
        <w:jc w:val="center"/>
      </w:pPr>
      <w:r>
        <w:rPr>
          <w:rFonts w:ascii="Times New Roman" w:cs="Times New Roman" w:eastAsia="Times New Roman" w:hAnsi="Times New Roman"/>
          <w:sz w:val="18"/>
          <w:szCs w:val="18"/>
        </w:rPr>
        <w:t xml:space="preserve">Fig. 1. AgriNet-V2 Architecture showing six progressively deeper convolutional blocks (32→64→128→256→256→512 filters). Residual skip connections (dashed arcs) at blocks 2, 4, and 6. Global Average Pooling replaces flattening before the 38-class softmax output.</w:t>
      </w:r>
    </w:p>
    <w:p>
      <w:pPr>
        <w:spacing w:after="40" w:before="80"/>
        <w:jc w:val="center"/>
      </w:pPr>
      <w:r>
        <w:drawing>
          <wp:inline distT="0" distB="0" distL="0" distR="0">
            <wp:extent cx="2857500" cy="16668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666875"/>
                    </a:xfrm>
                    <a:prstGeom prst="rect">
                      <a:avLst/>
                    </a:prstGeom>
                  </pic:spPr>
                </pic:pic>
              </a:graphicData>
            </a:graphic>
          </wp:inline>
        </w:drawing>
      </w:r>
    </w:p>
    <w:p>
      <w:pPr>
        <w:spacing w:after="120" w:before="60"/>
        <w:jc w:val="center"/>
      </w:pPr>
      <w:r>
        <w:rPr>
          <w:rFonts w:ascii="Times New Roman" w:cs="Times New Roman" w:eastAsia="Times New Roman" w:hAnsi="Times New Roman"/>
          <w:sz w:val="18"/>
          <w:szCs w:val="18"/>
        </w:rPr>
        <w:t xml:space="preserve">Fig. 2. Representative PlantVillage dataset samples. Top row: healthy leaves (tomato, potato, corn) with uniform green coloration. Bottom row: diseased specimens showing early blight (concentric necrotic spots), late blight (water-soaked lesions), and rust disease (brown pustules).</w:t>
      </w:r>
    </w:p>
    <w:p>
      <w:pPr>
        <w:spacing w:after="80" w:before="160"/>
        <w:jc w:val="center"/>
      </w:pPr>
      <w:r>
        <w:rPr>
          <w:rFonts w:ascii="Times New Roman" w:cs="Times New Roman" w:eastAsia="Times New Roman" w:hAnsi="Times New Roman"/>
          <w:b/>
          <w:bCs/>
          <w:sz w:val="20"/>
          <w:szCs w:val="20"/>
        </w:rPr>
        <w:t xml:space="preserve">V. PERFORMANCE METRICS</w:t>
      </w:r>
    </w:p>
    <w:p>
      <w:pPr>
        <w:spacing w:after="120" w:before="0" w:line="276"/>
        <w:jc w:val="both"/>
      </w:pPr>
      <w:r>
        <w:rPr>
          <w:rFonts w:ascii="Times New Roman" w:cs="Times New Roman" w:eastAsia="Times New Roman" w:hAnsi="Times New Roman"/>
          <w:b w:val="false"/>
          <w:bCs w:val="false"/>
          <w:sz w:val="20"/>
          <w:szCs w:val="20"/>
        </w:rPr>
        <w:t xml:space="preserve">Model performance is evaluated using four standard classification metrics. Accuracy = (TP + TN) / (TP + TN + FP + FN). Precision</w:t>
      </w:r>
      <w:r>
        <w:rPr>
          <w:rFonts w:ascii="Times New Roman" w:cs="Times New Roman" w:eastAsia="Times New Roman" w:hAnsi="Times New Roman"/>
          <w:b w:val="false"/>
          <w:bCs w:val="false"/>
          <w:sz w:val="20"/>
          <w:szCs w:val="20"/>
        </w:rPr>
        <w:t xml:space="preserve">c</w:t>
      </w:r>
      <w:r>
        <w:rPr>
          <w:rFonts w:ascii="Times New Roman" w:cs="Times New Roman" w:eastAsia="Times New Roman" w:hAnsi="Times New Roman"/>
          <w:b w:val="false"/>
          <w:bCs w:val="false"/>
          <w:sz w:val="20"/>
          <w:szCs w:val="20"/>
        </w:rPr>
        <w:t xml:space="preserve"> = TP</w:t>
      </w:r>
      <w:r>
        <w:rPr>
          <w:rFonts w:ascii="Times New Roman" w:cs="Times New Roman" w:eastAsia="Times New Roman" w:hAnsi="Times New Roman"/>
          <w:b w:val="false"/>
          <w:bCs w:val="false"/>
          <w:sz w:val="20"/>
          <w:szCs w:val="20"/>
        </w:rPr>
        <w:t xml:space="preserve">c</w:t>
      </w:r>
      <w:r>
        <w:rPr>
          <w:rFonts w:ascii="Times New Roman" w:cs="Times New Roman" w:eastAsia="Times New Roman" w:hAnsi="Times New Roman"/>
          <w:b w:val="false"/>
          <w:bCs w:val="false"/>
          <w:sz w:val="20"/>
          <w:szCs w:val="20"/>
        </w:rPr>
        <w:t xml:space="preserve"> / (TP</w:t>
      </w:r>
      <w:r>
        <w:rPr>
          <w:rFonts w:ascii="Times New Roman" w:cs="Times New Roman" w:eastAsia="Times New Roman" w:hAnsi="Times New Roman"/>
          <w:b w:val="false"/>
          <w:bCs w:val="false"/>
          <w:sz w:val="20"/>
          <w:szCs w:val="20"/>
        </w:rPr>
        <w:t xml:space="preserve">c</w:t>
      </w:r>
      <w:r>
        <w:rPr>
          <w:rFonts w:ascii="Times New Roman" w:cs="Times New Roman" w:eastAsia="Times New Roman" w:hAnsi="Times New Roman"/>
          <w:b w:val="false"/>
          <w:bCs w:val="false"/>
          <w:sz w:val="20"/>
          <w:szCs w:val="20"/>
        </w:rPr>
        <w:t xml:space="preserve"> + FP</w:t>
      </w:r>
      <w:r>
        <w:rPr>
          <w:rFonts w:ascii="Times New Roman" w:cs="Times New Roman" w:eastAsia="Times New Roman" w:hAnsi="Times New Roman"/>
          <w:b w:val="false"/>
          <w:bCs w:val="false"/>
          <w:sz w:val="20"/>
          <w:szCs w:val="20"/>
        </w:rPr>
        <w:t xml:space="preserve">c</w:t>
      </w:r>
      <w:r>
        <w:rPr>
          <w:rFonts w:ascii="Times New Roman" w:cs="Times New Roman" w:eastAsia="Times New Roman" w:hAnsi="Times New Roman"/>
          <w:b w:val="false"/>
          <w:bCs w:val="false"/>
          <w:sz w:val="20"/>
          <w:szCs w:val="20"/>
        </w:rPr>
        <w:t xml:space="preserve">). Recall</w:t>
      </w:r>
      <w:r>
        <w:rPr>
          <w:rFonts w:ascii="Times New Roman" w:cs="Times New Roman" w:eastAsia="Times New Roman" w:hAnsi="Times New Roman"/>
          <w:b w:val="false"/>
          <w:bCs w:val="false"/>
          <w:sz w:val="20"/>
          <w:szCs w:val="20"/>
        </w:rPr>
        <w:t xml:space="preserve">c</w:t>
      </w:r>
      <w:r>
        <w:rPr>
          <w:rFonts w:ascii="Times New Roman" w:cs="Times New Roman" w:eastAsia="Times New Roman" w:hAnsi="Times New Roman"/>
          <w:b w:val="false"/>
          <w:bCs w:val="false"/>
          <w:sz w:val="20"/>
          <w:szCs w:val="20"/>
        </w:rPr>
        <w:t xml:space="preserve"> = TP</w:t>
      </w:r>
      <w:r>
        <w:rPr>
          <w:rFonts w:ascii="Times New Roman" w:cs="Times New Roman" w:eastAsia="Times New Roman" w:hAnsi="Times New Roman"/>
          <w:b w:val="false"/>
          <w:bCs w:val="false"/>
          <w:sz w:val="20"/>
          <w:szCs w:val="20"/>
        </w:rPr>
        <w:t xml:space="preserve">c</w:t>
      </w:r>
      <w:r>
        <w:rPr>
          <w:rFonts w:ascii="Times New Roman" w:cs="Times New Roman" w:eastAsia="Times New Roman" w:hAnsi="Times New Roman"/>
          <w:b w:val="false"/>
          <w:bCs w:val="false"/>
          <w:sz w:val="20"/>
          <w:szCs w:val="20"/>
        </w:rPr>
        <w:t xml:space="preserve"> / (TP</w:t>
      </w:r>
      <w:r>
        <w:rPr>
          <w:rFonts w:ascii="Times New Roman" w:cs="Times New Roman" w:eastAsia="Times New Roman" w:hAnsi="Times New Roman"/>
          <w:b w:val="false"/>
          <w:bCs w:val="false"/>
          <w:sz w:val="20"/>
          <w:szCs w:val="20"/>
        </w:rPr>
        <w:t xml:space="preserve">c</w:t>
      </w:r>
      <w:r>
        <w:rPr>
          <w:rFonts w:ascii="Times New Roman" w:cs="Times New Roman" w:eastAsia="Times New Roman" w:hAnsi="Times New Roman"/>
          <w:b w:val="false"/>
          <w:bCs w:val="false"/>
          <w:sz w:val="20"/>
          <w:szCs w:val="20"/>
        </w:rPr>
        <w:t xml:space="preserve"> + FN</w:t>
      </w:r>
      <w:r>
        <w:rPr>
          <w:rFonts w:ascii="Times New Roman" w:cs="Times New Roman" w:eastAsia="Times New Roman" w:hAnsi="Times New Roman"/>
          <w:b w:val="false"/>
          <w:bCs w:val="false"/>
          <w:sz w:val="20"/>
          <w:szCs w:val="20"/>
        </w:rPr>
        <w:t xml:space="preserve">c</w:t>
      </w:r>
      <w:r>
        <w:rPr>
          <w:rFonts w:ascii="Times New Roman" w:cs="Times New Roman" w:eastAsia="Times New Roman" w:hAnsi="Times New Roman"/>
          <w:b w:val="false"/>
          <w:bCs w:val="false"/>
          <w:sz w:val="20"/>
          <w:szCs w:val="20"/>
        </w:rPr>
        <w:t xml:space="preserve">). F1</w:t>
      </w:r>
      <w:r>
        <w:rPr>
          <w:rFonts w:ascii="Times New Roman" w:cs="Times New Roman" w:eastAsia="Times New Roman" w:hAnsi="Times New Roman"/>
          <w:b w:val="false"/>
          <w:bCs w:val="false"/>
          <w:sz w:val="20"/>
          <w:szCs w:val="20"/>
        </w:rPr>
        <w:t xml:space="preserve">c</w:t>
      </w:r>
      <w:r>
        <w:rPr>
          <w:rFonts w:ascii="Times New Roman" w:cs="Times New Roman" w:eastAsia="Times New Roman" w:hAnsi="Times New Roman"/>
          <w:b w:val="false"/>
          <w:bCs w:val="false"/>
          <w:sz w:val="20"/>
          <w:szCs w:val="20"/>
        </w:rPr>
        <w:t xml:space="preserve"> = 2 · (Precision</w:t>
      </w:r>
      <w:r>
        <w:rPr>
          <w:rFonts w:ascii="Times New Roman" w:cs="Times New Roman" w:eastAsia="Times New Roman" w:hAnsi="Times New Roman"/>
          <w:b w:val="false"/>
          <w:bCs w:val="false"/>
          <w:sz w:val="20"/>
          <w:szCs w:val="20"/>
        </w:rPr>
        <w:t xml:space="preserve">c</w:t>
      </w:r>
      <w:r>
        <w:rPr>
          <w:rFonts w:ascii="Times New Roman" w:cs="Times New Roman" w:eastAsia="Times New Roman" w:hAnsi="Times New Roman"/>
          <w:b w:val="false"/>
          <w:bCs w:val="false"/>
          <w:sz w:val="20"/>
          <w:szCs w:val="20"/>
        </w:rPr>
        <w:t xml:space="preserve"> · Recall</w:t>
      </w:r>
      <w:r>
        <w:rPr>
          <w:rFonts w:ascii="Times New Roman" w:cs="Times New Roman" w:eastAsia="Times New Roman" w:hAnsi="Times New Roman"/>
          <w:b w:val="false"/>
          <w:bCs w:val="false"/>
          <w:sz w:val="20"/>
          <w:szCs w:val="20"/>
        </w:rPr>
        <w:t xml:space="preserve">c</w:t>
      </w:r>
      <w:r>
        <w:rPr>
          <w:rFonts w:ascii="Times New Roman" w:cs="Times New Roman" w:eastAsia="Times New Roman" w:hAnsi="Times New Roman"/>
          <w:b w:val="false"/>
          <w:bCs w:val="false"/>
          <w:sz w:val="20"/>
          <w:szCs w:val="20"/>
        </w:rPr>
        <w:t xml:space="preserve">) / (Precision</w:t>
      </w:r>
      <w:r>
        <w:rPr>
          <w:rFonts w:ascii="Times New Roman" w:cs="Times New Roman" w:eastAsia="Times New Roman" w:hAnsi="Times New Roman"/>
          <w:b w:val="false"/>
          <w:bCs w:val="false"/>
          <w:sz w:val="20"/>
          <w:szCs w:val="20"/>
        </w:rPr>
        <w:t xml:space="preserve">c</w:t>
      </w:r>
      <w:r>
        <w:rPr>
          <w:rFonts w:ascii="Times New Roman" w:cs="Times New Roman" w:eastAsia="Times New Roman" w:hAnsi="Times New Roman"/>
          <w:b w:val="false"/>
          <w:bCs w:val="false"/>
          <w:sz w:val="20"/>
          <w:szCs w:val="20"/>
        </w:rPr>
        <w:t xml:space="preserve"> + Recall</w:t>
      </w:r>
      <w:r>
        <w:rPr>
          <w:rFonts w:ascii="Times New Roman" w:cs="Times New Roman" w:eastAsia="Times New Roman" w:hAnsi="Times New Roman"/>
          <w:b w:val="false"/>
          <w:bCs w:val="false"/>
          <w:sz w:val="20"/>
          <w:szCs w:val="20"/>
        </w:rPr>
        <w:t xml:space="preserve">c</w:t>
      </w:r>
      <w:r>
        <w:rPr>
          <w:rFonts w:ascii="Times New Roman" w:cs="Times New Roman" w:eastAsia="Times New Roman" w:hAnsi="Times New Roman"/>
          <w:b w:val="false"/>
          <w:bCs w:val="false"/>
          <w:sz w:val="20"/>
          <w:szCs w:val="20"/>
        </w:rPr>
        <w:t xml:space="preserve">). Macro-averaged metrics compute the unweighted mean across all C = 38 classes, giving equal weight to each disease category regardless of sample count — specifically appropriate for imbalanced datasets where performance on rare but economically significant diseases must not be obscured [6], [19].</w:t>
      </w:r>
    </w:p>
    <w:p>
      <w:pPr>
        <w:spacing w:after="80" w:before="160"/>
        <w:jc w:val="center"/>
      </w:pPr>
      <w:r>
        <w:rPr>
          <w:rFonts w:ascii="Times New Roman" w:cs="Times New Roman" w:eastAsia="Times New Roman" w:hAnsi="Times New Roman"/>
          <w:b/>
          <w:bCs/>
          <w:sz w:val="20"/>
          <w:szCs w:val="20"/>
        </w:rPr>
        <w:t xml:space="preserve">VI. RESULTS AND ANALYSIS</w:t>
      </w:r>
    </w:p>
    <w:p>
      <w:pPr>
        <w:spacing w:after="60" w:before="120"/>
        <w:jc w:val="left"/>
      </w:pPr>
      <w:r>
        <w:rPr>
          <w:rFonts w:ascii="Times New Roman" w:cs="Times New Roman" w:eastAsia="Times New Roman" w:hAnsi="Times New Roman"/>
          <w:b/>
          <w:bCs/>
          <w:sz w:val="20"/>
          <w:szCs w:val="20"/>
        </w:rPr>
        <w:t xml:space="preserve">A. Overall Classification Performance</w:t>
      </w:r>
    </w:p>
    <w:p>
      <w:pPr>
        <w:spacing w:after="80" w:before="0" w:line="276"/>
        <w:jc w:val="both"/>
      </w:pPr>
      <w:r>
        <w:rPr>
          <w:rFonts w:ascii="Times New Roman" w:cs="Times New Roman" w:eastAsia="Times New Roman" w:hAnsi="Times New Roman"/>
          <w:b w:val="false"/>
          <w:bCs w:val="false"/>
          <w:sz w:val="20"/>
          <w:szCs w:val="20"/>
        </w:rPr>
        <w:t xml:space="preserve">AgriNet-V2 achieves 97.84% classification accuracy on the held-out test set of 5,430 images. The macro-averaged precision, recall, and F1-score are 0.9783, 0.9741, and 0.9761, respectively. The minor gap between precision and recall (0.0042) indicates a balanced error profile without systematic bias across the 38-class set. Table I presents detailed per-metric performance alongside six baseline methods.</w:t>
      </w:r>
    </w:p>
    <w:p>
      <w:pPr>
        <w:spacing w:after="80" w:before="0" w:line="276"/>
        <w:jc w:val="both"/>
      </w:pPr>
      <w:r>
        <w:rPr>
          <w:rFonts w:ascii="Times New Roman" w:cs="Times New Roman" w:eastAsia="Times New Roman" w:hAnsi="Times New Roman"/>
          <w:b w:val="false"/>
          <w:bCs w:val="false"/>
          <w:sz w:val="20"/>
          <w:szCs w:val="20"/>
        </w:rPr>
        <w:t xml:space="preserve">The model reaches convergence at epoch 72, with early stopping triggered at epoch 87 (patience = 15). Total training time on the NVIDIA A100 is 4.2 hours, while inference latency is 8.3 ms per image (120.5 images/second), satisfying real-time processing requirements for UAV-mounted imaging systems [3], [5].</w:t>
      </w:r>
    </w:p>
    <w:p>
      <w:pPr>
        <w:spacing w:after="60" w:before="80"/>
        <w:jc w:val="center"/>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300"/>
        <w:gridCol w:w="1300"/>
        <w:gridCol w:w="1300"/>
        <w:gridCol w:w="1000"/>
        <w:gridCol w:w="800"/>
      </w:tblGrid>
      <w:tr>
        <w:tc>
          <w:tcPr>
            <w:gridSpan w:val="7"/>
            <w:tcBorders>
              <w:top w:val="single" w:color="000000" w:sz="12"/>
              <w:left w:val="single" w:color="000000" w:sz="12"/>
              <w:bottom w:val="single" w:color="000000" w:sz="6"/>
              <w:right w:val="single" w:color="000000" w:sz="12"/>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TABLE I   QUANTITATIVE PERFORMANCE COMPARISON ON THE PLANTVILLAGE TEST SET</w:t>
            </w:r>
          </w:p>
        </w:tc>
      </w:tr>
      <w:tr>
        <w:tc>
          <w:tcPr>
            <w:tcW w:type="dxa" w:w="2000"/>
            <w:tcBorders>
              <w:top w:val="single" w:color="000000" w:sz="6"/>
              <w:left w:val="single" w:color="000000" w:sz="6"/>
              <w:bottom w:val="single" w:color="000000" w:sz="6"/>
              <w:right w:val="single" w:color="000000" w:sz="6"/>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Model</w:t>
            </w:r>
          </w:p>
        </w:tc>
        <w:tc>
          <w:tcPr>
            <w:tcW w:type="dxa" w:w="1300"/>
            <w:tcBorders>
              <w:top w:val="single" w:color="000000" w:sz="6"/>
              <w:left w:val="single" w:color="000000" w:sz="6"/>
              <w:bottom w:val="single" w:color="000000" w:sz="6"/>
              <w:right w:val="single" w:color="000000" w:sz="6"/>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Accuracy (%)</w:t>
            </w:r>
          </w:p>
        </w:tc>
        <w:tc>
          <w:tcPr>
            <w:tcW w:type="dxa" w:w="1300"/>
            <w:tcBorders>
              <w:top w:val="single" w:color="000000" w:sz="6"/>
              <w:left w:val="single" w:color="000000" w:sz="6"/>
              <w:bottom w:val="single" w:color="000000" w:sz="6"/>
              <w:right w:val="single" w:color="000000" w:sz="6"/>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Precision</w:t>
            </w:r>
          </w:p>
        </w:tc>
        <w:tc>
          <w:tcPr>
            <w:tcW w:type="dxa" w:w="1300"/>
            <w:tcBorders>
              <w:top w:val="single" w:color="000000" w:sz="6"/>
              <w:left w:val="single" w:color="000000" w:sz="6"/>
              <w:bottom w:val="single" w:color="000000" w:sz="6"/>
              <w:right w:val="single" w:color="000000" w:sz="6"/>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Recall</w:t>
            </w:r>
          </w:p>
        </w:tc>
        <w:tc>
          <w:tcPr>
            <w:tcW w:type="dxa" w:w="1300"/>
            <w:tcBorders>
              <w:top w:val="single" w:color="000000" w:sz="6"/>
              <w:left w:val="single" w:color="000000" w:sz="6"/>
              <w:bottom w:val="single" w:color="000000" w:sz="6"/>
              <w:right w:val="single" w:color="000000" w:sz="6"/>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F1-Score</w:t>
            </w:r>
          </w:p>
        </w:tc>
        <w:tc>
          <w:tcPr>
            <w:tcW w:type="dxa" w:w="1000"/>
            <w:tcBorders>
              <w:top w:val="single" w:color="000000" w:sz="6"/>
              <w:left w:val="single" w:color="000000" w:sz="6"/>
              <w:bottom w:val="single" w:color="000000" w:sz="6"/>
              <w:right w:val="single" w:color="000000" w:sz="6"/>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Params (M)</w:t>
            </w:r>
          </w:p>
        </w:tc>
        <w:tc>
          <w:tcPr>
            <w:tcW w:type="dxa" w:w="800"/>
            <w:tcBorders>
              <w:top w:val="single" w:color="000000" w:sz="6"/>
              <w:left w:val="single" w:color="000000" w:sz="6"/>
              <w:bottom w:val="single" w:color="000000" w:sz="6"/>
              <w:right w:val="single" w:color="000000" w:sz="6"/>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Ref.</w:t>
            </w:r>
          </w:p>
        </w:tc>
      </w:tr>
      <w:tr>
        <w:tc>
          <w:tcPr>
            <w:tcW w:type="dxa" w:w="20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SVM + HOG</w:t>
            </w:r>
          </w:p>
        </w:tc>
        <w:tc>
          <w:tcPr>
            <w:tcW w:type="dxa" w:w="13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86.24</w:t>
            </w:r>
          </w:p>
        </w:tc>
        <w:tc>
          <w:tcPr>
            <w:tcW w:type="dxa" w:w="13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0.851</w:t>
            </w:r>
          </w:p>
        </w:tc>
        <w:tc>
          <w:tcPr>
            <w:tcW w:type="dxa" w:w="13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0.843</w:t>
            </w:r>
          </w:p>
        </w:tc>
        <w:tc>
          <w:tcPr>
            <w:tcW w:type="dxa" w:w="13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0.847</w:t>
            </w:r>
          </w:p>
        </w:tc>
        <w:tc>
          <w:tcPr>
            <w:tcW w:type="dxa" w:w="10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w:t>
            </w:r>
          </w:p>
        </w:tc>
        <w:tc>
          <w:tcPr>
            <w:tcW w:type="dxa" w:w="8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[1]</w:t>
            </w:r>
          </w:p>
        </w:tc>
      </w:tr>
      <w:tr>
        <w:tc>
          <w:tcPr>
            <w:tcW w:type="dxa" w:w="20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Random Forest</w:t>
            </w:r>
          </w:p>
        </w:tc>
        <w:tc>
          <w:tcPr>
            <w:tcW w:type="dxa" w:w="13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82.17</w:t>
            </w:r>
          </w:p>
        </w:tc>
        <w:tc>
          <w:tcPr>
            <w:tcW w:type="dxa" w:w="13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0.814</w:t>
            </w:r>
          </w:p>
        </w:tc>
        <w:tc>
          <w:tcPr>
            <w:tcW w:type="dxa" w:w="13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0.807</w:t>
            </w:r>
          </w:p>
        </w:tc>
        <w:tc>
          <w:tcPr>
            <w:tcW w:type="dxa" w:w="13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0.810</w:t>
            </w:r>
          </w:p>
        </w:tc>
        <w:tc>
          <w:tcPr>
            <w:tcW w:type="dxa" w:w="10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w:t>
            </w:r>
          </w:p>
        </w:tc>
        <w:tc>
          <w:tcPr>
            <w:tcW w:type="dxa" w:w="8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[2]</w:t>
            </w:r>
          </w:p>
        </w:tc>
      </w:tr>
      <w:tr>
        <w:tc>
          <w:tcPr>
            <w:tcW w:type="dxa" w:w="20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AlexNet</w:t>
            </w:r>
          </w:p>
        </w:tc>
        <w:tc>
          <w:tcPr>
            <w:tcW w:type="dxa" w:w="13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91.36</w:t>
            </w:r>
          </w:p>
        </w:tc>
        <w:tc>
          <w:tcPr>
            <w:tcW w:type="dxa" w:w="13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0.908</w:t>
            </w:r>
          </w:p>
        </w:tc>
        <w:tc>
          <w:tcPr>
            <w:tcW w:type="dxa" w:w="13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0.901</w:t>
            </w:r>
          </w:p>
        </w:tc>
        <w:tc>
          <w:tcPr>
            <w:tcW w:type="dxa" w:w="13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0.904</w:t>
            </w:r>
          </w:p>
        </w:tc>
        <w:tc>
          <w:tcPr>
            <w:tcW w:type="dxa" w:w="10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62.3</w:t>
            </w:r>
          </w:p>
        </w:tc>
        <w:tc>
          <w:tcPr>
            <w:tcW w:type="dxa" w:w="8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[3]</w:t>
            </w:r>
          </w:p>
        </w:tc>
      </w:tr>
      <w:tr>
        <w:tc>
          <w:tcPr>
            <w:tcW w:type="dxa" w:w="20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VGG-16</w:t>
            </w:r>
          </w:p>
        </w:tc>
        <w:tc>
          <w:tcPr>
            <w:tcW w:type="dxa" w:w="13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93.48</w:t>
            </w:r>
          </w:p>
        </w:tc>
        <w:tc>
          <w:tcPr>
            <w:tcW w:type="dxa" w:w="13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0.932</w:t>
            </w:r>
          </w:p>
        </w:tc>
        <w:tc>
          <w:tcPr>
            <w:tcW w:type="dxa" w:w="13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0.926</w:t>
            </w:r>
          </w:p>
        </w:tc>
        <w:tc>
          <w:tcPr>
            <w:tcW w:type="dxa" w:w="13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0.929</w:t>
            </w:r>
          </w:p>
        </w:tc>
        <w:tc>
          <w:tcPr>
            <w:tcW w:type="dxa" w:w="10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138.4</w:t>
            </w:r>
          </w:p>
        </w:tc>
        <w:tc>
          <w:tcPr>
            <w:tcW w:type="dxa" w:w="8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[4]</w:t>
            </w:r>
          </w:p>
        </w:tc>
      </w:tr>
      <w:tr>
        <w:tc>
          <w:tcPr>
            <w:tcW w:type="dxa" w:w="20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MobileNetV2</w:t>
            </w:r>
          </w:p>
        </w:tc>
        <w:tc>
          <w:tcPr>
            <w:tcW w:type="dxa" w:w="13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94.71</w:t>
            </w:r>
          </w:p>
        </w:tc>
        <w:tc>
          <w:tcPr>
            <w:tcW w:type="dxa" w:w="13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0.944</w:t>
            </w:r>
          </w:p>
        </w:tc>
        <w:tc>
          <w:tcPr>
            <w:tcW w:type="dxa" w:w="13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0.938</w:t>
            </w:r>
          </w:p>
        </w:tc>
        <w:tc>
          <w:tcPr>
            <w:tcW w:type="dxa" w:w="13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0.941</w:t>
            </w:r>
          </w:p>
        </w:tc>
        <w:tc>
          <w:tcPr>
            <w:tcW w:type="dxa" w:w="10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3.4</w:t>
            </w:r>
          </w:p>
        </w:tc>
        <w:tc>
          <w:tcPr>
            <w:tcW w:type="dxa" w:w="8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[5]</w:t>
            </w:r>
          </w:p>
        </w:tc>
      </w:tr>
      <w:tr>
        <w:tc>
          <w:tcPr>
            <w:tcW w:type="dxa" w:w="20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InceptionV3</w:t>
            </w:r>
          </w:p>
        </w:tc>
        <w:tc>
          <w:tcPr>
            <w:tcW w:type="dxa" w:w="13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95.82</w:t>
            </w:r>
          </w:p>
        </w:tc>
        <w:tc>
          <w:tcPr>
            <w:tcW w:type="dxa" w:w="13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0.955</w:t>
            </w:r>
          </w:p>
        </w:tc>
        <w:tc>
          <w:tcPr>
            <w:tcW w:type="dxa" w:w="13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0.951</w:t>
            </w:r>
          </w:p>
        </w:tc>
        <w:tc>
          <w:tcPr>
            <w:tcW w:type="dxa" w:w="13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0.953</w:t>
            </w:r>
          </w:p>
        </w:tc>
        <w:tc>
          <w:tcPr>
            <w:tcW w:type="dxa" w:w="10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23.9</w:t>
            </w:r>
          </w:p>
        </w:tc>
        <w:tc>
          <w:tcPr>
            <w:tcW w:type="dxa" w:w="8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[6]</w:t>
            </w:r>
          </w:p>
        </w:tc>
      </w:tr>
      <w:tr>
        <w:tc>
          <w:tcPr>
            <w:tcW w:type="dxa" w:w="20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ResNet-50</w:t>
            </w:r>
          </w:p>
        </w:tc>
        <w:tc>
          <w:tcPr>
            <w:tcW w:type="dxa" w:w="13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96.13</w:t>
            </w:r>
          </w:p>
        </w:tc>
        <w:tc>
          <w:tcPr>
            <w:tcW w:type="dxa" w:w="13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0.958</w:t>
            </w:r>
          </w:p>
        </w:tc>
        <w:tc>
          <w:tcPr>
            <w:tcW w:type="dxa" w:w="13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0.953</w:t>
            </w:r>
          </w:p>
        </w:tc>
        <w:tc>
          <w:tcPr>
            <w:tcW w:type="dxa" w:w="13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0.956</w:t>
            </w:r>
          </w:p>
        </w:tc>
        <w:tc>
          <w:tcPr>
            <w:tcW w:type="dxa" w:w="10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25.6</w:t>
            </w:r>
          </w:p>
        </w:tc>
        <w:tc>
          <w:tcPr>
            <w:tcW w:type="dxa" w:w="8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[7]</w:t>
            </w:r>
          </w:p>
        </w:tc>
      </w:tr>
      <w:tr>
        <w:tc>
          <w:tcPr>
            <w:tcW w:type="dxa" w:w="2000"/>
            <w:tcBorders>
              <w:top w:val="single" w:color="000000" w:sz="6"/>
              <w:left w:val="single" w:color="000000" w:sz="6"/>
              <w:bottom w:val="single" w:color="000000" w:sz="6"/>
              <w:right w:val="single" w:color="000000" w:sz="6"/>
            </w:tcBorders>
            <w:shd w:fill="F0F0F0" w:val="clear"/>
            <w:tcMar>
              <w:top w:type="dxa" w:w="50"/>
              <w:left w:type="dxa" w:w="100"/>
              <w:bottom w:type="dxa" w:w="50"/>
              <w:right w:type="dxa" w:w="100"/>
            </w:tcMar>
          </w:tcPr>
          <w:p>
            <w:pPr>
              <w:jc w:val="left"/>
            </w:pPr>
            <w:r>
              <w:rPr>
                <w:rFonts w:ascii="Times New Roman" w:cs="Times New Roman" w:eastAsia="Times New Roman" w:hAnsi="Times New Roman"/>
                <w:b/>
                <w:bCs/>
                <w:sz w:val="18"/>
                <w:szCs w:val="18"/>
              </w:rPr>
              <w:t xml:space="preserve">AgriNet-V2 (Ours)</w:t>
            </w:r>
          </w:p>
        </w:tc>
        <w:tc>
          <w:tcPr>
            <w:tcW w:type="dxa" w:w="1300"/>
            <w:tcBorders>
              <w:top w:val="single" w:color="000000" w:sz="6"/>
              <w:left w:val="single" w:color="000000" w:sz="6"/>
              <w:bottom w:val="single" w:color="000000" w:sz="6"/>
              <w:right w:val="single" w:color="000000" w:sz="6"/>
            </w:tcBorders>
            <w:shd w:fill="F0F0F0" w:val="clear"/>
            <w:tcMar>
              <w:top w:type="dxa" w:w="50"/>
              <w:left w:type="dxa" w:w="100"/>
              <w:bottom w:type="dxa" w:w="50"/>
              <w:right w:type="dxa" w:w="100"/>
            </w:tcMar>
          </w:tcPr>
          <w:p>
            <w:pPr>
              <w:jc w:val="center"/>
            </w:pPr>
            <w:r>
              <w:rPr>
                <w:rFonts w:ascii="Times New Roman" w:cs="Times New Roman" w:eastAsia="Times New Roman" w:hAnsi="Times New Roman"/>
                <w:b/>
                <w:bCs/>
                <w:sz w:val="18"/>
                <w:szCs w:val="18"/>
              </w:rPr>
              <w:t xml:space="preserve">97.84</w:t>
            </w:r>
          </w:p>
        </w:tc>
        <w:tc>
          <w:tcPr>
            <w:tcW w:type="dxa" w:w="1300"/>
            <w:tcBorders>
              <w:top w:val="single" w:color="000000" w:sz="6"/>
              <w:left w:val="single" w:color="000000" w:sz="6"/>
              <w:bottom w:val="single" w:color="000000" w:sz="6"/>
              <w:right w:val="single" w:color="000000" w:sz="6"/>
            </w:tcBorders>
            <w:shd w:fill="F0F0F0" w:val="clear"/>
            <w:tcMar>
              <w:top w:type="dxa" w:w="50"/>
              <w:left w:type="dxa" w:w="100"/>
              <w:bottom w:type="dxa" w:w="50"/>
              <w:right w:type="dxa" w:w="100"/>
            </w:tcMar>
          </w:tcPr>
          <w:p>
            <w:pPr>
              <w:jc w:val="center"/>
            </w:pPr>
            <w:r>
              <w:rPr>
                <w:rFonts w:ascii="Times New Roman" w:cs="Times New Roman" w:eastAsia="Times New Roman" w:hAnsi="Times New Roman"/>
                <w:b/>
                <w:bCs/>
                <w:sz w:val="18"/>
                <w:szCs w:val="18"/>
              </w:rPr>
              <w:t xml:space="preserve">0.9783</w:t>
            </w:r>
          </w:p>
        </w:tc>
        <w:tc>
          <w:tcPr>
            <w:tcW w:type="dxa" w:w="1300"/>
            <w:tcBorders>
              <w:top w:val="single" w:color="000000" w:sz="6"/>
              <w:left w:val="single" w:color="000000" w:sz="6"/>
              <w:bottom w:val="single" w:color="000000" w:sz="6"/>
              <w:right w:val="single" w:color="000000" w:sz="6"/>
            </w:tcBorders>
            <w:shd w:fill="F0F0F0" w:val="clear"/>
            <w:tcMar>
              <w:top w:type="dxa" w:w="50"/>
              <w:left w:type="dxa" w:w="100"/>
              <w:bottom w:type="dxa" w:w="50"/>
              <w:right w:type="dxa" w:w="100"/>
            </w:tcMar>
          </w:tcPr>
          <w:p>
            <w:pPr>
              <w:jc w:val="center"/>
            </w:pPr>
            <w:r>
              <w:rPr>
                <w:rFonts w:ascii="Times New Roman" w:cs="Times New Roman" w:eastAsia="Times New Roman" w:hAnsi="Times New Roman"/>
                <w:b/>
                <w:bCs/>
                <w:sz w:val="18"/>
                <w:szCs w:val="18"/>
              </w:rPr>
              <w:t xml:space="preserve">0.9741</w:t>
            </w:r>
          </w:p>
        </w:tc>
        <w:tc>
          <w:tcPr>
            <w:tcW w:type="dxa" w:w="1300"/>
            <w:tcBorders>
              <w:top w:val="single" w:color="000000" w:sz="6"/>
              <w:left w:val="single" w:color="000000" w:sz="6"/>
              <w:bottom w:val="single" w:color="000000" w:sz="6"/>
              <w:right w:val="single" w:color="000000" w:sz="6"/>
            </w:tcBorders>
            <w:shd w:fill="F0F0F0" w:val="clear"/>
            <w:tcMar>
              <w:top w:type="dxa" w:w="50"/>
              <w:left w:type="dxa" w:w="100"/>
              <w:bottom w:type="dxa" w:w="50"/>
              <w:right w:type="dxa" w:w="100"/>
            </w:tcMar>
          </w:tcPr>
          <w:p>
            <w:pPr>
              <w:jc w:val="center"/>
            </w:pPr>
            <w:r>
              <w:rPr>
                <w:rFonts w:ascii="Times New Roman" w:cs="Times New Roman" w:eastAsia="Times New Roman" w:hAnsi="Times New Roman"/>
                <w:b/>
                <w:bCs/>
                <w:sz w:val="18"/>
                <w:szCs w:val="18"/>
              </w:rPr>
              <w:t xml:space="preserve">0.9761</w:t>
            </w:r>
          </w:p>
        </w:tc>
        <w:tc>
          <w:tcPr>
            <w:tcW w:type="dxa" w:w="1000"/>
            <w:tcBorders>
              <w:top w:val="single" w:color="000000" w:sz="6"/>
              <w:left w:val="single" w:color="000000" w:sz="6"/>
              <w:bottom w:val="single" w:color="000000" w:sz="6"/>
              <w:right w:val="single" w:color="000000" w:sz="6"/>
            </w:tcBorders>
            <w:shd w:fill="F0F0F0" w:val="clear"/>
            <w:tcMar>
              <w:top w:type="dxa" w:w="50"/>
              <w:left w:type="dxa" w:w="100"/>
              <w:bottom w:type="dxa" w:w="50"/>
              <w:right w:type="dxa" w:w="100"/>
            </w:tcMar>
          </w:tcPr>
          <w:p>
            <w:pPr>
              <w:jc w:val="center"/>
            </w:pPr>
            <w:r>
              <w:rPr>
                <w:rFonts w:ascii="Times New Roman" w:cs="Times New Roman" w:eastAsia="Times New Roman" w:hAnsi="Times New Roman"/>
                <w:b/>
                <w:bCs/>
                <w:sz w:val="18"/>
                <w:szCs w:val="18"/>
              </w:rPr>
              <w:t xml:space="preserve">18.7</w:t>
            </w:r>
          </w:p>
        </w:tc>
        <w:tc>
          <w:tcPr>
            <w:tcW w:type="dxa" w:w="800"/>
            <w:tcBorders>
              <w:top w:val="single" w:color="000000" w:sz="6"/>
              <w:left w:val="single" w:color="000000" w:sz="6"/>
              <w:bottom w:val="single" w:color="000000" w:sz="6"/>
              <w:right w:val="single" w:color="000000" w:sz="6"/>
            </w:tcBorders>
            <w:shd w:fill="F0F0F0" w:val="clear"/>
            <w:tcMar>
              <w:top w:type="dxa" w:w="50"/>
              <w:left w:type="dxa" w:w="100"/>
              <w:bottom w:type="dxa" w:w="50"/>
              <w:right w:type="dxa" w:w="100"/>
            </w:tcMar>
          </w:tcPr>
          <w:p>
            <w:pPr>
              <w:jc w:val="center"/>
            </w:pPr>
            <w:r>
              <w:rPr>
                <w:rFonts w:ascii="Times New Roman" w:cs="Times New Roman" w:eastAsia="Times New Roman" w:hAnsi="Times New Roman"/>
                <w:b/>
                <w:bCs/>
                <w:sz w:val="18"/>
                <w:szCs w:val="18"/>
              </w:rPr>
              <w:t xml:space="preserve">—</w:t>
            </w:r>
          </w:p>
        </w:tc>
      </w:tr>
    </w:tbl>
    <w:p>
      <w:pPr>
        <w:spacing w:after="100" w:before="20"/>
        <w:jc w:val="center"/>
      </w:pPr>
    </w:p>
    <w:p>
      <w:pPr>
        <w:spacing w:after="40" w:before="80"/>
        <w:jc w:val="center"/>
      </w:pPr>
      <w:r>
        <w:drawing>
          <wp:inline distT="0" distB="0" distL="0" distR="0">
            <wp:extent cx="2857500" cy="18573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857375"/>
                    </a:xfrm>
                    <a:prstGeom prst="rect">
                      <a:avLst/>
                    </a:prstGeom>
                  </pic:spPr>
                </pic:pic>
              </a:graphicData>
            </a:graphic>
          </wp:inline>
        </w:drawing>
      </w:r>
    </w:p>
    <w:p>
      <w:pPr>
        <w:spacing w:after="120" w:before="60"/>
        <w:jc w:val="center"/>
      </w:pPr>
      <w:r>
        <w:rPr>
          <w:rFonts w:ascii="Times New Roman" w:cs="Times New Roman" w:eastAsia="Times New Roman" w:hAnsi="Times New Roman"/>
          <w:sz w:val="18"/>
          <w:szCs w:val="18"/>
        </w:rPr>
        <w:t xml:space="preserve">Fig. 3. Training and validation accuracy curves over 87 epochs. Training accuracy (solid) converges to 98.7%. Validation accuracy (dashed) plateaus at 97.84%, indicating successful generalization. The narrow train-validation gap (~0.86%) confirms effective regularization.</w:t>
      </w:r>
    </w:p>
    <w:p>
      <w:pPr>
        <w:spacing w:after="40" w:before="80"/>
        <w:jc w:val="center"/>
      </w:pPr>
      <w:r>
        <w:drawing>
          <wp:inline distT="0" distB="0" distL="0" distR="0">
            <wp:extent cx="2857500" cy="18573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1857375"/>
                    </a:xfrm>
                    <a:prstGeom prst="rect">
                      <a:avLst/>
                    </a:prstGeom>
                  </pic:spPr>
                </pic:pic>
              </a:graphicData>
            </a:graphic>
          </wp:inline>
        </w:drawing>
      </w:r>
    </w:p>
    <w:p>
      <w:pPr>
        <w:spacing w:after="120" w:before="60"/>
        <w:jc w:val="center"/>
      </w:pPr>
      <w:r>
        <w:rPr>
          <w:rFonts w:ascii="Times New Roman" w:cs="Times New Roman" w:eastAsia="Times New Roman" w:hAnsi="Times New Roman"/>
          <w:sz w:val="18"/>
          <w:szCs w:val="18"/>
        </w:rPr>
        <w:t xml:space="preserve">Fig. 4. Training and validation categorical cross-entropy loss curves. Both curves descend from ≈1.20 in the first 10 epochs and converge toward 0.068 (training) and 0.081 (validation) at epoch 72, confirming regularization effectively controls overfitting.</w:t>
      </w:r>
    </w:p>
    <w:p>
      <w:pPr>
        <w:spacing w:after="60" w:before="120"/>
        <w:jc w:val="left"/>
      </w:pPr>
      <w:r>
        <w:rPr>
          <w:rFonts w:ascii="Times New Roman" w:cs="Times New Roman" w:eastAsia="Times New Roman" w:hAnsi="Times New Roman"/>
          <w:b/>
          <w:bCs/>
          <w:sz w:val="20"/>
          <w:szCs w:val="20"/>
        </w:rPr>
        <w:t xml:space="preserve">B. Ablation Study</w:t>
      </w:r>
    </w:p>
    <w:p>
      <w:pPr>
        <w:spacing w:after="80" w:before="0" w:line="276"/>
        <w:jc w:val="both"/>
      </w:pPr>
      <w:r>
        <w:rPr>
          <w:rFonts w:ascii="Times New Roman" w:cs="Times New Roman" w:eastAsia="Times New Roman" w:hAnsi="Times New Roman"/>
          <w:b w:val="false"/>
          <w:bCs w:val="false"/>
          <w:sz w:val="20"/>
          <w:szCs w:val="20"/>
        </w:rPr>
        <w:t xml:space="preserve">To quantify individual architectural component contributions, a systematic ablation study removes or replaces one element at a time while holding all other conditions constant. Table II summarizes results across five ablation configurations.</w:t>
      </w:r>
    </w:p>
    <w:p>
      <w:pPr>
        <w:spacing w:after="80" w:before="0" w:line="276"/>
        <w:jc w:val="both"/>
      </w:pPr>
      <w:r>
        <w:rPr>
          <w:rFonts w:ascii="Times New Roman" w:cs="Times New Roman" w:eastAsia="Times New Roman" w:hAnsi="Times New Roman"/>
          <w:b w:val="false"/>
          <w:bCs w:val="false"/>
          <w:sz w:val="20"/>
          <w:szCs w:val="20"/>
        </w:rPr>
        <w:t xml:space="preserve">The data augmentation pipeline contributes the largest individual performance gain (6.5 percentage points when removed), underscoring that regularization through input-space diversity is more critical than architectural regularization for this dataset size [18]. Batch normalization ranks second in importance (3.11 pp), consistent with its role in stabilizing gradient flow across six deep convolutional blocks [20]. Skip connections (1.72 pp) and GAP (1.43 pp) provide complementary benefits, while spatial dropout (1.97 pp) addresses intermediate layers' tendency to overfit texture features.</w:t>
      </w:r>
    </w:p>
    <w:p>
      <w:pPr>
        <w:spacing w:after="60" w:before="80"/>
        <w:jc w:val="center"/>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250"/>
        <w:gridCol w:w="2250"/>
      </w:tblGrid>
      <w:tr>
        <w:tc>
          <w:tcPr>
            <w:gridSpan w:val="3"/>
            <w:tcBorders>
              <w:top w:val="single" w:color="000000" w:sz="12"/>
              <w:left w:val="single" w:color="000000" w:sz="12"/>
              <w:bottom w:val="single" w:color="000000" w:sz="6"/>
              <w:right w:val="single" w:color="000000" w:sz="12"/>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TABLE II   ABLATION STUDY RESULTS</w:t>
            </w:r>
          </w:p>
        </w:tc>
      </w:tr>
      <w:tr>
        <w:tc>
          <w:tcPr>
            <w:tcW w:type="dxa" w:w="4500"/>
            <w:tcBorders>
              <w:top w:val="single" w:color="000000" w:sz="6"/>
              <w:left w:val="single" w:color="000000" w:sz="6"/>
              <w:bottom w:val="single" w:color="000000" w:sz="6"/>
              <w:right w:val="single" w:color="000000" w:sz="6"/>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Configuration</w:t>
            </w:r>
          </w:p>
        </w:tc>
        <w:tc>
          <w:tcPr>
            <w:tcW w:type="dxa" w:w="2250"/>
            <w:tcBorders>
              <w:top w:val="single" w:color="000000" w:sz="6"/>
              <w:left w:val="single" w:color="000000" w:sz="6"/>
              <w:bottom w:val="single" w:color="000000" w:sz="6"/>
              <w:right w:val="single" w:color="000000" w:sz="6"/>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Accuracy (%)</w:t>
            </w:r>
          </w:p>
        </w:tc>
        <w:tc>
          <w:tcPr>
            <w:tcW w:type="dxa" w:w="2250"/>
            <w:tcBorders>
              <w:top w:val="single" w:color="000000" w:sz="6"/>
              <w:left w:val="single" w:color="000000" w:sz="6"/>
              <w:bottom w:val="single" w:color="000000" w:sz="6"/>
              <w:right w:val="single" w:color="000000" w:sz="6"/>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F1-Score</w:t>
            </w:r>
          </w:p>
        </w:tc>
      </w:tr>
      <w:tr>
        <w:tc>
          <w:tcPr>
            <w:tcW w:type="dxa" w:w="4500"/>
            <w:tcBorders>
              <w:top w:val="single" w:color="000000" w:sz="6"/>
              <w:left w:val="single" w:color="000000" w:sz="6"/>
              <w:bottom w:val="single" w:color="000000" w:sz="6"/>
              <w:right w:val="single" w:color="000000" w:sz="6"/>
            </w:tcBorders>
            <w:shd w:fill="F0F0F0" w:val="clear"/>
            <w:tcMar>
              <w:top w:type="dxa" w:w="50"/>
              <w:left w:type="dxa" w:w="100"/>
              <w:bottom w:type="dxa" w:w="50"/>
              <w:right w:type="dxa" w:w="100"/>
            </w:tcMar>
          </w:tcPr>
          <w:p>
            <w:pPr>
              <w:jc w:val="left"/>
            </w:pPr>
            <w:r>
              <w:rPr>
                <w:rFonts w:ascii="Times New Roman" w:cs="Times New Roman" w:eastAsia="Times New Roman" w:hAnsi="Times New Roman"/>
                <w:b/>
                <w:bCs/>
                <w:sz w:val="18"/>
                <w:szCs w:val="18"/>
              </w:rPr>
              <w:t xml:space="preserve">Full AgriNet-V2</w:t>
            </w:r>
          </w:p>
        </w:tc>
        <w:tc>
          <w:tcPr>
            <w:tcW w:type="dxa" w:w="2250"/>
            <w:tcBorders>
              <w:top w:val="single" w:color="000000" w:sz="6"/>
              <w:left w:val="single" w:color="000000" w:sz="6"/>
              <w:bottom w:val="single" w:color="000000" w:sz="6"/>
              <w:right w:val="single" w:color="000000" w:sz="6"/>
            </w:tcBorders>
            <w:shd w:fill="F0F0F0" w:val="clear"/>
            <w:tcMar>
              <w:top w:type="dxa" w:w="50"/>
              <w:left w:type="dxa" w:w="100"/>
              <w:bottom w:type="dxa" w:w="50"/>
              <w:right w:type="dxa" w:w="100"/>
            </w:tcMar>
          </w:tcPr>
          <w:p>
            <w:pPr>
              <w:jc w:val="center"/>
            </w:pPr>
            <w:r>
              <w:rPr>
                <w:rFonts w:ascii="Times New Roman" w:cs="Times New Roman" w:eastAsia="Times New Roman" w:hAnsi="Times New Roman"/>
                <w:b/>
                <w:bCs/>
                <w:sz w:val="18"/>
                <w:szCs w:val="18"/>
              </w:rPr>
              <w:t xml:space="preserve">97.84</w:t>
            </w:r>
          </w:p>
        </w:tc>
        <w:tc>
          <w:tcPr>
            <w:tcW w:type="dxa" w:w="2250"/>
            <w:tcBorders>
              <w:top w:val="single" w:color="000000" w:sz="6"/>
              <w:left w:val="single" w:color="000000" w:sz="6"/>
              <w:bottom w:val="single" w:color="000000" w:sz="6"/>
              <w:right w:val="single" w:color="000000" w:sz="6"/>
            </w:tcBorders>
            <w:shd w:fill="F0F0F0" w:val="clear"/>
            <w:tcMar>
              <w:top w:type="dxa" w:w="50"/>
              <w:left w:type="dxa" w:w="100"/>
              <w:bottom w:type="dxa" w:w="50"/>
              <w:right w:type="dxa" w:w="100"/>
            </w:tcMar>
          </w:tcPr>
          <w:p>
            <w:pPr>
              <w:jc w:val="center"/>
            </w:pPr>
            <w:r>
              <w:rPr>
                <w:rFonts w:ascii="Times New Roman" w:cs="Times New Roman" w:eastAsia="Times New Roman" w:hAnsi="Times New Roman"/>
                <w:b/>
                <w:bCs/>
                <w:sz w:val="18"/>
                <w:szCs w:val="18"/>
              </w:rPr>
              <w:t xml:space="preserve">0.9761</w:t>
            </w:r>
          </w:p>
        </w:tc>
      </w:tr>
      <w:tr>
        <w:tc>
          <w:tcPr>
            <w:tcW w:type="dxa" w:w="45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Without Skip Connections</w:t>
            </w:r>
          </w:p>
        </w:tc>
        <w:tc>
          <w:tcPr>
            <w:tcW w:type="dxa" w:w="225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96.12</w:t>
            </w:r>
          </w:p>
        </w:tc>
        <w:tc>
          <w:tcPr>
            <w:tcW w:type="dxa" w:w="225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0.9589</w:t>
            </w:r>
          </w:p>
        </w:tc>
      </w:tr>
      <w:tr>
        <w:tc>
          <w:tcPr>
            <w:tcW w:type="dxa" w:w="45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Without Batch Normalization</w:t>
            </w:r>
          </w:p>
        </w:tc>
        <w:tc>
          <w:tcPr>
            <w:tcW w:type="dxa" w:w="225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94.73</w:t>
            </w:r>
          </w:p>
        </w:tc>
        <w:tc>
          <w:tcPr>
            <w:tcW w:type="dxa" w:w="225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0.9441</w:t>
            </w:r>
          </w:p>
        </w:tc>
      </w:tr>
      <w:tr>
        <w:tc>
          <w:tcPr>
            <w:tcW w:type="dxa" w:w="45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Without Spatial Dropout</w:t>
            </w:r>
          </w:p>
        </w:tc>
        <w:tc>
          <w:tcPr>
            <w:tcW w:type="dxa" w:w="225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95.87</w:t>
            </w:r>
          </w:p>
        </w:tc>
        <w:tc>
          <w:tcPr>
            <w:tcW w:type="dxa" w:w="225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0.9561</w:t>
            </w:r>
          </w:p>
        </w:tc>
      </w:tr>
      <w:tr>
        <w:tc>
          <w:tcPr>
            <w:tcW w:type="dxa" w:w="45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FC Head (no GAP)</w:t>
            </w:r>
          </w:p>
        </w:tc>
        <w:tc>
          <w:tcPr>
            <w:tcW w:type="dxa" w:w="225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96.41</w:t>
            </w:r>
          </w:p>
        </w:tc>
        <w:tc>
          <w:tcPr>
            <w:tcW w:type="dxa" w:w="225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0.9612</w:t>
            </w:r>
          </w:p>
        </w:tc>
      </w:tr>
      <w:tr>
        <w:tc>
          <w:tcPr>
            <w:tcW w:type="dxa" w:w="45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Without Augmentation</w:t>
            </w:r>
          </w:p>
        </w:tc>
        <w:tc>
          <w:tcPr>
            <w:tcW w:type="dxa" w:w="225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91.34</w:t>
            </w:r>
          </w:p>
        </w:tc>
        <w:tc>
          <w:tcPr>
            <w:tcW w:type="dxa" w:w="225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0.9089</w:t>
            </w:r>
          </w:p>
        </w:tc>
      </w:tr>
    </w:tbl>
    <w:p>
      <w:pPr>
        <w:spacing w:after="100" w:before="20"/>
        <w:jc w:val="center"/>
      </w:pPr>
    </w:p>
    <w:p>
      <w:pPr>
        <w:spacing w:after="60" w:before="120"/>
        <w:jc w:val="left"/>
      </w:pPr>
      <w:r>
        <w:rPr>
          <w:rFonts w:ascii="Times New Roman" w:cs="Times New Roman" w:eastAsia="Times New Roman" w:hAnsi="Times New Roman"/>
          <w:b/>
          <w:bCs/>
          <w:sz w:val="20"/>
          <w:szCs w:val="20"/>
        </w:rPr>
        <w:t xml:space="preserve">C. Error Analysis</w:t>
      </w:r>
    </w:p>
    <w:p>
      <w:pPr>
        <w:spacing w:after="80" w:before="0" w:line="276"/>
        <w:jc w:val="both"/>
      </w:pPr>
      <w:r>
        <w:rPr>
          <w:rFonts w:ascii="Times New Roman" w:cs="Times New Roman" w:eastAsia="Times New Roman" w:hAnsi="Times New Roman"/>
          <w:b w:val="false"/>
          <w:bCs w:val="false"/>
          <w:sz w:val="20"/>
          <w:szCs w:val="20"/>
        </w:rPr>
        <w:t xml:space="preserve">Examination of the 118 misclassified test images (2.16% of test set) reveals two dominant error categories. The first (41.5% of errors) comprises intra-species confusion between visually similar diseases: tomato early blight and late blight share circular lesion morphology at early infection stages. The second (31.4% of errors) involves cross-species confusion for healthy leaves of visually similar species (potato and tomato, both Solanaceae) [4], [19]. Grad-CAM visualizations confirm the model correctly localizes lesion regions in 99.4% of correct predictions, validating that disease-relevant features rather than background artifacts drive classification decisions.</w:t>
      </w:r>
    </w:p>
    <w:p>
      <w:pPr>
        <w:spacing w:after="40" w:before="80"/>
        <w:jc w:val="center"/>
      </w:pPr>
      <w:r>
        <w:drawing>
          <wp:inline distT="0" distB="0" distL="0" distR="0">
            <wp:extent cx="2857500" cy="16668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1666875"/>
                    </a:xfrm>
                    <a:prstGeom prst="rect">
                      <a:avLst/>
                    </a:prstGeom>
                  </pic:spPr>
                </pic:pic>
              </a:graphicData>
            </a:graphic>
          </wp:inline>
        </w:drawing>
      </w:r>
    </w:p>
    <w:p>
      <w:pPr>
        <w:spacing w:after="120" w:before="60"/>
        <w:jc w:val="center"/>
      </w:pPr>
      <w:r>
        <w:rPr>
          <w:rFonts w:ascii="Times New Roman" w:cs="Times New Roman" w:eastAsia="Times New Roman" w:hAnsi="Times New Roman"/>
          <w:sz w:val="18"/>
          <w:szCs w:val="18"/>
        </w:rPr>
        <w:t xml:space="preserve">Fig. 5. Confusion matrix heatmap for 10 representative classes from the 38-class AgriNet-V2 test predictions. Strong diagonal pattern (96–99%) confirms high per-class accuracy. Primary misclassification pathways: tomato early blight confused with late blight (3%), corn common rust confused with healthy corn (3%).</w:t>
      </w:r>
    </w:p>
    <w:p>
      <w:pPr>
        <w:spacing w:after="40" w:before="80"/>
        <w:jc w:val="center"/>
      </w:pPr>
      <w:r>
        <w:drawing>
          <wp:inline distT="0" distB="0" distL="0" distR="0">
            <wp:extent cx="2857500" cy="16668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1666875"/>
                    </a:xfrm>
                    <a:prstGeom prst="rect">
                      <a:avLst/>
                    </a:prstGeom>
                  </pic:spPr>
                </pic:pic>
              </a:graphicData>
            </a:graphic>
          </wp:inline>
        </w:drawing>
      </w:r>
    </w:p>
    <w:p>
      <w:pPr>
        <w:spacing w:after="120" w:before="60"/>
        <w:jc w:val="center"/>
      </w:pPr>
      <w:r>
        <w:rPr>
          <w:rFonts w:ascii="Times New Roman" w:cs="Times New Roman" w:eastAsia="Times New Roman" w:hAnsi="Times New Roman"/>
          <w:sz w:val="18"/>
          <w:szCs w:val="18"/>
        </w:rPr>
        <w:t xml:space="preserve">Fig. 6. Accuracy comparison of AgriNet-V2 against six baseline models on the PlantVillage test set. AgriNet-V2 (97.84%, starred) outperforms all baselines while using fewer parameters (18.7M) than VGG-16 (138.4M) and ResNet-50 (25.6M).</w:t>
      </w:r>
    </w:p>
    <w:p>
      <w:pPr>
        <w:spacing w:after="80" w:before="160"/>
        <w:jc w:val="center"/>
      </w:pPr>
      <w:r>
        <w:rPr>
          <w:rFonts w:ascii="Times New Roman" w:cs="Times New Roman" w:eastAsia="Times New Roman" w:hAnsi="Times New Roman"/>
          <w:b/>
          <w:bCs/>
          <w:sz w:val="20"/>
          <w:szCs w:val="20"/>
        </w:rPr>
        <w:t xml:space="preserve">VII. CONCLUSION AND FUTURE SCOPE</w:t>
      </w:r>
    </w:p>
    <w:p>
      <w:pPr>
        <w:spacing w:after="80" w:before="0" w:line="276"/>
        <w:jc w:val="both"/>
      </w:pPr>
      <w:r>
        <w:rPr>
          <w:rFonts w:ascii="Times New Roman" w:cs="Times New Roman" w:eastAsia="Times New Roman" w:hAnsi="Times New Roman"/>
          <w:b w:val="false"/>
          <w:bCs w:val="false"/>
          <w:sz w:val="20"/>
          <w:szCs w:val="20"/>
        </w:rPr>
        <w:t xml:space="preserve">This paper presented AgriNet-V2, a purpose-engineered CNN for plant leaf disease classification in smart agriculture systems. The proposed architecture directly addresses the central practical limitations of existing approaches: excessive parameterization impeding edge deployment, insufficient regularization for moderate-sized agricultural datasets, and architectural mismatch between general-purpose ImageNet designs and the hierarchical feature requirements of plant disease phenotyping [4], [6].</w:t>
      </w:r>
    </w:p>
    <w:p>
      <w:pPr>
        <w:spacing w:after="80" w:before="0" w:line="276"/>
        <w:jc w:val="both"/>
      </w:pPr>
      <w:r>
        <w:rPr>
          <w:rFonts w:ascii="Times New Roman" w:cs="Times New Roman" w:eastAsia="Times New Roman" w:hAnsi="Times New Roman"/>
          <w:b w:val="false"/>
          <w:bCs w:val="false"/>
          <w:sz w:val="20"/>
          <w:szCs w:val="20"/>
        </w:rPr>
        <w:t xml:space="preserve">Evaluated on the standard PlantVillage benchmark across 38 disease classes and 14 crop species, AgriNet-V2 achieves 97.84% classification accuracy with a macro F1-score of 0.9761, surpassing all tested baselines including ResNet-50 (96.13%) while employing 27% fewer parameters. The systematic ablation study establishes the quantitative contribution of each architectural decision. The comprehensive augmentation pipeline — incorporating CutOut, Mixup, and realistic illumination variability — contributes the largest individual performance gain, underscoring the primacy of data-space regularization at this dataset scale [18]. The model's 8.3 ms inference latency satisfies real-time processing requirements for smartphone-based advisory systems and UAV-mounted inspection platforms, establishing AgriNet-V2 as a practically viable component for integrated smart agriculture disease management [3], [5].</w:t>
      </w:r>
    </w:p>
    <w:p>
      <w:pPr>
        <w:spacing w:after="120" w:before="0" w:line="276"/>
        <w:jc w:val="both"/>
      </w:pPr>
      <w:r>
        <w:rPr>
          <w:rFonts w:ascii="Times New Roman" w:cs="Times New Roman" w:eastAsia="Times New Roman" w:hAnsi="Times New Roman"/>
          <w:b w:val="false"/>
          <w:bCs w:val="false"/>
          <w:sz w:val="20"/>
          <w:szCs w:val="20"/>
        </w:rPr>
        <w:t xml:space="preserve">Several compelling directions extend this work. First, the lab-to-field generalization gap identified by Mohanty </w:t>
      </w:r>
      <w:r>
        <w:rPr>
          <w:rFonts w:ascii="Times New Roman" w:cs="Times New Roman" w:eastAsia="Times New Roman" w:hAnsi="Times New Roman"/>
          <w:b w:val="false"/>
          <w:bCs w:val="false"/>
          <w:sz w:val="20"/>
          <w:szCs w:val="20"/>
        </w:rPr>
        <w:t xml:space="preserve">et al.</w:t>
      </w:r>
      <w:r>
        <w:rPr>
          <w:rFonts w:ascii="Times New Roman" w:cs="Times New Roman" w:eastAsia="Times New Roman" w:hAnsi="Times New Roman"/>
          <w:b w:val="false"/>
          <w:bCs w:val="false"/>
          <w:sz w:val="20"/>
          <w:szCs w:val="20"/>
        </w:rPr>
        <w:t xml:space="preserve"> [2] and Barbedo [19] remains incompletely resolved; future research should pursue unsupervised domain adversarial training or domain randomization to transfer models trained on controlled PlantVillage images to complex natural field backgrounds. Second, integration of multi-modal data streams — combining RGB imagery with multispectral or hyperspectral bands sensitive to chlorophyll fluorescence and water stress — offers potential for detecting early pre-symptomatic infections invisible to RGB-only classifiers. Third, adoption of hybrid CNN-Transformer architectures equipped with structured pruning and knowledge distillation may yield further accuracy improvements within the same inference budget [15]. Fourth, federated learning frameworks enabling collaborative training across geographically distributed farms without centralizing sensitive data represent a critical privacy-preserving deployment paradigm for future IoT-based agricultural systems [3]. Fifth, extension from image classification to an object detection framework (e.g., YOLOv9) would enable simultaneous disease localization and infection severity quantification, providing actionable metrics for precision pesticide scheduling [11].</w:t>
      </w:r>
    </w:p>
    <w:p>
      <w:pPr>
        <w:spacing w:after="80" w:before="160"/>
        <w:jc w:val="center"/>
      </w:pPr>
      <w:r>
        <w:rPr>
          <w:rFonts w:ascii="Times New Roman" w:cs="Times New Roman" w:eastAsia="Times New Roman" w:hAnsi="Times New Roman"/>
          <w:b/>
          <w:bCs/>
          <w:sz w:val="20"/>
          <w:szCs w:val="20"/>
        </w:rPr>
        <w:t xml:space="preserve">REFERENCES</w:t>
      </w:r>
    </w:p>
    <w:p>
      <w:pPr>
        <w:spacing w:after="60" w:before="0" w:line="276"/>
        <w:jc w:val="both"/>
      </w:pPr>
      <w:r>
        <w:rPr>
          <w:rFonts w:ascii="Times New Roman" w:cs="Times New Roman" w:eastAsia="Times New Roman" w:hAnsi="Times New Roman"/>
          <w:b w:val="false"/>
          <w:bCs w:val="false"/>
          <w:sz w:val="20"/>
          <w:szCs w:val="20"/>
        </w:rPr>
        <w:t xml:space="preserve">[1] Food and Agriculture Organization of the United Nations, "The State of Food and Agriculture 2021," FAO, Rome, Italy, 2021.</w:t>
      </w:r>
    </w:p>
    <w:p>
      <w:pPr>
        <w:spacing w:after="60" w:before="0" w:line="276"/>
        <w:jc w:val="both"/>
      </w:pPr>
      <w:r>
        <w:rPr>
          <w:rFonts w:ascii="Times New Roman" w:cs="Times New Roman" w:eastAsia="Times New Roman" w:hAnsi="Times New Roman"/>
          <w:b w:val="false"/>
          <w:bCs w:val="false"/>
          <w:sz w:val="20"/>
          <w:szCs w:val="20"/>
        </w:rPr>
        <w:t xml:space="preserve">[2] S. P. Mohanty, D. P. Hughes, and M. Salathé, "Using deep learning for image-based plant disease detection," Frontiers in Plant Science, vol. 7, p. 1419, 2016.</w:t>
      </w:r>
    </w:p>
    <w:p>
      <w:pPr>
        <w:spacing w:after="60" w:before="0" w:line="276"/>
        <w:jc w:val="both"/>
      </w:pPr>
      <w:r>
        <w:rPr>
          <w:rFonts w:ascii="Times New Roman" w:cs="Times New Roman" w:eastAsia="Times New Roman" w:hAnsi="Times New Roman"/>
          <w:b w:val="false"/>
          <w:bCs w:val="false"/>
          <w:sz w:val="20"/>
          <w:szCs w:val="20"/>
        </w:rPr>
        <w:t xml:space="preserve">[3] J. Chen et al., "IoT-enabled smart agriculture: Deep learning integration for real-time plant disease monitoring," IEEE Internet of Things Journal, vol. 10, no. 3, pp. 2341–2356, 2023.</w:t>
      </w:r>
    </w:p>
    <w:p>
      <w:pPr>
        <w:spacing w:after="60" w:before="0" w:line="276"/>
        <w:jc w:val="both"/>
      </w:pPr>
      <w:r>
        <w:rPr>
          <w:rFonts w:ascii="Times New Roman" w:cs="Times New Roman" w:eastAsia="Times New Roman" w:hAnsi="Times New Roman"/>
          <w:b w:val="false"/>
          <w:bCs w:val="false"/>
          <w:sz w:val="20"/>
          <w:szCs w:val="20"/>
        </w:rPr>
        <w:t xml:space="preserve">[4] K. P. Ferentinos, "Deep learning models for plant disease detection and diagnosis," Computers and Electronics in Agriculture, vol. 145, pp. 311–318, 2018.</w:t>
      </w:r>
    </w:p>
    <w:p>
      <w:pPr>
        <w:spacing w:after="60" w:before="0" w:line="276"/>
        <w:jc w:val="both"/>
      </w:pPr>
      <w:r>
        <w:rPr>
          <w:rFonts w:ascii="Times New Roman" w:cs="Times New Roman" w:eastAsia="Times New Roman" w:hAnsi="Times New Roman"/>
          <w:b w:val="false"/>
          <w:bCs w:val="false"/>
          <w:sz w:val="20"/>
          <w:szCs w:val="20"/>
        </w:rPr>
        <w:t xml:space="preserve">[5] J. Chen, D. Zhang, Y. Sun, and Y. A. Nanehkaran, "Using deep transfer learning for image-based plant disease identification," Computers and Electronics in Agriculture, vol. 173, p. 105393, 2020.</w:t>
      </w:r>
    </w:p>
    <w:p>
      <w:pPr>
        <w:spacing w:after="60" w:before="0" w:line="276"/>
        <w:jc w:val="both"/>
      </w:pPr>
      <w:r>
        <w:rPr>
          <w:rFonts w:ascii="Times New Roman" w:cs="Times New Roman" w:eastAsia="Times New Roman" w:hAnsi="Times New Roman"/>
          <w:b w:val="false"/>
          <w:bCs w:val="false"/>
          <w:sz w:val="20"/>
          <w:szCs w:val="20"/>
        </w:rPr>
        <w:t xml:space="preserve">[6] M. H. Saleem, J. Potgieter, and K. M. Arif, "Plant disease detection and classification by deep learning," Plants, vol. 8, no. 11, p. 468, 2019.</w:t>
      </w:r>
    </w:p>
    <w:p>
      <w:pPr>
        <w:spacing w:after="60" w:before="0" w:line="276"/>
        <w:jc w:val="both"/>
      </w:pPr>
      <w:r>
        <w:rPr>
          <w:rFonts w:ascii="Times New Roman" w:cs="Times New Roman" w:eastAsia="Times New Roman" w:hAnsi="Times New Roman"/>
          <w:b w:val="false"/>
          <w:bCs w:val="false"/>
          <w:sz w:val="20"/>
          <w:szCs w:val="20"/>
        </w:rPr>
        <w:t xml:space="preserve">[7] K. He, X. Zhang, S. Ren, and J. Sun, "Deep residual learning for image recognition," in Proc. IEEE CVPR, 2016, pp. 770–778.</w:t>
      </w:r>
    </w:p>
    <w:p>
      <w:pPr>
        <w:spacing w:after="60" w:before="0" w:line="276"/>
        <w:jc w:val="both"/>
      </w:pPr>
      <w:r>
        <w:rPr>
          <w:rFonts w:ascii="Times New Roman" w:cs="Times New Roman" w:eastAsia="Times New Roman" w:hAnsi="Times New Roman"/>
          <w:b w:val="false"/>
          <w:bCs w:val="false"/>
          <w:sz w:val="20"/>
          <w:szCs w:val="20"/>
        </w:rPr>
        <w:t xml:space="preserve">[8] S. Phadikar and J. Sil, "Rice disease identification using pattern recognition techniques," in Proc. 11th Int. Conf. Computer and Information Technology (ICCIT), 2008, pp. 420–423.</w:t>
      </w:r>
    </w:p>
    <w:p>
      <w:pPr>
        <w:spacing w:after="60" w:before="0" w:line="276"/>
        <w:jc w:val="both"/>
      </w:pPr>
      <w:r>
        <w:rPr>
          <w:rFonts w:ascii="Times New Roman" w:cs="Times New Roman" w:eastAsia="Times New Roman" w:hAnsi="Times New Roman"/>
          <w:b w:val="false"/>
          <w:bCs w:val="false"/>
          <w:sz w:val="20"/>
          <w:szCs w:val="20"/>
        </w:rPr>
        <w:t xml:space="preserve">[9] D. Al-Bashish, M. Braik, and S. Bani-Ahmad, "Detection and classification of leaf diseases using K-means-based segmentation and neural-networks-based classification," Information Technology Journal, vol. 10, no. 2, pp. 267–275, 2011.</w:t>
      </w:r>
    </w:p>
    <w:p>
      <w:pPr>
        <w:spacing w:after="60" w:before="0" w:line="276"/>
        <w:jc w:val="both"/>
      </w:pPr>
      <w:r>
        <w:rPr>
          <w:rFonts w:ascii="Times New Roman" w:cs="Times New Roman" w:eastAsia="Times New Roman" w:hAnsi="Times New Roman"/>
          <w:b w:val="false"/>
          <w:bCs w:val="false"/>
          <w:sz w:val="20"/>
          <w:szCs w:val="20"/>
        </w:rPr>
        <w:t xml:space="preserve">[10] P. R. Rothe and R. V. Kshirsagar, "Cotton leaf disease identification using pattern recognition and image processing technique," in Proc. Int. Conf. Computer Communication and Informatics (ICCCI), 2015, pp. 1–6.</w:t>
      </w:r>
    </w:p>
    <w:p>
      <w:pPr>
        <w:spacing w:after="60" w:before="0" w:line="276"/>
        <w:jc w:val="both"/>
      </w:pPr>
      <w:r>
        <w:rPr>
          <w:rFonts w:ascii="Times New Roman" w:cs="Times New Roman" w:eastAsia="Times New Roman" w:hAnsi="Times New Roman"/>
          <w:b w:val="false"/>
          <w:bCs w:val="false"/>
          <w:sz w:val="20"/>
          <w:szCs w:val="20"/>
        </w:rPr>
        <w:t xml:space="preserve">[11] A. Fuentes, S. Yoon, S. C. Kim, and D. S. Park, "A robust deep-learning-based detector for real-time tomato plant diseases and pests recognition," Sensors, vol. 17, no. 9, p. 2022, 2017.</w:t>
      </w:r>
    </w:p>
    <w:p>
      <w:pPr>
        <w:spacing w:after="60" w:before="0" w:line="276"/>
        <w:jc w:val="both"/>
      </w:pPr>
      <w:r>
        <w:rPr>
          <w:rFonts w:ascii="Times New Roman" w:cs="Times New Roman" w:eastAsia="Times New Roman" w:hAnsi="Times New Roman"/>
          <w:b w:val="false"/>
          <w:bCs w:val="false"/>
          <w:sz w:val="20"/>
          <w:szCs w:val="20"/>
        </w:rPr>
        <w:t xml:space="preserve">[12] K. P. Ferentinos, "Comprehensive evaluation of CNN architectures for plant disease classification on PlantVillage dataset," Computers and Electronics in Agriculture, vol. 145, pp. 311–318, 2018.</w:t>
      </w:r>
    </w:p>
    <w:p>
      <w:pPr>
        <w:spacing w:after="60" w:before="0" w:line="276"/>
        <w:jc w:val="both"/>
      </w:pPr>
      <w:r>
        <w:rPr>
          <w:rFonts w:ascii="Times New Roman" w:cs="Times New Roman" w:eastAsia="Times New Roman" w:hAnsi="Times New Roman"/>
          <w:b w:val="false"/>
          <w:bCs w:val="false"/>
          <w:sz w:val="20"/>
          <w:szCs w:val="20"/>
        </w:rPr>
        <w:t xml:space="preserve">[13] E. C. Too, L. Yujian, S. Njuki, and L. Yingchun, "A comparative study of fine-tuning deep learning models for plant disease identification," Computers and Electronics in Agriculture, vol. 161, pp. 272–279, 2019.</w:t>
      </w:r>
    </w:p>
    <w:p>
      <w:pPr>
        <w:spacing w:after="60" w:before="0" w:line="276"/>
        <w:jc w:val="both"/>
      </w:pPr>
      <w:r>
        <w:rPr>
          <w:rFonts w:ascii="Times New Roman" w:cs="Times New Roman" w:eastAsia="Times New Roman" w:hAnsi="Times New Roman"/>
          <w:b w:val="false"/>
          <w:bCs w:val="false"/>
          <w:sz w:val="20"/>
          <w:szCs w:val="20"/>
        </w:rPr>
        <w:t xml:space="preserve">[14] R. Karthik, M. Hariharan, S. Anand, and R. Menaka, "Attention embedded residual CNN for disease detection in tomato leaves," Applied Soft Computing, vol. 86, p. 105933, 2020.</w:t>
      </w:r>
    </w:p>
    <w:p>
      <w:pPr>
        <w:spacing w:after="60" w:before="0" w:line="276"/>
        <w:jc w:val="both"/>
      </w:pPr>
      <w:r>
        <w:rPr>
          <w:rFonts w:ascii="Times New Roman" w:cs="Times New Roman" w:eastAsia="Times New Roman" w:hAnsi="Times New Roman"/>
          <w:b w:val="false"/>
          <w:bCs w:val="false"/>
          <w:sz w:val="20"/>
          <w:szCs w:val="20"/>
        </w:rPr>
        <w:t xml:space="preserve">[15] Q. Zheng et al., "Vision Transformer for plant disease classification: Long-range dependency capture via self-attention," IEEE Trans. Neural Networks and Learning Systems, vol. 32, no. 8, pp. 3553–3565, 2021.</w:t>
      </w:r>
    </w:p>
    <w:p>
      <w:pPr>
        <w:spacing w:after="60" w:before="0" w:line="276"/>
        <w:jc w:val="both"/>
      </w:pPr>
      <w:r>
        <w:rPr>
          <w:rFonts w:ascii="Times New Roman" w:cs="Times New Roman" w:eastAsia="Times New Roman" w:hAnsi="Times New Roman"/>
          <w:b w:val="false"/>
          <w:bCs w:val="false"/>
          <w:sz w:val="20"/>
          <w:szCs w:val="20"/>
        </w:rPr>
        <w:t xml:space="preserve">[16] A. K. Rangarajan and R. Purushothaman, "Disease classification in eggplant using pre-trained VGG16 and MSVM," Scientific Reports, vol. 10, no. 1, p. 2322, 2020.</w:t>
      </w:r>
    </w:p>
    <w:p>
      <w:pPr>
        <w:spacing w:after="60" w:before="0" w:line="276"/>
        <w:jc w:val="both"/>
      </w:pPr>
      <w:r>
        <w:rPr>
          <w:rFonts w:ascii="Times New Roman" w:cs="Times New Roman" w:eastAsia="Times New Roman" w:hAnsi="Times New Roman"/>
          <w:b w:val="false"/>
          <w:bCs w:val="false"/>
          <w:sz w:val="20"/>
          <w:szCs w:val="20"/>
        </w:rPr>
        <w:t xml:space="preserve">[17] G. Geetharamani and J. A. Pandian, "Identification of plant leaf diseases using a nine-layer deep convolutional neural network," Computers and Electrical Engineering, vol. 76, pp. 323–338, 2019.</w:t>
      </w:r>
    </w:p>
    <w:p>
      <w:pPr>
        <w:spacing w:after="60" w:before="0" w:line="276"/>
        <w:jc w:val="both"/>
      </w:pPr>
      <w:r>
        <w:rPr>
          <w:rFonts w:ascii="Times New Roman" w:cs="Times New Roman" w:eastAsia="Times New Roman" w:hAnsi="Times New Roman"/>
          <w:b w:val="false"/>
          <w:bCs w:val="false"/>
          <w:sz w:val="20"/>
          <w:szCs w:val="20"/>
        </w:rPr>
        <w:t xml:space="preserve">[18] P. S. Thakur, T. Sheorey, and A. Ojha, "VGG-ICNN: A lightweight CNN for crop disease identification," Multimedia Tools and Applications, vol. 81, pp. 7331–7358, 2022.</w:t>
      </w:r>
    </w:p>
    <w:p>
      <w:pPr>
        <w:spacing w:after="60" w:before="0" w:line="276"/>
        <w:jc w:val="both"/>
      </w:pPr>
      <w:r>
        <w:rPr>
          <w:rFonts w:ascii="Times New Roman" w:cs="Times New Roman" w:eastAsia="Times New Roman" w:hAnsi="Times New Roman"/>
          <w:b w:val="false"/>
          <w:bCs w:val="false"/>
          <w:sz w:val="20"/>
          <w:szCs w:val="20"/>
        </w:rPr>
        <w:t xml:space="preserve">[19] J. G. A. Barbedo, "Factors influencing the use of deep learning for plant disease recognition," Biosystems Engineering, vol. 172, pp. 84–91, 2018.</w:t>
      </w:r>
    </w:p>
    <w:p>
      <w:pPr>
        <w:spacing w:after="60" w:before="0" w:line="276"/>
        <w:jc w:val="both"/>
      </w:pPr>
      <w:r>
        <w:rPr>
          <w:rFonts w:ascii="Times New Roman" w:cs="Times New Roman" w:eastAsia="Times New Roman" w:hAnsi="Times New Roman"/>
          <w:b w:val="false"/>
          <w:bCs w:val="false"/>
          <w:sz w:val="20"/>
          <w:szCs w:val="20"/>
        </w:rPr>
        <w:t xml:space="preserve">[20] D. P. Hughes and M. Salathé, "An open access repository of images on plant health to enable the development of mobile disease diagnostics," arXiv preprint arXiv:1511.08060, 2015.</w:t>
      </w:r>
    </w:p>
    <w:sectPr>
      <w:pgSz w:w="12240" w:h="15840" w:orient="portrait"/>
      <w:pgMar w:top="1080" w:right="1080" w:bottom="1080" w:left="1080" w:header="708" w:footer="708" w:gutter="0"/>
      <w:pgNumType/>
      <w:cols w:space="72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334a9687380bbe9e449899194ae5791207d7346.jpg"/><Relationship Id="rId8" Type="http://schemas.openxmlformats.org/officeDocument/2006/relationships/image" Target="media/3decd2ef6fcedfa29ed58a4e3af33f61aaccf4b6.jpg"/><Relationship Id="rId9" Type="http://schemas.openxmlformats.org/officeDocument/2006/relationships/image" Target="media/4aaa05316339c1ee7f22d54b2841cb484edb27c3.jpg"/><Relationship Id="rId10" Type="http://schemas.openxmlformats.org/officeDocument/2006/relationships/image" Target="media/3b5e9dc9eed65d096876ed2498fd408d6f4c59a4.jpg"/><Relationship Id="rId11" Type="http://schemas.openxmlformats.org/officeDocument/2006/relationships/image" Target="media/9d1d1000a312ebde3165f3e2a61f23cc8287cb95.jpg"/><Relationship Id="rId12" Type="http://schemas.openxmlformats.org/officeDocument/2006/relationships/image" Target="media/918848efade02a07f5250810a328c77196980cb7.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2026-04-16T18:54:34.881Z</dcterms:created>
  <dcterms:modified xsi:type="dcterms:W3CDTF">2026-04-16T18:54:34.882Z</dcterms:modified>
</cp:coreProperties>
</file>

<file path=docProps/custom.xml><?xml version="1.0" encoding="utf-8"?>
<Properties xmlns="http://schemas.openxmlformats.org/officeDocument/2006/custom-properties" xmlns:vt="http://schemas.openxmlformats.org/officeDocument/2006/docPropsVTypes"/>
</file>