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>
      <w:pPr>
        <w:spacing/>
        <w:rPr/>
      </w:pPr>
      <w:r>
        <w:rPr>
          <w:sz w:val="28"/>
        </w:rPr>
        <w:t xml:space="preserve"> </w:t>
      </w:r>
    </w:p>
    <w:p>
      <w:pPr>
        <w:spacing/>
        <w:rPr/>
      </w:pPr>
      <w:r>
        <w:rPr>
          <w:sz w:val="28"/>
        </w:rPr>
        <w:t xml:space="preserve"> </w:t>
      </w:r>
    </w:p>
    <w:p>
      <w:pPr>
        <w:spacing/>
        <w:rPr/>
      </w:pPr>
      <w:r>
        <w:rPr>
          <w:sz w:val="28"/>
        </w:rPr>
        <w:t xml:space="preserve"> </w:t>
      </w:r>
    </w:p>
    <w:p>
      <w:pPr>
        <w:spacing/>
        <w:rPr/>
      </w:pPr>
      <w:r>
        <w:rPr>
          <w:sz w:val="28"/>
        </w:rPr>
        <w:t xml:space="preserve"> </w:t>
      </w:r>
    </w:p>
    <w:p>
      <w:pPr>
        <w:spacing/>
        <w:rPr/>
      </w:pPr>
      <w:r>
        <w:rPr>
          <w:sz w:val="28"/>
        </w:rPr>
        <w:t xml:space="preserve"> </w:t>
      </w:r>
    </w:p>
    <w:p>
      <w:pPr>
        <w:spacing/>
        <w:rPr/>
      </w:pPr>
      <w:r>
        <w:rPr>
          <w:sz w:val="28"/>
        </w:rPr>
        <w:t xml:space="preserve"> </w:t>
      </w:r>
    </w:p>
    <w:p>
      <w:pPr>
        <w:shd w:val="clear" w:color="auto" w:fill="B8942F"/>
        <w:spacing w:before="0" w:after="0"/>
        <w:rPr/>
      </w:pPr>
      <w:r>
        <w:rPr>
          <w:sz w:val="16"/>
        </w:rPr>
        <w:t xml:space="preserve"> </w:t>
      </w:r>
    </w:p>
    <w:p>
      <w:pPr>
        <w:spacing w:before="720" w:after="240"/>
        <w:jc w:val="center"/>
        <w:rPr/>
      </w:pPr>
      <w:r>
        <w:rPr>
          <w:rFonts w:ascii="Yu Gothic UI" w:hAnsi="Yu Gothic UI" w:eastAsia="Yu Gothic UI" w:cs="Yu Gothic UI"/>
          <w:b/>
          <w:color w:val="B8942F"/>
          <w:sz w:val="56"/>
        </w:rPr>
        <w:t xml:space="preserve">月次売上分析レポート</w:t>
      </w:r>
    </w:p>
    <w:p>
      <w:pPr>
        <w:spacing w:after="160"/>
        <w:jc w:val="center"/>
        <w:rPr/>
      </w:pPr>
      <w:r>
        <w:rPr>
          <w:rFonts w:ascii="Yu Gothic UI" w:hAnsi="Yu Gothic UI" w:eastAsia="Yu Gothic UI" w:cs="Yu Gothic UI"/>
          <w:color w:val="57534E"/>
          <w:sz w:val="26"/>
        </w:rPr>
        <w:t xml:space="preserve">2026年3月度 — 営業部門パフォーマンス分析</w:t>
      </w:r>
    </w:p>
    <w:p>
      <w:pPr>
        <w:shd w:val="clear" w:color="auto" w:fill="B8942F"/>
        <w:spacing w:before="480"/>
        <w:rPr/>
      </w:pPr>
      <w:r>
        <w:rPr>
          <w:sz w:val="6"/>
        </w:rPr>
        <w:t xml:space="preserve"> </w:t>
      </w:r>
    </w:p>
    <w:p>
      <w:pPr>
        <w:spacing w:before="480"/>
        <w:jc w:val="center"/>
        <w:rPr/>
      </w:pPr>
      <w:r>
        <w:rPr>
          <w:rFonts w:ascii="Yu Gothic UI" w:hAnsi="Yu Gothic UI" w:eastAsia="Yu Gothic UI" w:cs="Yu Gothic UI"/>
          <w:color w:val="57534E"/>
          <w:sz w:val="22"/>
        </w:rPr>
        <w:t xml:space="preserve">2026年3月16日</w:t>
      </w:r>
    </w:p>
    <w:p>
      <w:pPr>
        <w:spacing/>
        <w:rPr/>
      </w:pPr>
      <w:r>
        <w:rPr/>
        <w:br w:type="page"/>
      </w:r>
    </w:p>
    <w:p>
      <w:pPr>
        <w:spacing w:before="280" w:after="160"/>
        <w:rPr/>
      </w:pPr>
      <w:r>
        <w:rPr>
          <w:rFonts w:ascii="Yu Gothic UI" w:hAnsi="Yu Gothic UI" w:eastAsia="Yu Gothic UI" w:cs="Yu Gothic UI"/>
          <w:b/>
          <w:color w:val="8A6F23"/>
          <w:sz w:val="24"/>
        </w:rPr>
        <w:t xml:space="preserve">主要KPI</w:t>
      </w:r>
    </w:p>
    <w:tbl>
      <w:tblPr>
        <w:tblStyle w:val="TableGrid"/>
        <w:tblCellMar/>
        <w:tblLook w:val="04A0" w:firstRow="1" w:lastRow="0" w:firstColumn="1" w:lastColumn="0" w:noHBand="0" w:noVBand="1"/>
      </w:tblPr>
      <w:tblGrid>
        <w:gridCol w:w="2256"/>
        <w:gridCol w:w="2257"/>
        <w:gridCol w:w="2257"/>
        <w:gridCol w:w="2256"/>
      </w:tblGrid>
      <w:tr>
        <w:trPr>
          <w:trHeight w:val="520" w:hRule="atLeast"/>
        </w:trPr>
        <w:tc>
          <w:tcPr>
            <w:tcW w:type="dxa" w:w="2256"/>
            <w:tcBorders>
              <w:top w:val="single" w:color="8A6F23" w:sz="4" w:space="0"/>
              <w:left w:val="single" w:color="8A6F23" w:sz="4" w:space="0"/>
              <w:bottom w:val="single" w:color="8A6F23" w:sz="4" w:space="0"/>
              <w:right w:val="single" w:color="8A6F23" w:sz="4" w:space="0"/>
            </w:tcBorders>
            <w:shd w:fill="B8942F" w:color="auto" w:val="clear"/>
            <w:vAlign w:val="center"/>
          </w:tcPr>
          <w:p>
            <w:pPr>
              <w:spacing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FFFFFF"/>
                <w:sz w:val="18"/>
              </w:rPr>
              <w:t xml:space="preserve">月間売上高</w:t>
            </w:r>
          </w:p>
        </w:tc>
        <w:tc>
          <w:tcPr>
            <w:tcW w:type="dxa" w:w="2256"/>
            <w:tcBorders>
              <w:top w:val="single" w:color="8A6F23" w:sz="4" w:space="0"/>
              <w:left w:val="single" w:color="8A6F23" w:sz="4" w:space="0"/>
              <w:bottom w:val="single" w:color="8A6F23" w:sz="4" w:space="0"/>
              <w:right w:val="single" w:color="8A6F23" w:sz="4" w:space="0"/>
            </w:tcBorders>
            <w:shd w:fill="B8942F" w:color="auto" w:val="clear"/>
            <w:vAlign w:val="center"/>
          </w:tcPr>
          <w:p>
            <w:pPr>
              <w:spacing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FFFFFF"/>
                <w:sz w:val="18"/>
              </w:rPr>
              <w:t xml:space="preserve">受注件数</w:t>
            </w:r>
          </w:p>
        </w:tc>
        <w:tc>
          <w:tcPr>
            <w:tcW w:type="dxa" w:w="2256"/>
            <w:tcBorders>
              <w:top w:val="single" w:color="8A6F23" w:sz="4" w:space="0"/>
              <w:left w:val="single" w:color="8A6F23" w:sz="4" w:space="0"/>
              <w:bottom w:val="single" w:color="8A6F23" w:sz="4" w:space="0"/>
              <w:right w:val="single" w:color="8A6F23" w:sz="4" w:space="0"/>
            </w:tcBorders>
            <w:shd w:fill="B8942F" w:color="auto" w:val="clear"/>
            <w:vAlign w:val="center"/>
          </w:tcPr>
          <w:p>
            <w:pPr>
              <w:spacing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FFFFFF"/>
                <w:sz w:val="18"/>
              </w:rPr>
              <w:t xml:space="preserve">平均単価</w:t>
            </w:r>
          </w:p>
        </w:tc>
        <w:tc>
          <w:tcPr>
            <w:tcW w:type="dxa" w:w="2256"/>
            <w:tcBorders>
              <w:top w:val="single" w:color="8A6F23" w:sz="4" w:space="0"/>
              <w:left w:val="single" w:color="8A6F23" w:sz="4" w:space="0"/>
              <w:bottom w:val="single" w:color="8A6F23" w:sz="4" w:space="0"/>
              <w:right w:val="single" w:color="8A6F23" w:sz="4" w:space="0"/>
            </w:tcBorders>
            <w:shd w:fill="B8942F" w:color="auto" w:val="clear"/>
            <w:vAlign w:val="center"/>
          </w:tcPr>
          <w:p>
            <w:pPr>
              <w:spacing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FFFFFF"/>
                <w:sz w:val="18"/>
              </w:rPr>
              <w:t xml:space="preserve">粗利率</w:t>
            </w:r>
          </w:p>
        </w:tc>
      </w:tr>
      <w:tr>
        <w:trPr>
          <w:trHeight w:val="1040" w:hRule="atLeast"/>
        </w:trPr>
        <w:tc>
          <w:tcPr>
            <w:tcW w:type="dxa" w:w="2256"/>
            <w:tcBorders>
              <w:top w:val="single" w:color="E7E2DA" w:sz="4" w:space="0"/>
              <w:left w:val="single" w:color="E7E2DA" w:sz="4" w:space="0"/>
              <w:bottom w:val="single" w:color="E7E2DA" w:sz="4" w:space="0"/>
              <w:right w:val="single" w:color="E7E2DA" w:sz="4" w:space="0"/>
            </w:tcBorders>
            <w:vAlign w:val="center"/>
          </w:tcPr>
          <w:p>
            <w:pPr>
              <w:spacing w:before="120"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B8942F"/>
                <w:sz w:val="40"/>
              </w:rPr>
              <w:t xml:space="preserve">¥12.8億</w:t>
            </w:r>
          </w:p>
          <w:p>
            <w:pPr>
              <w:spacing w:after="80"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16A34A"/>
                <w:sz w:val="18"/>
              </w:rPr>
              <w:t xml:space="preserve">▲ +8.5%</w:t>
            </w:r>
          </w:p>
        </w:tc>
        <w:tc>
          <w:tcPr>
            <w:tcW w:type="dxa" w:w="2256"/>
            <w:tcBorders>
              <w:top w:val="single" w:color="E7E2DA" w:sz="4" w:space="0"/>
              <w:left w:val="single" w:color="E7E2DA" w:sz="4" w:space="0"/>
              <w:bottom w:val="single" w:color="E7E2DA" w:sz="4" w:space="0"/>
              <w:right w:val="single" w:color="E7E2DA" w:sz="4" w:space="0"/>
            </w:tcBorders>
            <w:vAlign w:val="center"/>
          </w:tcPr>
          <w:p>
            <w:pPr>
              <w:spacing w:before="120"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B8942F"/>
                <w:sz w:val="40"/>
              </w:rPr>
              <w:t xml:space="preserve">156件</w:t>
            </w:r>
          </w:p>
          <w:p>
            <w:pPr>
              <w:spacing w:after="80"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16A34A"/>
                <w:sz w:val="18"/>
              </w:rPr>
              <w:t xml:space="preserve">▲ +12件</w:t>
            </w:r>
          </w:p>
        </w:tc>
        <w:tc>
          <w:tcPr>
            <w:tcW w:type="dxa" w:w="2256"/>
            <w:tcBorders>
              <w:top w:val="single" w:color="E7E2DA" w:sz="4" w:space="0"/>
              <w:left w:val="single" w:color="E7E2DA" w:sz="4" w:space="0"/>
              <w:bottom w:val="single" w:color="E7E2DA" w:sz="4" w:space="0"/>
              <w:right w:val="single" w:color="E7E2DA" w:sz="4" w:space="0"/>
            </w:tcBorders>
            <w:vAlign w:val="center"/>
          </w:tcPr>
          <w:p>
            <w:pPr>
              <w:spacing w:before="120"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B8942F"/>
                <w:sz w:val="40"/>
              </w:rPr>
              <w:t xml:space="preserve">¥820万</w:t>
            </w:r>
          </w:p>
          <w:p>
            <w:pPr>
              <w:spacing w:after="80"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DC2626"/>
                <w:sz w:val="18"/>
              </w:rPr>
              <w:t xml:space="preserve">▼ -2.1%</w:t>
            </w:r>
          </w:p>
        </w:tc>
        <w:tc>
          <w:tcPr>
            <w:tcW w:type="dxa" w:w="2256"/>
            <w:tcBorders>
              <w:top w:val="single" w:color="E7E2DA" w:sz="4" w:space="0"/>
              <w:left w:val="single" w:color="E7E2DA" w:sz="4" w:space="0"/>
              <w:bottom w:val="single" w:color="E7E2DA" w:sz="4" w:space="0"/>
              <w:right w:val="single" w:color="E7E2DA" w:sz="4" w:space="0"/>
            </w:tcBorders>
            <w:vAlign w:val="center"/>
          </w:tcPr>
          <w:p>
            <w:pPr>
              <w:spacing w:before="120"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B8942F"/>
                <w:sz w:val="40"/>
              </w:rPr>
              <w:t xml:space="preserve">34.2%</w:t>
            </w:r>
          </w:p>
          <w:p>
            <w:pPr>
              <w:spacing w:after="80"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16A34A"/>
                <w:sz w:val="18"/>
              </w:rPr>
              <w:t xml:space="preserve">▲ +1.3pt</w:t>
            </w:r>
          </w:p>
        </w:tc>
      </w:tr>
    </w:tbl>
    <w:p>
      <w:pPr>
        <w:spacing w:after="280"/>
        <w:rPr/>
      </w:pPr>
    </w:p>
    <w:p>
      <w:pPr>
        <w:pBdr>
          <w:left w:val="single" w:color="B8942F" w:sz="32" w:space="8"/>
        </w:pBdr>
        <w:shd w:val="clear" w:color="auto" w:fill="F5F0E8"/>
        <w:spacing w:before="480" w:after="240"/>
        <w:rPr/>
      </w:pPr>
      <w:r>
        <w:rPr>
          <w:rFonts w:ascii="Yu Gothic UI" w:hAnsi="Yu Gothic UI" w:eastAsia="Yu Gothic UI" w:cs="Yu Gothic UI"/>
          <w:b/>
          <w:color w:val="8A6F23"/>
          <w:sz w:val="32"/>
        </w:rPr>
        <w:t xml:space="preserve">1. エグゼクティブサマリー</w:t>
      </w:r>
    </w:p>
    <w:p>
      <w:pPr>
        <w:spacing w:before="240" w:after="80"/>
        <w:rPr/>
      </w:pPr>
      <w:r>
        <w:rPr>
          <w:rFonts w:ascii="Yu Gothic UI" w:hAnsi="Yu Gothic UI" w:eastAsia="Yu Gothic UI" w:cs="Yu Gothic UI"/>
          <w:b/>
          <w:color w:val="8A6F23"/>
          <w:sz w:val="22"/>
        </w:rPr>
        <w:t xml:space="preserve">概要</w:t>
      </w:r>
    </w:p>
    <w:p>
      <w:pPr>
        <w:pBdr>
          <w:left w:val="single" w:color="B8942F" w:sz="24" w:space="10"/>
        </w:pBdr>
        <w:shd w:val="clear" w:color="auto" w:fill="F5F0E8"/>
        <w:spacing w:before="0" w:after="240" w:line="400" w:lineRule="auto"/>
        <w:rPr/>
      </w:pPr>
      <w:r>
        <w:rPr>
          <w:rFonts w:ascii="Yu Gothic UI" w:hAnsi="Yu Gothic UI" w:eastAsia="Yu Gothic UI" w:cs="Yu Gothic UI"/>
          <w:color w:val="1C1917"/>
          <w:sz w:val="22"/>
        </w:rPr>
        <w:t xml:space="preserve">2026年3月度の売上高は前年同月比 +8.5% の12.8億円となり、四半期目標の達成率は102%に到達しました。特に新規顧客からの受注が好調で、DX関連案件が全体の42%を占めています。</w:t>
      </w:r>
    </w:p>
    <w:p>
      <w:pPr>
        <w:pBdr>
          <w:left w:val="single" w:color="B8942F" w:sz="32" w:space="8"/>
        </w:pBdr>
        <w:shd w:val="clear" w:color="auto" w:fill="F5F0E8"/>
        <w:spacing w:before="480" w:after="240"/>
        <w:rPr/>
      </w:pPr>
      <w:r>
        <w:rPr>
          <w:rFonts w:ascii="Yu Gothic UI" w:hAnsi="Yu Gothic UI" w:eastAsia="Yu Gothic UI" w:cs="Yu Gothic UI"/>
          <w:b/>
          <w:color w:val="8A6F23"/>
          <w:sz w:val="32"/>
        </w:rPr>
        <w:t xml:space="preserve">2. 部門別売上実績</w:t>
      </w:r>
    </w:p>
    <w:p>
      <w:pPr>
        <w:spacing w:before="280" w:after="120"/>
        <w:rPr/>
      </w:pPr>
      <w:r>
        <w:rPr>
          <w:rFonts w:ascii="Yu Gothic UI" w:hAnsi="Yu Gothic UI" w:eastAsia="Yu Gothic UI" w:cs="Yu Gothic UI"/>
          <w:b/>
          <w:color w:val="8A6F23"/>
          <w:sz w:val="22"/>
        </w:rPr>
        <w:t xml:space="preserve">部門別売上比較</w:t>
      </w:r>
    </w:p>
    <w:tbl>
      <w:tblPr>
        <w:tblStyle w:val="TableGrid"/>
        <w:tblCellMar/>
        <w:tblLook w:val="04A0" w:firstRow="1" w:lastRow="0" w:firstColumn="1" w:lastColumn="0" w:noHBand="0" w:noVBand="1"/>
      </w:tblPr>
      <w:tblGrid>
        <w:gridCol w:w="1805"/>
        <w:gridCol w:w="1805"/>
        <w:gridCol w:w="1806"/>
        <w:gridCol w:w="1805"/>
        <w:gridCol w:w="1805"/>
      </w:tblGrid>
      <w:tr>
        <w:trPr>
          <w:trHeight w:val="560" w:hRule="atLeast"/>
        </w:trPr>
        <w:tc>
          <w:tcPr>
            <w:tcW w:type="dxa" w:w="1805"/>
            <w:tcBorders>
              <w:top w:val="single" w:color="8A6F23" w:sz="4" w:space="0"/>
              <w:left w:val="single" w:color="8A6F23" w:sz="4" w:space="0"/>
              <w:bottom w:val="single" w:color="8A6F23" w:sz="4" w:space="0"/>
              <w:right w:val="single" w:color="8A6F23" w:sz="4" w:space="0"/>
            </w:tcBorders>
            <w:shd w:fill="B8942F" w:color="auto" w:val="clear"/>
            <w:vAlign w:val="center"/>
          </w:tcPr>
          <w:p>
            <w:pPr>
              <w:spacing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FFFFFF"/>
                <w:sz w:val="20"/>
              </w:rPr>
              <w:t xml:space="preserve">部門</w:t>
            </w:r>
          </w:p>
        </w:tc>
        <w:tc>
          <w:tcPr>
            <w:tcW w:type="dxa" w:w="1805"/>
            <w:tcBorders>
              <w:top w:val="single" w:color="8A6F23" w:sz="4" w:space="0"/>
              <w:left w:val="single" w:color="8A6F23" w:sz="4" w:space="0"/>
              <w:bottom w:val="single" w:color="8A6F23" w:sz="4" w:space="0"/>
              <w:right w:val="single" w:color="8A6F23" w:sz="4" w:space="0"/>
            </w:tcBorders>
            <w:shd w:fill="B8942F" w:color="auto" w:val="clear"/>
            <w:vAlign w:val="center"/>
          </w:tcPr>
          <w:p>
            <w:pPr>
              <w:spacing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FFFFFF"/>
                <w:sz w:val="20"/>
              </w:rPr>
              <w:t xml:space="preserve">今月実績</w:t>
            </w:r>
          </w:p>
        </w:tc>
        <w:tc>
          <w:tcPr>
            <w:tcW w:type="dxa" w:w="1805"/>
            <w:tcBorders>
              <w:top w:val="single" w:color="8A6F23" w:sz="4" w:space="0"/>
              <w:left w:val="single" w:color="8A6F23" w:sz="4" w:space="0"/>
              <w:bottom w:val="single" w:color="8A6F23" w:sz="4" w:space="0"/>
              <w:right w:val="single" w:color="8A6F23" w:sz="4" w:space="0"/>
            </w:tcBorders>
            <w:shd w:fill="B8942F" w:color="auto" w:val="clear"/>
            <w:vAlign w:val="center"/>
          </w:tcPr>
          <w:p>
            <w:pPr>
              <w:spacing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FFFFFF"/>
                <w:sz w:val="20"/>
              </w:rPr>
              <w:t xml:space="preserve">前月実績</w:t>
            </w:r>
          </w:p>
        </w:tc>
        <w:tc>
          <w:tcPr>
            <w:tcW w:type="dxa" w:w="1805"/>
            <w:tcBorders>
              <w:top w:val="single" w:color="8A6F23" w:sz="4" w:space="0"/>
              <w:left w:val="single" w:color="8A6F23" w:sz="4" w:space="0"/>
              <w:bottom w:val="single" w:color="8A6F23" w:sz="4" w:space="0"/>
              <w:right w:val="single" w:color="8A6F23" w:sz="4" w:space="0"/>
            </w:tcBorders>
            <w:shd w:fill="B8942F" w:color="auto" w:val="clear"/>
            <w:vAlign w:val="center"/>
          </w:tcPr>
          <w:p>
            <w:pPr>
              <w:spacing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FFFFFF"/>
                <w:sz w:val="20"/>
              </w:rPr>
              <w:t xml:space="preserve">前年同月</w:t>
            </w:r>
          </w:p>
        </w:tc>
        <w:tc>
          <w:tcPr>
            <w:tcW w:type="dxa" w:w="1805"/>
            <w:tcBorders>
              <w:top w:val="single" w:color="8A6F23" w:sz="4" w:space="0"/>
              <w:left w:val="single" w:color="8A6F23" w:sz="4" w:space="0"/>
              <w:bottom w:val="single" w:color="8A6F23" w:sz="4" w:space="0"/>
              <w:right w:val="single" w:color="8A6F23" w:sz="4" w:space="0"/>
            </w:tcBorders>
            <w:shd w:fill="B8942F" w:color="auto" w:val="clear"/>
            <w:vAlign w:val="center"/>
          </w:tcPr>
          <w:p>
            <w:pPr>
              <w:spacing/>
              <w:jc w:val="center"/>
              <w:rPr/>
            </w:pPr>
            <w:r>
              <w:rPr>
                <w:rFonts w:ascii="Yu Gothic UI" w:hAnsi="Yu Gothic UI" w:eastAsia="Yu Gothic UI" w:cs="Yu Gothic UI"/>
                <w:b/>
                <w:color w:val="FFFFFF"/>
                <w:sz w:val="20"/>
              </w:rPr>
              <w:t xml:space="preserve">前年比</w:t>
            </w:r>
          </w:p>
        </w:tc>
      </w:tr>
      <w:tr>
        <w:trPr>
          <w:trHeight w:val="440" w:hRule="atLeast"/>
        </w:trPr>
        <w:tc>
          <w:tcPr>
            <w:tcW w:type="dxa" w:w="1805"/>
            <w:tcBorders>
              <w:top w:val="single" w:color="E7E2DA" w:sz="4" w:space="0"/>
              <w:left w:val="single" w:color="E7E2DA" w:sz="4" w:space="0"/>
              <w:bottom w:val="single" w:color="E7E2DA" w:sz="4" w:space="0"/>
              <w:right w:val="single" w:color="E7E2DA" w:sz="4" w:space="0"/>
            </w:tcBorders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1C1917"/>
                <w:sz w:val="20"/>
              </w:rPr>
              <w:t xml:space="preserve">コンサルティング事業部</w:t>
            </w:r>
          </w:p>
        </w:tc>
        <w:tc>
          <w:tcPr>
            <w:tcW w:type="dxa" w:w="1805"/>
            <w:tcBorders>
              <w:top w:val="single" w:color="E7E2DA" w:sz="4" w:space="0"/>
              <w:left w:val="single" w:color="E7E2DA" w:sz="4" w:space="0"/>
              <w:bottom w:val="single" w:color="E7E2DA" w:sz="4" w:space="0"/>
              <w:right w:val="single" w:color="E7E2DA" w:sz="4" w:space="0"/>
            </w:tcBorders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1C1917"/>
                <w:sz w:val="20"/>
              </w:rPr>
              <w:t xml:space="preserve">¥5.2億</w:t>
            </w:r>
          </w:p>
        </w:tc>
        <w:tc>
          <w:tcPr>
            <w:tcW w:type="dxa" w:w="1805"/>
            <w:tcBorders>
              <w:top w:val="single" w:color="E7E2DA" w:sz="4" w:space="0"/>
              <w:left w:val="single" w:color="E7E2DA" w:sz="4" w:space="0"/>
              <w:bottom w:val="single" w:color="E7E2DA" w:sz="4" w:space="0"/>
              <w:right w:val="single" w:color="E7E2DA" w:sz="4" w:space="0"/>
            </w:tcBorders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1C1917"/>
                <w:sz w:val="20"/>
              </w:rPr>
              <w:t xml:space="preserve">¥4.8億</w:t>
            </w:r>
          </w:p>
        </w:tc>
        <w:tc>
          <w:tcPr>
            <w:tcW w:type="dxa" w:w="1805"/>
            <w:tcBorders>
              <w:top w:val="single" w:color="E7E2DA" w:sz="4" w:space="0"/>
              <w:left w:val="single" w:color="E7E2DA" w:sz="4" w:space="0"/>
              <w:bottom w:val="single" w:color="E7E2DA" w:sz="4" w:space="0"/>
              <w:right w:val="single" w:color="E7E2DA" w:sz="4" w:space="0"/>
            </w:tcBorders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1C1917"/>
                <w:sz w:val="20"/>
              </w:rPr>
              <w:t xml:space="preserve">¥4.6億</w:t>
            </w:r>
          </w:p>
        </w:tc>
        <w:tc>
          <w:tcPr>
            <w:tcW w:type="dxa" w:w="1805"/>
            <w:tcBorders>
              <w:top w:val="single" w:color="E7E2DA" w:sz="4" w:space="0"/>
              <w:left w:val="single" w:color="E7E2DA" w:sz="4" w:space="0"/>
              <w:bottom w:val="single" w:color="E7E2DA" w:sz="4" w:space="0"/>
              <w:right w:val="single" w:color="E7E2DA" w:sz="4" w:space="0"/>
            </w:tcBorders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1C1917"/>
                <w:sz w:val="20"/>
              </w:rPr>
              <w:t xml:space="preserve">+13.0%</w:t>
            </w:r>
          </w:p>
        </w:tc>
      </w:tr>
      <w:tr>
        <w:trPr>
          <w:trHeight w:val="440" w:hRule="atLeast"/>
        </w:trPr>
        <w:tc>
          <w:tcPr>
            <w:tcW w:type="dxa" w:w="1805"/>
            <w:tcBorders>
              <w:top w:val="single" w:color="E7E2DA" w:sz="4" w:space="0"/>
              <w:left w:val="single" w:color="E7E2DA" w:sz="4" w:space="0"/>
              <w:bottom w:val="single" w:color="E7E2DA" w:sz="4" w:space="0"/>
              <w:right w:val="single" w:color="E7E2DA" w:sz="4" w:space="0"/>
            </w:tcBorders>
            <w:shd w:fill="FAF8F5" w:color="auto" w:val="clear"/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1C1917"/>
                <w:sz w:val="20"/>
              </w:rPr>
              <w:t xml:space="preserve">ソリューション事業部</w:t>
            </w:r>
          </w:p>
        </w:tc>
        <w:tc>
          <w:tcPr>
            <w:tcW w:type="dxa" w:w="1805"/>
            <w:tcBorders>
              <w:top w:val="single" w:color="E7E2DA" w:sz="4" w:space="0"/>
              <w:left w:val="single" w:color="E7E2DA" w:sz="4" w:space="0"/>
              <w:bottom w:val="single" w:color="E7E2DA" w:sz="4" w:space="0"/>
              <w:right w:val="single" w:color="E7E2DA" w:sz="4" w:space="0"/>
            </w:tcBorders>
            <w:shd w:fill="FAF8F5" w:color="auto" w:val="clear"/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1C1917"/>
                <w:sz w:val="20"/>
              </w:rPr>
              <w:t xml:space="preserve">¥4.1億</w:t>
            </w:r>
          </w:p>
        </w:tc>
        <w:tc>
          <w:tcPr>
            <w:tcW w:type="dxa" w:w="1805"/>
            <w:tcBorders>
              <w:top w:val="single" w:color="E7E2DA" w:sz="4" w:space="0"/>
              <w:left w:val="single" w:color="E7E2DA" w:sz="4" w:space="0"/>
              <w:bottom w:val="single" w:color="E7E2DA" w:sz="4" w:space="0"/>
              <w:right w:val="single" w:color="E7E2DA" w:sz="4" w:space="0"/>
            </w:tcBorders>
            <w:shd w:fill="FAF8F5" w:color="auto" w:val="clear"/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1C1917"/>
                <w:sz w:val="20"/>
              </w:rPr>
              <w:t xml:space="preserve">¥3.9億</w:t>
            </w:r>
          </w:p>
        </w:tc>
        <w:tc>
          <w:tcPr>
            <w:tcW w:type="dxa" w:w="1805"/>
            <w:tcBorders>
              <w:top w:val="single" w:color="E7E2DA" w:sz="4" w:space="0"/>
              <w:left w:val="single" w:color="E7E2DA" w:sz="4" w:space="0"/>
              <w:bottom w:val="single" w:color="E7E2DA" w:sz="4" w:space="0"/>
              <w:right w:val="single" w:color="E7E2DA" w:sz="4" w:space="0"/>
            </w:tcBorders>
            <w:shd w:fill="FAF8F5" w:color="auto" w:val="clear"/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1C1917"/>
                <w:sz w:val="20"/>
              </w:rPr>
              <w:t xml:space="preserve">¥4.0億</w:t>
            </w:r>
          </w:p>
        </w:tc>
        <w:tc>
          <w:tcPr>
            <w:tcW w:type="dxa" w:w="1805"/>
            <w:tcBorders>
              <w:top w:val="single" w:color="E7E2DA" w:sz="4" w:space="0"/>
              <w:left w:val="single" w:color="E7E2DA" w:sz="4" w:space="0"/>
              <w:bottom w:val="single" w:color="E7E2DA" w:sz="4" w:space="0"/>
              <w:right w:val="single" w:color="E7E2DA" w:sz="4" w:space="0"/>
            </w:tcBorders>
            <w:shd w:fill="FAF8F5" w:color="auto" w:val="clear"/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1C1917"/>
                <w:sz w:val="20"/>
              </w:rPr>
              <w:t xml:space="preserve">+2.5%</w:t>
            </w:r>
          </w:p>
        </w:tc>
      </w:tr>
      <w:tr>
        <w:trPr>
          <w:trHeight w:val="440" w:hRule="atLeast"/>
        </w:trPr>
        <w:tc>
          <w:tcPr>
            <w:tcW w:type="dxa" w:w="1805"/>
            <w:tcBorders>
              <w:top w:val="single" w:color="E7E2DA" w:sz="4" w:space="0"/>
              <w:left w:val="single" w:color="E7E2DA" w:sz="4" w:space="0"/>
              <w:bottom w:val="single" w:color="E7E2DA" w:sz="4" w:space="0"/>
              <w:right w:val="single" w:color="E7E2DA" w:sz="4" w:space="0"/>
            </w:tcBorders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1C1917"/>
                <w:sz w:val="20"/>
              </w:rPr>
              <w:t xml:space="preserve">クラウド事業部</w:t>
            </w:r>
          </w:p>
        </w:tc>
        <w:tc>
          <w:tcPr>
            <w:tcW w:type="dxa" w:w="1805"/>
            <w:tcBorders>
              <w:top w:val="single" w:color="E7E2DA" w:sz="4" w:space="0"/>
              <w:left w:val="single" w:color="E7E2DA" w:sz="4" w:space="0"/>
              <w:bottom w:val="single" w:color="E7E2DA" w:sz="4" w:space="0"/>
              <w:right w:val="single" w:color="E7E2DA" w:sz="4" w:space="0"/>
            </w:tcBorders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1C1917"/>
                <w:sz w:val="20"/>
              </w:rPr>
              <w:t xml:space="preserve">¥2.3億</w:t>
            </w:r>
          </w:p>
        </w:tc>
        <w:tc>
          <w:tcPr>
            <w:tcW w:type="dxa" w:w="1805"/>
            <w:tcBorders>
              <w:top w:val="single" w:color="E7E2DA" w:sz="4" w:space="0"/>
              <w:left w:val="single" w:color="E7E2DA" w:sz="4" w:space="0"/>
              <w:bottom w:val="single" w:color="E7E2DA" w:sz="4" w:space="0"/>
              <w:right w:val="single" w:color="E7E2DA" w:sz="4" w:space="0"/>
            </w:tcBorders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1C1917"/>
                <w:sz w:val="20"/>
              </w:rPr>
              <w:t xml:space="preserve">¥2.1億</w:t>
            </w:r>
          </w:p>
        </w:tc>
        <w:tc>
          <w:tcPr>
            <w:tcW w:type="dxa" w:w="1805"/>
            <w:tcBorders>
              <w:top w:val="single" w:color="E7E2DA" w:sz="4" w:space="0"/>
              <w:left w:val="single" w:color="E7E2DA" w:sz="4" w:space="0"/>
              <w:bottom w:val="single" w:color="E7E2DA" w:sz="4" w:space="0"/>
              <w:right w:val="single" w:color="E7E2DA" w:sz="4" w:space="0"/>
            </w:tcBorders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1C1917"/>
                <w:sz w:val="20"/>
              </w:rPr>
              <w:t xml:space="preserve">¥1.8億</w:t>
            </w:r>
          </w:p>
        </w:tc>
        <w:tc>
          <w:tcPr>
            <w:tcW w:type="dxa" w:w="1805"/>
            <w:tcBorders>
              <w:top w:val="single" w:color="E7E2DA" w:sz="4" w:space="0"/>
              <w:left w:val="single" w:color="E7E2DA" w:sz="4" w:space="0"/>
              <w:bottom w:val="single" w:color="E7E2DA" w:sz="4" w:space="0"/>
              <w:right w:val="single" w:color="E7E2DA" w:sz="4" w:space="0"/>
            </w:tcBorders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1C1917"/>
                <w:sz w:val="20"/>
              </w:rPr>
              <w:t xml:space="preserve">+27.8%</w:t>
            </w:r>
          </w:p>
        </w:tc>
      </w:tr>
      <w:tr>
        <w:trPr>
          <w:trHeight w:val="440" w:hRule="atLeast"/>
        </w:trPr>
        <w:tc>
          <w:tcPr>
            <w:tcW w:type="dxa" w:w="1805"/>
            <w:tcBorders>
              <w:top w:val="single" w:color="E7E2DA" w:sz="4" w:space="0"/>
              <w:left w:val="single" w:color="E7E2DA" w:sz="4" w:space="0"/>
              <w:bottom w:val="single" w:color="E7E2DA" w:sz="4" w:space="0"/>
              <w:right w:val="single" w:color="E7E2DA" w:sz="4" w:space="0"/>
            </w:tcBorders>
            <w:shd w:fill="FAF8F5" w:color="auto" w:val="clear"/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1C1917"/>
                <w:sz w:val="20"/>
              </w:rPr>
              <w:t xml:space="preserve">保守サポート事業部</w:t>
            </w:r>
          </w:p>
        </w:tc>
        <w:tc>
          <w:tcPr>
            <w:tcW w:type="dxa" w:w="1805"/>
            <w:tcBorders>
              <w:top w:val="single" w:color="E7E2DA" w:sz="4" w:space="0"/>
              <w:left w:val="single" w:color="E7E2DA" w:sz="4" w:space="0"/>
              <w:bottom w:val="single" w:color="E7E2DA" w:sz="4" w:space="0"/>
              <w:right w:val="single" w:color="E7E2DA" w:sz="4" w:space="0"/>
            </w:tcBorders>
            <w:shd w:fill="FAF8F5" w:color="auto" w:val="clear"/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1C1917"/>
                <w:sz w:val="20"/>
              </w:rPr>
              <w:t xml:space="preserve">¥1.2億</w:t>
            </w:r>
          </w:p>
        </w:tc>
        <w:tc>
          <w:tcPr>
            <w:tcW w:type="dxa" w:w="1805"/>
            <w:tcBorders>
              <w:top w:val="single" w:color="E7E2DA" w:sz="4" w:space="0"/>
              <w:left w:val="single" w:color="E7E2DA" w:sz="4" w:space="0"/>
              <w:bottom w:val="single" w:color="E7E2DA" w:sz="4" w:space="0"/>
              <w:right w:val="single" w:color="E7E2DA" w:sz="4" w:space="0"/>
            </w:tcBorders>
            <w:shd w:fill="FAF8F5" w:color="auto" w:val="clear"/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1C1917"/>
                <w:sz w:val="20"/>
              </w:rPr>
              <w:t xml:space="preserve">¥1.2億</w:t>
            </w:r>
          </w:p>
        </w:tc>
        <w:tc>
          <w:tcPr>
            <w:tcW w:type="dxa" w:w="1805"/>
            <w:tcBorders>
              <w:top w:val="single" w:color="E7E2DA" w:sz="4" w:space="0"/>
              <w:left w:val="single" w:color="E7E2DA" w:sz="4" w:space="0"/>
              <w:bottom w:val="single" w:color="E7E2DA" w:sz="4" w:space="0"/>
              <w:right w:val="single" w:color="E7E2DA" w:sz="4" w:space="0"/>
            </w:tcBorders>
            <w:shd w:fill="FAF8F5" w:color="auto" w:val="clear"/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1C1917"/>
                <w:sz w:val="20"/>
              </w:rPr>
              <w:t xml:space="preserve">¥1.4億</w:t>
            </w:r>
          </w:p>
        </w:tc>
        <w:tc>
          <w:tcPr>
            <w:tcW w:type="dxa" w:w="1805"/>
            <w:tcBorders>
              <w:top w:val="single" w:color="E7E2DA" w:sz="4" w:space="0"/>
              <w:left w:val="single" w:color="E7E2DA" w:sz="4" w:space="0"/>
              <w:bottom w:val="single" w:color="E7E2DA" w:sz="4" w:space="0"/>
              <w:right w:val="single" w:color="E7E2DA" w:sz="4" w:space="0"/>
            </w:tcBorders>
            <w:shd w:fill="FAF8F5" w:color="auto" w:val="clear"/>
            <w:vAlign w:val="center"/>
          </w:tcPr>
          <w:p>
            <w:pPr>
              <w:spacing/>
              <w:rPr/>
            </w:pPr>
            <w:r>
              <w:rPr>
                <w:rFonts w:ascii="Yu Gothic UI" w:hAnsi="Yu Gothic UI" w:eastAsia="Yu Gothic UI" w:cs="Yu Gothic UI"/>
                <w:color w:val="1C1917"/>
                <w:sz w:val="20"/>
              </w:rPr>
              <w:t xml:space="preserve">-14.3%</w:t>
            </w:r>
          </w:p>
        </w:tc>
      </w:tr>
    </w:tbl>
    <w:p>
      <w:pPr>
        <w:spacing w:after="280"/>
        <w:rPr/>
      </w:pPr>
    </w:p>
    <w:p>
      <w:pPr>
        <w:pBdr>
          <w:left w:val="single" w:color="B8942F" w:sz="32" w:space="8"/>
        </w:pBdr>
        <w:shd w:val="clear" w:color="auto" w:fill="F5F0E8"/>
        <w:spacing w:before="480" w:after="240"/>
        <w:rPr/>
      </w:pPr>
      <w:r>
        <w:rPr>
          <w:rFonts w:ascii="Yu Gothic UI" w:hAnsi="Yu Gothic UI" w:eastAsia="Yu Gothic UI" w:cs="Yu Gothic UI"/>
          <w:b/>
          <w:color w:val="8A6F23"/>
          <w:sz w:val="32"/>
        </w:rPr>
        <w:t xml:space="preserve">3. 重点施策の進捗</w:t>
      </w:r>
    </w:p>
    <w:p>
      <w:pPr>
        <w:spacing w:before="240" w:after="80"/>
        <w:rPr/>
      </w:pPr>
      <w:r>
        <w:rPr>
          <w:rFonts w:ascii="Yu Gothic UI" w:hAnsi="Yu Gothic UI" w:eastAsia="Yu Gothic UI" w:cs="Yu Gothic UI"/>
          <w:b/>
          <w:color w:val="8A6F23"/>
          <w:sz w:val="22"/>
        </w:rPr>
        <w:t xml:space="preserve">進行中のプロジェクト</w:t>
      </w:r>
    </w:p>
    <w:p>
      <w:pPr>
        <w:spacing w:after="80" w:line="360" w:lineRule="atLeast"/>
        <w:ind w:left="360" w:hanging="240"/>
        <w:rPr/>
      </w:pPr>
      <w:r>
        <w:rPr>
          <w:rFonts w:ascii="Yu Gothic UI" w:hAnsi="Yu Gothic UI" w:eastAsia="Yu Gothic UI" w:cs="Yu Gothic UI"/>
          <w:color w:val="B8942F"/>
          <w:sz w:val="14"/>
        </w:rPr>
        <w:t xml:space="preserve">■ </w:t>
      </w:r>
      <w:r>
        <w:rPr>
          <w:rFonts w:ascii="Yu Gothic UI" w:hAnsi="Yu Gothic UI" w:eastAsia="Yu Gothic UI" w:cs="Yu Gothic UI"/>
          <w:color w:val="1C1917"/>
          <w:sz w:val="21"/>
        </w:rPr>
        <w:t xml:space="preserve">大手製造業A社 DX推進プロジェクト — フェーズ2完了、ROI 180% 達成</w:t>
      </w:r>
    </w:p>
    <w:p>
      <w:pPr>
        <w:spacing w:after="80" w:line="360" w:lineRule="atLeast"/>
        <w:ind w:left="360" w:hanging="240"/>
        <w:rPr/>
      </w:pPr>
      <w:r>
        <w:rPr>
          <w:rFonts w:ascii="Yu Gothic UI" w:hAnsi="Yu Gothic UI" w:eastAsia="Yu Gothic UI" w:cs="Yu Gothic UI"/>
          <w:color w:val="B8942F"/>
          <w:sz w:val="14"/>
        </w:rPr>
        <w:t xml:space="preserve">■ </w:t>
      </w:r>
      <w:r>
        <w:rPr>
          <w:rFonts w:ascii="Yu Gothic UI" w:hAnsi="Yu Gothic UI" w:eastAsia="Yu Gothic UI" w:cs="Yu Gothic UI"/>
          <w:color w:val="1C1917"/>
          <w:sz w:val="21"/>
        </w:rPr>
        <w:t xml:space="preserve">金融機関B社 AI導入支援 — PoC 完了、本番導入フェーズへ移行決定</w:t>
      </w:r>
    </w:p>
    <w:p>
      <w:pPr>
        <w:spacing w:after="80" w:line="360" w:lineRule="atLeast"/>
        <w:ind w:left="360" w:hanging="240"/>
        <w:rPr/>
      </w:pPr>
      <w:r>
        <w:rPr>
          <w:rFonts w:ascii="Yu Gothic UI" w:hAnsi="Yu Gothic UI" w:eastAsia="Yu Gothic UI" w:cs="Yu Gothic UI"/>
          <w:color w:val="B8942F"/>
          <w:sz w:val="14"/>
        </w:rPr>
        <w:t xml:space="preserve">■ </w:t>
      </w:r>
      <w:r>
        <w:rPr>
          <w:rFonts w:ascii="Yu Gothic UI" w:hAnsi="Yu Gothic UI" w:eastAsia="Yu Gothic UI" w:cs="Yu Gothic UI"/>
          <w:color w:val="1C1917"/>
          <w:sz w:val="21"/>
        </w:rPr>
        <w:t xml:space="preserve">小売業C社 基幹システム刷新 — 要件定義完了、4月より開発フェーズ開始</w:t>
      </w:r>
    </w:p>
    <w:p>
      <w:pPr>
        <w:spacing w:after="80" w:line="360" w:lineRule="atLeast"/>
        <w:ind w:left="360" w:hanging="240"/>
        <w:rPr/>
      </w:pPr>
      <w:r>
        <w:rPr>
          <w:rFonts w:ascii="Yu Gothic UI" w:hAnsi="Yu Gothic UI" w:eastAsia="Yu Gothic UI" w:cs="Yu Gothic UI"/>
          <w:color w:val="B8942F"/>
          <w:sz w:val="14"/>
        </w:rPr>
        <w:t xml:space="preserve">■ </w:t>
      </w:r>
      <w:r>
        <w:rPr>
          <w:rFonts w:ascii="Yu Gothic UI" w:hAnsi="Yu Gothic UI" w:eastAsia="Yu Gothic UI" w:cs="Yu Gothic UI"/>
          <w:color w:val="1C1917"/>
          <w:sz w:val="21"/>
        </w:rPr>
        <w:t xml:space="preserve">自治体D市 デジタル化推進 — 住民サービス向上プラン策定中</w:t>
      </w:r>
    </w:p>
    <w:p>
      <w:pPr>
        <w:spacing w:after="120"/>
        <w:rPr/>
      </w:pPr>
    </w:p>
    <w:p>
      <w:pPr>
        <w:pBdr>
          <w:left w:val="single" w:color="B8942F" w:sz="32" w:space="8"/>
        </w:pBdr>
        <w:shd w:val="clear" w:color="auto" w:fill="F5F0E8"/>
        <w:spacing w:before="480" w:after="240"/>
        <w:rPr/>
      </w:pPr>
      <w:r>
        <w:rPr>
          <w:rFonts w:ascii="Yu Gothic UI" w:hAnsi="Yu Gothic UI" w:eastAsia="Yu Gothic UI" w:cs="Yu Gothic UI"/>
          <w:b/>
          <w:color w:val="8A6F23"/>
          <w:sz w:val="32"/>
        </w:rPr>
        <w:t xml:space="preserve">4. 課題と対策</w:t>
      </w:r>
    </w:p>
    <w:tbl>
      <w:tblPr>
        <w:tblStyle w:val="TableGrid"/>
        <w:tblLayout w:type="fixed"/>
        <w:tblCellMar/>
        <w:tblLook w:val="04A0" w:firstRow="1" w:lastRow="0" w:firstColumn="1" w:lastColumn="0" w:noHBand="0" w:noVBand="1"/>
      </w:tblPr>
      <w:tblGrid>
        <w:gridCol w:w="8600"/>
      </w:tblGrid>
      <w:tr>
        <w:trPr/>
        <w:tc>
          <w:tcPr>
            <w:tcW w:type="dxa" w:w="8600"/>
            <w:tcBorders>
              <w:top w:val="single" w:color="D4B94A" w:sz="12" w:space="0"/>
              <w:left w:val="single" w:color="D4B94A" w:sz="12" w:space="0"/>
              <w:bottom w:val="single" w:color="D4B94A" w:sz="12" w:space="0"/>
              <w:right w:val="single" w:color="D4B94A" w:sz="12" w:space="0"/>
            </w:tcBorders>
            <w:shd w:fill="F5F0E8" w:color="auto" w:val="clear"/>
          </w:tcPr>
          <w:p>
            <w:pPr>
              <w:spacing w:after="120"/>
              <w:rPr/>
            </w:pPr>
            <w:r>
              <w:rPr>
                <w:sz w:val="28"/>
              </w:rPr>
              <w:t xml:space="preserve">💡 </w:t>
            </w:r>
            <w:r>
              <w:rPr>
                <w:rFonts w:ascii="Yu Gothic UI" w:hAnsi="Yu Gothic UI" w:eastAsia="Yu Gothic UI" w:cs="Yu Gothic UI"/>
                <w:b/>
                <w:color w:val="8A6F23"/>
                <w:sz w:val="24"/>
              </w:rPr>
              <w:t xml:space="preserve">来月のアクションプラン</w:t>
            </w:r>
          </w:p>
          <w:p>
            <w:pPr>
              <w:spacing w:line="400" w:lineRule="auto"/>
              <w:rPr/>
            </w:pPr>
            <w:r>
              <w:rPr>
                <w:rFonts w:ascii="Yu Gothic UI" w:hAnsi="Yu Gothic UI" w:eastAsia="Yu Gothic UI" w:cs="Yu Gothic UI"/>
                <w:color w:val="1C1917"/>
                <w:sz w:val="22"/>
              </w:rPr>
              <w:t xml:space="preserve">保守サポート事業部の売上減少傾向に対し、既存顧客へのアップセル施策を強化します。具体的には、AI活用支援パッケージの提案を重点的に行い、月次レビュー会議での進捗確認を実施します。</w:t>
            </w:r>
          </w:p>
        </w:tc>
      </w:tr>
    </w:tbl>
    <w:p>
      <w:pPr>
        <w:spacing w:after="240"/>
        <w:rPr/>
      </w:pPr>
    </w:p>
    <w:sectPr>
      <w:footerReference w:type="default" r:id="rId1"/>
      <w:type w:val="nextPage"/>
      <w:pgSz w:w="11906" w:h="16838"/>
      <w:pgMar w:top="1440" w:right="1440" w:bottom="1120" w:left="1440" w:gutter="0"/>
      <w:pgBorders/>
      <w:pgNumType w:fmt="decimal"/>
      <w:cols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Yu Gothic UI">
    <w:charset w:val="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>
        <w:top w:val="single" w:color="E7E2DA" w:sz="4" w:space="6"/>
      </w:pBdr>
      <w:spacing/>
      <w:jc w:val="right"/>
      <w:rPr/>
    </w:pPr>
    <w:r>
      <w:rPr>
        <w:rFonts w:ascii="Yu Gothic UI" w:hAnsi="Yu Gothic UI" w:eastAsia="Yu Gothic UI" w:cs="Yu Gothic UI"/>
        <w:color w:val="57534E"/>
        <w:sz w:val="16"/>
      </w:rPr>
      <w:t xml:space="preserve">Insight Agent  —  </w:t>
    </w:r>
    <w:r>
      <w:rPr/>
      <w:fldChar w:fldCharType="begin"/>
    </w:r>
    <w:r>
      <w:rPr/>
      <w:instrText xml:space="preserve">PAGE Page</w:instrText>
    </w:r>
    <w:r>
      <w:rPr/>
      <w:fldChar w:fldCharType="separate"/>
    </w:r>
    <w:r>
      <w:rPr/>
      <w:t xml:space="preserve">Page</w:t>
    </w:r>
    <w:r>
      <w:rPr/>
      <w:fldChar w:fldCharType="end"/>
    </w:r>
    <w:r>
      <w:rPr>
        <w:color w:val="57534E"/>
        <w:sz w:val="16"/>
      </w:rPr>
      <w:t xml:space="preserve"> / </w:t>
    </w:r>
    <w:r>
      <w:rPr/>
      <w:fldChar w:fldCharType="begin"/>
    </w:r>
    <w:r>
      <w:rPr/>
      <w:instrText xml:space="preserve">NUMPAGES NumPages</w:instrText>
    </w:r>
    <w:r>
      <w:rPr/>
      <w:fldChar w:fldCharType="separate"/>
    </w:r>
    <w:r>
      <w:rPr/>
      <w:t xml:space="preserve">NumPages</w:t>
    </w:r>
    <w:r>
      <w:rPr/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/>
      </w:rPr>
    </w:rPrDefault>
    <w:pPrDefault/>
  </w:docDefaults>
  <w:style w:type="numbering" w:default="1" w:styleId="NoList">
    <w:name w:val="No List"/>
    <w:uiPriority w:val="99"/>
    <w:semiHidden/>
    <w:unhideWhenUsed/>
  </w:style>
  <w:style w:type="paragraph" w:styleId="Normal" w:default="1">
    <w:name w:val="Normal"/>
    <w:pPr>
      <w:spacing/>
    </w:pPr>
    <w:rPr>
      <w:rFonts w:ascii="Times New Roman" w:hAnsi="Times New Roman" w:eastAsia="Times New Roman"/>
      <w:sz w:val="24"/>
      <w:szCs w:val="24"/>
      <w:lang w:val="en-US" w:eastAsia="zh-TW" w:bidi="ar-SA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&#65279;<?xml version="1.0" encoding="utf-8" standalone="yes"?><Relationships xmlns="http://schemas.openxmlformats.org/package/2006/relationships"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theme" Target="theme/theme1.xml" /><Relationship Id="rId1" Type="http://schemas.openxmlformats.org/officeDocument/2006/relationships/footer" Target="footer1.xml" /><Relationship Id="rId5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2026-03-16T14:11:20Z</dcterms:created>
  <dcterms:modified xsi:type="dcterms:W3CDTF">2026-03-16T14:11:20Z</dcterms:modified>
</cp:coreProperties>
</file>