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"https://www.syncfusion.com/account/claim-license-key?pl=d29yZA==&amp;vs=MzIuMi45"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hd w:val="clear" w:color="auto" w:fill="B8942F"/>
        <w:spacing w:before="0" w:after="0"/>
        <w:rPr/>
      </w:pPr>
      <w:r>
        <w:rPr>
          <w:sz w:val="16"/>
        </w:rPr>
        <w:t xml:space="preserve"> </w:t>
      </w:r>
    </w:p>
    <w:p>
      <w:pPr>
        <w:spacing w:before="720" w:after="240"/>
        <w:jc w:val="center"/>
        <w:rPr/>
      </w:pPr>
      <w:r>
        <w:rPr>
          <w:rFonts w:ascii="Yu Gothic UI" w:hAnsi="Yu Gothic UI" w:eastAsia="Yu Gothic UI" w:cs="Yu Gothic UI"/>
          <w:b/>
          <w:color w:val="B8942F"/>
          <w:sz w:val="56"/>
        </w:rPr>
        <w:t xml:space="preserve">2026年度Q1 営業実績レポート</w:t>
      </w:r>
    </w:p>
    <w:p>
      <w:pPr>
        <w:spacing w:after="160"/>
        <w:jc w:val="center"/>
        <w:rPr/>
      </w:pPr>
      <w:r>
        <w:rPr>
          <w:rFonts w:ascii="Yu Gothic UI" w:hAnsi="Yu Gothic UI" w:eastAsia="Yu Gothic UI" w:cs="Yu Gothic UI"/>
          <w:color w:val="57534E"/>
          <w:sz w:val="26"/>
        </w:rPr>
        <w:t xml:space="preserve">株式会社ハーモニックインサイト</w:t>
      </w:r>
    </w:p>
    <w:p>
      <w:pPr>
        <w:shd w:val="clear" w:color="auto" w:fill="B8942F"/>
        <w:spacing w:before="480"/>
        <w:rPr/>
      </w:pPr>
      <w:r>
        <w:rPr>
          <w:sz w:val="6"/>
        </w:rPr>
        <w:t xml:space="preserve"> </w:t>
      </w:r>
    </w:p>
    <w:p>
      <w:pPr>
        <w:spacing w:before="480"/>
        <w:jc w:val="center"/>
        <w:rPr/>
      </w:pPr>
      <w:r>
        <w:rPr>
          <w:rFonts w:ascii="Yu Gothic UI" w:hAnsi="Yu Gothic UI" w:eastAsia="Yu Gothic UI" w:cs="Yu Gothic UI"/>
          <w:color w:val="57534E"/>
          <w:sz w:val="22"/>
        </w:rPr>
        <w:t xml:space="preserve">2026年3月15日</w:t>
      </w:r>
    </w:p>
    <w:p>
      <w:pPr>
        <w:spacing/>
        <w:rPr/>
      </w:pPr>
      <w:r>
        <w:rPr/>
        <w:br w:type="page"/>
      </w:r>
    </w:p>
    <w:p>
      <w:pPr>
        <w:pBdr>
          <w:left w:val="single" w:color="B8942F" w:sz="32" w:space="8"/>
        </w:pBdr>
        <w:shd w:val="clear" w:color="auto" w:fill="F5F0E8"/>
        <w:spacing w:before="480" w:after="240"/>
        <w:rPr/>
      </w:pPr>
      <w:r>
        <w:rPr>
          <w:rFonts w:ascii="Yu Gothic UI" w:hAnsi="Yu Gothic UI" w:eastAsia="Yu Gothic UI" w:cs="Yu Gothic UI"/>
          <w:b/>
          <w:color w:val="8A6F23"/>
          <w:sz w:val="32"/>
        </w:rPr>
        <w:t xml:space="preserve">エグゼクティブサマリー</w:t>
      </w:r>
    </w:p>
    <w:p>
      <w:pPr>
        <w:spacing w:before="240" w:after="80"/>
        <w:rPr/>
      </w:pPr>
      <w:r>
        <w:rPr>
          <w:rFonts w:ascii="Yu Gothic UI" w:hAnsi="Yu Gothic UI" w:eastAsia="Yu Gothic UI" w:cs="Yu Gothic UI"/>
          <w:b/>
          <w:color w:val="8A6F23"/>
          <w:sz w:val="22"/>
        </w:rPr>
        <w:t xml:space="preserve">概要</w:t>
      </w:r>
    </w:p>
    <w:p>
      <w:pPr>
        <w:pBdr>
          <w:left w:val="single" w:color="B8942F" w:sz="24" w:space="10"/>
        </w:pBdr>
        <w:shd w:val="clear" w:color="auto" w:fill="F5F0E8"/>
        <w:spacing w:before="0" w:after="240" w:line="400" w:lineRule="auto"/>
        <w:rPr/>
      </w:pPr>
      <w:r>
        <w:rPr>
          <w:rFonts w:ascii="Yu Gothic UI" w:hAnsi="Yu Gothic UI" w:eastAsia="Yu Gothic UI" w:cs="Yu Gothic UI"/>
          <w:color w:val="1C1917"/>
          <w:sz w:val="22"/>
        </w:rPr>
        <w:t xml:space="preserve">Q1売上は1億280万円、達成率97.9%。東京本社は目標超過。</w:t>
      </w:r>
    </w:p>
    <w:p>
      <w:pPr>
        <w:spacing w:before="280" w:after="160"/>
        <w:rPr/>
      </w:pPr>
      <w:r>
        <w:rPr>
          <w:rFonts w:ascii="Yu Gothic UI" w:hAnsi="Yu Gothic UI" w:eastAsia="Yu Gothic UI" w:cs="Yu Gothic UI"/>
          <w:b/>
          <w:color w:val="8A6F23"/>
          <w:sz w:val="24"/>
        </w:rPr>
        <w:t xml:space="preserve">KPI</w:t>
      </w:r>
    </w:p>
    <w:tbl>
      <w:tblPr>
        <w:tblStyle w:val="TableGrid"/>
        <w:tblCellMar/>
        <w:tblLook w:val="04A0" w:firstRow="1" w:lastRow="0" w:firstColumn="1" w:lastColumn="0" w:noHBand="0" w:noVBand="1"/>
      </w:tblPr>
      <w:tblGrid>
        <w:gridCol w:w="3009"/>
        <w:gridCol w:w="3008"/>
        <w:gridCol w:w="3009"/>
      </w:tblGrid>
      <w:tr>
        <w:trPr>
          <w:trHeight w:val="520" w:hRule="atLeast"/>
        </w:trPr>
        <w:tc>
          <w:tcPr>
            <w:tcW w:type="dxa" w:w="3009"/>
            <w:tcBorders>
              <w:top w:val="single" w:color="8A6F23" w:sz="4" w:space="0"/>
              <w:left w:val="single" w:color="8A6F23" w:sz="4" w:space="0"/>
              <w:bottom w:val="single" w:color="8A6F23" w:sz="4" w:space="0"/>
              <w:right w:val="single" w:color="8A6F23" w:sz="4" w:space="0"/>
            </w:tcBorders>
            <w:shd w:fill="B8942F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18"/>
              </w:rPr>
              <w:t xml:space="preserve">売上合計</w:t>
            </w:r>
          </w:p>
        </w:tc>
        <w:tc>
          <w:tcPr>
            <w:tcW w:type="dxa" w:w="3009"/>
            <w:tcBorders>
              <w:top w:val="single" w:color="8A6F23" w:sz="4" w:space="0"/>
              <w:left w:val="single" w:color="8A6F23" w:sz="4" w:space="0"/>
              <w:bottom w:val="single" w:color="8A6F23" w:sz="4" w:space="0"/>
              <w:right w:val="single" w:color="8A6F23" w:sz="4" w:space="0"/>
            </w:tcBorders>
            <w:shd w:fill="B8942F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18"/>
              </w:rPr>
              <w:t xml:space="preserve">新規顧客</w:t>
            </w:r>
          </w:p>
        </w:tc>
        <w:tc>
          <w:tcPr>
            <w:tcW w:type="dxa" w:w="3009"/>
            <w:tcBorders>
              <w:top w:val="single" w:color="8A6F23" w:sz="4" w:space="0"/>
              <w:left w:val="single" w:color="8A6F23" w:sz="4" w:space="0"/>
              <w:bottom w:val="single" w:color="8A6F23" w:sz="4" w:space="0"/>
              <w:right w:val="single" w:color="8A6F23" w:sz="4" w:space="0"/>
            </w:tcBorders>
            <w:shd w:fill="B8942F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18"/>
              </w:rPr>
              <w:t xml:space="preserve">達成率</w:t>
            </w:r>
          </w:p>
        </w:tc>
      </w:tr>
      <w:tr>
        <w:trPr>
          <w:trHeight w:val="1040" w:hRule="atLeast"/>
        </w:trPr>
        <w:tc>
          <w:tcPr>
            <w:tcW w:type="dxa" w:w="3009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 w:before="12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B8942F"/>
                <w:sz w:val="40"/>
              </w:rPr>
              <w:t xml:space="preserve">1億280万</w:t>
            </w:r>
          </w:p>
          <w:p>
            <w:pPr>
              <w:spacing w:after="8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16A34A"/>
                <w:sz w:val="18"/>
              </w:rPr>
              <w:t xml:space="preserve">▲ +14.2%</w:t>
            </w:r>
          </w:p>
        </w:tc>
        <w:tc>
          <w:tcPr>
            <w:tcW w:type="dxa" w:w="3009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 w:before="12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B8942F"/>
                <w:sz w:val="40"/>
              </w:rPr>
              <w:t xml:space="preserve">23社</w:t>
            </w:r>
          </w:p>
          <w:p>
            <w:pPr>
              <w:spacing w:after="8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16A34A"/>
                <w:sz w:val="18"/>
              </w:rPr>
              <w:t xml:space="preserve">▲ +8社</w:t>
            </w:r>
          </w:p>
        </w:tc>
        <w:tc>
          <w:tcPr>
            <w:tcW w:type="dxa" w:w="3009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 w:before="12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B8942F"/>
                <w:sz w:val="40"/>
              </w:rPr>
              <w:t xml:space="preserve">97.9%</w:t>
            </w:r>
          </w:p>
          <w:p>
            <w:pPr>
              <w:spacing w:after="8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DC2626"/>
                <w:sz w:val="18"/>
              </w:rPr>
              <w:t xml:space="preserve">▼ -2.1%</w:t>
            </w:r>
          </w:p>
        </w:tc>
      </w:tr>
    </w:tbl>
    <w:p>
      <w:pPr>
        <w:spacing w:after="280"/>
        <w:rPr/>
      </w:pPr>
    </w:p>
    <w:p>
      <w:pPr>
        <w:spacing w:before="280" w:after="120"/>
        <w:rPr/>
      </w:pPr>
      <w:r>
        <w:rPr>
          <w:rFonts w:ascii="Yu Gothic UI" w:hAnsi="Yu Gothic UI" w:eastAsia="Yu Gothic UI" w:cs="Yu Gothic UI"/>
          <w:b/>
          <w:color w:val="8A6F23"/>
          <w:sz w:val="22"/>
        </w:rPr>
        <w:t xml:space="preserve">月別売上</w:t>
      </w:r>
    </w:p>
    <w:tbl>
      <w:tblPr>
        <w:tblStyle w:val="TableGrid"/>
        <w:tblCellMar/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6"/>
      </w:tblGrid>
      <w:tr>
        <w:trPr>
          <w:trHeight w:val="560" w:hRule="atLeast"/>
        </w:trPr>
        <w:tc>
          <w:tcPr>
            <w:tcW w:type="dxa" w:w="2256"/>
            <w:tcBorders>
              <w:top w:val="single" w:color="8A6F23" w:sz="4" w:space="0"/>
              <w:left w:val="single" w:color="8A6F23" w:sz="4" w:space="0"/>
              <w:bottom w:val="single" w:color="8A6F23" w:sz="4" w:space="0"/>
              <w:right w:val="single" w:color="8A6F23" w:sz="4" w:space="0"/>
            </w:tcBorders>
            <w:shd w:fill="B8942F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月</w:t>
            </w:r>
          </w:p>
        </w:tc>
        <w:tc>
          <w:tcPr>
            <w:tcW w:type="dxa" w:w="2256"/>
            <w:tcBorders>
              <w:top w:val="single" w:color="8A6F23" w:sz="4" w:space="0"/>
              <w:left w:val="single" w:color="8A6F23" w:sz="4" w:space="0"/>
              <w:bottom w:val="single" w:color="8A6F23" w:sz="4" w:space="0"/>
              <w:right w:val="single" w:color="8A6F23" w:sz="4" w:space="0"/>
            </w:tcBorders>
            <w:shd w:fill="B8942F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東京</w:t>
            </w:r>
          </w:p>
        </w:tc>
        <w:tc>
          <w:tcPr>
            <w:tcW w:type="dxa" w:w="2256"/>
            <w:tcBorders>
              <w:top w:val="single" w:color="8A6F23" w:sz="4" w:space="0"/>
              <w:left w:val="single" w:color="8A6F23" w:sz="4" w:space="0"/>
              <w:bottom w:val="single" w:color="8A6F23" w:sz="4" w:space="0"/>
              <w:right w:val="single" w:color="8A6F23" w:sz="4" w:space="0"/>
            </w:tcBorders>
            <w:shd w:fill="B8942F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大阪</w:t>
            </w:r>
          </w:p>
        </w:tc>
        <w:tc>
          <w:tcPr>
            <w:tcW w:type="dxa" w:w="2256"/>
            <w:tcBorders>
              <w:top w:val="single" w:color="8A6F23" w:sz="4" w:space="0"/>
              <w:left w:val="single" w:color="8A6F23" w:sz="4" w:space="0"/>
              <w:bottom w:val="single" w:color="8A6F23" w:sz="4" w:space="0"/>
              <w:right w:val="single" w:color="8A6F23" w:sz="4" w:space="0"/>
            </w:tcBorders>
            <w:shd w:fill="B8942F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合計</w:t>
            </w:r>
          </w:p>
        </w:tc>
      </w:tr>
      <w:tr>
        <w:trPr>
          <w:trHeight w:val="440" w:hRule="atLeast"/>
        </w:trPr>
        <w:tc>
          <w:tcPr>
            <w:tcW w:type="dxa" w:w="2256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1月</w:t>
            </w:r>
          </w:p>
        </w:tc>
        <w:tc>
          <w:tcPr>
            <w:tcW w:type="dxa" w:w="2256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2,100万</w:t>
            </w:r>
          </w:p>
        </w:tc>
        <w:tc>
          <w:tcPr>
            <w:tcW w:type="dxa" w:w="2256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1,100万</w:t>
            </w:r>
          </w:p>
        </w:tc>
        <w:tc>
          <w:tcPr>
            <w:tcW w:type="dxa" w:w="2256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3,200万</w:t>
            </w:r>
          </w:p>
        </w:tc>
      </w:tr>
      <w:tr>
        <w:trPr>
          <w:trHeight w:val="440" w:hRule="atLeast"/>
        </w:trPr>
        <w:tc>
          <w:tcPr>
            <w:tcW w:type="dxa" w:w="2256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shd w:fill="FAF8F5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2月</w:t>
            </w:r>
          </w:p>
        </w:tc>
        <w:tc>
          <w:tcPr>
            <w:tcW w:type="dxa" w:w="2256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shd w:fill="FAF8F5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2,230万</w:t>
            </w:r>
          </w:p>
        </w:tc>
        <w:tc>
          <w:tcPr>
            <w:tcW w:type="dxa" w:w="2256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shd w:fill="FAF8F5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1,170万</w:t>
            </w:r>
          </w:p>
        </w:tc>
        <w:tc>
          <w:tcPr>
            <w:tcW w:type="dxa" w:w="2256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shd w:fill="FAF8F5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3,400万</w:t>
            </w:r>
          </w:p>
        </w:tc>
      </w:tr>
      <w:tr>
        <w:trPr>
          <w:trHeight w:val="440" w:hRule="atLeast"/>
        </w:trPr>
        <w:tc>
          <w:tcPr>
            <w:tcW w:type="dxa" w:w="2256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3月</w:t>
            </w:r>
          </w:p>
        </w:tc>
        <w:tc>
          <w:tcPr>
            <w:tcW w:type="dxa" w:w="2256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2,460万</w:t>
            </w:r>
          </w:p>
        </w:tc>
        <w:tc>
          <w:tcPr>
            <w:tcW w:type="dxa" w:w="2256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1,230万</w:t>
            </w:r>
          </w:p>
        </w:tc>
        <w:tc>
          <w:tcPr>
            <w:tcW w:type="dxa" w:w="2256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3,690万</w:t>
            </w:r>
          </w:p>
        </w:tc>
      </w:tr>
    </w:tbl>
    <w:p>
      <w:pPr>
        <w:spacing w:after="280"/>
        <w:rPr/>
      </w:pPr>
    </w:p>
    <w:p>
      <w:pPr>
        <w:spacing w:before="240" w:after="80"/>
        <w:rPr/>
      </w:pPr>
      <w:r>
        <w:rPr>
          <w:rFonts w:ascii="Yu Gothic UI" w:hAnsi="Yu Gothic UI" w:eastAsia="Yu Gothic UI" w:cs="Yu Gothic UI"/>
          <w:b/>
          <w:color w:val="8A6F23"/>
          <w:sz w:val="22"/>
        </w:rPr>
        <w:t xml:space="preserve">課題</w:t>
      </w:r>
    </w:p>
    <w:p>
      <w:pPr>
        <w:spacing w:after="80" w:line="360" w:lineRule="atLeast"/>
        <w:ind w:left="360" w:hanging="240"/>
        <w:rPr/>
      </w:pPr>
      <w:r>
        <w:rPr>
          <w:rFonts w:ascii="Yu Gothic UI" w:hAnsi="Yu Gothic UI" w:eastAsia="Yu Gothic UI" w:cs="Yu Gothic UI"/>
          <w:color w:val="B8942F"/>
          <w:sz w:val="14"/>
        </w:rPr>
        <w:t xml:space="preserve">■ </w:t>
      </w:r>
      <w:r>
        <w:rPr>
          <w:rFonts w:ascii="Yu Gothic UI" w:hAnsi="Yu Gothic UI" w:eastAsia="Yu Gothic UI" w:cs="Yu Gothic UI"/>
          <w:color w:val="1C1917"/>
          <w:sz w:val="21"/>
        </w:rPr>
        <w:t xml:space="preserve">大阪新規開拓60%</w:t>
      </w:r>
    </w:p>
    <w:p>
      <w:pPr>
        <w:spacing w:after="80" w:line="360" w:lineRule="atLeast"/>
        <w:ind w:left="360" w:hanging="240"/>
        <w:rPr/>
      </w:pPr>
      <w:r>
        <w:rPr>
          <w:rFonts w:ascii="Yu Gothic UI" w:hAnsi="Yu Gothic UI" w:eastAsia="Yu Gothic UI" w:cs="Yu Gothic UI"/>
          <w:color w:val="B8942F"/>
          <w:sz w:val="14"/>
        </w:rPr>
        <w:t xml:space="preserve">■ </w:t>
      </w:r>
      <w:r>
        <w:rPr>
          <w:rFonts w:ascii="Yu Gothic UI" w:hAnsi="Yu Gothic UI" w:eastAsia="Yu Gothic UI" w:cs="Yu Gothic UI"/>
          <w:color w:val="1C1917"/>
          <w:sz w:val="21"/>
        </w:rPr>
        <w:t xml:space="preserve">A社検収4月ずれ</w:t>
      </w:r>
    </w:p>
    <w:p>
      <w:pPr>
        <w:spacing w:after="80" w:line="360" w:lineRule="atLeast"/>
        <w:ind w:left="360" w:hanging="240"/>
        <w:rPr/>
      </w:pPr>
      <w:r>
        <w:rPr>
          <w:rFonts w:ascii="Yu Gothic UI" w:hAnsi="Yu Gothic UI" w:eastAsia="Yu Gothic UI" w:cs="Yu Gothic UI"/>
          <w:color w:val="B8942F"/>
          <w:sz w:val="14"/>
        </w:rPr>
        <w:t xml:space="preserve">■ </w:t>
      </w:r>
      <w:r>
        <w:rPr>
          <w:rFonts w:ascii="Yu Gothic UI" w:hAnsi="Yu Gothic UI" w:eastAsia="Yu Gothic UI" w:cs="Yu Gothic UI"/>
          <w:color w:val="1C1917"/>
          <w:sz w:val="21"/>
        </w:rPr>
        <w:t xml:space="preserve">コンサル単価5%下落</w:t>
      </w:r>
    </w:p>
    <w:p>
      <w:pPr>
        <w:spacing w:after="120"/>
        <w:rPr/>
      </w:pPr>
    </w:p>
    <w:tbl>
      <w:tblPr>
        <w:tblStyle w:val="TableGrid"/>
        <w:tblLayout w:type="fixed"/>
        <w:tblCellMar/>
        <w:tblLook w:val="04A0" w:firstRow="1" w:lastRow="0" w:firstColumn="1" w:lastColumn="0" w:noHBand="0" w:noVBand="1"/>
      </w:tblPr>
      <w:tblGrid>
        <w:gridCol w:w="8600"/>
      </w:tblGrid>
      <w:tr>
        <w:trPr/>
        <w:tc>
          <w:tcPr>
            <w:tcW w:type="dxa" w:w="8600"/>
            <w:tcBorders>
              <w:top w:val="single" w:color="D4B94A" w:sz="12" w:space="0"/>
              <w:left w:val="single" w:color="D4B94A" w:sz="12" w:space="0"/>
              <w:bottom w:val="single" w:color="D4B94A" w:sz="12" w:space="0"/>
              <w:right w:val="single" w:color="D4B94A" w:sz="12" w:space="0"/>
            </w:tcBorders>
            <w:shd w:fill="F5F0E8" w:color="auto" w:val="clear"/>
          </w:tcPr>
          <w:p>
            <w:pPr>
              <w:spacing w:after="120"/>
              <w:rPr/>
            </w:pPr>
            <w:r>
              <w:rPr>
                <w:sz w:val="28"/>
              </w:rPr>
              <w:t xml:space="preserve">💡 </w:t>
            </w:r>
            <w:r>
              <w:rPr>
                <w:rFonts w:ascii="Yu Gothic UI" w:hAnsi="Yu Gothic UI" w:eastAsia="Yu Gothic UI" w:cs="Yu Gothic UI"/>
                <w:b/>
                <w:color w:val="8A6F23"/>
                <w:sz w:val="24"/>
              </w:rPr>
              <w:t xml:space="preserve">Q2提案</w:t>
            </w:r>
          </w:p>
          <w:p>
            <w:pPr>
              <w:spacing w:line="400" w:lineRule="auto"/>
              <w:rPr/>
            </w:pPr>
            <w:r>
              <w:rPr>
                <w:rFonts w:ascii="Yu Gothic UI" w:hAnsi="Yu Gothic UI" w:eastAsia="Yu Gothic UI" w:cs="Yu Gothic UI"/>
                <w:color w:val="1C1917"/>
                <w:sz w:val="22"/>
              </w:rPr>
              <w:t xml:space="preserve">DX EXPOでリード50社獲得。パートナー紹介月2件以上。</w:t>
            </w:r>
          </w:p>
        </w:tc>
      </w:tr>
    </w:tbl>
    <w:p>
      <w:pPr>
        <w:spacing w:after="240"/>
        <w:rPr/>
      </w:pP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"https://www.syncfusion.com/account/claim-license-key?pl=d29yZA==&amp;vs=MzIuMi45"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1440" w:right="1440" w:bottom="1120" w:left="1440" w:gutter="0"/>
      <w:pgBorders/>
      <w:pgNumType w:fmt="decimal"/>
      <w:cols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Yu Gothic UI">
    <w:charset w:val="0"/>
    <w:family w:val="auto"/>
    <w:pitch w:val="default"/>
    <w:sig w:usb0="00000000" w:usb1="00000000" w:usb2="00000000" w:usb3="00000000" w:csb0="00000000" w:csb1="00000000"/>
  </w:font>
  <w:font w:name="Calibri">
    <w:charset w:val="0"/>
    <w:family w:val="auto"/>
    <w:pitch w:val="default"/>
    <w:sig w:usb0="00000000" w:usb1="00000000" w:usb2="00000000" w:usb3="00000000" w:csb0="00000000" w:csb1="00000000"/>
  </w:font>
  <w:font w:name="Calibri">
    <w:charset w:val="0"/>
    <w:family w:val="auto"/>
    <w:pitch w:val="default"/>
    <w:sig w:usb0="00000000" w:usb1="00000000" w:usb2="00000000" w:usb3="00000000" w:csb0="00000000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>
        <w:top w:val="single" w:color="E7E2DA" w:sz="4" w:space="6"/>
      </w:pBdr>
      <w:spacing/>
      <w:jc w:val="right"/>
      <w:rPr/>
    </w:pPr>
    <w:r>
      <w:rPr>
        <w:rFonts w:ascii="Yu Gothic UI" w:hAnsi="Yu Gothic UI" w:eastAsia="Yu Gothic UI" w:cs="Yu Gothic UI"/>
        <w:color w:val="57534E"/>
        <w:sz w:val="16"/>
      </w:rPr>
      <w:t xml:space="preserve">Insight Agent  —  </w:t>
    </w:r>
    <w:r>
      <w:rPr/>
      <w:fldChar w:fldCharType="begin"/>
    </w:r>
    <w:r>
      <w:rPr/>
      <w:instrText xml:space="preserve">PAGE Page</w:instrText>
    </w:r>
    <w:r>
      <w:rPr/>
      <w:fldChar w:fldCharType="separate"/>
    </w:r>
    <w:r>
      <w:rPr/>
      <w:t xml:space="preserve">Page</w:t>
    </w:r>
    <w:r>
      <w:rPr/>
      <w:fldChar w:fldCharType="end"/>
    </w:r>
    <w:r>
      <w:rPr>
        <w:color w:val="57534E"/>
        <w:sz w:val="16"/>
      </w:rPr>
      <w:t xml:space="preserve"> / </w:t>
    </w:r>
    <w:r>
      <w:rPr/>
      <w:fldChar w:fldCharType="begin"/>
    </w:r>
    <w:r>
      <w:rPr/>
      <w:instrText xml:space="preserve">NUMPAGES NumPages</w:instrText>
    </w:r>
    <w:r>
      <w:rPr/>
      <w:fldChar w:fldCharType="separate"/>
    </w:r>
    <w:r>
      <w:rPr/>
      <w:t xml:space="preserve">NumPages</w:t>
    </w:r>
    <w:r>
      <w:rPr/>
      <w:fldChar w:fldCharType="end"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85.3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8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2026-03-15T00:18:10Z</dcterms:created>
  <dcterms:modified xsi:type="dcterms:W3CDTF">2026-03-15T00:18:10Z</dcterms:modified>
</cp:coreProperties>
</file>