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88A8A"/>
          <w:sz w:val="22"/>
        </w:rPr>
        <w:t>OPENRESIDENCY</w:t>
      </w:r>
    </w:p>
    <w:p>
      <w:pPr>
        <w:pStyle w:val="Title"/>
        <w:jc w:val="center"/>
      </w:pPr>
      <w:r>
        <w:t>Core Product and Governance Specification</w:t>
      </w:r>
    </w:p>
    <w:p>
      <w:pPr>
        <w:pStyle w:val="Subtitle"/>
        <w:jc w:val="center"/>
      </w:pPr>
      <w:r>
        <w:t>Purpose-scoped subnational residency, deterministic policy evaluation, federated access and privacy-preserving credentials</w:t>
      </w:r>
    </w:p>
    <w:tbl>
      <w:tblPr>
        <w:tblW w:type="auto" w:w="0"/>
        <w:jc w:val="center"/>
        <w:tblLayout w:type="fixed"/>
        <w:tblLook w:firstColumn="1" w:firstRow="1" w:lastColumn="0" w:lastRow="0" w:noHBand="0" w:noVBand="1" w:val="04A0"/>
      </w:tblPr>
      <w:tblGrid>
        <w:gridCol w:w="2304"/>
        <w:gridCol w:w="7488"/>
      </w:tblGrid>
      <w:tr>
        <w:tc>
          <w:tcPr>
            <w:tcW w:type="dxa" w:w="5083"/>
            <w:vAlign w:val="center"/>
            <w:tcMar>
              <w:top w:w="90" w:type="dxa"/>
              <w:start w:w="110" w:type="dxa"/>
              <w:bottom w:w="90" w:type="dxa"/>
              <w:end w:w="110" w:type="dxa"/>
            </w:tcMar>
            <w:shd w:fill="17324D"/>
          </w:tcPr>
          <w:p>
            <w:pPr>
              <w:spacing w:after="0" w:before="0"/>
            </w:pPr>
            <w:r/>
            <w:r>
              <w:rPr>
                <w:rFonts w:ascii="Aptos" w:hAnsi="Aptos"/>
                <w:b/>
                <w:color w:val="FFFFFF"/>
                <w:sz w:val="18"/>
              </w:rPr>
              <w:t>Document purpose</w:t>
            </w:r>
          </w:p>
        </w:tc>
        <w:tc>
          <w:tcPr>
            <w:tcW w:type="dxa" w:w="5083"/>
            <w:vAlign w:val="center"/>
            <w:tcMar>
              <w:top w:w="90" w:type="dxa"/>
              <w:start w:w="110" w:type="dxa"/>
              <w:bottom w:w="90" w:type="dxa"/>
              <w:end w:w="110" w:type="dxa"/>
            </w:tcMar>
            <w:shd w:fill="F3F7FA"/>
          </w:tcPr>
          <w:p>
            <w:pPr>
              <w:spacing w:after="0" w:before="0"/>
            </w:pPr>
            <w:r/>
            <w:r>
              <w:rPr>
                <w:rFonts w:ascii="Aptos" w:hAnsi="Aptos"/>
                <w:b w:val="0"/>
                <w:color w:val="18222B"/>
                <w:sz w:val="18"/>
              </w:rPr>
              <w:t>Public product, policy and architecture specification</w:t>
            </w:r>
          </w:p>
        </w:tc>
      </w:tr>
      <w:tr>
        <w:tc>
          <w:tcPr>
            <w:tcW w:type="dxa" w:w="5083"/>
            <w:vAlign w:val="center"/>
            <w:tcMar>
              <w:top w:w="90" w:type="dxa"/>
              <w:start w:w="110" w:type="dxa"/>
              <w:bottom w:w="90" w:type="dxa"/>
              <w:end w:w="110" w:type="dxa"/>
            </w:tcMar>
            <w:shd w:fill="17324D"/>
          </w:tcPr>
          <w:p>
            <w:pPr>
              <w:spacing w:after="0" w:before="0"/>
            </w:pPr>
            <w:r/>
            <w:r>
              <w:rPr>
                <w:rFonts w:ascii="Aptos" w:hAnsi="Aptos"/>
                <w:b/>
                <w:color w:val="FFFFFF"/>
                <w:sz w:val="18"/>
              </w:rPr>
              <w:t>Reference implementation</w:t>
            </w:r>
          </w:p>
        </w:tc>
        <w:tc>
          <w:tcPr>
            <w:tcW w:type="dxa" w:w="5083"/>
            <w:vAlign w:val="center"/>
            <w:tcMar>
              <w:top w:w="90" w:type="dxa"/>
              <w:start w:w="110" w:type="dxa"/>
              <w:bottom w:w="90" w:type="dxa"/>
              <w:end w:w="110" w:type="dxa"/>
            </w:tcMar>
            <w:shd w:fill="F3F7FA"/>
          </w:tcPr>
          <w:p>
            <w:pPr>
              <w:spacing w:after="0" w:before="0"/>
            </w:pPr>
            <w:r/>
            <w:r>
              <w:rPr>
                <w:rFonts w:ascii="Aptos" w:hAnsi="Aptos"/>
                <w:b w:val="0"/>
                <w:color w:val="18222B"/>
                <w:sz w:val="18"/>
              </w:rPr>
              <w:t>Nigeria first; global core remains jurisdiction-neutral</w:t>
            </w:r>
          </w:p>
        </w:tc>
      </w:tr>
      <w:tr>
        <w:tc>
          <w:tcPr>
            <w:tcW w:type="dxa" w:w="5083"/>
            <w:vAlign w:val="center"/>
            <w:tcMar>
              <w:top w:w="90" w:type="dxa"/>
              <w:start w:w="110" w:type="dxa"/>
              <w:bottom w:w="90" w:type="dxa"/>
              <w:end w:w="110" w:type="dxa"/>
            </w:tcMar>
            <w:shd w:fill="17324D"/>
          </w:tcPr>
          <w:p>
            <w:pPr>
              <w:spacing w:after="0" w:before="0"/>
            </w:pPr>
            <w:r/>
            <w:r>
              <w:rPr>
                <w:rFonts w:ascii="Aptos" w:hAnsi="Aptos"/>
                <w:b/>
                <w:color w:val="FFFFFF"/>
                <w:sz w:val="18"/>
              </w:rPr>
              <w:t>Implementation posture</w:t>
            </w:r>
          </w:p>
        </w:tc>
        <w:tc>
          <w:tcPr>
            <w:tcW w:type="dxa" w:w="5083"/>
            <w:vAlign w:val="center"/>
            <w:tcMar>
              <w:top w:w="90" w:type="dxa"/>
              <w:start w:w="110" w:type="dxa"/>
              <w:bottom w:w="90" w:type="dxa"/>
              <w:end w:w="110" w:type="dxa"/>
            </w:tcMar>
            <w:shd w:fill="F3F7FA"/>
          </w:tcPr>
          <w:p>
            <w:pPr>
              <w:spacing w:after="0" w:before="0"/>
            </w:pPr>
            <w:r/>
            <w:r>
              <w:rPr>
                <w:rFonts w:ascii="Aptos" w:hAnsi="Aptos"/>
                <w:b w:val="0"/>
                <w:color w:val="18222B"/>
                <w:sz w:val="18"/>
              </w:rPr>
              <w:t>Extend existing capabilities; do not replace working evaluators or sector platforms</w:t>
            </w:r>
          </w:p>
        </w:tc>
      </w:tr>
    </w:tbl>
    <w:p>
      <w:r>
        <w:rPr>
          <w:i/>
        </w:rPr>
        <w:t>Status: Consolidated v5 baseline incorporating evaluator-contract alignment, trace governance, DPIA registry, privacy controls, signing-key lifecycle and release-one KSAuth integration profile.</w:t>
      </w:r>
    </w:p>
    <w:p>
      <w:r>
        <w:br w:type="page"/>
      </w:r>
    </w:p>
    <w:p>
      <w:pPr>
        <w:pStyle w:val="Heading1"/>
      </w:pPr>
      <w:r>
        <w:t>Executive Summary</w:t>
      </w:r>
    </w:p>
    <w:p>
      <w:r>
        <w:t>OpenResidency is a global, open-source Digital Public Infrastructure component for subnational governments. It converts verified identity and evidence into purpose-scoped jurisdictional relationships and reproducible decisions. Nigeria is the first reference implementation, but no Nigerian identifier, administrative hierarchy, residency threshold or sector rule is embedded in the global core.</w:t>
      </w:r>
    </w:p>
    <w:tbl>
      <w:tblPr>
        <w:tblW w:type="auto" w:w="0"/>
        <w:jc w:val="center"/>
        <w:tblLook w:firstColumn="1" w:firstRow="1" w:lastColumn="0" w:lastRow="0" w:noHBand="0" w:noVBand="1" w:val="04A0"/>
      </w:tblPr>
      <w:tblGrid>
        <w:gridCol w:w="10166"/>
      </w:tblGrid>
      <w:tr>
        <w:tc>
          <w:tcPr>
            <w:tcW w:type="dxa" w:w="10166"/>
            <w:shd w:fill="EAF2F7"/>
            <w:tcMar>
              <w:top w:w="130" w:type="dxa"/>
              <w:start w:w="160" w:type="dxa"/>
              <w:bottom w:w="130" w:type="dxa"/>
              <w:end w:w="160" w:type="dxa"/>
            </w:tcMar>
          </w:tcPr>
          <w:p>
            <w:r>
              <w:rPr>
                <w:b/>
                <w:color w:val="188A8A"/>
                <w:sz w:val="21"/>
              </w:rPr>
              <w:t>Product correction</w:t>
              <w:br/>
            </w:r>
            <w:r>
              <w:rPr>
                <w:color w:val="18222B"/>
                <w:sz w:val="20"/>
              </w:rPr>
              <w:t>A person does not have one universal “primary jurisdiction.” The same person may have a household relationship in Katsina, employment and PAYE connection in Kano, and education connection in Lagos. Each relationship can be simultaneously valid because its purpose, policy, evidence and lifecycle differ.</w:t>
            </w:r>
          </w:p>
        </w:tc>
      </w:tr>
    </w:tbl>
    <w:p>
      <w:pPr>
        <w:spacing w:after="20"/>
      </w:pPr>
    </w:p>
    <w:p>
      <w:pPr>
        <w:pStyle w:val="ListBullet"/>
        <w:spacing w:after="60"/>
      </w:pPr>
      <w:r>
        <w:t>OpenResidency integrates existing education, health, tax, agriculture, land, pension and social-protection systems; it does not absorb their records.</w:t>
      </w:r>
    </w:p>
    <w:p>
      <w:pPr>
        <w:pStyle w:val="ListBullet"/>
        <w:spacing w:after="60"/>
      </w:pPr>
      <w:r>
        <w:t>The deterministic policy evaluator and its full DecisionTrace are the product core—not an ancillary log.</w:t>
      </w:r>
    </w:p>
    <w:p>
      <w:pPr>
        <w:pStyle w:val="ListBullet"/>
        <w:spacing w:after="60"/>
      </w:pPr>
      <w:r>
        <w:t>Federated SSO is optional and replaceable; sector systems may retain their own IdPs and identifiers.</w:t>
      </w:r>
    </w:p>
    <w:p>
      <w:pPr>
        <w:pStyle w:val="ListBullet"/>
        <w:spacing w:after="60"/>
      </w:pPr>
      <w:r>
        <w:t>Life-event and exchange capabilities are roadmap modules for the first DPG release unless already present and stable.</w:t>
      </w:r>
    </w:p>
    <w:p>
      <w:pPr>
        <w:pStyle w:val="ListBullet"/>
        <w:spacing w:after="60"/>
      </w:pPr>
      <w:r>
        <w:t>Credentials support online and offline verification with explicit format, status and revocation rules.</w:t>
      </w:r>
    </w:p>
    <w:p>
      <w:pPr>
        <w:pStyle w:val="Heading1"/>
      </w:pPr>
      <w:r>
        <w:t>1. Product Boundary and DPG Release Scope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4752"/>
            <w:vAlign w:val="center"/>
            <w:tcMar>
              <w:top w:w="90" w:type="dxa"/>
              <w:start w:w="110" w:type="dxa"/>
              <w:bottom w:w="90" w:type="dxa"/>
              <w:end w:w="110" w:type="dxa"/>
            </w:tcMar>
            <w:shd w:fill="17324D"/>
          </w:tcPr>
          <w:p>
            <w:pPr>
              <w:spacing w:after="0" w:before="0"/>
            </w:pPr>
            <w:r/>
            <w:r>
              <w:rPr>
                <w:rFonts w:ascii="Aptos" w:hAnsi="Aptos"/>
                <w:b/>
                <w:color w:val="FFFFFF"/>
                <w:sz w:val="18"/>
              </w:rPr>
              <w:t>In the first DPG release</w:t>
            </w:r>
          </w:p>
        </w:tc>
        <w:tc>
          <w:tcPr>
            <w:tcW w:type="dxa" w:w="4752"/>
            <w:vAlign w:val="center"/>
            <w:tcMar>
              <w:top w:w="90" w:type="dxa"/>
              <w:start w:w="110" w:type="dxa"/>
              <w:bottom w:w="90" w:type="dxa"/>
              <w:end w:w="110" w:type="dxa"/>
            </w:tcMar>
            <w:shd w:fill="17324D"/>
          </w:tcPr>
          <w:p>
            <w:pPr>
              <w:spacing w:after="0" w:before="0"/>
            </w:pPr>
            <w:r/>
            <w:r>
              <w:rPr>
                <w:rFonts w:ascii="Aptos" w:hAnsi="Aptos"/>
                <w:b/>
                <w:color w:val="FFFFFF"/>
                <w:sz w:val="18"/>
              </w:rPr>
              <w:t>Roadmap / optional integration</w:t>
            </w:r>
          </w:p>
        </w:tc>
      </w:tr>
      <w:tr>
        <w:tc>
          <w:tcPr>
            <w:tcW w:type="dxa" w:w="4752"/>
            <w:vAlign w:val="center"/>
            <w:tcMar>
              <w:top w:w="90" w:type="dxa"/>
              <w:start w:w="110" w:type="dxa"/>
              <w:bottom w:w="90" w:type="dxa"/>
              <w:end w:w="110" w:type="dxa"/>
            </w:tcMar>
            <w:shd w:fill="FFFFFF"/>
          </w:tcPr>
          <w:p>
            <w:pPr>
              <w:spacing w:after="0" w:before="0"/>
            </w:pPr>
            <w:r/>
            <w:r>
              <w:rPr>
                <w:rFonts w:ascii="Aptos" w:hAnsi="Aptos"/>
                <w:b w:val="0"/>
                <w:color w:val="18222B"/>
                <w:sz w:val="18"/>
              </w:rPr>
              <w:t>Residency core: person, jurisdiction, purpose-scoped relationships, evidence references, decisions and appeals</w:t>
            </w:r>
          </w:p>
        </w:tc>
        <w:tc>
          <w:tcPr>
            <w:tcW w:type="dxa" w:w="4752"/>
            <w:vAlign w:val="center"/>
            <w:tcMar>
              <w:top w:w="90" w:type="dxa"/>
              <w:start w:w="110" w:type="dxa"/>
              <w:bottom w:w="90" w:type="dxa"/>
              <w:end w:w="110" w:type="dxa"/>
            </w:tcMar>
            <w:shd w:fill="FFFFFF"/>
          </w:tcPr>
          <w:p>
            <w:pPr>
              <w:spacing w:after="0" w:before="0"/>
            </w:pPr>
            <w:r/>
            <w:r>
              <w:rPr>
                <w:rFonts w:ascii="Aptos" w:hAnsi="Aptos"/>
                <w:b w:val="0"/>
                <w:color w:val="18222B"/>
                <w:sz w:val="18"/>
              </w:rPr>
              <w:t>Full cross-government exchange gateway and large connector catalogue</w:t>
            </w:r>
          </w:p>
        </w:tc>
      </w:tr>
      <w:tr>
        <w:tc>
          <w:tcPr>
            <w:tcW w:type="dxa" w:w="4752"/>
            <w:vAlign w:val="center"/>
            <w:tcMar>
              <w:top w:w="90" w:type="dxa"/>
              <w:start w:w="110" w:type="dxa"/>
              <w:bottom w:w="90" w:type="dxa"/>
              <w:end w:w="110" w:type="dxa"/>
            </w:tcMar>
            <w:shd w:fill="F3F7FA"/>
          </w:tcPr>
          <w:p>
            <w:pPr>
              <w:spacing w:after="0" w:before="0"/>
            </w:pPr>
            <w:r/>
            <w:r>
              <w:rPr>
                <w:rFonts w:ascii="Aptos" w:hAnsi="Aptos"/>
                <w:b w:val="0"/>
                <w:color w:val="18222B"/>
                <w:sz w:val="18"/>
              </w:rPr>
              <w:t>Existing deterministic policy evaluator, policy schemas and signed policy packs</w:t>
            </w:r>
          </w:p>
        </w:tc>
        <w:tc>
          <w:tcPr>
            <w:tcW w:type="dxa" w:w="4752"/>
            <w:vAlign w:val="center"/>
            <w:tcMar>
              <w:top w:w="90" w:type="dxa"/>
              <w:start w:w="110" w:type="dxa"/>
              <w:bottom w:w="90" w:type="dxa"/>
              <w:end w:w="110" w:type="dxa"/>
            </w:tcMar>
            <w:shd w:fill="F3F7FA"/>
          </w:tcPr>
          <w:p>
            <w:pPr>
              <w:spacing w:after="0" w:before="0"/>
            </w:pPr>
            <w:r/>
            <w:r>
              <w:rPr>
                <w:rFonts w:ascii="Aptos" w:hAnsi="Aptos"/>
                <w:b w:val="0"/>
                <w:color w:val="18222B"/>
                <w:sz w:val="18"/>
              </w:rPr>
              <w:t>General-purpose life-event workflow orchestration</w:t>
            </w:r>
          </w:p>
        </w:tc>
      </w:tr>
      <w:tr>
        <w:tc>
          <w:tcPr>
            <w:tcW w:type="dxa" w:w="4752"/>
            <w:vAlign w:val="center"/>
            <w:tcMar>
              <w:top w:w="90" w:type="dxa"/>
              <w:start w:w="110" w:type="dxa"/>
              <w:bottom w:w="90" w:type="dxa"/>
              <w:end w:w="110" w:type="dxa"/>
            </w:tcMar>
            <w:shd w:fill="FFFFFF"/>
          </w:tcPr>
          <w:p>
            <w:pPr>
              <w:spacing w:after="0" w:before="0"/>
            </w:pPr>
            <w:r/>
            <w:r>
              <w:rPr>
                <w:rFonts w:ascii="Aptos" w:hAnsi="Aptos"/>
                <w:b w:val="0"/>
                <w:color w:val="18222B"/>
                <w:sz w:val="18"/>
              </w:rPr>
              <w:t>Authentication integration profile and reference OIDC configuration</w:t>
            </w:r>
          </w:p>
        </w:tc>
        <w:tc>
          <w:tcPr>
            <w:tcW w:type="dxa" w:w="4752"/>
            <w:vAlign w:val="center"/>
            <w:tcMar>
              <w:top w:w="90" w:type="dxa"/>
              <w:start w:w="110" w:type="dxa"/>
              <w:bottom w:w="90" w:type="dxa"/>
              <w:end w:w="110" w:type="dxa"/>
            </w:tcMar>
            <w:shd w:fill="FFFFFF"/>
          </w:tcPr>
          <w:p>
            <w:pPr>
              <w:spacing w:after="0" w:before="0"/>
            </w:pPr>
            <w:r/>
            <w:r>
              <w:rPr>
                <w:rFonts w:ascii="Aptos" w:hAnsi="Aptos"/>
                <w:b w:val="0"/>
                <w:color w:val="18222B"/>
                <w:sz w:val="18"/>
              </w:rPr>
              <w:t>Replacement government identity provider</w:t>
            </w:r>
          </w:p>
        </w:tc>
      </w:tr>
      <w:tr>
        <w:tc>
          <w:tcPr>
            <w:tcW w:type="dxa" w:w="4752"/>
            <w:vAlign w:val="center"/>
            <w:tcMar>
              <w:top w:w="90" w:type="dxa"/>
              <w:start w:w="110" w:type="dxa"/>
              <w:bottom w:w="90" w:type="dxa"/>
              <w:end w:w="110" w:type="dxa"/>
            </w:tcMar>
            <w:shd w:fill="F3F7FA"/>
          </w:tcPr>
          <w:p>
            <w:pPr>
              <w:spacing w:after="0" w:before="0"/>
            </w:pPr>
            <w:r/>
            <w:r>
              <w:rPr>
                <w:rFonts w:ascii="Aptos" w:hAnsi="Aptos"/>
                <w:b w:val="0"/>
                <w:color w:val="18222B"/>
                <w:sz w:val="18"/>
              </w:rPr>
              <w:t>Credential issuance, offline/online verification and status lifecycle</w:t>
            </w:r>
          </w:p>
        </w:tc>
        <w:tc>
          <w:tcPr>
            <w:tcW w:type="dxa" w:w="4752"/>
            <w:vAlign w:val="center"/>
            <w:tcMar>
              <w:top w:w="90" w:type="dxa"/>
              <w:start w:w="110" w:type="dxa"/>
              <w:bottom w:w="90" w:type="dxa"/>
              <w:end w:w="110" w:type="dxa"/>
            </w:tcMar>
            <w:shd w:fill="F3F7FA"/>
          </w:tcPr>
          <w:p>
            <w:pPr>
              <w:spacing w:after="0" w:before="0"/>
            </w:pPr>
            <w:r/>
            <w:r>
              <w:rPr>
                <w:rFonts w:ascii="Aptos" w:hAnsi="Aptos"/>
                <w:b w:val="0"/>
                <w:color w:val="18222B"/>
                <w:sz w:val="18"/>
              </w:rPr>
              <w:t>Sector super-apps or replacement sector platforms</w:t>
            </w:r>
          </w:p>
        </w:tc>
      </w:tr>
      <w:tr>
        <w:tc>
          <w:tcPr>
            <w:tcW w:type="dxa" w:w="4752"/>
            <w:vAlign w:val="center"/>
            <w:tcMar>
              <w:top w:w="90" w:type="dxa"/>
              <w:start w:w="110" w:type="dxa"/>
              <w:bottom w:w="90" w:type="dxa"/>
              <w:end w:w="110" w:type="dxa"/>
            </w:tcMar>
            <w:shd w:fill="FFFFFF"/>
          </w:tcPr>
          <w:p>
            <w:pPr>
              <w:spacing w:after="0" w:before="0"/>
            </w:pPr>
            <w:r/>
            <w:r>
              <w:rPr>
                <w:rFonts w:ascii="Aptos" w:hAnsi="Aptos"/>
                <w:b w:val="0"/>
                <w:color w:val="18222B"/>
                <w:sz w:val="18"/>
              </w:rPr>
              <w:t>Documentation, governance, tests, contribution process and reference deployment</w:t>
            </w:r>
          </w:p>
        </w:tc>
        <w:tc>
          <w:tcPr>
            <w:tcW w:type="dxa" w:w="4752"/>
            <w:vAlign w:val="center"/>
            <w:tcMar>
              <w:top w:w="90" w:type="dxa"/>
              <w:start w:w="110" w:type="dxa"/>
              <w:bottom w:w="90" w:type="dxa"/>
              <w:end w:w="110" w:type="dxa"/>
            </w:tcMar>
            <w:shd w:fill="FFFFFF"/>
          </w:tcPr>
          <w:p>
            <w:pPr>
              <w:spacing w:after="0" w:before="0"/>
            </w:pPr>
            <w:r/>
            <w:r>
              <w:rPr>
                <w:rFonts w:ascii="Aptos" w:hAnsi="Aptos"/>
                <w:b w:val="0"/>
                <w:color w:val="18222B"/>
                <w:sz w:val="18"/>
              </w:rPr>
              <w:t>Nationwide cross-state exclusivity federation</w:t>
            </w:r>
          </w:p>
        </w:tc>
      </w:tr>
    </w:tbl>
    <w:p>
      <w:pPr>
        <w:spacing w:after="20"/>
      </w:pPr>
    </w:p>
    <w:p>
      <w:r>
        <w:t>DPG submission priority is documentation quality, openness, governance, privacy, conformance and a credible reference implementation. Surface area is not a success metric.</w:t>
      </w:r>
    </w:p>
    <w:p>
      <w:pPr>
        <w:pStyle w:val="Heading1"/>
      </w:pPr>
      <w:r>
        <w:t>2. Core Domain Model</w:t>
      </w:r>
    </w:p>
    <w:p>
      <w:pPr>
        <w:pStyle w:val="Heading2"/>
      </w:pPr>
      <w:r>
        <w:t>2.1 ResidencyRelationship</w:t>
      </w:r>
    </w:p>
    <w:tbl>
      <w:tblPr>
        <w:tblW w:type="auto" w:w="0"/>
        <w:tblLook w:firstColumn="1" w:firstRow="1" w:lastColumn="0" w:lastRow="0" w:noHBand="0" w:noVBand="1" w:val="04A0"/>
      </w:tblPr>
      <w:tblGrid>
        <w:gridCol w:w="10166"/>
      </w:tblGrid>
      <w:tr>
        <w:tc>
          <w:tcPr>
            <w:tcW w:type="dxa" w:w="10166"/>
            <w:shd w:fill="F1F4F6"/>
            <w:tcMar>
              <w:top w:w="110" w:type="dxa"/>
              <w:start w:w="130" w:type="dxa"/>
              <w:bottom w:w="110" w:type="dxa"/>
              <w:end w:w="130" w:type="dxa"/>
            </w:tcMar>
          </w:tcPr>
          <w:p>
            <w:pPr>
              <w:pStyle w:val="CodeBlock"/>
            </w:pPr>
            <w:r>
              <w:t>ResidencyRelationship {</w:t>
              <w:br/>
              <w:t xml:space="preserve">  id</w:t>
              <w:br/>
              <w:t xml:space="preserve">  personId</w:t>
              <w:br/>
              <w:t xml:space="preserve">  jurisdictionId</w:t>
              <w:br/>
              <w:t xml:space="preserve">  purposeCode</w:t>
              <w:br/>
              <w:t xml:space="preserve">  relationshipType</w:t>
              <w:br/>
              <w:t xml:space="preserve">  status</w:t>
              <w:br/>
              <w:t xml:space="preserve">  effectiveFrom</w:t>
              <w:br/>
              <w:t xml:space="preserve">  effectiveUntil?</w:t>
              <w:br/>
              <w:t xml:space="preserve">  policyId</w:t>
              <w:br/>
              <w:t xml:space="preserve">  policyVersion</w:t>
              <w:br/>
              <w:t xml:space="preserve">  decisionId</w:t>
              <w:br/>
              <w:t xml:space="preserve">  evidenceReferences[]</w:t>
              <w:br/>
              <w:t xml:space="preserve">  assuranceProfileId</w:t>
              <w:br/>
              <w:t xml:space="preserve">  sourceAuthorityId</w:t>
              <w:br/>
              <w:t>}</w:t>
            </w:r>
          </w:p>
        </w:tc>
      </w:tr>
    </w:tbl>
    <w:p>
      <w:pPr>
        <w:pStyle w:val="Heading2"/>
      </w:pPr>
      <w:r>
        <w:t>2.2 Closed relationshipType vocabulary</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592"/>
            <w:vAlign w:val="center"/>
            <w:tcMar>
              <w:top w:w="90" w:type="dxa"/>
              <w:start w:w="110" w:type="dxa"/>
              <w:bottom w:w="90" w:type="dxa"/>
              <w:end w:w="110" w:type="dxa"/>
            </w:tcMar>
            <w:shd w:fill="17324D"/>
          </w:tcPr>
          <w:p>
            <w:pPr>
              <w:spacing w:after="0" w:before="0"/>
            </w:pPr>
            <w:r/>
            <w:r>
              <w:rPr>
                <w:rFonts w:ascii="Aptos" w:hAnsi="Aptos"/>
                <w:b/>
                <w:color w:val="FFFFFF"/>
                <w:sz w:val="18"/>
              </w:rPr>
              <w:t>Code</w:t>
            </w:r>
          </w:p>
        </w:tc>
        <w:tc>
          <w:tcPr>
            <w:tcW w:type="dxa" w:w="6912"/>
            <w:vAlign w:val="center"/>
            <w:tcMar>
              <w:top w:w="90" w:type="dxa"/>
              <w:start w:w="110" w:type="dxa"/>
              <w:bottom w:w="90" w:type="dxa"/>
              <w:end w:w="110" w:type="dxa"/>
            </w:tcMar>
            <w:shd w:fill="17324D"/>
          </w:tcPr>
          <w:p>
            <w:pPr>
              <w:spacing w:after="0" w:before="0"/>
            </w:pPr>
            <w:r/>
            <w:r>
              <w:rPr>
                <w:rFonts w:ascii="Aptos" w:hAnsi="Aptos"/>
                <w:b/>
                <w:color w:val="FFFFFF"/>
                <w:sz w:val="18"/>
              </w:rPr>
              <w:t>Meaning</w:t>
            </w:r>
          </w:p>
        </w:tc>
      </w:tr>
      <w:tr>
        <w:tc>
          <w:tcPr>
            <w:tcW w:type="dxa" w:w="2592"/>
            <w:vAlign w:val="center"/>
            <w:tcMar>
              <w:top w:w="90" w:type="dxa"/>
              <w:start w:w="110" w:type="dxa"/>
              <w:bottom w:w="90" w:type="dxa"/>
              <w:end w:w="110" w:type="dxa"/>
            </w:tcMar>
            <w:shd w:fill="FFFFFF"/>
          </w:tcPr>
          <w:p>
            <w:pPr>
              <w:spacing w:after="0" w:before="0"/>
            </w:pPr>
            <w:r/>
            <w:r>
              <w:rPr>
                <w:rFonts w:ascii="Aptos" w:hAnsi="Aptos"/>
                <w:b w:val="0"/>
                <w:color w:val="18222B"/>
                <w:sz w:val="18"/>
              </w:rPr>
              <w:t>ADMINISTRATIVE_RESIDENCE</w:t>
            </w:r>
          </w:p>
        </w:tc>
        <w:tc>
          <w:tcPr>
            <w:tcW w:type="dxa" w:w="6912"/>
            <w:vAlign w:val="center"/>
            <w:tcMar>
              <w:top w:w="90" w:type="dxa"/>
              <w:start w:w="110" w:type="dxa"/>
              <w:bottom w:w="90" w:type="dxa"/>
              <w:end w:w="110" w:type="dxa"/>
            </w:tcMar>
            <w:shd w:fill="FFFFFF"/>
          </w:tcPr>
          <w:p>
            <w:pPr>
              <w:spacing w:after="0" w:before="0"/>
            </w:pPr>
            <w:r/>
            <w:r>
              <w:rPr>
                <w:rFonts w:ascii="Aptos" w:hAnsi="Aptos"/>
                <w:b w:val="0"/>
                <w:color w:val="18222B"/>
                <w:sz w:val="18"/>
              </w:rPr>
              <w:t>Ordinary or registered connection used for general subnational administration.</w:t>
            </w:r>
          </w:p>
        </w:tc>
      </w:tr>
      <w:tr>
        <w:tc>
          <w:tcPr>
            <w:tcW w:type="dxa" w:w="2592"/>
            <w:vAlign w:val="center"/>
            <w:tcMar>
              <w:top w:w="90" w:type="dxa"/>
              <w:start w:w="110" w:type="dxa"/>
              <w:bottom w:w="90" w:type="dxa"/>
              <w:end w:w="110" w:type="dxa"/>
            </w:tcMar>
            <w:shd w:fill="F3F7FA"/>
          </w:tcPr>
          <w:p>
            <w:pPr>
              <w:spacing w:after="0" w:before="0"/>
            </w:pPr>
            <w:r/>
            <w:r>
              <w:rPr>
                <w:rFonts w:ascii="Aptos" w:hAnsi="Aptos"/>
                <w:b w:val="0"/>
                <w:color w:val="18222B"/>
                <w:sz w:val="18"/>
              </w:rPr>
              <w:t>HOUSEHOLD_MEMBERSHIP</w:t>
            </w:r>
          </w:p>
        </w:tc>
        <w:tc>
          <w:tcPr>
            <w:tcW w:type="dxa" w:w="6912"/>
            <w:vAlign w:val="center"/>
            <w:tcMar>
              <w:top w:w="90" w:type="dxa"/>
              <w:start w:w="110" w:type="dxa"/>
              <w:bottom w:w="90" w:type="dxa"/>
              <w:end w:w="110" w:type="dxa"/>
            </w:tcMar>
            <w:shd w:fill="F3F7FA"/>
          </w:tcPr>
          <w:p>
            <w:pPr>
              <w:spacing w:after="0" w:before="0"/>
            </w:pPr>
            <w:r/>
            <w:r>
              <w:rPr>
                <w:rFonts w:ascii="Aptos" w:hAnsi="Aptos"/>
                <w:b w:val="0"/>
                <w:color w:val="18222B"/>
                <w:sz w:val="18"/>
              </w:rPr>
              <w:t>Dated membership of a household located in the jurisdiction.</w:t>
            </w:r>
          </w:p>
        </w:tc>
      </w:tr>
      <w:tr>
        <w:tc>
          <w:tcPr>
            <w:tcW w:type="dxa" w:w="2592"/>
            <w:vAlign w:val="center"/>
            <w:tcMar>
              <w:top w:w="90" w:type="dxa"/>
              <w:start w:w="110" w:type="dxa"/>
              <w:bottom w:w="90" w:type="dxa"/>
              <w:end w:w="110" w:type="dxa"/>
            </w:tcMar>
            <w:shd w:fill="FFFFFF"/>
          </w:tcPr>
          <w:p>
            <w:pPr>
              <w:spacing w:after="0" w:before="0"/>
            </w:pPr>
            <w:r/>
            <w:r>
              <w:rPr>
                <w:rFonts w:ascii="Aptos" w:hAnsi="Aptos"/>
                <w:b w:val="0"/>
                <w:color w:val="18222B"/>
                <w:sz w:val="18"/>
              </w:rPr>
              <w:t>EMPLOYMENT_PRESENCE</w:t>
            </w:r>
          </w:p>
        </w:tc>
        <w:tc>
          <w:tcPr>
            <w:tcW w:type="dxa" w:w="6912"/>
            <w:vAlign w:val="center"/>
            <w:tcMar>
              <w:top w:w="90" w:type="dxa"/>
              <w:start w:w="110" w:type="dxa"/>
              <w:bottom w:w="90" w:type="dxa"/>
              <w:end w:w="110" w:type="dxa"/>
            </w:tcMar>
            <w:shd w:fill="FFFFFF"/>
          </w:tcPr>
          <w:p>
            <w:pPr>
              <w:spacing w:after="0" w:before="0"/>
            </w:pPr>
            <w:r/>
            <w:r>
              <w:rPr>
                <w:rFonts w:ascii="Aptos" w:hAnsi="Aptos"/>
                <w:b w:val="0"/>
                <w:color w:val="18222B"/>
                <w:sz w:val="18"/>
              </w:rPr>
              <w:t>Employment, payroll or workplace connection.</w:t>
            </w:r>
          </w:p>
        </w:tc>
      </w:tr>
      <w:tr>
        <w:tc>
          <w:tcPr>
            <w:tcW w:type="dxa" w:w="2592"/>
            <w:vAlign w:val="center"/>
            <w:tcMar>
              <w:top w:w="90" w:type="dxa"/>
              <w:start w:w="110" w:type="dxa"/>
              <w:bottom w:w="90" w:type="dxa"/>
              <w:end w:w="110" w:type="dxa"/>
            </w:tcMar>
            <w:shd w:fill="F3F7FA"/>
          </w:tcPr>
          <w:p>
            <w:pPr>
              <w:spacing w:after="0" w:before="0"/>
            </w:pPr>
            <w:r/>
            <w:r>
              <w:rPr>
                <w:rFonts w:ascii="Aptos" w:hAnsi="Aptos"/>
                <w:b w:val="0"/>
                <w:color w:val="18222B"/>
                <w:sz w:val="18"/>
              </w:rPr>
              <w:t>EDUCATION_PRESENCE</w:t>
            </w:r>
          </w:p>
        </w:tc>
        <w:tc>
          <w:tcPr>
            <w:tcW w:type="dxa" w:w="6912"/>
            <w:vAlign w:val="center"/>
            <w:tcMar>
              <w:top w:w="90" w:type="dxa"/>
              <w:start w:w="110" w:type="dxa"/>
              <w:bottom w:w="90" w:type="dxa"/>
              <w:end w:w="110" w:type="dxa"/>
            </w:tcMar>
            <w:shd w:fill="F3F7FA"/>
          </w:tcPr>
          <w:p>
            <w:pPr>
              <w:spacing w:after="0" w:before="0"/>
            </w:pPr>
            <w:r/>
            <w:r>
              <w:rPr>
                <w:rFonts w:ascii="Aptos" w:hAnsi="Aptos"/>
                <w:b w:val="0"/>
                <w:color w:val="18222B"/>
                <w:sz w:val="18"/>
              </w:rPr>
              <w:t>School, training or tertiary education connection.</w:t>
            </w:r>
          </w:p>
        </w:tc>
      </w:tr>
      <w:tr>
        <w:tc>
          <w:tcPr>
            <w:tcW w:type="dxa" w:w="2592"/>
            <w:vAlign w:val="center"/>
            <w:tcMar>
              <w:top w:w="90" w:type="dxa"/>
              <w:start w:w="110" w:type="dxa"/>
              <w:bottom w:w="90" w:type="dxa"/>
              <w:end w:w="110" w:type="dxa"/>
            </w:tcMar>
            <w:shd w:fill="FFFFFF"/>
          </w:tcPr>
          <w:p>
            <w:pPr>
              <w:spacing w:after="0" w:before="0"/>
            </w:pPr>
            <w:r/>
            <w:r>
              <w:rPr>
                <w:rFonts w:ascii="Aptos" w:hAnsi="Aptos"/>
                <w:b w:val="0"/>
                <w:color w:val="18222B"/>
                <w:sz w:val="18"/>
              </w:rPr>
              <w:t>TAX_NEXUS</w:t>
            </w:r>
          </w:p>
        </w:tc>
        <w:tc>
          <w:tcPr>
            <w:tcW w:type="dxa" w:w="6912"/>
            <w:vAlign w:val="center"/>
            <w:tcMar>
              <w:top w:w="90" w:type="dxa"/>
              <w:start w:w="110" w:type="dxa"/>
              <w:bottom w:w="90" w:type="dxa"/>
              <w:end w:w="110" w:type="dxa"/>
            </w:tcMar>
            <w:shd w:fill="FFFFFF"/>
          </w:tcPr>
          <w:p>
            <w:pPr>
              <w:spacing w:after="0" w:before="0"/>
            </w:pPr>
            <w:r/>
            <w:r>
              <w:rPr>
                <w:rFonts w:ascii="Aptos" w:hAnsi="Aptos"/>
                <w:b w:val="0"/>
                <w:color w:val="18222B"/>
                <w:sz w:val="18"/>
              </w:rPr>
              <w:t>A tax-relevant connection determined under an authorised tax policy; not itself a tax-liability decision.</w:t>
            </w:r>
          </w:p>
        </w:tc>
      </w:tr>
      <w:tr>
        <w:tc>
          <w:tcPr>
            <w:tcW w:type="dxa" w:w="2592"/>
            <w:vAlign w:val="center"/>
            <w:tcMar>
              <w:top w:w="90" w:type="dxa"/>
              <w:start w:w="110" w:type="dxa"/>
              <w:bottom w:w="90" w:type="dxa"/>
              <w:end w:w="110" w:type="dxa"/>
            </w:tcMar>
            <w:shd w:fill="F3F7FA"/>
          </w:tcPr>
          <w:p>
            <w:pPr>
              <w:spacing w:after="0" w:before="0"/>
            </w:pPr>
            <w:r/>
            <w:r>
              <w:rPr>
                <w:rFonts w:ascii="Aptos" w:hAnsi="Aptos"/>
                <w:b w:val="0"/>
                <w:color w:val="18222B"/>
                <w:sz w:val="18"/>
              </w:rPr>
              <w:t>SERVICE_CONNECTION</w:t>
            </w:r>
          </w:p>
        </w:tc>
        <w:tc>
          <w:tcPr>
            <w:tcW w:type="dxa" w:w="6912"/>
            <w:vAlign w:val="center"/>
            <w:tcMar>
              <w:top w:w="90" w:type="dxa"/>
              <w:start w:w="110" w:type="dxa"/>
              <w:bottom w:w="90" w:type="dxa"/>
              <w:end w:w="110" w:type="dxa"/>
            </w:tcMar>
            <w:shd w:fill="F3F7FA"/>
          </w:tcPr>
          <w:p>
            <w:pPr>
              <w:spacing w:after="0" w:before="0"/>
            </w:pPr>
            <w:r/>
            <w:r>
              <w:rPr>
                <w:rFonts w:ascii="Aptos" w:hAnsi="Aptos"/>
                <w:b w:val="0"/>
                <w:color w:val="18222B"/>
                <w:sz w:val="18"/>
              </w:rPr>
              <w:t>A purpose-limited relationship to a public service.</w:t>
            </w:r>
          </w:p>
        </w:tc>
      </w:tr>
      <w:tr>
        <w:tc>
          <w:tcPr>
            <w:tcW w:type="dxa" w:w="2592"/>
            <w:vAlign w:val="center"/>
            <w:tcMar>
              <w:top w:w="90" w:type="dxa"/>
              <w:start w:w="110" w:type="dxa"/>
              <w:bottom w:w="90" w:type="dxa"/>
              <w:end w:w="110" w:type="dxa"/>
            </w:tcMar>
            <w:shd w:fill="FFFFFF"/>
          </w:tcPr>
          <w:p>
            <w:pPr>
              <w:spacing w:after="0" w:before="0"/>
            </w:pPr>
            <w:r/>
            <w:r>
              <w:rPr>
                <w:rFonts w:ascii="Aptos" w:hAnsi="Aptos"/>
                <w:b w:val="0"/>
                <w:color w:val="18222B"/>
                <w:sz w:val="18"/>
              </w:rPr>
              <w:t>PROPERTY_OR_OCCUPANCY</w:t>
            </w:r>
          </w:p>
        </w:tc>
        <w:tc>
          <w:tcPr>
            <w:tcW w:type="dxa" w:w="6912"/>
            <w:vAlign w:val="center"/>
            <w:tcMar>
              <w:top w:w="90" w:type="dxa"/>
              <w:start w:w="110" w:type="dxa"/>
              <w:bottom w:w="90" w:type="dxa"/>
              <w:end w:w="110" w:type="dxa"/>
            </w:tcMar>
            <w:shd w:fill="FFFFFF"/>
          </w:tcPr>
          <w:p>
            <w:pPr>
              <w:spacing w:after="0" w:before="0"/>
            </w:pPr>
            <w:r/>
            <w:r>
              <w:rPr>
                <w:rFonts w:ascii="Aptos" w:hAnsi="Aptos"/>
                <w:b w:val="0"/>
                <w:color w:val="18222B"/>
                <w:sz w:val="18"/>
              </w:rPr>
              <w:t>Ownership, tenancy or occupation without automatically proving ordinary residence.</w:t>
            </w:r>
          </w:p>
        </w:tc>
      </w:tr>
      <w:tr>
        <w:tc>
          <w:tcPr>
            <w:tcW w:type="dxa" w:w="2592"/>
            <w:vAlign w:val="center"/>
            <w:tcMar>
              <w:top w:w="90" w:type="dxa"/>
              <w:start w:w="110" w:type="dxa"/>
              <w:bottom w:w="90" w:type="dxa"/>
              <w:end w:w="110" w:type="dxa"/>
            </w:tcMar>
            <w:shd w:fill="F3F7FA"/>
          </w:tcPr>
          <w:p>
            <w:pPr>
              <w:spacing w:after="0" w:before="0"/>
            </w:pPr>
            <w:r/>
            <w:r>
              <w:rPr>
                <w:rFonts w:ascii="Aptos" w:hAnsi="Aptos"/>
                <w:b w:val="0"/>
                <w:color w:val="18222B"/>
                <w:sz w:val="18"/>
              </w:rPr>
              <w:t>HUMANITARIAN_PRESENCE</w:t>
            </w:r>
          </w:p>
        </w:tc>
        <w:tc>
          <w:tcPr>
            <w:tcW w:type="dxa" w:w="6912"/>
            <w:vAlign w:val="center"/>
            <w:tcMar>
              <w:top w:w="90" w:type="dxa"/>
              <w:start w:w="110" w:type="dxa"/>
              <w:bottom w:w="90" w:type="dxa"/>
              <w:end w:w="110" w:type="dxa"/>
            </w:tcMar>
            <w:shd w:fill="F3F7FA"/>
          </w:tcPr>
          <w:p>
            <w:pPr>
              <w:spacing w:after="0" w:before="0"/>
            </w:pPr>
            <w:r/>
            <w:r>
              <w:rPr>
                <w:rFonts w:ascii="Aptos" w:hAnsi="Aptos"/>
                <w:b w:val="0"/>
                <w:color w:val="18222B"/>
                <w:sz w:val="18"/>
              </w:rPr>
              <w:t>Protected or temporary connection arising from displacement or humanitarian need.</w:t>
            </w:r>
          </w:p>
        </w:tc>
      </w:tr>
      <w:tr>
        <w:tc>
          <w:tcPr>
            <w:tcW w:type="dxa" w:w="2592"/>
            <w:vAlign w:val="center"/>
            <w:tcMar>
              <w:top w:w="90" w:type="dxa"/>
              <w:start w:w="110" w:type="dxa"/>
              <w:bottom w:w="90" w:type="dxa"/>
              <w:end w:w="110" w:type="dxa"/>
            </w:tcMar>
            <w:shd w:fill="FFFFFF"/>
          </w:tcPr>
          <w:p>
            <w:pPr>
              <w:spacing w:after="0" w:before="0"/>
            </w:pPr>
            <w:r/>
            <w:r>
              <w:rPr>
                <w:rFonts w:ascii="Aptos" w:hAnsi="Aptos"/>
                <w:b w:val="0"/>
                <w:color w:val="18222B"/>
                <w:sz w:val="18"/>
              </w:rPr>
              <w:t>BUSINESS_PRESENCE</w:t>
            </w:r>
          </w:p>
        </w:tc>
        <w:tc>
          <w:tcPr>
            <w:tcW w:type="dxa" w:w="6912"/>
            <w:vAlign w:val="center"/>
            <w:tcMar>
              <w:top w:w="90" w:type="dxa"/>
              <w:start w:w="110" w:type="dxa"/>
              <w:bottom w:w="90" w:type="dxa"/>
              <w:end w:w="110" w:type="dxa"/>
            </w:tcMar>
            <w:shd w:fill="FFFFFF"/>
          </w:tcPr>
          <w:p>
            <w:pPr>
              <w:spacing w:after="0" w:before="0"/>
            </w:pPr>
            <w:r/>
            <w:r>
              <w:rPr>
                <w:rFonts w:ascii="Aptos" w:hAnsi="Aptos"/>
                <w:b w:val="0"/>
                <w:color w:val="18222B"/>
                <w:sz w:val="18"/>
              </w:rPr>
              <w:t>Business registration or operating presence.</w:t>
            </w:r>
          </w:p>
        </w:tc>
      </w:tr>
      <w:tr>
        <w:tc>
          <w:tcPr>
            <w:tcW w:type="dxa" w:w="2592"/>
            <w:vAlign w:val="center"/>
            <w:tcMar>
              <w:top w:w="90" w:type="dxa"/>
              <w:start w:w="110" w:type="dxa"/>
              <w:bottom w:w="90" w:type="dxa"/>
              <w:end w:w="110" w:type="dxa"/>
            </w:tcMar>
            <w:shd w:fill="F3F7FA"/>
          </w:tcPr>
          <w:p>
            <w:pPr>
              <w:spacing w:after="0" w:before="0"/>
            </w:pPr>
            <w:r/>
            <w:r>
              <w:rPr>
                <w:rFonts w:ascii="Aptos" w:hAnsi="Aptos"/>
                <w:b w:val="0"/>
                <w:color w:val="18222B"/>
                <w:sz w:val="18"/>
              </w:rPr>
              <w:t>HISTORICAL_RESIDENCE</w:t>
            </w:r>
          </w:p>
        </w:tc>
        <w:tc>
          <w:tcPr>
            <w:tcW w:type="dxa" w:w="6912"/>
            <w:vAlign w:val="center"/>
            <w:tcMar>
              <w:top w:w="90" w:type="dxa"/>
              <w:start w:w="110" w:type="dxa"/>
              <w:bottom w:w="90" w:type="dxa"/>
              <w:end w:w="110" w:type="dxa"/>
            </w:tcMar>
            <w:shd w:fill="F3F7FA"/>
          </w:tcPr>
          <w:p>
            <w:pPr>
              <w:spacing w:after="0" w:before="0"/>
            </w:pPr>
            <w:r/>
            <w:r>
              <w:rPr>
                <w:rFonts w:ascii="Aptos" w:hAnsi="Aptos"/>
                <w:b w:val="0"/>
                <w:color w:val="18222B"/>
                <w:sz w:val="18"/>
              </w:rPr>
              <w:t>Closed relationship retained for history and audit.</w:t>
            </w:r>
          </w:p>
        </w:tc>
      </w:tr>
    </w:tbl>
    <w:p>
      <w:pPr>
        <w:spacing w:after="20"/>
      </w:pPr>
    </w:p>
    <w:p>
      <w:r>
        <w:t>Deployments may propose new codes only through a governed vocabulary change. Free-text relationship types are prohibited in production records and events.</w:t>
      </w:r>
    </w:p>
    <w:p>
      <w:pPr>
        <w:pStyle w:val="Heading1"/>
      </w:pPr>
      <w:r>
        <w:t>3. Multi-Jurisdiction and Conflict Model</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168"/>
            <w:vAlign w:val="center"/>
            <w:tcMar>
              <w:top w:w="90" w:type="dxa"/>
              <w:start w:w="110" w:type="dxa"/>
              <w:bottom w:w="90" w:type="dxa"/>
              <w:end w:w="110" w:type="dxa"/>
            </w:tcMar>
            <w:shd w:fill="17324D"/>
          </w:tcPr>
          <w:p>
            <w:pPr>
              <w:spacing w:after="0" w:before="0"/>
            </w:pPr>
            <w:r/>
            <w:r>
              <w:rPr>
                <w:rFonts w:ascii="Aptos" w:hAnsi="Aptos"/>
                <w:b/>
                <w:color w:val="FFFFFF"/>
                <w:sz w:val="18"/>
              </w:rPr>
              <w:t>Situation</w:t>
            </w:r>
          </w:p>
        </w:tc>
        <w:tc>
          <w:tcPr>
            <w:tcW w:type="dxa" w:w="6336"/>
            <w:vAlign w:val="center"/>
            <w:tcMar>
              <w:top w:w="90" w:type="dxa"/>
              <w:start w:w="110" w:type="dxa"/>
              <w:bottom w:w="90" w:type="dxa"/>
              <w:end w:w="110" w:type="dxa"/>
            </w:tcMar>
            <w:shd w:fill="17324D"/>
          </w:tcPr>
          <w:p>
            <w:pPr>
              <w:spacing w:after="0" w:before="0"/>
            </w:pPr>
            <w:r/>
            <w:r>
              <w:rPr>
                <w:rFonts w:ascii="Aptos" w:hAnsi="Aptos"/>
                <w:b/>
                <w:color w:val="FFFFFF"/>
                <w:sz w:val="18"/>
              </w:rPr>
              <w:t>Required treatment</w:t>
            </w:r>
          </w:p>
        </w:tc>
      </w:tr>
      <w:tr>
        <w:tc>
          <w:tcPr>
            <w:tcW w:type="dxa" w:w="3168"/>
            <w:vAlign w:val="center"/>
            <w:tcMar>
              <w:top w:w="90" w:type="dxa"/>
              <w:start w:w="110" w:type="dxa"/>
              <w:bottom w:w="90" w:type="dxa"/>
              <w:end w:w="110" w:type="dxa"/>
            </w:tcMar>
            <w:shd w:fill="FFFFFF"/>
          </w:tcPr>
          <w:p>
            <w:pPr>
              <w:spacing w:after="0" w:before="0"/>
            </w:pPr>
            <w:r/>
            <w:r>
              <w:rPr>
                <w:rFonts w:ascii="Aptos" w:hAnsi="Aptos"/>
                <w:b w:val="0"/>
                <w:color w:val="18222B"/>
                <w:sz w:val="18"/>
              </w:rPr>
              <w:t>Different purposes in different jurisdictions</w:t>
            </w:r>
          </w:p>
        </w:tc>
        <w:tc>
          <w:tcPr>
            <w:tcW w:type="dxa" w:w="6336"/>
            <w:vAlign w:val="center"/>
            <w:tcMar>
              <w:top w:w="90" w:type="dxa"/>
              <w:start w:w="110" w:type="dxa"/>
              <w:bottom w:w="90" w:type="dxa"/>
              <w:end w:w="110" w:type="dxa"/>
            </w:tcMar>
            <w:shd w:fill="FFFFFF"/>
          </w:tcPr>
          <w:p>
            <w:pPr>
              <w:spacing w:after="0" w:before="0"/>
            </w:pPr>
            <w:r/>
            <w:r>
              <w:rPr>
                <w:rFonts w:ascii="Aptos" w:hAnsi="Aptos"/>
                <w:b w:val="0"/>
                <w:color w:val="18222B"/>
                <w:sz w:val="18"/>
              </w:rPr>
              <w:t>Coexist. No conflict is created.</w:t>
            </w:r>
          </w:p>
        </w:tc>
      </w:tr>
      <w:tr>
        <w:tc>
          <w:tcPr>
            <w:tcW w:type="dxa" w:w="3168"/>
            <w:vAlign w:val="center"/>
            <w:tcMar>
              <w:top w:w="90" w:type="dxa"/>
              <w:start w:w="110" w:type="dxa"/>
              <w:bottom w:w="90" w:type="dxa"/>
              <w:end w:w="110" w:type="dxa"/>
            </w:tcMar>
            <w:shd w:fill="F3F7FA"/>
          </w:tcPr>
          <w:p>
            <w:pPr>
              <w:spacing w:after="0" w:before="0"/>
            </w:pPr>
            <w:r/>
            <w:r>
              <w:rPr>
                <w:rFonts w:ascii="Aptos" w:hAnsi="Aptos"/>
                <w:b w:val="0"/>
                <w:color w:val="18222B"/>
                <w:sz w:val="18"/>
              </w:rPr>
              <w:t>Same purpose in different jurisdictions</w:t>
            </w:r>
          </w:p>
        </w:tc>
        <w:tc>
          <w:tcPr>
            <w:tcW w:type="dxa" w:w="6336"/>
            <w:vAlign w:val="center"/>
            <w:tcMar>
              <w:top w:w="90" w:type="dxa"/>
              <w:start w:w="110" w:type="dxa"/>
              <w:bottom w:w="90" w:type="dxa"/>
              <w:end w:w="110" w:type="dxa"/>
            </w:tcMar>
            <w:shd w:fill="F3F7FA"/>
          </w:tcPr>
          <w:p>
            <w:pPr>
              <w:spacing w:after="0" w:before="0"/>
            </w:pPr>
            <w:r/>
            <w:r>
              <w:rPr>
                <w:rFonts w:ascii="Aptos" w:hAnsi="Aptos"/>
                <w:b w:val="0"/>
                <w:color w:val="18222B"/>
                <w:sz w:val="18"/>
              </w:rPr>
              <w:t>Apply only the exclusivity and precedence rules defined for that purpose and policy scope.</w:t>
            </w:r>
          </w:p>
        </w:tc>
      </w:tr>
      <w:tr>
        <w:tc>
          <w:tcPr>
            <w:tcW w:type="dxa" w:w="3168"/>
            <w:vAlign w:val="center"/>
            <w:tcMar>
              <w:top w:w="90" w:type="dxa"/>
              <w:start w:w="110" w:type="dxa"/>
              <w:bottom w:w="90" w:type="dxa"/>
              <w:end w:w="110" w:type="dxa"/>
            </w:tcMar>
            <w:shd w:fill="FFFFFF"/>
          </w:tcPr>
          <w:p>
            <w:pPr>
              <w:spacing w:after="0" w:before="0"/>
            </w:pPr>
            <w:r/>
            <w:r>
              <w:rPr>
                <w:rFonts w:ascii="Aptos" w:hAnsi="Aptos"/>
                <w:b w:val="0"/>
                <w:color w:val="18222B"/>
                <w:sz w:val="18"/>
              </w:rPr>
              <w:t>Competing fiscal claims</w:t>
            </w:r>
          </w:p>
        </w:tc>
        <w:tc>
          <w:tcPr>
            <w:tcW w:type="dxa" w:w="6336"/>
            <w:vAlign w:val="center"/>
            <w:tcMar>
              <w:top w:w="90" w:type="dxa"/>
              <w:start w:w="110" w:type="dxa"/>
              <w:bottom w:w="90" w:type="dxa"/>
              <w:end w:w="110" w:type="dxa"/>
            </w:tcMar>
            <w:shd w:fill="FFFFFF"/>
          </w:tcPr>
          <w:p>
            <w:pPr>
              <w:spacing w:after="0" w:before="0"/>
            </w:pPr>
            <w:r/>
            <w:r>
              <w:rPr>
                <w:rFonts w:ascii="Aptos" w:hAnsi="Aptos"/>
                <w:b w:val="0"/>
                <w:color w:val="18222B"/>
                <w:sz w:val="18"/>
              </w:rPr>
              <w:t>Preserve both tax connections; the competent tax systems decide liability under registered tax law.</w:t>
            </w:r>
          </w:p>
        </w:tc>
      </w:tr>
      <w:tr>
        <w:tc>
          <w:tcPr>
            <w:tcW w:type="dxa" w:w="3168"/>
            <w:vAlign w:val="center"/>
            <w:tcMar>
              <w:top w:w="90" w:type="dxa"/>
              <w:start w:w="110" w:type="dxa"/>
              <w:bottom w:w="90" w:type="dxa"/>
              <w:end w:w="110" w:type="dxa"/>
            </w:tcMar>
            <w:shd w:fill="F3F7FA"/>
          </w:tcPr>
          <w:p>
            <w:pPr>
              <w:spacing w:after="0" w:before="0"/>
            </w:pPr>
            <w:r/>
            <w:r>
              <w:rPr>
                <w:rFonts w:ascii="Aptos" w:hAnsi="Aptos"/>
                <w:b w:val="0"/>
                <w:color w:val="18222B"/>
                <w:sz w:val="18"/>
              </w:rPr>
              <w:t>Contradictory evidence</w:t>
            </w:r>
          </w:p>
        </w:tc>
        <w:tc>
          <w:tcPr>
            <w:tcW w:type="dxa" w:w="6336"/>
            <w:vAlign w:val="center"/>
            <w:tcMar>
              <w:top w:w="90" w:type="dxa"/>
              <w:start w:w="110" w:type="dxa"/>
              <w:bottom w:w="90" w:type="dxa"/>
              <w:end w:w="110" w:type="dxa"/>
            </w:tcMar>
            <w:shd w:fill="F3F7FA"/>
          </w:tcPr>
          <w:p>
            <w:pPr>
              <w:spacing w:after="0" w:before="0"/>
            </w:pPr>
            <w:r/>
            <w:r>
              <w:rPr>
                <w:rFonts w:ascii="Aptos" w:hAnsi="Aptos"/>
                <w:b w:val="0"/>
                <w:color w:val="18222B"/>
                <w:sz w:val="18"/>
              </w:rPr>
              <w:t>Return INDETERMINATE or route to human review; do not silently select a winner.</w:t>
            </w:r>
          </w:p>
        </w:tc>
      </w:tr>
      <w:tr>
        <w:tc>
          <w:tcPr>
            <w:tcW w:type="dxa" w:w="3168"/>
            <w:vAlign w:val="center"/>
            <w:tcMar>
              <w:top w:w="90" w:type="dxa"/>
              <w:start w:w="110" w:type="dxa"/>
              <w:bottom w:w="90" w:type="dxa"/>
              <w:end w:w="110" w:type="dxa"/>
            </w:tcMar>
            <w:shd w:fill="FFFFFF"/>
          </w:tcPr>
          <w:p>
            <w:pPr>
              <w:spacing w:after="0" w:before="0"/>
            </w:pPr>
            <w:r/>
            <w:r>
              <w:rPr>
                <w:rFonts w:ascii="Aptos" w:hAnsi="Aptos"/>
                <w:b w:val="0"/>
                <w:color w:val="18222B"/>
                <w:sz w:val="18"/>
              </w:rPr>
              <w:t>Duplicate identity mapping</w:t>
            </w:r>
          </w:p>
        </w:tc>
        <w:tc>
          <w:tcPr>
            <w:tcW w:type="dxa" w:w="6336"/>
            <w:vAlign w:val="center"/>
            <w:tcMar>
              <w:top w:w="90" w:type="dxa"/>
              <w:start w:w="110" w:type="dxa"/>
              <w:bottom w:w="90" w:type="dxa"/>
              <w:end w:w="110" w:type="dxa"/>
            </w:tcMar>
            <w:shd w:fill="FFFFFF"/>
          </w:tcPr>
          <w:p>
            <w:pPr>
              <w:spacing w:after="0" w:before="0"/>
            </w:pPr>
            <w:r/>
            <w:r>
              <w:rPr>
                <w:rFonts w:ascii="Aptos" w:hAnsi="Aptos"/>
                <w:b w:val="0"/>
                <w:color w:val="18222B"/>
                <w:sz w:val="18"/>
              </w:rPr>
              <w:t>Use unlink, relink, merge or split with reversible provenance.</w:t>
            </w:r>
          </w:p>
        </w:tc>
      </w:tr>
    </w:tbl>
    <w:p>
      <w:pPr>
        <w:spacing w:after="20"/>
      </w:pPr>
    </w:p>
    <w:tbl>
      <w:tblPr>
        <w:tblW w:type="auto" w:w="0"/>
        <w:jc w:val="center"/>
        <w:tblLook w:firstColumn="1" w:firstRow="1" w:lastColumn="0" w:lastRow="0" w:noHBand="0" w:noVBand="1" w:val="04A0"/>
      </w:tblPr>
      <w:tblGrid>
        <w:gridCol w:w="10166"/>
      </w:tblGrid>
      <w:tr>
        <w:tc>
          <w:tcPr>
            <w:tcW w:type="dxa" w:w="10166"/>
            <w:shd w:fill="FFF5E5"/>
            <w:tcMar>
              <w:top w:w="130" w:type="dxa"/>
              <w:start w:w="160" w:type="dxa"/>
              <w:bottom w:w="130" w:type="dxa"/>
              <w:end w:w="160" w:type="dxa"/>
            </w:tcMar>
          </w:tcPr>
          <w:p>
            <w:r>
              <w:rPr>
                <w:b/>
                <w:color w:val="9A6B12"/>
                <w:sz w:val="21"/>
              </w:rPr>
              <w:t>Exclusivity boundary</w:t>
              <w:br/>
            </w:r>
            <w:r>
              <w:rPr>
                <w:color w:val="18222B"/>
                <w:sz w:val="20"/>
              </w:rPr>
              <w:t>A subnational deployment may enforce exclusivity only within the records and federation boundary it can lawfully observe. ONE_ACTIVE_PER_COUNTRY is prohibited unless a national registry or formally governed federation supplies complete, authoritative conflict data. Nationwide exclusivity is a roadmap capability, not a local invariant.</w:t>
            </w:r>
          </w:p>
        </w:tc>
      </w:tr>
    </w:tbl>
    <w:p>
      <w:pPr>
        <w:spacing w:after="20"/>
      </w:pPr>
    </w:p>
    <w:p>
      <w:pPr>
        <w:pStyle w:val="Heading1"/>
      </w:pPr>
      <w:r>
        <w:t>4. Deterministic Residency Policy Engine</w:t>
      </w:r>
    </w:p>
    <w:p>
      <w:r>
        <w:t>The current evaluator is preserved and extended. The specification does not authorise a second evaluator, a generic rules rewrite or replacement of working code. The evaluator produces a complete, deterministic DecisionTrace that can be replayed against the same immutable inputs.</w:t>
      </w:r>
    </w:p>
    <w:p>
      <w:pPr>
        <w:pStyle w:val="Heading2"/>
      </w:pPr>
      <w:r>
        <w:t>4.1 Five clause states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304"/>
            <w:vAlign w:val="center"/>
            <w:tcMar>
              <w:top w:w="90" w:type="dxa"/>
              <w:start w:w="110" w:type="dxa"/>
              <w:bottom w:w="90" w:type="dxa"/>
              <w:end w:w="110" w:type="dxa"/>
            </w:tcMar>
            <w:shd w:fill="17324D"/>
          </w:tcPr>
          <w:p>
            <w:r>
              <w:t>State</w:t>
            </w:r>
          </w:p>
        </w:tc>
        <w:tc>
          <w:tcPr>
            <w:tcW w:type="dxa" w:w="7200"/>
            <w:vAlign w:val="center"/>
            <w:tcMar>
              <w:top w:w="90" w:type="dxa"/>
              <w:start w:w="110" w:type="dxa"/>
              <w:bottom w:w="90" w:type="dxa"/>
              <w:end w:w="110" w:type="dxa"/>
            </w:tcMar>
            <w:shd w:fill="17324D"/>
          </w:tcPr>
          <w:p>
            <w:r>
              <w:t>Meaning</w:t>
            </w:r>
          </w:p>
        </w:tc>
      </w:tr>
      <w:tr>
        <w:tc>
          <w:tcPr>
            <w:tcW w:type="dxa" w:w="2304"/>
            <w:vAlign w:val="center"/>
            <w:tcMar>
              <w:top w:w="90" w:type="dxa"/>
              <w:start w:w="110" w:type="dxa"/>
              <w:bottom w:w="90" w:type="dxa"/>
              <w:end w:w="110" w:type="dxa"/>
            </w:tcMar>
            <w:shd w:fill="FFFFFF"/>
          </w:tcPr>
          <w:p>
            <w:r>
              <w:t>SATISFIED</w:t>
            </w:r>
          </w:p>
        </w:tc>
        <w:tc>
          <w:tcPr>
            <w:tcW w:type="dxa" w:w="7200"/>
            <w:vAlign w:val="center"/>
            <w:tcMar>
              <w:top w:w="90" w:type="dxa"/>
              <w:start w:w="110" w:type="dxa"/>
              <w:bottom w:w="90" w:type="dxa"/>
              <w:end w:w="110" w:type="dxa"/>
            </w:tcMar>
            <w:shd w:fill="FFFFFF"/>
          </w:tcPr>
          <w:p>
            <w:r>
              <w:t>The clause requirement was met from sufficient admissible facts.</w:t>
            </w:r>
          </w:p>
        </w:tc>
      </w:tr>
      <w:tr>
        <w:tc>
          <w:tcPr>
            <w:tcW w:type="dxa" w:w="2304"/>
            <w:vAlign w:val="center"/>
            <w:tcMar>
              <w:top w:w="90" w:type="dxa"/>
              <w:start w:w="110" w:type="dxa"/>
              <w:bottom w:w="90" w:type="dxa"/>
              <w:end w:w="110" w:type="dxa"/>
            </w:tcMar>
            <w:shd w:fill="F3F7FA"/>
          </w:tcPr>
          <w:p>
            <w:r>
              <w:t>NOT_SATISFIED</w:t>
            </w:r>
          </w:p>
        </w:tc>
        <w:tc>
          <w:tcPr>
            <w:tcW w:type="dxa" w:w="7200"/>
            <w:vAlign w:val="center"/>
            <w:tcMar>
              <w:top w:w="90" w:type="dxa"/>
              <w:start w:w="110" w:type="dxa"/>
              <w:bottom w:w="90" w:type="dxa"/>
              <w:end w:w="110" w:type="dxa"/>
            </w:tcMar>
            <w:shd w:fill="F3F7FA"/>
          </w:tcPr>
          <w:p>
            <w:r>
              <w:t>The clause requirement was not met from sufficient admissible facts.</w:t>
            </w:r>
          </w:p>
        </w:tc>
      </w:tr>
      <w:tr>
        <w:tc>
          <w:tcPr>
            <w:tcW w:type="dxa" w:w="2304"/>
            <w:vAlign w:val="center"/>
            <w:tcMar>
              <w:top w:w="90" w:type="dxa"/>
              <w:start w:w="110" w:type="dxa"/>
              <w:bottom w:w="90" w:type="dxa"/>
              <w:end w:w="110" w:type="dxa"/>
            </w:tcMar>
            <w:shd w:fill="FFFFFF"/>
          </w:tcPr>
          <w:p>
            <w:r>
              <w:t>NOT_APPLICABLE</w:t>
            </w:r>
          </w:p>
        </w:tc>
        <w:tc>
          <w:tcPr>
            <w:tcW w:type="dxa" w:w="7200"/>
            <w:vAlign w:val="center"/>
            <w:tcMar>
              <w:top w:w="90" w:type="dxa"/>
              <w:start w:w="110" w:type="dxa"/>
              <w:bottom w:w="90" w:type="dxa"/>
              <w:end w:w="110" w:type="dxa"/>
            </w:tcMar>
            <w:shd w:fill="FFFFFF"/>
          </w:tcPr>
          <w:p>
            <w:r>
              <w:t>The clause never engaged because its explicit applicability condition was false.</w:t>
            </w:r>
          </w:p>
        </w:tc>
      </w:tr>
      <w:tr>
        <w:tc>
          <w:tcPr>
            <w:tcW w:type="dxa" w:w="2304"/>
            <w:vAlign w:val="center"/>
            <w:tcMar>
              <w:top w:w="90" w:type="dxa"/>
              <w:start w:w="110" w:type="dxa"/>
              <w:bottom w:w="90" w:type="dxa"/>
              <w:end w:w="110" w:type="dxa"/>
            </w:tcMar>
            <w:shd w:fill="F3F7FA"/>
          </w:tcPr>
          <w:p>
            <w:r>
              <w:t>DISCHARGED</w:t>
            </w:r>
          </w:p>
        </w:tc>
        <w:tc>
          <w:tcPr>
            <w:tcW w:type="dxa" w:w="7200"/>
            <w:vAlign w:val="center"/>
            <w:tcMar>
              <w:top w:w="90" w:type="dxa"/>
              <w:start w:w="110" w:type="dxa"/>
              <w:bottom w:w="90" w:type="dxa"/>
              <w:end w:w="110" w:type="dxa"/>
            </w:tcMar>
            <w:shd w:fill="F3F7FA"/>
          </w:tcPr>
          <w:p>
            <w:r>
              <w:t>The clause engaged, but its obligation was lawfully extinguished by an authorised waiver, exemption, alternative route or superior constraint. The trace must identify the discharge authority and reason.</w:t>
            </w:r>
          </w:p>
        </w:tc>
      </w:tr>
      <w:tr>
        <w:tc>
          <w:tcPr>
            <w:tcW w:type="dxa" w:w="5083"/>
          </w:tcPr>
          <w:p>
            <w:r>
              <w:t>INDETERMINATE</w:t>
            </w:r>
          </w:p>
        </w:tc>
        <w:tc>
          <w:tcPr>
            <w:tcW w:type="dxa" w:w="5083"/>
          </w:tcPr>
          <w:p>
            <w:r>
              <w:t>The engine cannot decide because required facts are missing, contradictory, expired, unverifiable or below the applicable assurance floor.</w:t>
            </w:r>
          </w:p>
        </w:tc>
      </w:tr>
    </w:tbl>
    <w:p>
      <w:pPr>
        <w:spacing w:after="20"/>
      </w:pPr>
    </w:p>
    <w:p>
      <w:r>
        <w:t>Boolean coercion is prohibited. INDETERMINATE must never be silently treated as NOT_SATISFIED. NOT_APPLICABLE and DISCHARGED are not evidence of satisfaction: each has a distinct legal and policy meaning that must remain visible in the trace.</w:t>
      </w:r>
    </w:p>
    <w:p>
      <w:pPr>
        <w:pStyle w:val="Heading2"/>
      </w:pPr>
      <w:r>
        <w:t>4.2 Closed predicate vocabulary</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024"/>
            <w:vAlign w:val="center"/>
            <w:tcMar>
              <w:top w:w="90" w:type="dxa"/>
              <w:start w:w="110" w:type="dxa"/>
              <w:bottom w:w="90" w:type="dxa"/>
              <w:end w:w="110" w:type="dxa"/>
            </w:tcMar>
            <w:shd w:fill="17324D"/>
          </w:tcPr>
          <w:p>
            <w:pPr>
              <w:spacing w:after="0" w:before="0"/>
            </w:pPr>
            <w:r/>
            <w:r>
              <w:rPr>
                <w:rFonts w:ascii="Aptos" w:hAnsi="Aptos"/>
                <w:b/>
                <w:color w:val="FFFFFF"/>
                <w:sz w:val="18"/>
              </w:rPr>
              <w:t>Predicate family</w:t>
            </w:r>
          </w:p>
        </w:tc>
        <w:tc>
          <w:tcPr>
            <w:tcW w:type="dxa" w:w="6480"/>
            <w:vAlign w:val="center"/>
            <w:tcMar>
              <w:top w:w="90" w:type="dxa"/>
              <w:start w:w="110" w:type="dxa"/>
              <w:bottom w:w="90" w:type="dxa"/>
              <w:end w:w="110" w:type="dxa"/>
            </w:tcMar>
            <w:shd w:fill="17324D"/>
          </w:tcPr>
          <w:p>
            <w:pPr>
              <w:spacing w:after="0" w:before="0"/>
            </w:pPr>
            <w:r/>
            <w:r>
              <w:rPr>
                <w:rFonts w:ascii="Aptos" w:hAnsi="Aptos"/>
                <w:b/>
                <w:color w:val="FFFFFF"/>
                <w:sz w:val="18"/>
              </w:rPr>
              <w:t>Examples</w:t>
            </w:r>
          </w:p>
        </w:tc>
      </w:tr>
      <w:tr>
        <w:tc>
          <w:tcPr>
            <w:tcW w:type="dxa" w:w="3024"/>
            <w:vAlign w:val="center"/>
            <w:tcMar>
              <w:top w:w="90" w:type="dxa"/>
              <w:start w:w="110" w:type="dxa"/>
              <w:bottom w:w="90" w:type="dxa"/>
              <w:end w:w="110" w:type="dxa"/>
            </w:tcMar>
            <w:shd w:fill="FFFFFF"/>
          </w:tcPr>
          <w:p>
            <w:pPr>
              <w:spacing w:after="0" w:before="0"/>
            </w:pPr>
            <w:r/>
            <w:r>
              <w:rPr>
                <w:rFonts w:ascii="Aptos" w:hAnsi="Aptos"/>
                <w:b w:val="0"/>
                <w:color w:val="18222B"/>
                <w:sz w:val="18"/>
              </w:rPr>
              <w:t>Identity and assurance</w:t>
            </w:r>
          </w:p>
        </w:tc>
        <w:tc>
          <w:tcPr>
            <w:tcW w:type="dxa" w:w="6480"/>
            <w:vAlign w:val="center"/>
            <w:tcMar>
              <w:top w:w="90" w:type="dxa"/>
              <w:start w:w="110" w:type="dxa"/>
              <w:bottom w:w="90" w:type="dxa"/>
              <w:end w:w="110" w:type="dxa"/>
            </w:tcMar>
            <w:shd w:fill="FFFFFF"/>
          </w:tcPr>
          <w:p>
            <w:pPr>
              <w:spacing w:after="0" w:before="0"/>
            </w:pPr>
            <w:r/>
            <w:r>
              <w:rPr>
                <w:rFonts w:ascii="Aptos" w:hAnsi="Aptos"/>
                <w:b w:val="0"/>
                <w:color w:val="18222B"/>
                <w:sz w:val="18"/>
              </w:rPr>
              <w:t>IDENTITY_ASSURANCE_AT_LEAST, IDENTITY_BINDING_ACTIVE</w:t>
            </w:r>
          </w:p>
        </w:tc>
      </w:tr>
      <w:tr>
        <w:tc>
          <w:tcPr>
            <w:tcW w:type="dxa" w:w="3024"/>
            <w:vAlign w:val="center"/>
            <w:tcMar>
              <w:top w:w="90" w:type="dxa"/>
              <w:start w:w="110" w:type="dxa"/>
              <w:bottom w:w="90" w:type="dxa"/>
              <w:end w:w="110" w:type="dxa"/>
            </w:tcMar>
            <w:shd w:fill="F3F7FA"/>
          </w:tcPr>
          <w:p>
            <w:pPr>
              <w:spacing w:after="0" w:before="0"/>
            </w:pPr>
            <w:r/>
            <w:r>
              <w:rPr>
                <w:rFonts w:ascii="Aptos" w:hAnsi="Aptos"/>
                <w:b w:val="0"/>
                <w:color w:val="18222B"/>
                <w:sz w:val="18"/>
              </w:rPr>
              <w:t>Jurisdiction and geography</w:t>
            </w:r>
          </w:p>
        </w:tc>
        <w:tc>
          <w:tcPr>
            <w:tcW w:type="dxa" w:w="6480"/>
            <w:vAlign w:val="center"/>
            <w:tcMar>
              <w:top w:w="90" w:type="dxa"/>
              <w:start w:w="110" w:type="dxa"/>
              <w:bottom w:w="90" w:type="dxa"/>
              <w:end w:w="110" w:type="dxa"/>
            </w:tcMar>
            <w:shd w:fill="F3F7FA"/>
          </w:tcPr>
          <w:p>
            <w:pPr>
              <w:spacing w:after="0" w:before="0"/>
            </w:pPr>
            <w:r/>
            <w:r>
              <w:rPr>
                <w:rFonts w:ascii="Aptos" w:hAnsi="Aptos"/>
                <w:b w:val="0"/>
                <w:color w:val="18222B"/>
                <w:sz w:val="18"/>
              </w:rPr>
              <w:t>ADDRESS_WITHIN, EMPLOYMENT_WITHIN, INSTITUTION_WITHIN, BOUNDARY_RESOLUTION_VALID</w:t>
            </w:r>
          </w:p>
        </w:tc>
      </w:tr>
      <w:tr>
        <w:tc>
          <w:tcPr>
            <w:tcW w:type="dxa" w:w="3024"/>
            <w:vAlign w:val="center"/>
            <w:tcMar>
              <w:top w:w="90" w:type="dxa"/>
              <w:start w:w="110" w:type="dxa"/>
              <w:bottom w:w="90" w:type="dxa"/>
              <w:end w:w="110" w:type="dxa"/>
            </w:tcMar>
            <w:shd w:fill="FFFFFF"/>
          </w:tcPr>
          <w:p>
            <w:pPr>
              <w:spacing w:after="0" w:before="0"/>
            </w:pPr>
            <w:r/>
            <w:r>
              <w:rPr>
                <w:rFonts w:ascii="Aptos" w:hAnsi="Aptos"/>
                <w:b w:val="0"/>
                <w:color w:val="18222B"/>
                <w:sz w:val="18"/>
              </w:rPr>
              <w:t>Time</w:t>
            </w:r>
          </w:p>
        </w:tc>
        <w:tc>
          <w:tcPr>
            <w:tcW w:type="dxa" w:w="6480"/>
            <w:vAlign w:val="center"/>
            <w:tcMar>
              <w:top w:w="90" w:type="dxa"/>
              <w:start w:w="110" w:type="dxa"/>
              <w:bottom w:w="90" w:type="dxa"/>
              <w:end w:w="110" w:type="dxa"/>
            </w:tcMar>
            <w:shd w:fill="FFFFFF"/>
          </w:tcPr>
          <w:p>
            <w:pPr>
              <w:spacing w:after="0" w:before="0"/>
            </w:pPr>
            <w:r/>
            <w:r>
              <w:rPr>
                <w:rFonts w:ascii="Aptos" w:hAnsi="Aptos"/>
                <w:b w:val="0"/>
                <w:color w:val="18222B"/>
                <w:sz w:val="18"/>
              </w:rPr>
              <w:t>DURATION_AT_LEAST, CUMULATIVE_DAYS_AT_LEAST, ABSENCE_BELOW, FACT_VALID_AT</w:t>
            </w:r>
          </w:p>
        </w:tc>
      </w:tr>
      <w:tr>
        <w:tc>
          <w:tcPr>
            <w:tcW w:type="dxa" w:w="3024"/>
            <w:vAlign w:val="center"/>
            <w:tcMar>
              <w:top w:w="90" w:type="dxa"/>
              <w:start w:w="110" w:type="dxa"/>
              <w:bottom w:w="90" w:type="dxa"/>
              <w:end w:w="110" w:type="dxa"/>
            </w:tcMar>
            <w:shd w:fill="F3F7FA"/>
          </w:tcPr>
          <w:p>
            <w:pPr>
              <w:spacing w:after="0" w:before="0"/>
            </w:pPr>
            <w:r/>
            <w:r>
              <w:rPr>
                <w:rFonts w:ascii="Aptos" w:hAnsi="Aptos"/>
                <w:b w:val="0"/>
                <w:color w:val="18222B"/>
                <w:sz w:val="18"/>
              </w:rPr>
              <w:t>Household</w:t>
            </w:r>
          </w:p>
        </w:tc>
        <w:tc>
          <w:tcPr>
            <w:tcW w:type="dxa" w:w="6480"/>
            <w:vAlign w:val="center"/>
            <w:tcMar>
              <w:top w:w="90" w:type="dxa"/>
              <w:start w:w="110" w:type="dxa"/>
              <w:bottom w:w="90" w:type="dxa"/>
              <w:end w:w="110" w:type="dxa"/>
            </w:tcMar>
            <w:shd w:fill="F3F7FA"/>
          </w:tcPr>
          <w:p>
            <w:pPr>
              <w:spacing w:after="0" w:before="0"/>
            </w:pPr>
            <w:r/>
            <w:r>
              <w:rPr>
                <w:rFonts w:ascii="Aptos" w:hAnsi="Aptos"/>
                <w:b w:val="0"/>
                <w:color w:val="18222B"/>
                <w:sz w:val="18"/>
              </w:rPr>
              <w:t>HOUSEHOLD_MEMBERSHIP_ACTIVE, GUARDIAN_RELATIONSHIP_VALID</w:t>
            </w:r>
          </w:p>
        </w:tc>
      </w:tr>
      <w:tr>
        <w:tc>
          <w:tcPr>
            <w:tcW w:type="dxa" w:w="3024"/>
            <w:vAlign w:val="center"/>
            <w:tcMar>
              <w:top w:w="90" w:type="dxa"/>
              <w:start w:w="110" w:type="dxa"/>
              <w:bottom w:w="90" w:type="dxa"/>
              <w:end w:w="110" w:type="dxa"/>
            </w:tcMar>
            <w:shd w:fill="FFFFFF"/>
          </w:tcPr>
          <w:p>
            <w:pPr>
              <w:spacing w:after="0" w:before="0"/>
            </w:pPr>
            <w:r/>
            <w:r>
              <w:rPr>
                <w:rFonts w:ascii="Aptos" w:hAnsi="Aptos"/>
                <w:b w:val="0"/>
                <w:color w:val="18222B"/>
                <w:sz w:val="18"/>
              </w:rPr>
              <w:t>Evidence</w:t>
            </w:r>
          </w:p>
        </w:tc>
        <w:tc>
          <w:tcPr>
            <w:tcW w:type="dxa" w:w="6480"/>
            <w:vAlign w:val="center"/>
            <w:tcMar>
              <w:top w:w="90" w:type="dxa"/>
              <w:start w:w="110" w:type="dxa"/>
              <w:bottom w:w="90" w:type="dxa"/>
              <w:end w:w="110" w:type="dxa"/>
            </w:tcMar>
            <w:shd w:fill="FFFFFF"/>
          </w:tcPr>
          <w:p>
            <w:pPr>
              <w:spacing w:after="0" w:before="0"/>
            </w:pPr>
            <w:r/>
            <w:r>
              <w:rPr>
                <w:rFonts w:ascii="Aptos" w:hAnsi="Aptos"/>
                <w:b w:val="0"/>
                <w:color w:val="18222B"/>
                <w:sz w:val="18"/>
              </w:rPr>
              <w:t>EVIDENCE_TYPE_PRESENT, EVIDENCE_ASSURANCE_AT_LEAST, EVIDENCE_NOT_EXPIRED</w:t>
            </w:r>
          </w:p>
        </w:tc>
      </w:tr>
      <w:tr>
        <w:tc>
          <w:tcPr>
            <w:tcW w:type="dxa" w:w="3024"/>
            <w:vAlign w:val="center"/>
            <w:tcMar>
              <w:top w:w="90" w:type="dxa"/>
              <w:start w:w="110" w:type="dxa"/>
              <w:bottom w:w="90" w:type="dxa"/>
              <w:end w:w="110" w:type="dxa"/>
            </w:tcMar>
            <w:shd w:fill="F3F7FA"/>
          </w:tcPr>
          <w:p>
            <w:pPr>
              <w:spacing w:after="0" w:before="0"/>
            </w:pPr>
            <w:r/>
            <w:r>
              <w:rPr>
                <w:rFonts w:ascii="Aptos" w:hAnsi="Aptos"/>
                <w:b w:val="0"/>
                <w:color w:val="18222B"/>
                <w:sz w:val="18"/>
              </w:rPr>
              <w:t>Relationship</w:t>
            </w:r>
          </w:p>
        </w:tc>
        <w:tc>
          <w:tcPr>
            <w:tcW w:type="dxa" w:w="6480"/>
            <w:vAlign w:val="center"/>
            <w:tcMar>
              <w:top w:w="90" w:type="dxa"/>
              <w:start w:w="110" w:type="dxa"/>
              <w:bottom w:w="90" w:type="dxa"/>
              <w:end w:w="110" w:type="dxa"/>
            </w:tcMar>
            <w:shd w:fill="F3F7FA"/>
          </w:tcPr>
          <w:p>
            <w:pPr>
              <w:spacing w:after="0" w:before="0"/>
            </w:pPr>
            <w:r/>
            <w:r>
              <w:rPr>
                <w:rFonts w:ascii="Aptos" w:hAnsi="Aptos"/>
                <w:b w:val="0"/>
                <w:color w:val="18222B"/>
                <w:sz w:val="18"/>
              </w:rPr>
              <w:t>NO_ACTIVE_RELATIONSHIP_WITHIN_SCOPE, RELATIONSHIP_STATUS_IS</w:t>
            </w:r>
          </w:p>
        </w:tc>
      </w:tr>
      <w:tr>
        <w:tc>
          <w:tcPr>
            <w:tcW w:type="dxa" w:w="3024"/>
            <w:vAlign w:val="center"/>
            <w:tcMar>
              <w:top w:w="90" w:type="dxa"/>
              <w:start w:w="110" w:type="dxa"/>
              <w:bottom w:w="90" w:type="dxa"/>
              <w:end w:w="110" w:type="dxa"/>
            </w:tcMar>
            <w:shd w:fill="FFFFFF"/>
          </w:tcPr>
          <w:p>
            <w:pPr>
              <w:spacing w:after="0" w:before="0"/>
            </w:pPr>
            <w:r/>
            <w:r>
              <w:rPr>
                <w:rFonts w:ascii="Aptos" w:hAnsi="Aptos"/>
                <w:b w:val="0"/>
                <w:color w:val="18222B"/>
                <w:sz w:val="18"/>
              </w:rPr>
              <w:t>Review and protection</w:t>
            </w:r>
          </w:p>
        </w:tc>
        <w:tc>
          <w:tcPr>
            <w:tcW w:type="dxa" w:w="6480"/>
            <w:vAlign w:val="center"/>
            <w:tcMar>
              <w:top w:w="90" w:type="dxa"/>
              <w:start w:w="110" w:type="dxa"/>
              <w:bottom w:w="90" w:type="dxa"/>
              <w:end w:w="110" w:type="dxa"/>
            </w:tcMar>
            <w:shd w:fill="FFFFFF"/>
          </w:tcPr>
          <w:p>
            <w:pPr>
              <w:spacing w:after="0" w:before="0"/>
            </w:pPr>
            <w:r/>
            <w:r>
              <w:rPr>
                <w:rFonts w:ascii="Aptos" w:hAnsi="Aptos"/>
                <w:b w:val="0"/>
                <w:color w:val="18222B"/>
                <w:sz w:val="18"/>
              </w:rPr>
              <w:t>REQUIRES_HUMAN_REVIEW, VULNERABILITY_FLAG_PRESENT</w:t>
            </w:r>
          </w:p>
        </w:tc>
      </w:tr>
    </w:tbl>
    <w:p>
      <w:pPr>
        <w:spacing w:after="20"/>
      </w:pPr>
    </w:p>
    <w:p>
      <w:r>
        <w:t>Rule packs may compose registered predicates but may not introduce executable code, arbitrary expressions or unknown operators. New predicates require evaluator versioning, security review, documentation and conformance fixtures.</w:t>
      </w:r>
    </w:p>
    <w:p>
      <w:pPr>
        <w:pStyle w:val="Heading2"/>
      </w:pPr>
      <w:r>
        <w:t>4.3 Sealed NationalConstraint and editable RulePack</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448"/>
            <w:vAlign w:val="center"/>
            <w:tcMar>
              <w:top w:w="90" w:type="dxa"/>
              <w:start w:w="110" w:type="dxa"/>
              <w:bottom w:w="90" w:type="dxa"/>
              <w:end w:w="110" w:type="dxa"/>
            </w:tcMar>
            <w:shd w:fill="17324D"/>
          </w:tcPr>
          <w:p>
            <w:pPr>
              <w:spacing w:after="0" w:before="0"/>
            </w:pPr>
            <w:r/>
            <w:r>
              <w:rPr>
                <w:rFonts w:ascii="Aptos" w:hAnsi="Aptos"/>
                <w:b/>
                <w:color w:val="FFFFFF"/>
                <w:sz w:val="18"/>
              </w:rPr>
              <w:t>Layer</w:t>
            </w:r>
          </w:p>
        </w:tc>
        <w:tc>
          <w:tcPr>
            <w:tcW w:type="dxa" w:w="7056"/>
            <w:vAlign w:val="center"/>
            <w:tcMar>
              <w:top w:w="90" w:type="dxa"/>
              <w:start w:w="110" w:type="dxa"/>
              <w:bottom w:w="90" w:type="dxa"/>
              <w:end w:w="110" w:type="dxa"/>
            </w:tcMar>
            <w:shd w:fill="17324D"/>
          </w:tcPr>
          <w:p>
            <w:pPr>
              <w:spacing w:after="0" w:before="0"/>
            </w:pPr>
            <w:r/>
            <w:r>
              <w:rPr>
                <w:rFonts w:ascii="Aptos" w:hAnsi="Aptos"/>
                <w:b/>
                <w:color w:val="FFFFFF"/>
                <w:sz w:val="18"/>
              </w:rPr>
              <w:t>Authority and mutability</w:t>
            </w:r>
          </w:p>
        </w:tc>
      </w:tr>
      <w:tr>
        <w:tc>
          <w:tcPr>
            <w:tcW w:type="dxa" w:w="2448"/>
            <w:vAlign w:val="center"/>
            <w:tcMar>
              <w:top w:w="90" w:type="dxa"/>
              <w:start w:w="110" w:type="dxa"/>
              <w:bottom w:w="90" w:type="dxa"/>
              <w:end w:w="110" w:type="dxa"/>
            </w:tcMar>
            <w:shd w:fill="FFFFFF"/>
          </w:tcPr>
          <w:p>
            <w:pPr>
              <w:spacing w:after="0" w:before="0"/>
            </w:pPr>
            <w:r/>
            <w:r>
              <w:rPr>
                <w:rFonts w:ascii="Aptos" w:hAnsi="Aptos"/>
                <w:b w:val="0"/>
                <w:color w:val="18222B"/>
                <w:sz w:val="18"/>
              </w:rPr>
              <w:t>NationalConstraint</w:t>
            </w:r>
          </w:p>
        </w:tc>
        <w:tc>
          <w:tcPr>
            <w:tcW w:type="dxa" w:w="7056"/>
            <w:vAlign w:val="center"/>
            <w:tcMar>
              <w:top w:w="90" w:type="dxa"/>
              <w:start w:w="110" w:type="dxa"/>
              <w:bottom w:w="90" w:type="dxa"/>
              <w:end w:w="110" w:type="dxa"/>
            </w:tcMar>
            <w:shd w:fill="FFFFFF"/>
          </w:tcPr>
          <w:p>
            <w:pPr>
              <w:spacing w:after="0" w:before="0"/>
            </w:pPr>
            <w:r/>
            <w:r>
              <w:rPr>
                <w:rFonts w:ascii="Aptos" w:hAnsi="Aptos"/>
                <w:b w:val="0"/>
                <w:color w:val="18222B"/>
                <w:sz w:val="18"/>
              </w:rPr>
              <w:t>Signed, sealed constraints established by competent national law or mandatory national standard. Subnational administrators cannot weaken, remove or override them.</w:t>
            </w:r>
          </w:p>
        </w:tc>
      </w:tr>
      <w:tr>
        <w:tc>
          <w:tcPr>
            <w:tcW w:type="dxa" w:w="2448"/>
            <w:vAlign w:val="center"/>
            <w:tcMar>
              <w:top w:w="90" w:type="dxa"/>
              <w:start w:w="110" w:type="dxa"/>
              <w:bottom w:w="90" w:type="dxa"/>
              <w:end w:w="110" w:type="dxa"/>
            </w:tcMar>
            <w:shd w:fill="F3F7FA"/>
          </w:tcPr>
          <w:p>
            <w:pPr>
              <w:spacing w:after="0" w:before="0"/>
            </w:pPr>
            <w:r/>
            <w:r>
              <w:rPr>
                <w:rFonts w:ascii="Aptos" w:hAnsi="Aptos"/>
                <w:b w:val="0"/>
                <w:color w:val="18222B"/>
                <w:sz w:val="18"/>
              </w:rPr>
              <w:t>RulePack</w:t>
            </w:r>
          </w:p>
        </w:tc>
        <w:tc>
          <w:tcPr>
            <w:tcW w:type="dxa" w:w="7056"/>
            <w:vAlign w:val="center"/>
            <w:tcMar>
              <w:top w:w="90" w:type="dxa"/>
              <w:start w:w="110" w:type="dxa"/>
              <w:bottom w:w="90" w:type="dxa"/>
              <w:end w:w="110" w:type="dxa"/>
            </w:tcMar>
            <w:shd w:fill="F3F7FA"/>
          </w:tcPr>
          <w:p>
            <w:pPr>
              <w:spacing w:after="0" w:before="0"/>
            </w:pPr>
            <w:r/>
            <w:r>
              <w:rPr>
                <w:rFonts w:ascii="Aptos" w:hAnsi="Aptos"/>
                <w:b w:val="0"/>
                <w:color w:val="18222B"/>
                <w:sz w:val="18"/>
              </w:rPr>
              <w:t>Versioned subnational rules for a jurisdiction and purpose. Editable only through authorised governance, signing and publication.</w:t>
            </w:r>
          </w:p>
        </w:tc>
      </w:tr>
      <w:tr>
        <w:tc>
          <w:tcPr>
            <w:tcW w:type="dxa" w:w="2448"/>
            <w:vAlign w:val="center"/>
            <w:tcMar>
              <w:top w:w="90" w:type="dxa"/>
              <w:start w:w="110" w:type="dxa"/>
              <w:bottom w:w="90" w:type="dxa"/>
              <w:end w:w="110" w:type="dxa"/>
            </w:tcMar>
            <w:shd w:fill="FFFFFF"/>
          </w:tcPr>
          <w:p>
            <w:pPr>
              <w:spacing w:after="0" w:before="0"/>
            </w:pPr>
            <w:r/>
            <w:r>
              <w:rPr>
                <w:rFonts w:ascii="Aptos" w:hAnsi="Aptos"/>
                <w:b w:val="0"/>
                <w:color w:val="18222B"/>
                <w:sz w:val="18"/>
              </w:rPr>
              <w:t>ProgrammeOverlay</w:t>
            </w:r>
          </w:p>
        </w:tc>
        <w:tc>
          <w:tcPr>
            <w:tcW w:type="dxa" w:w="7056"/>
            <w:vAlign w:val="center"/>
            <w:tcMar>
              <w:top w:w="90" w:type="dxa"/>
              <w:start w:w="110" w:type="dxa"/>
              <w:bottom w:w="90" w:type="dxa"/>
              <w:end w:w="110" w:type="dxa"/>
            </w:tcMar>
            <w:shd w:fill="FFFFFF"/>
          </w:tcPr>
          <w:p>
            <w:pPr>
              <w:spacing w:after="0" w:before="0"/>
            </w:pPr>
            <w:r/>
            <w:r>
              <w:rPr>
                <w:rFonts w:ascii="Aptos" w:hAnsi="Aptos"/>
                <w:b w:val="0"/>
                <w:color w:val="18222B"/>
                <w:sz w:val="18"/>
              </w:rPr>
              <w:t>Optional sector or programme conditions that may narrow eligibility but cannot redefine identity, residency or breach national floors.</w:t>
            </w:r>
          </w:p>
        </w:tc>
      </w:tr>
      <w:tr>
        <w:tc>
          <w:tcPr>
            <w:tcW w:type="dxa" w:w="2448"/>
            <w:vAlign w:val="center"/>
            <w:tcMar>
              <w:top w:w="90" w:type="dxa"/>
              <w:start w:w="110" w:type="dxa"/>
              <w:bottom w:w="90" w:type="dxa"/>
              <w:end w:w="110" w:type="dxa"/>
            </w:tcMar>
            <w:shd w:fill="F3F7FA"/>
          </w:tcPr>
          <w:p>
            <w:pPr>
              <w:spacing w:after="0" w:before="0"/>
            </w:pPr>
            <w:r/>
            <w:r>
              <w:rPr>
                <w:rFonts w:ascii="Aptos" w:hAnsi="Aptos"/>
                <w:b w:val="0"/>
                <w:color w:val="18222B"/>
                <w:sz w:val="18"/>
              </w:rPr>
              <w:t>Runtime facts</w:t>
            </w:r>
          </w:p>
        </w:tc>
        <w:tc>
          <w:tcPr>
            <w:tcW w:type="dxa" w:w="7056"/>
            <w:vAlign w:val="center"/>
            <w:tcMar>
              <w:top w:w="90" w:type="dxa"/>
              <w:start w:w="110" w:type="dxa"/>
              <w:bottom w:w="90" w:type="dxa"/>
              <w:end w:w="110" w:type="dxa"/>
            </w:tcMar>
            <w:shd w:fill="F3F7FA"/>
          </w:tcPr>
          <w:p>
            <w:pPr>
              <w:spacing w:after="0" w:before="0"/>
            </w:pPr>
            <w:r/>
            <w:r>
              <w:rPr>
                <w:rFonts w:ascii="Aptos" w:hAnsi="Aptos"/>
                <w:b w:val="0"/>
                <w:color w:val="18222B"/>
                <w:sz w:val="18"/>
              </w:rPr>
              <w:t>Normalised evidence supplied for one evaluation. Immutable within the trace.</w:t>
            </w:r>
          </w:p>
        </w:tc>
      </w:tr>
    </w:tbl>
    <w:p>
      <w:pPr>
        <w:spacing w:after="20"/>
      </w:pPr>
    </w:p>
    <w:tbl>
      <w:tblPr>
        <w:tblW w:type="auto" w:w="0"/>
        <w:tblLook w:firstColumn="1" w:firstRow="1" w:lastColumn="0" w:lastRow="0" w:noHBand="0" w:noVBand="1" w:val="04A0"/>
      </w:tblPr>
      <w:tblGrid>
        <w:gridCol w:w="10166"/>
      </w:tblGrid>
      <w:tr>
        <w:tc>
          <w:tcPr>
            <w:tcW w:type="dxa" w:w="10166"/>
            <w:shd w:fill="F1F4F6"/>
            <w:tcMar>
              <w:top w:w="110" w:type="dxa"/>
              <w:start w:w="130" w:type="dxa"/>
              <w:bottom w:w="110" w:type="dxa"/>
              <w:end w:w="130" w:type="dxa"/>
            </w:tcMar>
          </w:tcPr>
          <w:p>
            <w:r>
              <w:t>PolicyBundle {</w:t>
              <w:br/>
              <w:t xml:space="preserve">  nationalConstraints[]   // sealed; verified signature required</w:t>
              <w:br/>
              <w:t xml:space="preserve">  rulePack                // jurisdiction + purpose; signed and versioned</w:t>
              <w:br/>
              <w:t xml:space="preserve">  programmeOverlay?       // optional, cannot weaken floors</w:t>
              <w:br/>
              <w:t xml:space="preserve">  aggregationRuleId</w:t>
              <w:br/>
              <w:t xml:space="preserve">  aggregationRuleVersion</w:t>
              <w:br/>
              <w:t xml:space="preserve">  aggregationRuleDefinitionHash</w:t>
              <w:br/>
              <w:t xml:space="preserve">  evaluatorVersion</w:t>
              <w:br/>
              <w:t xml:space="preserve">  vocabularyVersion</w:t>
              <w:br/>
              <w:t>}</w:t>
            </w:r>
          </w:p>
        </w:tc>
      </w:tr>
    </w:tbl>
    <w:p>
      <w:pPr>
        <w:pStyle w:val="Heading2"/>
      </w:pPr>
      <w:r>
        <w:t>4.4 Floor invariants</w:t>
      </w:r>
    </w:p>
    <w:p>
      <w:pPr>
        <w:pStyle w:val="ListBullet"/>
        <w:spacing w:after="60"/>
      </w:pPr>
      <w:r>
        <w:t>No automatic rejection when a mandatory protection rule requires human review.</w:t>
      </w:r>
    </w:p>
    <w:p>
      <w:pPr>
        <w:pStyle w:val="ListBullet"/>
        <w:spacing w:after="60"/>
      </w:pPr>
      <w:r>
        <w:t>No rule may infer citizenship, indigene status, origin, ethnicity, immigration status or tax liability from residency evidence.</w:t>
      </w:r>
    </w:p>
    <w:p>
      <w:pPr>
        <w:pStyle w:val="ListBullet"/>
        <w:spacing w:after="60"/>
      </w:pPr>
      <w:r>
        <w:t>No utility bill may be the sole universal evidence route.</w:t>
      </w:r>
    </w:p>
    <w:p>
      <w:pPr>
        <w:pStyle w:val="ListBullet"/>
        <w:spacing w:after="60"/>
      </w:pPr>
      <w:r>
        <w:t>Expired, revoked or unverifiable evidence cannot satisfy a clause.</w:t>
      </w:r>
    </w:p>
    <w:p>
      <w:pPr>
        <w:pStyle w:val="ListBullet"/>
        <w:spacing w:after="60"/>
      </w:pPr>
      <w:r>
        <w:t>A lower-level pack cannot reduce nationally mandated privacy, appeal, inclusion or assurance protections.</w:t>
      </w:r>
    </w:p>
    <w:p>
      <w:pPr>
        <w:pStyle w:val="ListBullet"/>
        <w:spacing w:after="60"/>
      </w:pPr>
      <w:r>
        <w:t>Every negative decision exposes machine-readable reason codes and an applicable review or appeal route.</w:t>
      </w:r>
    </w:p>
    <w:p>
      <w:pPr>
        <w:pStyle w:val="Heading2"/>
      </w:pPr>
      <w:r>
        <w:t>4.5 DecisionTrace is the product</w:t>
      </w:r>
    </w:p>
    <w:tbl>
      <w:tblPr>
        <w:tblW w:type="auto" w:w="0"/>
        <w:tblLook w:firstColumn="1" w:firstRow="1" w:lastColumn="0" w:lastRow="0" w:noHBand="0" w:noVBand="1" w:val="04A0"/>
      </w:tblPr>
      <w:tblGrid>
        <w:gridCol w:w="10166"/>
      </w:tblGrid>
      <w:tr>
        <w:tc>
          <w:tcPr>
            <w:tcW w:type="dxa" w:w="10166"/>
            <w:shd w:fill="F1F4F6"/>
            <w:tcMar>
              <w:top w:w="110" w:type="dxa"/>
              <w:start w:w="130" w:type="dxa"/>
              <w:bottom w:w="110" w:type="dxa"/>
              <w:end w:w="130" w:type="dxa"/>
            </w:tcMar>
          </w:tcPr>
          <w:p>
            <w:r>
              <w:t>DecisionTrace {</w:t>
              <w:br/>
              <w:t xml:space="preserve">  traceId</w:t>
              <w:br/>
              <w:t xml:space="preserve">  requestHash</w:t>
              <w:br/>
              <w:t xml:space="preserve">  personReference</w:t>
              <w:br/>
              <w:t xml:space="preserve">  jurisdictionId</w:t>
              <w:br/>
              <w:t xml:space="preserve">  purposeCode</w:t>
              <w:br/>
              <w:t xml:space="preserve">  policyBundleHash</w:t>
              <w:br/>
              <w:t xml:space="preserve">  nationalConstraintVersions[]</w:t>
              <w:br/>
              <w:t xml:space="preserve">  rulePackId</w:t>
              <w:br/>
              <w:t xml:space="preserve">  rulePackVersion</w:t>
              <w:br/>
              <w:t xml:space="preserve">  aggregationRuleId</w:t>
              <w:br/>
              <w:t xml:space="preserve">  aggregationRuleVersion</w:t>
              <w:br/>
              <w:t xml:space="preserve">  evaluatorVersion</w:t>
              <w:br/>
              <w:t xml:space="preserve">  vocabularyVersion</w:t>
              <w:br/>
              <w:t xml:space="preserve">  normalizedFactSnapshotHash</w:t>
              <w:br/>
              <w:t xml:space="preserve">  evidenceReferences[]</w:t>
              <w:br/>
              <w:t xml:space="preserve">  clauseResults[]  // clauseClass, state, inputs, predicate, reason codes</w:t>
              <w:br/>
              <w:t xml:space="preserve">  floorInvariantChecks[]</w:t>
              <w:br/>
              <w:t xml:space="preserve">  outcome</w:t>
              <w:br/>
              <w:t xml:space="preserve">  outcomeReasonCodes[]</w:t>
              <w:br/>
              <w:t xml:space="preserve">  humanInterventions[]</w:t>
              <w:br/>
              <w:t xml:space="preserve">  createdAt</w:t>
              <w:br/>
              <w:t xml:space="preserve">  signature</w:t>
              <w:br/>
              <w:t>}</w:t>
            </w:r>
          </w:p>
        </w:tc>
      </w:tr>
    </w:tbl>
    <w:p>
      <w:r>
        <w:t>A decision is valid only if the trace is persisted atomically with it. Operational logs may supplement the trace but cannot substitute for it.</w:t>
      </w:r>
    </w:p>
    <w:p>
      <w:pPr>
        <w:pStyle w:val="Heading2"/>
      </w:pPr>
      <w:r>
        <w:t>4.6 Closed DecisionOutcome vocabulary and aggregation</w:t>
      </w:r>
    </w:p>
    <w:p>
      <w:pPr/>
      <w:r>
        <w:t>Clause states describe individual legal requirements. DecisionOutcome describes the aggregate determination. Outcomes are closed vocabulary values and may not be invented by policy packs, APIs, events, credentials or implementation agents.</w:t>
      </w:r>
    </w:p>
    <w:tbl>
      <w:tblPr>
        <w:tblStyle w:val="TableGrid"/>
        <w:tblW w:type="auto" w:w="0"/>
        <w:tblLook w:firstColumn="1" w:firstRow="1" w:lastColumn="0" w:lastRow="0" w:noHBand="0" w:noVBand="1" w:val="04A0"/>
      </w:tblPr>
      <w:tblGrid>
        <w:gridCol w:w="5083"/>
        <w:gridCol w:w="5083"/>
      </w:tblGrid>
      <w:tr>
        <w:tc>
          <w:tcPr>
            <w:tcW w:type="dxa" w:w="2448"/>
          </w:tcPr>
          <w:p>
            <w:pPr>
              <w:spacing w:after="40"/>
            </w:pPr>
            <w:r>
              <w:t>Outcome</w:t>
            </w:r>
          </w:p>
        </w:tc>
        <w:tc>
          <w:tcPr>
            <w:tcW w:type="dxa" w:w="6912"/>
          </w:tcPr>
          <w:p>
            <w:pPr>
              <w:spacing w:after="40"/>
            </w:pPr>
            <w:r>
              <w:t>Meaning</w:t>
            </w:r>
          </w:p>
        </w:tc>
      </w:tr>
      <w:tr>
        <w:tc>
          <w:tcPr>
            <w:tcW w:type="dxa" w:w="2448"/>
          </w:tcPr>
          <w:p>
            <w:pPr>
              <w:spacing w:after="40"/>
            </w:pPr>
            <w:r>
              <w:t>APPROVED</w:t>
            </w:r>
          </w:p>
        </w:tc>
        <w:tc>
          <w:tcPr>
            <w:tcW w:type="dxa" w:w="6912"/>
          </w:tcPr>
          <w:p>
            <w:pPr>
              <w:spacing w:after="40"/>
            </w:pPr>
            <w:r>
              <w:t>All outcome-determinative mandatory clauses are SATISFIED, DISCHARGED or NOT_APPLICABLE; no unresolved blocker remains.</w:t>
            </w:r>
          </w:p>
        </w:tc>
      </w:tr>
      <w:tr>
        <w:tc>
          <w:tcPr>
            <w:tcW w:type="dxa" w:w="2448"/>
          </w:tcPr>
          <w:p>
            <w:pPr>
              <w:spacing w:after="40"/>
            </w:pPr>
            <w:r>
              <w:t>CONDITIONALLY_APPROVED</w:t>
            </w:r>
          </w:p>
        </w:tc>
        <w:tc>
          <w:tcPr>
            <w:tcW w:type="dxa" w:w="6912"/>
          </w:tcPr>
          <w:p>
            <w:pPr>
              <w:spacing w:after="40"/>
            </w:pPr>
            <w:r>
              <w:t>Approval is legally permitted subject to explicit, recorded conditions, expiry, follow-up evidence or authorised officer action.</w:t>
            </w:r>
          </w:p>
        </w:tc>
      </w:tr>
      <w:tr>
        <w:tc>
          <w:tcPr>
            <w:tcW w:type="dxa" w:w="2448"/>
          </w:tcPr>
          <w:p>
            <w:pPr>
              <w:spacing w:after="40"/>
            </w:pPr>
            <w:r>
              <w:t>NOT_APPROVED</w:t>
            </w:r>
          </w:p>
        </w:tc>
        <w:tc>
          <w:tcPr>
            <w:tcW w:type="dxa" w:w="6912"/>
          </w:tcPr>
          <w:p>
            <w:pPr>
              <w:spacing w:after="40"/>
            </w:pPr>
            <w:r>
              <w:t>At least one mandatory clause is NOT_SATISFIED and no lawful discharge, exception or mandatory-review rule changes the result.</w:t>
            </w:r>
          </w:p>
        </w:tc>
      </w:tr>
      <w:tr>
        <w:tc>
          <w:tcPr>
            <w:tcW w:type="dxa" w:w="2448"/>
          </w:tcPr>
          <w:p>
            <w:pPr>
              <w:spacing w:after="40"/>
            </w:pPr>
            <w:r>
              <w:t>MANUAL_REVIEW_REQUIRED</w:t>
            </w:r>
          </w:p>
        </w:tc>
        <w:tc>
          <w:tcPr>
            <w:tcW w:type="dxa" w:w="6912"/>
          </w:tcPr>
          <w:p>
            <w:pPr>
              <w:spacing w:after="40"/>
            </w:pPr>
            <w:r>
              <w:t>A final automated determination is prohibited because policy or a floor invariant requires authorised human review.</w:t>
            </w:r>
          </w:p>
        </w:tc>
      </w:tr>
      <w:tr>
        <w:tc>
          <w:tcPr>
            <w:tcW w:type="dxa" w:w="2448"/>
          </w:tcPr>
          <w:p>
            <w:pPr>
              <w:spacing w:after="40"/>
            </w:pPr>
            <w:r>
              <w:t>DEFERRED</w:t>
            </w:r>
          </w:p>
        </w:tc>
        <w:tc>
          <w:tcPr>
            <w:tcW w:type="dxa" w:w="6912"/>
          </w:tcPr>
          <w:p>
            <w:pPr>
              <w:spacing w:after="40"/>
            </w:pPr>
            <w:r>
              <w:t>A final decision cannot yet be made because required evidence, an external determination or a temporal condition remains pending.</w:t>
            </w:r>
          </w:p>
        </w:tc>
      </w:tr>
      <w:tr>
        <w:tc>
          <w:tcPr>
            <w:tcW w:type="dxa" w:w="2448"/>
          </w:tcPr>
          <w:p>
            <w:pPr>
              <w:spacing w:after="40"/>
            </w:pPr>
            <w:r>
              <w:t>CANCELLED</w:t>
            </w:r>
          </w:p>
        </w:tc>
        <w:tc>
          <w:tcPr>
            <w:tcW w:type="dxa" w:w="6912"/>
          </w:tcPr>
          <w:p>
            <w:pPr>
              <w:spacing w:after="40"/>
            </w:pPr>
            <w:r>
              <w:t>The evaluation ended without a merits determination because the request was withdrawn, superseded, duplicated or administratively terminated.</w:t>
            </w:r>
          </w:p>
        </w:tc>
      </w:tr>
    </w:tbl>
    <w:p/>
    <w:p>
      <w:pPr>
        <w:pStyle w:val="Heading3"/>
      </w:pPr>
      <w:r>
        <w:t>4.6.1 Closed ClauseClass vocabulary</w:t>
      </w:r>
    </w:p>
    <w:p>
      <w:r>
        <w:t>Every evaluated clause carries a registered clauseClass. ClauseClass is a closed vocabulary, is pinned by vocabularyVersion and must be present in clauseResults so the trace explains why the clause contributed to the aggregate outcome.</w:t>
      </w:r>
    </w:p>
    <w:tbl>
      <w:tblPr>
        <w:tblStyle w:val="TableGrid"/>
        <w:tblW w:type="auto" w:w="0"/>
        <w:tblLook w:firstColumn="1" w:firstRow="1" w:lastColumn="0" w:lastRow="0" w:noHBand="0" w:noVBand="1" w:val="04A0"/>
      </w:tblPr>
      <w:tblGrid>
        <w:gridCol w:w="5083"/>
        <w:gridCol w:w="5083"/>
      </w:tblGrid>
      <w:tr>
        <w:tc>
          <w:tcPr>
            <w:tcW w:type="dxa" w:w="5083"/>
          </w:tcPr>
          <w:p>
            <w:r>
              <w:t>ClauseClass</w:t>
            </w:r>
          </w:p>
        </w:tc>
        <w:tc>
          <w:tcPr>
            <w:tcW w:type="dxa" w:w="5083"/>
          </w:tcPr>
          <w:p>
            <w:r>
              <w:t>Aggregation meaning</w:t>
            </w:r>
          </w:p>
        </w:tc>
      </w:tr>
      <w:tr>
        <w:tc>
          <w:tcPr>
            <w:tcW w:type="dxa" w:w="5083"/>
          </w:tcPr>
          <w:p>
            <w:r>
              <w:t>MANDATORY</w:t>
            </w:r>
          </w:p>
        </w:tc>
        <w:tc>
          <w:tcPr>
            <w:tcW w:type="dxa" w:w="5083"/>
          </w:tcPr>
          <w:p>
            <w:r>
              <w:t>A determinative legal or policy requirement. NOT_SATISFIED normally blocks approval unless a floor invariant or protection rule mandates review. INDETERMINATE maps to review or deferral according to the registered consequence mapping.</w:t>
            </w:r>
          </w:p>
        </w:tc>
      </w:tr>
      <w:tr>
        <w:tc>
          <w:tcPr>
            <w:tcW w:type="dxa" w:w="5083"/>
          </w:tcPr>
          <w:p>
            <w:r>
              <w:t>CONDITIONAL</w:t>
            </w:r>
          </w:p>
        </w:tc>
        <w:tc>
          <w:tcPr>
            <w:tcW w:type="dxa" w:w="5083"/>
          </w:tcPr>
          <w:p>
            <w:r>
              <w:t>A requirement whose consequence depends on an explicit registered mapping, such as conditional approval, review or deferral. It cannot invent a new outcome.</w:t>
            </w:r>
          </w:p>
        </w:tc>
      </w:tr>
      <w:tr>
        <w:tc>
          <w:tcPr>
            <w:tcW w:type="dxa" w:w="5083"/>
          </w:tcPr>
          <w:p>
            <w:r>
              <w:t>ADVISORY</w:t>
            </w:r>
          </w:p>
        </w:tc>
        <w:tc>
          <w:tcPr>
            <w:tcW w:type="dxa" w:w="5083"/>
          </w:tcPr>
          <w:p>
            <w:r>
              <w:t>A non-determinative clause that may create warnings, referrals or monitoring conditions but cannot independently produce NOT_APPROVED.</w:t>
            </w:r>
          </w:p>
        </w:tc>
      </w:tr>
    </w:tbl>
    <w:p>
      <w:pPr>
        <w:pStyle w:val="Heading3"/>
      </w:pPr>
      <w:r>
        <w:t>Deterministic aggregation rules</w:t>
      </w:r>
    </w:p>
    <w:p>
      <w:pPr>
        <w:pStyle w:val="ListBullet"/>
      </w:pPr>
      <w:r>
        <w:t>NOT_APPLICABLE contributes neither positively nor negatively because the clause never engaged.</w:t>
      </w:r>
    </w:p>
    <w:p>
      <w:pPr>
        <w:pStyle w:val="ListBullet"/>
      </w:pPr>
      <w:r>
        <w:t>DISCHARGED counts as legally resolved for aggregation, but the trace must record the discharge route, authority, legal-basis reference and reason code. It must never be rewritten as SATISFIED.</w:t>
      </w:r>
    </w:p>
    <w:p>
      <w:pPr>
        <w:pStyle w:val="ListBullet"/>
      </w:pPr>
      <w:r>
        <w:t>A mandatory NOT_SATISFIED clause normally produces NOT_APPROVED. However, when a floor invariant or registered protection rule requires human review, MANUAL_REVIEW_REQUIRED is mandatory and cannot be overridden by a RulePack, ProgrammeOverlay or ordinary aggregation precedence.</w:t>
      </w:r>
    </w:p>
    <w:p>
      <w:pPr>
        <w:pStyle w:val="ListBullet"/>
      </w:pPr>
      <w:r>
        <w:t>A mandatory INDETERMINATE clause produces MANUAL_REVIEW_REQUIRED when review is required, or DEFERRED when evidence, time or an external determination is pending.</w:t>
      </w:r>
    </w:p>
    <w:p>
      <w:pPr>
        <w:pStyle w:val="ListBullet"/>
      </w:pPr>
      <w:r>
        <w:t>Conditional clauses may produce CONDITIONALLY_APPROVED, MANUAL_REVIEW_REQUIRED or DEFERRED only through a registered clause-consequence mapping.</w:t>
      </w:r>
    </w:p>
    <w:p>
      <w:pPr>
        <w:pStyle w:val="ListBullet"/>
      </w:pPr>
      <w:r>
        <w:t>Advisory clauses may generate warnings, referrals or monitoring conditions but may not independently produce NOT_APPROVED.</w:t>
      </w:r>
    </w:p>
    <w:p>
      <w:pPr>
        <w:pStyle w:val="ListBullet"/>
      </w:pPr>
      <w:r>
        <w:t>CANCELLED takes precedence because no merits decision exists. For merits processing, MANUAL_REVIEW_REQUIRED takes precedence over NOT_APPROVED whenever the review requirement originates from a floor invariant or registered protection rule. In all other cases, NOT_APPROVED takes precedence over MANUAL_REVIEW_REQUIRED, followed by DEFERRED, CONDITIONALLY_APPROVED and APPROVED. The policy compiler must reject ambiguous, contradictory or unmapped combinations.</w:t>
      </w:r>
    </w:p>
    <w:p>
      <w:pPr/>
      <w:r>
        <w:t>Every DecisionTrace must include outcome, outcomeReasonCodes[], aggregationRuleId, aggregationRuleVersion and vocabularyVersion. The outcome must be reproducible from the pinned policy bundle, including its aggregation rule, together with the evidence snapshot and clause results.</w:t>
      </w:r>
    </w:p>
    <w:p>
      <w:pPr>
        <w:pStyle w:val="Heading2"/>
      </w:pPr>
      <w:r>
        <w:t>4.7 Vocabulary versioning and historical replay</w:t>
      </w:r>
    </w:p>
    <w:p>
      <w:pPr/>
      <w:r>
        <w:t>Closed vocabularies are semantically versioned. Historical decisions are interpreted and replayed under the exact vocabulary version pinned in their DecisionTrace; they are never silently reinterpreted under a later vocabulary.</w:t>
      </w:r>
    </w:p>
    <w:tbl>
      <w:tblPr>
        <w:tblStyle w:val="TableGrid"/>
        <w:tblW w:type="auto" w:w="0"/>
        <w:tblLook w:firstColumn="1" w:firstRow="1" w:lastColumn="0" w:lastRow="0" w:noHBand="0" w:noVBand="1" w:val="04A0"/>
      </w:tblPr>
      <w:tblGrid>
        <w:gridCol w:w="5083"/>
        <w:gridCol w:w="5083"/>
      </w:tblGrid>
      <w:tr>
        <w:tc>
          <w:tcPr>
            <w:tcW w:type="dxa" w:w="1872"/>
          </w:tcPr>
          <w:p>
            <w:pPr>
              <w:spacing w:after="40"/>
            </w:pPr>
            <w:r>
              <w:t>Change</w:t>
            </w:r>
          </w:p>
        </w:tc>
        <w:tc>
          <w:tcPr>
            <w:tcW w:type="dxa" w:w="7488"/>
          </w:tcPr>
          <w:p>
            <w:pPr>
              <w:spacing w:after="40"/>
            </w:pPr>
            <w:r>
              <w:t>Required version treatment</w:t>
            </w:r>
          </w:p>
        </w:tc>
      </w:tr>
      <w:tr>
        <w:tc>
          <w:tcPr>
            <w:tcW w:type="dxa" w:w="1872"/>
          </w:tcPr>
          <w:p>
            <w:pPr>
              <w:spacing w:after="40"/>
            </w:pPr>
            <w:r>
              <w:t>PATCH</w:t>
            </w:r>
          </w:p>
        </w:tc>
        <w:tc>
          <w:tcPr>
            <w:tcW w:type="dxa" w:w="7488"/>
          </w:tcPr>
          <w:p>
            <w:pPr>
              <w:spacing w:after="40"/>
            </w:pPr>
            <w:r>
              <w:t>Editorial clarification or metadata correction that does not alter machine behaviour.</w:t>
            </w:r>
          </w:p>
        </w:tc>
      </w:tr>
      <w:tr>
        <w:tc>
          <w:tcPr>
            <w:tcW w:type="dxa" w:w="1872"/>
          </w:tcPr>
          <w:p>
            <w:pPr>
              <w:spacing w:after="40"/>
            </w:pPr>
            <w:r>
              <w:t>MINOR</w:t>
            </w:r>
          </w:p>
        </w:tc>
        <w:tc>
          <w:tcPr>
            <w:tcW w:type="dxa" w:w="7488"/>
          </w:tcPr>
          <w:p>
            <w:pPr>
              <w:spacing w:after="40"/>
            </w:pPr>
            <w:r>
              <w:t>Backward-compatible addition that conformant consumers are explicitly designed to ignore safely.</w:t>
            </w:r>
          </w:p>
        </w:tc>
      </w:tr>
      <w:tr>
        <w:tc>
          <w:tcPr>
            <w:tcW w:type="dxa" w:w="1872"/>
          </w:tcPr>
          <w:p>
            <w:pPr>
              <w:spacing w:after="40"/>
            </w:pPr>
            <w:r>
              <w:t>MAJOR</w:t>
            </w:r>
          </w:p>
        </w:tc>
        <w:tc>
          <w:tcPr>
            <w:tcW w:type="dxa" w:w="7488"/>
          </w:tcPr>
          <w:p>
            <w:pPr>
              <w:spacing w:after="40"/>
            </w:pPr>
            <w:r>
              <w:t>Any addition, removal, rename or semantic change to an exhaustive closed vocabulary, including clause states and DecisionOutcome values.</w:t>
            </w:r>
          </w:p>
        </w:tc>
      </w:tr>
    </w:tbl>
    <w:p>
      <w:pPr>
        <w:pStyle w:val="ListBullet"/>
      </w:pPr>
      <w:r>
        <w:t>Adding INDETERMINATE to a four-state clause vocabulary requires a major vocabulary-version increment unless repository inventory proves the state already exists in the deployed contract.</w:t>
      </w:r>
    </w:p>
    <w:p>
      <w:pPr>
        <w:pStyle w:val="ListBullet"/>
      </w:pPr>
      <w:r>
        <w:t>A policy pack must declare the vocabulary major version it requires. Activation fails when the evaluator or a mandatory consumer does not support that major version.</w:t>
      </w:r>
    </w:p>
    <w:p>
      <w:pPr>
        <w:pStyle w:val="ListBullet"/>
      </w:pPr>
      <w:r>
        <w:t>A migration may create a new decision under a newer vocabulary, but it must not mutate or reinterpret the historical trace.</w:t>
      </w:r>
    </w:p>
    <w:p>
      <w:pPr>
        <w:pStyle w:val="ListBullet"/>
      </w:pPr>
      <w:r>
        <w:t>SDKs, event schemas, database constraints and analytics consumers must publish compatibility declarations for each supported vocabulary major version.</w:t>
      </w:r>
    </w:p>
    <w:p>
      <w:pPr>
        <w:pStyle w:val="Heading2"/>
      </w:pPr>
      <w:r>
        <w:t>4.8 DecisionTrace governance, access and privacy</w:t>
      </w:r>
    </w:p>
    <w:p>
      <w:r>
        <w:t>DecisionTrace is a protected decision record, not a general analytics object. It may contain sensitive purpose, vulnerability, evidence, household and jurisdiction information even when the public decision is minimal.</w:t>
      </w:r>
    </w:p>
    <w:p>
      <w:r>
        <w:t>GET /traces/{id} must return a named representation profile—not an undefined “authorised trace.” The API must require a declared purpose and legal-basis or subject-access context, and must apply the corresponding redaction policy.</w:t>
      </w:r>
    </w:p>
    <w:tbl>
      <w:tblPr>
        <w:tblStyle w:val="TableGrid"/>
        <w:tblW w:type="auto" w:w="0"/>
        <w:jc w:val="center"/>
        <w:tblLook w:firstColumn="1" w:firstRow="1" w:lastColumn="0" w:lastRow="0" w:noHBand="0" w:noVBand="1" w:val="04A0"/>
      </w:tblPr>
      <w:tblGrid>
        <w:gridCol w:w="5083"/>
        <w:gridCol w:w="5083"/>
      </w:tblGrid>
      <w:tr>
        <w:tc>
          <w:tcPr>
            <w:tcW w:type="dxa" w:w="2448"/>
            <w:vAlign w:val="center"/>
          </w:tcPr>
          <w:p>
            <w:pPr>
              <w:spacing w:after="40" w:before="40"/>
            </w:pPr>
            <w:r>
              <w:t>Control</w:t>
            </w:r>
          </w:p>
        </w:tc>
        <w:tc>
          <w:tcPr>
            <w:tcW w:type="dxa" w:w="8352"/>
            <w:vAlign w:val="center"/>
          </w:tcPr>
          <w:p>
            <w:pPr>
              <w:spacing w:after="40" w:before="40"/>
            </w:pPr>
            <w:r>
              <w:t>Mandatory requirement</w:t>
            </w:r>
          </w:p>
        </w:tc>
      </w:tr>
      <w:tr>
        <w:tc>
          <w:tcPr>
            <w:tcW w:type="dxa" w:w="2448"/>
            <w:vAlign w:val="center"/>
          </w:tcPr>
          <w:p>
            <w:pPr>
              <w:spacing w:after="40" w:before="40"/>
            </w:pPr>
            <w:r>
              <w:t>Authorisation</w:t>
            </w:r>
          </w:p>
        </w:tc>
        <w:tc>
          <w:tcPr>
            <w:tcW w:type="dxa" w:w="8352"/>
            <w:vAlign w:val="center"/>
          </w:tcPr>
          <w:p>
            <w:pPr>
              <w:spacing w:after="40" w:before="40"/>
            </w:pPr>
            <w:r>
              <w:t>Access is evaluated by subject, role, purpose, legal basis, jurisdiction and trace field. Possession of a trace ID is never sufficient.</w:t>
            </w:r>
          </w:p>
        </w:tc>
      </w:tr>
      <w:tr>
        <w:tc>
          <w:tcPr>
            <w:tcW w:type="dxa" w:w="2448"/>
            <w:vAlign w:val="center"/>
          </w:tcPr>
          <w:p>
            <w:pPr>
              <w:spacing w:after="40" w:before="40"/>
            </w:pPr>
            <w:r>
              <w:t>Resident access</w:t>
            </w:r>
          </w:p>
        </w:tc>
        <w:tc>
          <w:tcPr>
            <w:tcW w:type="dxa" w:w="8352"/>
            <w:vAlign w:val="center"/>
          </w:tcPr>
          <w:p>
            <w:pPr>
              <w:spacing w:after="40" w:before="40"/>
            </w:pPr>
            <w:r>
              <w:t>The subject may request an intelligible trace representation, reasons, evidence categories, policy version and human interventions, subject to lawful exemptions and third-party redaction.</w:t>
            </w:r>
          </w:p>
        </w:tc>
      </w:tr>
      <w:tr>
        <w:tc>
          <w:tcPr>
            <w:tcW w:type="dxa" w:w="2448"/>
            <w:vAlign w:val="center"/>
          </w:tcPr>
          <w:p>
            <w:pPr>
              <w:spacing w:after="40" w:before="40"/>
            </w:pPr>
            <w:r>
              <w:t>Officer and reviewer access</w:t>
            </w:r>
          </w:p>
        </w:tc>
        <w:tc>
          <w:tcPr>
            <w:tcW w:type="dxa" w:w="8352"/>
            <w:vAlign w:val="center"/>
          </w:tcPr>
          <w:p>
            <w:pPr>
              <w:spacing w:after="40" w:before="40"/>
            </w:pPr>
            <w:r>
              <w:t>Only authorised case, appeal, audit or oversight roles may access full traces; field-level controls suppress unrelated sensitive attributes.</w:t>
            </w:r>
          </w:p>
        </w:tc>
      </w:tr>
      <w:tr>
        <w:tc>
          <w:tcPr>
            <w:tcW w:type="dxa" w:w="2448"/>
            <w:vAlign w:val="center"/>
          </w:tcPr>
          <w:p>
            <w:pPr>
              <w:spacing w:after="40" w:before="40"/>
            </w:pPr>
            <w:r>
              <w:t>Redaction profiles</w:t>
            </w:r>
          </w:p>
        </w:tc>
        <w:tc>
          <w:tcPr>
            <w:tcW w:type="dxa" w:w="8352"/>
            <w:vAlign w:val="center"/>
          </w:tcPr>
          <w:p>
            <w:pPr>
              <w:spacing w:after="40" w:before="40"/>
            </w:pPr>
            <w:r>
              <w:t>Public, subject, sector, reviewer and audit representations are separately defined. HUMANITARIAN_PRESENCE, vulnerability flags, exact addresses and sensitive evidence references are masked unless expressly authorised.</w:t>
            </w:r>
          </w:p>
        </w:tc>
      </w:tr>
      <w:tr>
        <w:tc>
          <w:tcPr>
            <w:tcW w:type="dxa" w:w="2448"/>
            <w:vAlign w:val="center"/>
          </w:tcPr>
          <w:p>
            <w:pPr>
              <w:spacing w:after="40" w:before="40"/>
            </w:pPr>
            <w:r>
              <w:t>Retention</w:t>
            </w:r>
          </w:p>
        </w:tc>
        <w:tc>
          <w:tcPr>
            <w:tcW w:type="dxa" w:w="8352"/>
            <w:vAlign w:val="center"/>
          </w:tcPr>
          <w:p>
            <w:pPr>
              <w:spacing w:after="40" w:before="40"/>
            </w:pPr>
            <w:r>
              <w:t>Retention is defined by decision type, legal basis, appeal period and evidence category. Expiry triggers archival, deletion or irreversible de-identification according to policy.</w:t>
            </w:r>
          </w:p>
        </w:tc>
      </w:tr>
      <w:tr>
        <w:tc>
          <w:tcPr>
            <w:tcW w:type="dxa" w:w="2448"/>
            <w:vAlign w:val="center"/>
          </w:tcPr>
          <w:p>
            <w:pPr>
              <w:spacing w:after="40" w:before="40"/>
            </w:pPr>
            <w:r>
              <w:t>Analytics</w:t>
            </w:r>
          </w:p>
        </w:tc>
        <w:tc>
          <w:tcPr>
            <w:tcW w:type="dxa" w:w="8352"/>
            <w:vAlign w:val="center"/>
          </w:tcPr>
          <w:p>
            <w:pPr>
              <w:spacing w:after="40" w:before="40"/>
            </w:pPr>
            <w:r>
              <w:t>Direct person references, humanitarian purposes and clause-level vulnerability signals are excluded from ordinary analytics. Approved analytics use aggregation, pseudonymisation and minimum cohort thresholds.</w:t>
            </w:r>
          </w:p>
        </w:tc>
      </w:tr>
      <w:tr>
        <w:tc>
          <w:tcPr>
            <w:tcW w:type="dxa" w:w="2448"/>
            <w:vAlign w:val="center"/>
          </w:tcPr>
          <w:p>
            <w:pPr>
              <w:spacing w:after="40" w:before="40"/>
            </w:pPr>
            <w:r>
              <w:t>Audit</w:t>
            </w:r>
          </w:p>
        </w:tc>
        <w:tc>
          <w:tcPr>
            <w:tcW w:type="dxa" w:w="8352"/>
            <w:vAlign w:val="center"/>
          </w:tcPr>
          <w:p>
            <w:pPr>
              <w:spacing w:after="40" w:before="40"/>
            </w:pPr>
            <w:r>
              <w:t>Every trace read, export, replay, redaction and disclosure is logged with actor, purpose, legal basis, fields disclosed and result.</w:t>
            </w:r>
          </w:p>
        </w:tc>
      </w:tr>
      <w:tr>
        <w:tc>
          <w:tcPr>
            <w:tcW w:type="dxa" w:w="2448"/>
            <w:vAlign w:val="center"/>
          </w:tcPr>
          <w:p>
            <w:pPr>
              <w:spacing w:after="40" w:before="40"/>
            </w:pPr>
            <w:r>
              <w:t>Security</w:t>
            </w:r>
          </w:p>
        </w:tc>
        <w:tc>
          <w:tcPr>
            <w:tcW w:type="dxa" w:w="8352"/>
            <w:vAlign w:val="center"/>
          </w:tcPr>
          <w:p>
            <w:pPr>
              <w:spacing w:after="40" w:before="40"/>
            </w:pPr>
            <w:r>
              <w:t>Trace payloads and indexes are encrypted; high-risk fields use field-level encryption or segregated storage.</w:t>
            </w:r>
          </w:p>
        </w:tc>
      </w:tr>
    </w:tbl>
    <w:p>
      <w:pPr>
        <w:pStyle w:val="Heading1"/>
      </w:pPr>
      <w:r>
        <w:t>5. Assurance Registry</w:t>
      </w:r>
    </w:p>
    <w:p>
      <w:r>
        <w:t>Assurance references are registered identifiers, never free strings. Each profile maps local identity or authentication evidence to a documented canonical level and records the mapping authority, controls, effective dates and deprecation status.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168"/>
            <w:vAlign w:val="center"/>
            <w:tcMar>
              <w:top w:w="90" w:type="dxa"/>
              <w:start w:w="110" w:type="dxa"/>
              <w:bottom w:w="90" w:type="dxa"/>
              <w:end w:w="110" w:type="dxa"/>
            </w:tcMar>
            <w:shd w:fill="17324D"/>
          </w:tcPr>
          <w:p>
            <w:pPr>
              <w:spacing w:after="0" w:before="0"/>
            </w:pPr>
            <w:r/>
            <w:r>
              <w:rPr>
                <w:rFonts w:ascii="Aptos" w:hAnsi="Aptos"/>
                <w:b/>
                <w:color w:val="FFFFFF"/>
                <w:sz w:val="18"/>
              </w:rPr>
              <w:t>Dimension</w:t>
            </w:r>
          </w:p>
        </w:tc>
        <w:tc>
          <w:tcPr>
            <w:tcW w:type="dxa" w:w="6336"/>
            <w:vAlign w:val="center"/>
            <w:tcMar>
              <w:top w:w="90" w:type="dxa"/>
              <w:start w:w="110" w:type="dxa"/>
              <w:bottom w:w="90" w:type="dxa"/>
              <w:end w:w="110" w:type="dxa"/>
            </w:tcMar>
            <w:shd w:fill="17324D"/>
          </w:tcPr>
          <w:p>
            <w:pPr>
              <w:spacing w:after="0" w:before="0"/>
            </w:pPr>
            <w:r/>
            <w:r>
              <w:rPr>
                <w:rFonts w:ascii="Aptos" w:hAnsi="Aptos"/>
                <w:b/>
                <w:color w:val="FFFFFF"/>
                <w:sz w:val="18"/>
              </w:rPr>
              <w:t>Examples of canonical reference</w:t>
            </w:r>
          </w:p>
        </w:tc>
      </w:tr>
      <w:tr>
        <w:tc>
          <w:tcPr>
            <w:tcW w:type="dxa" w:w="3168"/>
            <w:vAlign w:val="center"/>
            <w:tcMar>
              <w:top w:w="90" w:type="dxa"/>
              <w:start w:w="110" w:type="dxa"/>
              <w:bottom w:w="90" w:type="dxa"/>
              <w:end w:w="110" w:type="dxa"/>
            </w:tcMar>
            <w:shd w:fill="FFFFFF"/>
          </w:tcPr>
          <w:p>
            <w:pPr>
              <w:spacing w:after="0" w:before="0"/>
            </w:pPr>
            <w:r/>
            <w:r>
              <w:rPr>
                <w:rFonts w:ascii="Aptos" w:hAnsi="Aptos"/>
                <w:b w:val="0"/>
                <w:color w:val="18222B"/>
                <w:sz w:val="18"/>
              </w:rPr>
              <w:t>Identity proofing</w:t>
            </w:r>
          </w:p>
        </w:tc>
        <w:tc>
          <w:tcPr>
            <w:tcW w:type="dxa" w:w="6336"/>
            <w:vAlign w:val="center"/>
            <w:tcMar>
              <w:top w:w="90" w:type="dxa"/>
              <w:start w:w="110" w:type="dxa"/>
              <w:bottom w:w="90" w:type="dxa"/>
              <w:end w:w="110" w:type="dxa"/>
            </w:tcMar>
            <w:shd w:fill="FFFFFF"/>
          </w:tcPr>
          <w:p>
            <w:pPr>
              <w:spacing w:after="0" w:before="0"/>
            </w:pPr>
            <w:r/>
            <w:r>
              <w:rPr>
                <w:rFonts w:ascii="Aptos" w:hAnsi="Aptos"/>
                <w:b w:val="0"/>
                <w:color w:val="18222B"/>
                <w:sz w:val="18"/>
              </w:rPr>
              <w:t>IAL1 / IAL2 / IAL3 or an explicitly versioned equivalent</w:t>
            </w:r>
          </w:p>
        </w:tc>
      </w:tr>
      <w:tr>
        <w:tc>
          <w:tcPr>
            <w:tcW w:type="dxa" w:w="3168"/>
            <w:vAlign w:val="center"/>
            <w:tcMar>
              <w:top w:w="90" w:type="dxa"/>
              <w:start w:w="110" w:type="dxa"/>
              <w:bottom w:w="90" w:type="dxa"/>
              <w:end w:w="110" w:type="dxa"/>
            </w:tcMar>
            <w:shd w:fill="F3F7FA"/>
          </w:tcPr>
          <w:p>
            <w:pPr>
              <w:spacing w:after="0" w:before="0"/>
            </w:pPr>
            <w:r/>
            <w:r>
              <w:rPr>
                <w:rFonts w:ascii="Aptos" w:hAnsi="Aptos"/>
                <w:b w:val="0"/>
                <w:color w:val="18222B"/>
                <w:sz w:val="18"/>
              </w:rPr>
              <w:t>Authentication</w:t>
            </w:r>
          </w:p>
        </w:tc>
        <w:tc>
          <w:tcPr>
            <w:tcW w:type="dxa" w:w="6336"/>
            <w:vAlign w:val="center"/>
            <w:tcMar>
              <w:top w:w="90" w:type="dxa"/>
              <w:start w:w="110" w:type="dxa"/>
              <w:bottom w:w="90" w:type="dxa"/>
              <w:end w:w="110" w:type="dxa"/>
            </w:tcMar>
            <w:shd w:fill="F3F7FA"/>
          </w:tcPr>
          <w:p>
            <w:pPr>
              <w:spacing w:after="0" w:before="0"/>
            </w:pPr>
            <w:r/>
            <w:r>
              <w:rPr>
                <w:rFonts w:ascii="Aptos" w:hAnsi="Aptos"/>
                <w:b w:val="0"/>
                <w:color w:val="18222B"/>
                <w:sz w:val="18"/>
              </w:rPr>
              <w:t>AAL1 / AAL2 / AAL3 or an explicitly versioned equivalent</w:t>
            </w:r>
          </w:p>
        </w:tc>
      </w:tr>
      <w:tr>
        <w:tc>
          <w:tcPr>
            <w:tcW w:type="dxa" w:w="3168"/>
            <w:vAlign w:val="center"/>
            <w:tcMar>
              <w:top w:w="90" w:type="dxa"/>
              <w:start w:w="110" w:type="dxa"/>
              <w:bottom w:w="90" w:type="dxa"/>
              <w:end w:w="110" w:type="dxa"/>
            </w:tcMar>
            <w:shd w:fill="FFFFFF"/>
          </w:tcPr>
          <w:p>
            <w:pPr>
              <w:spacing w:after="0" w:before="0"/>
            </w:pPr>
            <w:r/>
            <w:r>
              <w:rPr>
                <w:rFonts w:ascii="Aptos" w:hAnsi="Aptos"/>
                <w:b w:val="0"/>
                <w:color w:val="18222B"/>
                <w:sz w:val="18"/>
              </w:rPr>
              <w:t>Federation/credential presentation</w:t>
            </w:r>
          </w:p>
        </w:tc>
        <w:tc>
          <w:tcPr>
            <w:tcW w:type="dxa" w:w="6336"/>
            <w:vAlign w:val="center"/>
            <w:tcMar>
              <w:top w:w="90" w:type="dxa"/>
              <w:start w:w="110" w:type="dxa"/>
              <w:bottom w:w="90" w:type="dxa"/>
              <w:end w:w="110" w:type="dxa"/>
            </w:tcMar>
            <w:shd w:fill="FFFFFF"/>
          </w:tcPr>
          <w:p>
            <w:pPr>
              <w:spacing w:after="0" w:before="0"/>
            </w:pPr>
            <w:r/>
            <w:r>
              <w:rPr>
                <w:rFonts w:ascii="Aptos" w:hAnsi="Aptos"/>
                <w:b w:val="0"/>
                <w:color w:val="18222B"/>
                <w:sz w:val="18"/>
              </w:rPr>
              <w:t>FAL or project-defined holder-binding profile</w:t>
            </w:r>
          </w:p>
        </w:tc>
      </w:tr>
      <w:tr>
        <w:tc>
          <w:tcPr>
            <w:tcW w:type="dxa" w:w="3168"/>
            <w:vAlign w:val="center"/>
            <w:tcMar>
              <w:top w:w="90" w:type="dxa"/>
              <w:start w:w="110" w:type="dxa"/>
              <w:bottom w:w="90" w:type="dxa"/>
              <w:end w:w="110" w:type="dxa"/>
            </w:tcMar>
            <w:shd w:fill="F3F7FA"/>
          </w:tcPr>
          <w:p>
            <w:pPr>
              <w:spacing w:after="0" w:before="0"/>
            </w:pPr>
            <w:r/>
            <w:r>
              <w:rPr>
                <w:rFonts w:ascii="Aptos" w:hAnsi="Aptos"/>
                <w:b w:val="0"/>
                <w:color w:val="18222B"/>
                <w:sz w:val="18"/>
              </w:rPr>
              <w:t>Evidence assurance</w:t>
            </w:r>
          </w:p>
        </w:tc>
        <w:tc>
          <w:tcPr>
            <w:tcW w:type="dxa" w:w="6336"/>
            <w:vAlign w:val="center"/>
            <w:tcMar>
              <w:top w:w="90" w:type="dxa"/>
              <w:start w:w="110" w:type="dxa"/>
              <w:bottom w:w="90" w:type="dxa"/>
              <w:end w:w="110" w:type="dxa"/>
            </w:tcMar>
            <w:shd w:fill="F3F7FA"/>
          </w:tcPr>
          <w:p>
            <w:pPr>
              <w:spacing w:after="0" w:before="0"/>
            </w:pPr>
            <w:r/>
            <w:r>
              <w:rPr>
                <w:rFonts w:ascii="Aptos" w:hAnsi="Aptos"/>
                <w:b w:val="0"/>
                <w:color w:val="18222B"/>
                <w:sz w:val="18"/>
              </w:rPr>
              <w:t>Project-defined EAL codes for provenance, verification and freshness</w:t>
            </w:r>
          </w:p>
        </w:tc>
      </w:tr>
    </w:tbl>
    <w:p>
      <w:pPr>
        <w:spacing w:after="20"/>
      </w:pPr>
    </w:p>
    <w:p>
      <w:pPr>
        <w:pStyle w:val="Heading1"/>
      </w:pPr>
      <w:r>
        <w:t>6. Federated SSO and Existing Sector Platforms</w:t>
      </w:r>
    </w:p>
    <w:p>
      <w:r>
        <w:t>SSO is a federation layer, not a mandate to replace existing education, tax, health, agriculture or other applications. Existing applications remain systems of record and may integrate through OIDC/OAuth, SAML, IdP federation, token exchange, reverse-proxy adapters or local-account provisioning.</w:t>
      </w:r>
    </w:p>
    <w:p>
      <w:pPr>
        <w:pStyle w:val="ListBullet"/>
        <w:spacing w:after="60"/>
      </w:pPr>
      <w:r>
        <w:t>Each sector receives audience-specific, minimum claims.</w:t>
      </w:r>
    </w:p>
    <w:p>
      <w:pPr>
        <w:pStyle w:val="ListBullet"/>
        <w:spacing w:after="60"/>
      </w:pPr>
      <w:r>
        <w:t>Sector identifiers remain valid and are linked through protected, reversible mappings.</w:t>
      </w:r>
    </w:p>
    <w:p>
      <w:pPr>
        <w:pStyle w:val="ListBullet"/>
        <w:spacing w:after="60"/>
      </w:pPr>
      <w:r>
        <w:t>Account status is independent from residency status.</w:t>
      </w:r>
    </w:p>
    <w:p>
      <w:pPr>
        <w:pStyle w:val="ListBullet"/>
        <w:spacing w:after="60"/>
      </w:pPr>
      <w:r>
        <w:t>Unlink, relink, merge and split are first-class audited operations.</w:t>
      </w:r>
    </w:p>
    <w:p>
      <w:pPr>
        <w:pStyle w:val="ListBullet"/>
        <w:spacing w:after="60"/>
      </w:pPr>
      <w:r>
        <w:t>Authentication assurance is mapped through the Assurance Registry before claims are issued.</w:t>
      </w:r>
    </w:p>
    <w:p>
      <w:pPr>
        <w:pStyle w:val="Heading2"/>
      </w:pPr>
      <w:r>
        <w:t>6.1 Release-one authentication integration profile: KSAuth-ready</w:t>
      </w:r>
    </w:p>
    <w:p>
      <w:r>
        <w:t>Although a replacement government IdP is roadmap, release one must ship a concrete federation and claims profile capable of serving an existing state authentication service such as KSAuth. OpenResidency remains the residency and policy authority; KSAuth or another IdP remains the authentication and session authority.</w:t>
      </w:r>
    </w:p>
    <w:tbl>
      <w:tblPr>
        <w:tblStyle w:val="TableGrid"/>
        <w:tblW w:type="auto" w:w="0"/>
        <w:jc w:val="center"/>
        <w:tblLook w:firstColumn="1" w:firstRow="1" w:lastColumn="0" w:lastRow="0" w:noHBand="0" w:noVBand="1" w:val="04A0"/>
      </w:tblPr>
      <w:tblGrid>
        <w:gridCol w:w="5083"/>
        <w:gridCol w:w="5083"/>
      </w:tblGrid>
      <w:tr>
        <w:tc>
          <w:tcPr>
            <w:tcW w:type="dxa" w:w="2160"/>
            <w:vAlign w:val="center"/>
          </w:tcPr>
          <w:p>
            <w:pPr>
              <w:spacing w:after="40" w:before="40"/>
            </w:pPr>
            <w:r>
              <w:t>Capability</w:t>
            </w:r>
          </w:p>
        </w:tc>
        <w:tc>
          <w:tcPr>
            <w:tcW w:type="dxa" w:w="8640"/>
            <w:vAlign w:val="center"/>
          </w:tcPr>
          <w:p>
            <w:pPr>
              <w:spacing w:after="40" w:before="40"/>
            </w:pPr>
            <w:r>
              <w:t>Release-one requirement</w:t>
            </w:r>
          </w:p>
        </w:tc>
      </w:tr>
      <w:tr>
        <w:tc>
          <w:tcPr>
            <w:tcW w:type="dxa" w:w="2160"/>
            <w:vAlign w:val="center"/>
          </w:tcPr>
          <w:p>
            <w:pPr>
              <w:spacing w:after="40" w:before="40"/>
            </w:pPr>
            <w:r>
              <w:t>Protocol</w:t>
            </w:r>
          </w:p>
        </w:tc>
        <w:tc>
          <w:tcPr>
            <w:tcW w:type="dxa" w:w="8640"/>
            <w:vAlign w:val="center"/>
          </w:tcPr>
          <w:p>
            <w:pPr>
              <w:spacing w:after="40" w:before="40"/>
            </w:pPr>
            <w:r>
              <w:t>OIDC Authorization Code with PKCE for citizen-facing clients; confidential-client flow for trusted server applications; SAML bridge optional where already required.</w:t>
            </w:r>
          </w:p>
        </w:tc>
      </w:tr>
      <w:tr>
        <w:tc>
          <w:tcPr>
            <w:tcW w:type="dxa" w:w="2160"/>
            <w:vAlign w:val="center"/>
          </w:tcPr>
          <w:p>
            <w:pPr>
              <w:spacing w:after="40" w:before="40"/>
            </w:pPr>
            <w:r>
              <w:t>Subject binding</w:t>
            </w:r>
          </w:p>
        </w:tc>
        <w:tc>
          <w:tcPr>
            <w:tcW w:type="dxa" w:w="8640"/>
            <w:vAlign w:val="center"/>
          </w:tcPr>
          <w:p>
            <w:pPr>
              <w:spacing w:after="40" w:before="40"/>
            </w:pPr>
            <w:r>
              <w:t>Pairwise or sector-specific subject identifier mapped through the protected Identity Link Registry; no raw NIN in tokens.</w:t>
            </w:r>
          </w:p>
        </w:tc>
      </w:tr>
      <w:tr>
        <w:tc>
          <w:tcPr>
            <w:tcW w:type="dxa" w:w="2160"/>
            <w:vAlign w:val="center"/>
          </w:tcPr>
          <w:p>
            <w:pPr>
              <w:spacing w:after="40" w:before="40"/>
            </w:pPr>
            <w:r>
              <w:t>Claims endpoint</w:t>
            </w:r>
          </w:p>
        </w:tc>
        <w:tc>
          <w:tcPr>
            <w:tcW w:type="dxa" w:w="8640"/>
            <w:vAlign w:val="center"/>
          </w:tcPr>
          <w:p>
            <w:pPr>
              <w:spacing w:after="40" w:before="40"/>
            </w:pPr>
            <w:r>
              <w:t>A signed, audience-bound resident-claims response exposing only policy-approved purpose-scoped relationship facts.</w:t>
            </w:r>
          </w:p>
        </w:tc>
      </w:tr>
      <w:tr>
        <w:tc>
          <w:tcPr>
            <w:tcW w:type="dxa" w:w="2160"/>
            <w:vAlign w:val="center"/>
          </w:tcPr>
          <w:p>
            <w:pPr>
              <w:spacing w:after="40" w:before="40"/>
            </w:pPr>
            <w:r>
              <w:t>Assurance</w:t>
            </w:r>
          </w:p>
        </w:tc>
        <w:tc>
          <w:tcPr>
            <w:tcW w:type="dxa" w:w="8640"/>
            <w:vAlign w:val="center"/>
          </w:tcPr>
          <w:p>
            <w:pPr>
              <w:spacing w:after="40" w:before="40"/>
            </w:pPr>
            <w:r>
              <w:t>Map IdP authentication context to registered AAL and identity-binding assurance profiles; reject unmapped assurance values.</w:t>
            </w:r>
          </w:p>
        </w:tc>
      </w:tr>
      <w:tr>
        <w:tc>
          <w:tcPr>
            <w:tcW w:type="dxa" w:w="2160"/>
            <w:vAlign w:val="center"/>
          </w:tcPr>
          <w:p>
            <w:pPr>
              <w:spacing w:after="40" w:before="40"/>
            </w:pPr>
            <w:r>
              <w:t>Lifecycle</w:t>
            </w:r>
          </w:p>
        </w:tc>
        <w:tc>
          <w:tcPr>
            <w:tcW w:type="dxa" w:w="8640"/>
            <w:vAlign w:val="center"/>
          </w:tcPr>
          <w:p>
            <w:pPr>
              <w:spacing w:after="40" w:before="40"/>
            </w:pPr>
            <w:r>
              <w:t>Residency suspension or expiry changes resident claims but does not automatically disable the authentication account.</w:t>
            </w:r>
          </w:p>
        </w:tc>
      </w:tr>
      <w:tr>
        <w:tc>
          <w:tcPr>
            <w:tcW w:type="dxa" w:w="2160"/>
            <w:vAlign w:val="center"/>
          </w:tcPr>
          <w:p>
            <w:pPr>
              <w:spacing w:after="40" w:before="40"/>
            </w:pPr>
            <w:r>
              <w:t>Revocation/cache</w:t>
            </w:r>
          </w:p>
        </w:tc>
        <w:tc>
          <w:tcPr>
            <w:tcW w:type="dxa" w:w="8640"/>
            <w:vAlign w:val="center"/>
          </w:tcPr>
          <w:p>
            <w:pPr>
              <w:spacing w:after="40" w:before="40"/>
            </w:pPr>
            <w:r>
              <w:t>Short token lifetimes, introspection or back-channel session controls for high-risk clients, and defined cache invalidation after relationship or consent changes.</w:t>
            </w:r>
          </w:p>
        </w:tc>
      </w:tr>
      <w:tr>
        <w:tc>
          <w:tcPr>
            <w:tcW w:type="dxa" w:w="2160"/>
            <w:vAlign w:val="center"/>
          </w:tcPr>
          <w:p>
            <w:pPr>
              <w:spacing w:after="40" w:before="40"/>
            </w:pPr>
            <w:r>
              <w:t>Conformance</w:t>
            </w:r>
          </w:p>
        </w:tc>
        <w:tc>
          <w:tcPr>
            <w:tcW w:type="dxa" w:w="8640"/>
            <w:vAlign w:val="center"/>
          </w:tcPr>
          <w:p>
            <w:pPr>
              <w:spacing w:after="40" w:before="40"/>
            </w:pPr>
            <w:r>
              <w:t>Reference KSAuth-compatible client configuration, token examples, claim catalogue, logout/session behaviour and automated conformance tests.</w:t>
            </w:r>
          </w:p>
        </w:tc>
      </w:tr>
    </w:tbl>
    <w:p>
      <w:pPr>
        <w:pStyle w:val="Heading1"/>
      </w:pPr>
      <w:r>
        <w:t>7. Life Events, Humanitarian Privacy and Interoperability</w:t>
      </w:r>
    </w:p>
    <w:p>
      <w:r>
        <w:t>Life-event infrastructure communicates verified facts. It does not replace sector workflows or command sector platforms to decide eligibility. The authoritative source records the event; registered subscribers receive only the minimum authorised representation.</w:t>
      </w:r>
    </w:p>
    <w:p>
      <w:pPr>
        <w:pStyle w:val="Heading2"/>
      </w:pPr>
      <w:r>
        <w:t>7.1 Humanitarian-purpose suppression</w:t>
      </w:r>
    </w:p>
    <w:tbl>
      <w:tblPr>
        <w:tblW w:type="auto" w:w="0"/>
        <w:jc w:val="center"/>
        <w:tblLook w:firstColumn="1" w:firstRow="1" w:lastColumn="0" w:lastRow="0" w:noHBand="0" w:noVBand="1" w:val="04A0"/>
      </w:tblPr>
      <w:tblGrid>
        <w:gridCol w:w="10166"/>
      </w:tblGrid>
      <w:tr>
        <w:tc>
          <w:tcPr>
            <w:tcW w:type="dxa" w:w="10166"/>
            <w:shd w:fill="FDECEC"/>
            <w:tcMar>
              <w:top w:w="130" w:type="dxa"/>
              <w:start w:w="160" w:type="dxa"/>
              <w:bottom w:w="130" w:type="dxa"/>
              <w:end w:w="160" w:type="dxa"/>
            </w:tcMar>
          </w:tcPr>
          <w:p>
            <w:r>
              <w:rPr>
                <w:b/>
                <w:color w:val="A33A3A"/>
                <w:sz w:val="21"/>
              </w:rPr>
              <w:t>Sensitive routing rule</w:t>
              <w:br/>
            </w:r>
            <w:r>
              <w:rPr>
                <w:color w:val="18222B"/>
                <w:sz w:val="20"/>
              </w:rPr>
              <w:t>HUMANITARIAN_PRESENCE and equivalent displacement purpose codes must not appear in general event routing metadata. For ordinary subscribers the envelope uses a neutral or pseudonymous routing class and an opaque relationship reference. The clear humanitarian purpose may be disclosed only to a registered humanitarian subscriber whose service profile, legal basis, purpose, retention and DPIA approval explicitly permit it.</w:t>
            </w:r>
          </w:p>
        </w:tc>
      </w:tr>
    </w:tbl>
    <w:p>
      <w:pPr>
        <w:spacing w:after="20"/>
      </w:pPr>
    </w:p>
    <w:p>
      <w:pPr>
        <w:pStyle w:val="ListBullet"/>
        <w:spacing w:after="60"/>
      </w:pPr>
      <w:r>
        <w:t>Every humanitarian event schema and subscription requires a DPIA reference before activation.</w:t>
      </w:r>
    </w:p>
    <w:p>
      <w:pPr>
        <w:pStyle w:val="ListBullet"/>
        <w:spacing w:after="60"/>
      </w:pPr>
      <w:r>
        <w:t>Routing filters must use protected categories or opaque subscription tags rather than exposing displacement status.</w:t>
      </w:r>
    </w:p>
    <w:p>
      <w:pPr>
        <w:pStyle w:val="ListBullet"/>
        <w:spacing w:after="60"/>
      </w:pPr>
      <w:r>
        <w:t>Dead-letter queues, observability and support tooling must apply the same suppression rules.</w:t>
      </w:r>
    </w:p>
    <w:p>
      <w:pPr>
        <w:pStyle w:val="ListBullet"/>
        <w:spacing w:after="60"/>
      </w:pPr>
      <w:r>
        <w:t>Analytics use aggregation or pseudonymised identifiers and prohibit unauthorised cross-sector correlation.</w:t>
      </w:r>
    </w:p>
    <w:p>
      <w:pPr>
        <w:pStyle w:val="Heading1"/>
      </w:pPr>
      <w:r>
        <w:t>8. Consent, Legal Basis and Identity-Link Lifecycle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880"/>
            <w:vAlign w:val="center"/>
            <w:tcMar>
              <w:top w:w="90" w:type="dxa"/>
              <w:start w:w="110" w:type="dxa"/>
              <w:bottom w:w="90" w:type="dxa"/>
              <w:end w:w="110" w:type="dxa"/>
            </w:tcMar>
            <w:shd w:fill="17324D"/>
          </w:tcPr>
          <w:p>
            <w:pPr>
              <w:spacing w:after="0" w:before="0"/>
            </w:pPr>
            <w:r/>
            <w:r>
              <w:rPr>
                <w:rFonts w:ascii="Aptos" w:hAnsi="Aptos"/>
                <w:b/>
                <w:color w:val="FFFFFF"/>
                <w:sz w:val="18"/>
              </w:rPr>
              <w:t>Registry/API</w:t>
            </w:r>
          </w:p>
        </w:tc>
        <w:tc>
          <w:tcPr>
            <w:tcW w:type="dxa" w:w="6624"/>
            <w:vAlign w:val="center"/>
            <w:tcMar>
              <w:top w:w="90" w:type="dxa"/>
              <w:start w:w="110" w:type="dxa"/>
              <w:bottom w:w="90" w:type="dxa"/>
              <w:end w:w="110" w:type="dxa"/>
            </w:tcMar>
            <w:shd w:fill="17324D"/>
          </w:tcPr>
          <w:p>
            <w:pPr>
              <w:spacing w:after="0" w:before="0"/>
            </w:pPr>
            <w:r/>
            <w:r>
              <w:rPr>
                <w:rFonts w:ascii="Aptos" w:hAnsi="Aptos"/>
                <w:b/>
                <w:color w:val="FFFFFF"/>
                <w:sz w:val="18"/>
              </w:rPr>
              <w:t>Minimum lifecycle</w:t>
            </w:r>
          </w:p>
        </w:tc>
      </w:tr>
      <w:tr>
        <w:tc>
          <w:tcPr>
            <w:tcW w:type="dxa" w:w="2880"/>
            <w:vAlign w:val="center"/>
            <w:tcMar>
              <w:top w:w="90" w:type="dxa"/>
              <w:start w:w="110" w:type="dxa"/>
              <w:bottom w:w="90" w:type="dxa"/>
              <w:end w:w="110" w:type="dxa"/>
            </w:tcMar>
            <w:shd w:fill="FFFFFF"/>
          </w:tcPr>
          <w:p>
            <w:pPr>
              <w:spacing w:after="0" w:before="0"/>
            </w:pPr>
            <w:r/>
            <w:r>
              <w:rPr>
                <w:rFonts w:ascii="Aptos" w:hAnsi="Aptos"/>
                <w:b w:val="0"/>
                <w:color w:val="18222B"/>
                <w:sz w:val="18"/>
              </w:rPr>
              <w:t>Consent Registry</w:t>
            </w:r>
          </w:p>
        </w:tc>
        <w:tc>
          <w:tcPr>
            <w:tcW w:type="dxa" w:w="6624"/>
            <w:vAlign w:val="center"/>
            <w:tcMar>
              <w:top w:w="90" w:type="dxa"/>
              <w:start w:w="110" w:type="dxa"/>
              <w:bottom w:w="90" w:type="dxa"/>
              <w:end w:w="110" w:type="dxa"/>
            </w:tcMar>
            <w:shd w:fill="FFFFFF"/>
          </w:tcPr>
          <w:p>
            <w:pPr>
              <w:spacing w:after="0" w:before="0"/>
            </w:pPr>
            <w:r/>
            <w:r>
              <w:rPr>
                <w:rFonts w:ascii="Aptos" w:hAnsi="Aptos"/>
                <w:b w:val="0"/>
                <w:color w:val="18222B"/>
                <w:sz w:val="18"/>
              </w:rPr>
              <w:t>Create, view, renew, withdraw, expire, revoke and history; withdrawal blocks new consent-dependent processing.</w:t>
            </w:r>
          </w:p>
        </w:tc>
      </w:tr>
      <w:tr>
        <w:tc>
          <w:tcPr>
            <w:tcW w:type="dxa" w:w="2880"/>
            <w:vAlign w:val="center"/>
            <w:tcMar>
              <w:top w:w="90" w:type="dxa"/>
              <w:start w:w="110" w:type="dxa"/>
              <w:bottom w:w="90" w:type="dxa"/>
              <w:end w:w="110" w:type="dxa"/>
            </w:tcMar>
            <w:shd w:fill="F3F7FA"/>
          </w:tcPr>
          <w:p>
            <w:pPr>
              <w:spacing w:after="0" w:before="0"/>
            </w:pPr>
            <w:r/>
            <w:r>
              <w:rPr>
                <w:rFonts w:ascii="Aptos" w:hAnsi="Aptos"/>
                <w:b w:val="0"/>
                <w:color w:val="18222B"/>
                <w:sz w:val="18"/>
              </w:rPr>
              <w:t>Legal Basis Registry</w:t>
            </w:r>
          </w:p>
        </w:tc>
        <w:tc>
          <w:tcPr>
            <w:tcW w:type="dxa" w:w="6624"/>
            <w:vAlign w:val="center"/>
            <w:tcMar>
              <w:top w:w="90" w:type="dxa"/>
              <w:start w:w="110" w:type="dxa"/>
              <w:bottom w:w="90" w:type="dxa"/>
              <w:end w:w="110" w:type="dxa"/>
            </w:tcMar>
            <w:shd w:fill="F3F7FA"/>
          </w:tcPr>
          <w:p>
            <w:pPr>
              <w:spacing w:after="0" w:before="0"/>
            </w:pPr>
            <w:r/>
            <w:r>
              <w:rPr>
                <w:rFonts w:ascii="Aptos" w:hAnsi="Aptos"/>
                <w:b w:val="0"/>
                <w:color w:val="18222B"/>
                <w:sz w:val="18"/>
              </w:rPr>
              <w:t>Versioned instrument, provision, authority, purpose, permitted data, recipients, retention and effective dates.</w:t>
            </w:r>
          </w:p>
        </w:tc>
      </w:tr>
      <w:tr>
        <w:tc>
          <w:tcPr>
            <w:tcW w:type="dxa" w:w="2880"/>
            <w:vAlign w:val="center"/>
            <w:tcMar>
              <w:top w:w="90" w:type="dxa"/>
              <w:start w:w="110" w:type="dxa"/>
              <w:bottom w:w="90" w:type="dxa"/>
              <w:end w:w="110" w:type="dxa"/>
            </w:tcMar>
            <w:shd w:fill="FFFFFF"/>
          </w:tcPr>
          <w:p>
            <w:pPr>
              <w:spacing w:after="0" w:before="0"/>
            </w:pPr>
            <w:r/>
            <w:r>
              <w:rPr>
                <w:rFonts w:ascii="Aptos" w:hAnsi="Aptos"/>
                <w:b w:val="0"/>
                <w:color w:val="18222B"/>
                <w:sz w:val="18"/>
              </w:rPr>
              <w:t>Identity Link Registry</w:t>
            </w:r>
          </w:p>
        </w:tc>
        <w:tc>
          <w:tcPr>
            <w:tcW w:type="dxa" w:w="6624"/>
            <w:vAlign w:val="center"/>
            <w:tcMar>
              <w:top w:w="90" w:type="dxa"/>
              <w:start w:w="110" w:type="dxa"/>
              <w:bottom w:w="90" w:type="dxa"/>
              <w:end w:w="110" w:type="dxa"/>
            </w:tcMar>
            <w:shd w:fill="FFFFFF"/>
          </w:tcPr>
          <w:p>
            <w:pPr>
              <w:spacing w:after="0" w:before="0"/>
            </w:pPr>
            <w:r/>
            <w:r>
              <w:rPr>
                <w:rFonts w:ascii="Aptos" w:hAnsi="Aptos"/>
                <w:b w:val="0"/>
                <w:color w:val="18222B"/>
                <w:sz w:val="18"/>
              </w:rPr>
              <w:t>Link, dispute, unlink, relink, merge, split, history and reversible provenance.</w:t>
            </w:r>
          </w:p>
        </w:tc>
      </w:tr>
      <w:tr>
        <w:tc>
          <w:tcPr>
            <w:tcW w:type="dxa" w:w="2880"/>
            <w:vAlign w:val="center"/>
            <w:tcMar>
              <w:top w:w="90" w:type="dxa"/>
              <w:start w:w="110" w:type="dxa"/>
              <w:bottom w:w="90" w:type="dxa"/>
              <w:end w:w="110" w:type="dxa"/>
            </w:tcMar>
            <w:shd w:fill="F3F7FA"/>
          </w:tcPr>
          <w:p>
            <w:pPr>
              <w:spacing w:after="0" w:before="0"/>
            </w:pPr>
            <w:r/>
            <w:r>
              <w:rPr>
                <w:rFonts w:ascii="Aptos" w:hAnsi="Aptos"/>
                <w:b w:val="0"/>
                <w:color w:val="18222B"/>
                <w:sz w:val="18"/>
              </w:rPr>
              <w:t>Service Registry</w:t>
            </w:r>
          </w:p>
        </w:tc>
        <w:tc>
          <w:tcPr>
            <w:tcW w:type="dxa" w:w="6624"/>
            <w:vAlign w:val="center"/>
            <w:tcMar>
              <w:top w:w="90" w:type="dxa"/>
              <w:start w:w="110" w:type="dxa"/>
              <w:bottom w:w="90" w:type="dxa"/>
              <w:end w:w="110" w:type="dxa"/>
            </w:tcMar>
            <w:shd w:fill="F3F7FA"/>
          </w:tcPr>
          <w:p>
            <w:pPr>
              <w:spacing w:after="0" w:before="0"/>
            </w:pPr>
            <w:r/>
            <w:r>
              <w:rPr>
                <w:rFonts w:ascii="Aptos" w:hAnsi="Aptos"/>
                <w:b w:val="0"/>
                <w:color w:val="18222B"/>
                <w:sz w:val="18"/>
              </w:rPr>
              <w:t>Owner, sector, protocols, claims, event permissions, legal bases, certificates, contacts and status.</w:t>
            </w:r>
          </w:p>
        </w:tc>
      </w:tr>
      <w:tr>
        <w:tc>
          <w:tcPr>
            <w:tcW w:type="dxa" w:w="5083"/>
          </w:tcPr>
          <w:p>
            <w:r>
              <w:t>DPIA Registry</w:t>
            </w:r>
          </w:p>
        </w:tc>
        <w:tc>
          <w:tcPr>
            <w:tcW w:type="dxa" w:w="5083"/>
          </w:tcPr>
          <w:p>
            <w:r>
              <w:t>Create, approve, supersede, expire and revoke DPIARecord entries; record scope, systems, purposes, data categories, risks, mitigations, residual-risk acceptance, approver, effective dates and linked services/events.</w:t>
            </w:r>
          </w:p>
        </w:tc>
      </w:tr>
    </w:tbl>
    <w:p>
      <w:pPr>
        <w:spacing w:after="20"/>
      </w:pPr>
    </w:p>
    <w:p>
      <w:r>
        <w:t>Consent and statutory authority are not interchangeable. Every exchange records which basis was actually used.</w:t>
      </w:r>
    </w:p>
    <w:p>
      <w:r>
        <w:t>DPIARecord is a governed registry object. A plain dpiaReference string is invalid unless it resolves to an ACTIVE, approved record whose scope covers the service, purpose, event or credential operation being performed.</w:t>
      </w:r>
    </w:p>
    <w:p>
      <w:r>
        <w:t>DPIARecord { id, title, controllerAuthorityId, systems[], purposes[], dataCategories[], highRiskTriggers[], mitigations[], residualRisk, approvalStatus, approvedBy, effectiveFrom, effectiveUntil?, supersedesId?, linkedServiceIds[], linkedEventDefinitions[] }</w:t>
      </w:r>
    </w:p>
    <w:p>
      <w:pPr>
        <w:pStyle w:val="Heading1"/>
      </w:pPr>
      <w:r>
        <w:t>9. Credential Profile, Offline Verification and Revocation</w:t>
      </w:r>
    </w:p>
    <w:p>
      <w:pPr>
        <w:pStyle w:val="Heading2"/>
      </w:pPr>
      <w:r>
        <w:t>9.1 Pinned credential profile</w:t>
      </w:r>
    </w:p>
    <w:p>
      <w:pPr>
        <w:pStyle w:val="ListBullet"/>
        <w:spacing w:after="60"/>
      </w:pPr>
      <w:r>
        <w:t>Credential data model: W3C Verifiable Credentials Data Model 2.0 profile.</w:t>
      </w:r>
    </w:p>
    <w:p>
      <w:pPr>
        <w:pStyle w:val="ListBullet"/>
        <w:spacing w:after="60"/>
      </w:pPr>
      <w:r>
        <w:t>Compact representation for QR and offline use: VC-JWT.</w:t>
      </w:r>
    </w:p>
    <w:p>
      <w:pPr>
        <w:pStyle w:val="ListBullet"/>
        <w:spacing w:after="60"/>
      </w:pPr>
      <w:r>
        <w:t>Issuer signature: EdDSA with Ed25519 keys.</w:t>
      </w:r>
    </w:p>
    <w:p>
      <w:pPr>
        <w:pStyle w:val="ListBullet"/>
        <w:spacing w:after="60"/>
      </w:pPr>
      <w:r>
        <w:t>Credential identifiers and issuer keys are versioned; key rotation and compromise procedures are mandatory.</w:t>
      </w:r>
    </w:p>
    <w:p>
      <w:pPr>
        <w:pStyle w:val="Heading2"/>
      </w:pPr>
      <w:r>
        <w:t>9.1.1 DecisionTrace signing-key lifecycle</w:t>
      </w:r>
    </w:p>
    <w:p>
      <w:r>
        <w:t>DecisionTrace signatures use a distinct governed signing-key profile or an explicitly documented shared trust service. Each trace pins keyId, algorithm, public-key material reference, certificate or DID version, signing time and trust-registry version.</w:t>
      </w:r>
    </w:p>
    <w:tbl>
      <w:tblPr>
        <w:tblStyle w:val="TableGrid"/>
        <w:tblW w:type="auto" w:w="0"/>
        <w:jc w:val="center"/>
        <w:tblLook w:firstColumn="1" w:firstRow="1" w:lastColumn="0" w:lastRow="0" w:noHBand="0" w:noVBand="1" w:val="04A0"/>
      </w:tblPr>
      <w:tblGrid>
        <w:gridCol w:w="5083"/>
        <w:gridCol w:w="5083"/>
      </w:tblGrid>
      <w:tr>
        <w:tc>
          <w:tcPr>
            <w:tcW w:type="dxa" w:w="2160"/>
            <w:vAlign w:val="center"/>
          </w:tcPr>
          <w:p>
            <w:pPr>
              <w:spacing w:after="40" w:before="40"/>
            </w:pPr>
            <w:r>
              <w:t>Lifecycle rule</w:t>
            </w:r>
          </w:p>
        </w:tc>
        <w:tc>
          <w:tcPr>
            <w:tcW w:type="dxa" w:w="8640"/>
            <w:vAlign w:val="center"/>
          </w:tcPr>
          <w:p>
            <w:pPr>
              <w:spacing w:after="40" w:before="40"/>
            </w:pPr>
            <w:r>
              <w:t>Required behaviour</w:t>
            </w:r>
          </w:p>
        </w:tc>
      </w:tr>
      <w:tr>
        <w:tc>
          <w:tcPr>
            <w:tcW w:type="dxa" w:w="2160"/>
            <w:vAlign w:val="center"/>
          </w:tcPr>
          <w:p>
            <w:pPr>
              <w:spacing w:after="40" w:before="40"/>
            </w:pPr>
            <w:r>
              <w:t>Rotation</w:t>
            </w:r>
          </w:p>
        </w:tc>
        <w:tc>
          <w:tcPr>
            <w:tcW w:type="dxa" w:w="8640"/>
            <w:vAlign w:val="center"/>
          </w:tcPr>
          <w:p>
            <w:pPr>
              <w:spacing w:after="40" w:before="40"/>
            </w:pPr>
            <w:r>
              <w:t>Historical public verification material remains resolvable after rotation for at least the full trace-retention period.</w:t>
            </w:r>
          </w:p>
        </w:tc>
      </w:tr>
      <w:tr>
        <w:tc>
          <w:tcPr>
            <w:tcW w:type="dxa" w:w="2160"/>
            <w:vAlign w:val="center"/>
          </w:tcPr>
          <w:p>
            <w:pPr>
              <w:spacing w:after="40" w:before="40"/>
            </w:pPr>
            <w:r>
              <w:t>Replay</w:t>
            </w:r>
          </w:p>
        </w:tc>
        <w:tc>
          <w:tcPr>
            <w:tcW w:type="dxa" w:w="8640"/>
            <w:vAlign w:val="center"/>
          </w:tcPr>
          <w:p>
            <w:pPr>
              <w:spacing w:after="40" w:before="40"/>
            </w:pPr>
            <w:r>
              <w:t>A replay verifies the original trace using the original key version, then signs the replay result with the current authorised key. It never overwrites the original signature.</w:t>
            </w:r>
          </w:p>
        </w:tc>
      </w:tr>
      <w:tr>
        <w:tc>
          <w:tcPr>
            <w:tcW w:type="dxa" w:w="2160"/>
            <w:vAlign w:val="center"/>
          </w:tcPr>
          <w:p>
            <w:pPr>
              <w:spacing w:after="40" w:before="40"/>
            </w:pPr>
            <w:r>
              <w:t>Compromise</w:t>
            </w:r>
          </w:p>
        </w:tc>
        <w:tc>
          <w:tcPr>
            <w:tcW w:type="dxa" w:w="8640"/>
            <w:vAlign w:val="center"/>
          </w:tcPr>
          <w:p>
            <w:pPr>
              <w:spacing w:after="40" w:before="40"/>
            </w:pPr>
            <w:r>
              <w:t>The trust registry records compromise time and status. Traces signed before the verified compromise window remain distinguishable from traces inside or after it.</w:t>
            </w:r>
          </w:p>
        </w:tc>
      </w:tr>
      <w:tr>
        <w:tc>
          <w:tcPr>
            <w:tcW w:type="dxa" w:w="2160"/>
            <w:vAlign w:val="center"/>
          </w:tcPr>
          <w:p>
            <w:pPr>
              <w:spacing w:after="40" w:before="40"/>
            </w:pPr>
            <w:r>
              <w:t>Revocation</w:t>
            </w:r>
          </w:p>
        </w:tc>
        <w:tc>
          <w:tcPr>
            <w:tcW w:type="dxa" w:w="8640"/>
            <w:vAlign w:val="center"/>
          </w:tcPr>
          <w:p>
            <w:pPr>
              <w:spacing w:after="40" w:before="40"/>
            </w:pPr>
            <w:r>
              <w:t>Key revocation does not erase historical traces. Verification returns a structured trust result: VALID_AT_SIGNING, KEY_COMPROMISED_WINDOW, KEY_REVOKED_AFTER_SIGNING or UNVERIFIABLE.</w:t>
            </w:r>
          </w:p>
        </w:tc>
      </w:tr>
      <w:tr>
        <w:tc>
          <w:tcPr>
            <w:tcW w:type="dxa" w:w="2160"/>
            <w:vAlign w:val="center"/>
          </w:tcPr>
          <w:p>
            <w:pPr>
              <w:spacing w:after="40" w:before="40"/>
            </w:pPr>
            <w:r>
              <w:t>Archival</w:t>
            </w:r>
          </w:p>
        </w:tc>
        <w:tc>
          <w:tcPr>
            <w:tcW w:type="dxa" w:w="8640"/>
            <w:vAlign w:val="center"/>
          </w:tcPr>
          <w:p>
            <w:pPr>
              <w:spacing w:after="40" w:before="40"/>
            </w:pPr>
            <w:r>
              <w:t>Public keys, certificates, DID documents or trust-list snapshots needed for historical validation are archived immutably.</w:t>
            </w:r>
          </w:p>
        </w:tc>
      </w:tr>
    </w:tbl>
    <w:p>
      <w:pPr>
        <w:pStyle w:val="ListBullet"/>
        <w:spacing w:after="60"/>
      </w:pPr>
      <w:r>
        <w:t>Default credential contains only the minimum relationship claims and no raw national identifier, evidence document or humanitarian marker.</w:t>
      </w:r>
    </w:p>
    <w:p>
      <w:pPr>
        <w:pStyle w:val="Heading2"/>
      </w:pPr>
      <w:r>
        <w:t>9.2 Status strategy</w:t>
      </w:r>
    </w:p>
    <w:p>
      <w:pPr>
        <w:pStyle w:val="Heading3"/>
      </w:pPr>
      <w:r>
        <w:t>Release-one API contract</w:t>
      </w:r>
    </w:p>
    <w:p>
      <w:r>
        <w:t>The endpoints below form the required release-one API groups for appeals, legal-basis registry access and DPIA registry access. The versioned OpenAPI specification is authoritative and may add operational endpoints without weakening these contracts.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592"/>
            <w:vAlign w:val="center"/>
            <w:tcMar>
              <w:top w:w="90" w:type="dxa"/>
              <w:start w:w="110" w:type="dxa"/>
              <w:bottom w:w="90" w:type="dxa"/>
              <w:end w:w="110" w:type="dxa"/>
            </w:tcMar>
            <w:shd w:fill="17324D"/>
          </w:tcPr>
          <w:p>
            <w:pPr>
              <w:spacing w:after="0" w:before="0"/>
            </w:pPr>
            <w:r/>
            <w:r>
              <w:rPr>
                <w:rFonts w:ascii="Aptos" w:hAnsi="Aptos"/>
                <w:b/>
                <w:color w:val="FFFFFF"/>
                <w:sz w:val="18"/>
              </w:rPr>
              <w:t>Channel</w:t>
            </w:r>
          </w:p>
        </w:tc>
        <w:tc>
          <w:tcPr>
            <w:tcW w:type="dxa" w:w="6912"/>
            <w:vAlign w:val="center"/>
            <w:tcMar>
              <w:top w:w="90" w:type="dxa"/>
              <w:start w:w="110" w:type="dxa"/>
              <w:bottom w:w="90" w:type="dxa"/>
              <w:end w:w="110" w:type="dxa"/>
            </w:tcMar>
            <w:shd w:fill="17324D"/>
          </w:tcPr>
          <w:p>
            <w:pPr>
              <w:spacing w:after="0" w:before="0"/>
            </w:pPr>
            <w:r/>
            <w:r>
              <w:rPr>
                <w:rFonts w:ascii="Aptos" w:hAnsi="Aptos"/>
                <w:b/>
                <w:color w:val="FFFFFF"/>
                <w:sz w:val="18"/>
              </w:rPr>
              <w:t>Required status behaviour</w:t>
            </w:r>
          </w:p>
        </w:tc>
      </w:tr>
      <w:tr>
        <w:tc>
          <w:tcPr>
            <w:tcW w:type="dxa" w:w="2592"/>
            <w:vAlign w:val="center"/>
            <w:tcMar>
              <w:top w:w="90" w:type="dxa"/>
              <w:start w:w="110" w:type="dxa"/>
              <w:bottom w:w="90" w:type="dxa"/>
              <w:end w:w="110" w:type="dxa"/>
            </w:tcMar>
            <w:shd w:fill="FFFFFF"/>
          </w:tcPr>
          <w:p>
            <w:pPr>
              <w:spacing w:after="0" w:before="0"/>
            </w:pPr>
            <w:r/>
            <w:r>
              <w:rPr>
                <w:rFonts w:ascii="Aptos" w:hAnsi="Aptos"/>
                <w:b w:val="0"/>
                <w:color w:val="18222B"/>
                <w:sz w:val="18"/>
              </w:rPr>
              <w:t>Online API</w:t>
            </w:r>
          </w:p>
        </w:tc>
        <w:tc>
          <w:tcPr>
            <w:tcW w:type="dxa" w:w="6912"/>
            <w:vAlign w:val="center"/>
            <w:tcMar>
              <w:top w:w="90" w:type="dxa"/>
              <w:start w:w="110" w:type="dxa"/>
              <w:bottom w:w="90" w:type="dxa"/>
              <w:end w:w="110" w:type="dxa"/>
            </w:tcMar>
            <w:shd w:fill="FFFFFF"/>
          </w:tcPr>
          <w:p>
            <w:pPr>
              <w:spacing w:after="0" w:before="0"/>
            </w:pPr>
            <w:r/>
            <w:r>
              <w:rPr>
                <w:rFonts w:ascii="Aptos" w:hAnsi="Aptos"/>
                <w:b w:val="0"/>
                <w:color w:val="18222B"/>
                <w:sz w:val="18"/>
              </w:rPr>
              <w:t>Current credential status endpoint with ACTIVE, SUSPENDED, REVOKED, EXPIRED and REPLACED.</w:t>
            </w:r>
          </w:p>
        </w:tc>
      </w:tr>
      <w:tr>
        <w:tc>
          <w:tcPr>
            <w:tcW w:type="dxa" w:w="2592"/>
            <w:vAlign w:val="center"/>
            <w:tcMar>
              <w:top w:w="90" w:type="dxa"/>
              <w:start w:w="110" w:type="dxa"/>
              <w:bottom w:w="90" w:type="dxa"/>
              <w:end w:w="110" w:type="dxa"/>
            </w:tcMar>
            <w:shd w:fill="F3F7FA"/>
          </w:tcPr>
          <w:p>
            <w:pPr>
              <w:spacing w:after="0" w:before="0"/>
            </w:pPr>
            <w:r/>
            <w:r>
              <w:rPr>
                <w:rFonts w:ascii="Aptos" w:hAnsi="Aptos"/>
                <w:b w:val="0"/>
                <w:color w:val="18222B"/>
                <w:sz w:val="18"/>
              </w:rPr>
              <w:t>Offline QR</w:t>
            </w:r>
          </w:p>
        </w:tc>
        <w:tc>
          <w:tcPr>
            <w:tcW w:type="dxa" w:w="6912"/>
            <w:vAlign w:val="center"/>
            <w:tcMar>
              <w:top w:w="90" w:type="dxa"/>
              <w:start w:w="110" w:type="dxa"/>
              <w:bottom w:w="90" w:type="dxa"/>
              <w:end w:w="110" w:type="dxa"/>
            </w:tcMar>
            <w:shd w:fill="F3F7FA"/>
          </w:tcPr>
          <w:p>
            <w:pPr>
              <w:spacing w:after="0" w:before="0"/>
            </w:pPr>
            <w:r/>
            <w:r>
              <w:rPr>
                <w:rFonts w:ascii="Aptos" w:hAnsi="Aptos"/>
                <w:b w:val="0"/>
                <w:color w:val="18222B"/>
                <w:sz w:val="18"/>
              </w:rPr>
              <w:t>Signed credential plus signed compressed status-list snapshot and freshness metadata cached by verifier.</w:t>
            </w:r>
          </w:p>
        </w:tc>
      </w:tr>
      <w:tr>
        <w:tc>
          <w:tcPr>
            <w:tcW w:type="dxa" w:w="2592"/>
            <w:vAlign w:val="center"/>
            <w:tcMar>
              <w:top w:w="90" w:type="dxa"/>
              <w:start w:w="110" w:type="dxa"/>
              <w:bottom w:w="90" w:type="dxa"/>
              <w:end w:w="110" w:type="dxa"/>
            </w:tcMar>
            <w:shd w:fill="FFFFFF"/>
          </w:tcPr>
          <w:p>
            <w:pPr>
              <w:spacing w:after="0" w:before="0"/>
            </w:pPr>
            <w:r/>
            <w:r>
              <w:rPr>
                <w:rFonts w:ascii="Aptos" w:hAnsi="Aptos"/>
                <w:b w:val="0"/>
                <w:color w:val="18222B"/>
                <w:sz w:val="18"/>
              </w:rPr>
              <w:t>Low-connectivity verifier</w:t>
            </w:r>
          </w:p>
        </w:tc>
        <w:tc>
          <w:tcPr>
            <w:tcW w:type="dxa" w:w="6912"/>
            <w:vAlign w:val="center"/>
            <w:tcMar>
              <w:top w:w="90" w:type="dxa"/>
              <w:start w:w="110" w:type="dxa"/>
              <w:bottom w:w="90" w:type="dxa"/>
              <w:end w:w="110" w:type="dxa"/>
            </w:tcMar>
            <w:shd w:fill="FFFFFF"/>
          </w:tcPr>
          <w:p>
            <w:pPr>
              <w:spacing w:after="0" w:before="0"/>
            </w:pPr>
            <w:r/>
            <w:r>
              <w:rPr>
                <w:rFonts w:ascii="Aptos" w:hAnsi="Aptos"/>
                <w:b w:val="0"/>
                <w:color w:val="18222B"/>
                <w:sz w:val="18"/>
              </w:rPr>
              <w:t>Configurable maximum cached-revocation window; stale status produces INDETERMINATE, not valid.</w:t>
            </w:r>
          </w:p>
        </w:tc>
      </w:tr>
      <w:tr>
        <w:tc>
          <w:tcPr>
            <w:tcW w:type="dxa" w:w="2592"/>
            <w:vAlign w:val="center"/>
            <w:tcMar>
              <w:top w:w="90" w:type="dxa"/>
              <w:start w:w="110" w:type="dxa"/>
              <w:bottom w:w="90" w:type="dxa"/>
              <w:end w:w="110" w:type="dxa"/>
            </w:tcMar>
            <w:shd w:fill="F3F7FA"/>
          </w:tcPr>
          <w:p>
            <w:pPr>
              <w:spacing w:after="0" w:before="0"/>
            </w:pPr>
            <w:r/>
            <w:r>
              <w:rPr>
                <w:rFonts w:ascii="Aptos" w:hAnsi="Aptos"/>
                <w:b w:val="0"/>
                <w:color w:val="18222B"/>
                <w:sz w:val="18"/>
              </w:rPr>
              <w:t>Short-lived use</w:t>
            </w:r>
          </w:p>
        </w:tc>
        <w:tc>
          <w:tcPr>
            <w:tcW w:type="dxa" w:w="6912"/>
            <w:vAlign w:val="center"/>
            <w:tcMar>
              <w:top w:w="90" w:type="dxa"/>
              <w:start w:w="110" w:type="dxa"/>
              <w:bottom w:w="90" w:type="dxa"/>
              <w:end w:w="110" w:type="dxa"/>
            </w:tcMar>
            <w:shd w:fill="F3F7FA"/>
          </w:tcPr>
          <w:p>
            <w:pPr>
              <w:spacing w:after="0" w:before="0"/>
            </w:pPr>
            <w:r/>
            <w:r>
              <w:rPr>
                <w:rFonts w:ascii="Aptos" w:hAnsi="Aptos"/>
                <w:b w:val="0"/>
                <w:color w:val="18222B"/>
                <w:sz w:val="18"/>
              </w:rPr>
              <w:t>High-risk or rapidly changing credentials use short validity periods to bound offline exposure.</w:t>
            </w:r>
          </w:p>
        </w:tc>
      </w:tr>
      <w:tr>
        <w:tc>
          <w:tcPr>
            <w:tcW w:type="dxa" w:w="2592"/>
            <w:vAlign w:val="center"/>
            <w:tcMar>
              <w:top w:w="90" w:type="dxa"/>
              <w:start w:w="110" w:type="dxa"/>
              <w:bottom w:w="90" w:type="dxa"/>
              <w:end w:w="110" w:type="dxa"/>
            </w:tcMar>
            <w:shd w:fill="FFFFFF"/>
          </w:tcPr>
          <w:p>
            <w:pPr>
              <w:spacing w:after="0" w:before="0"/>
            </w:pPr>
            <w:r/>
            <w:r>
              <w:rPr>
                <w:rFonts w:ascii="Aptos" w:hAnsi="Aptos"/>
                <w:b w:val="0"/>
                <w:color w:val="18222B"/>
                <w:sz w:val="18"/>
              </w:rPr>
              <w:t>USSD</w:t>
            </w:r>
          </w:p>
        </w:tc>
        <w:tc>
          <w:tcPr>
            <w:tcW w:type="dxa" w:w="6912"/>
            <w:vAlign w:val="center"/>
            <w:tcMar>
              <w:top w:w="90" w:type="dxa"/>
              <w:start w:w="110" w:type="dxa"/>
              <w:bottom w:w="90" w:type="dxa"/>
              <w:end w:w="110" w:type="dxa"/>
            </w:tcMar>
            <w:shd w:fill="FFFFFF"/>
          </w:tcPr>
          <w:p>
            <w:pPr>
              <w:spacing w:after="0" w:before="0"/>
            </w:pPr>
            <w:r/>
            <w:r>
              <w:rPr>
                <w:rFonts w:ascii="Aptos" w:hAnsi="Aptos"/>
                <w:b w:val="0"/>
                <w:color w:val="18222B"/>
                <w:sz w:val="18"/>
              </w:rPr>
              <w:t>USSD service performs an online server-side status check and returns minimal status/reason response; it is not treated as offline verification.</w:t>
            </w:r>
          </w:p>
        </w:tc>
      </w:tr>
      <w:tr>
        <w:tc>
          <w:tcPr>
            <w:tcW w:type="dxa" w:w="2592"/>
            <w:vAlign w:val="center"/>
            <w:tcMar>
              <w:top w:w="90" w:type="dxa"/>
              <w:start w:w="110" w:type="dxa"/>
              <w:bottom w:w="90" w:type="dxa"/>
              <w:end w:w="110" w:type="dxa"/>
            </w:tcMar>
            <w:shd w:fill="F3F7FA"/>
          </w:tcPr>
          <w:p>
            <w:pPr>
              <w:spacing w:after="0" w:before="0"/>
            </w:pPr>
            <w:r/>
            <w:r>
              <w:rPr>
                <w:rFonts w:ascii="Aptos" w:hAnsi="Aptos"/>
                <w:b w:val="0"/>
                <w:color w:val="18222B"/>
                <w:sz w:val="18"/>
              </w:rPr>
              <w:t>Emergency revocation</w:t>
            </w:r>
          </w:p>
        </w:tc>
        <w:tc>
          <w:tcPr>
            <w:tcW w:type="dxa" w:w="6912"/>
            <w:vAlign w:val="center"/>
            <w:tcMar>
              <w:top w:w="90" w:type="dxa"/>
              <w:start w:w="110" w:type="dxa"/>
              <w:bottom w:w="90" w:type="dxa"/>
              <w:end w:w="110" w:type="dxa"/>
            </w:tcMar>
            <w:shd w:fill="F3F7FA"/>
          </w:tcPr>
          <w:p>
            <w:pPr>
              <w:spacing w:after="0" w:before="0"/>
            </w:pPr>
            <w:r/>
            <w:r>
              <w:rPr>
                <w:rFonts w:ascii="Aptos" w:hAnsi="Aptos"/>
                <w:b w:val="0"/>
                <w:color w:val="18222B"/>
                <w:sz w:val="18"/>
              </w:rPr>
              <w:t>Publish new signed status-list version and invalidate affected key/credential; verifier policy defines maximum refresh interval.</w:t>
            </w:r>
          </w:p>
        </w:tc>
      </w:tr>
      <w:tr>
        <w:tc>
          <w:tcPr>
            <w:tcW w:type="dxa" w:w="5083"/>
          </w:tcPr>
          <w:p>
            <w:r>
              <w:t>POST /decisions/{decisionId}/appeals</w:t>
            </w:r>
          </w:p>
        </w:tc>
        <w:tc>
          <w:tcPr>
            <w:tcW w:type="dxa" w:w="5083"/>
          </w:tcPr>
          <w:p>
            <w:r>
              <w:t>Submit an appeal against an appealable decision.</w:t>
            </w:r>
          </w:p>
        </w:tc>
      </w:tr>
      <w:tr>
        <w:tc>
          <w:tcPr>
            <w:tcW w:type="dxa" w:w="5083"/>
          </w:tcPr>
          <w:p>
            <w:r>
              <w:t>GET /appeals/{appealId}</w:t>
            </w:r>
          </w:p>
        </w:tc>
        <w:tc>
          <w:tcPr>
            <w:tcW w:type="dxa" w:w="5083"/>
          </w:tcPr>
          <w:p>
            <w:r>
              <w:t>Retrieve an appeal using an authorised representation.</w:t>
            </w:r>
          </w:p>
        </w:tc>
      </w:tr>
      <w:tr>
        <w:tc>
          <w:tcPr>
            <w:tcW w:type="dxa" w:w="5083"/>
          </w:tcPr>
          <w:p>
            <w:r>
              <w:t>GET /decisions/{decisionId}/appeals</w:t>
            </w:r>
          </w:p>
        </w:tc>
        <w:tc>
          <w:tcPr>
            <w:tcW w:type="dxa" w:w="5083"/>
          </w:tcPr>
          <w:p>
            <w:r>
              <w:t>List appeals associated with a decision.</w:t>
            </w:r>
          </w:p>
        </w:tc>
      </w:tr>
      <w:tr>
        <w:tc>
          <w:tcPr>
            <w:tcW w:type="dxa" w:w="5083"/>
          </w:tcPr>
          <w:p>
            <w:r>
              <w:t>POST /appeals/{appealId}/evidence</w:t>
            </w:r>
          </w:p>
        </w:tc>
        <w:tc>
          <w:tcPr>
            <w:tcW w:type="dxa" w:w="5083"/>
          </w:tcPr>
          <w:p>
            <w:r>
              <w:t>Add evidence while preserving provenance and history.</w:t>
            </w:r>
          </w:p>
        </w:tc>
      </w:tr>
      <w:tr>
        <w:tc>
          <w:tcPr>
            <w:tcW w:type="dxa" w:w="5083"/>
          </w:tcPr>
          <w:p>
            <w:r>
              <w:t>POST /appeals/{appealId}/withdraw</w:t>
            </w:r>
          </w:p>
        </w:tc>
        <w:tc>
          <w:tcPr>
            <w:tcW w:type="dxa" w:w="5083"/>
          </w:tcPr>
          <w:p>
            <w:r>
              <w:t>Withdraw an appeal without deleting its history.</w:t>
            </w:r>
          </w:p>
        </w:tc>
      </w:tr>
      <w:tr>
        <w:tc>
          <w:tcPr>
            <w:tcW w:type="dxa" w:w="5083"/>
          </w:tcPr>
          <w:p>
            <w:r>
              <w:t>POST /appeals/{appealId}/decide</w:t>
            </w:r>
          </w:p>
        </w:tc>
        <w:tc>
          <w:tcPr>
            <w:tcW w:type="dxa" w:w="5083"/>
          </w:tcPr>
          <w:p>
            <w:r>
              <w:t>Record one registered AppealOutcome value—UPHELD, OVERTURNED, VARIED or DISMISSED—and create any superseding decision without overwriting the original decision or trace.</w:t>
            </w:r>
          </w:p>
        </w:tc>
      </w:tr>
      <w:tr>
        <w:tc>
          <w:tcPr>
            <w:tcW w:type="dxa" w:w="5083"/>
          </w:tcPr>
          <w:p>
            <w:r>
              <w:t>GET /legal-bases/{legalBasisId}</w:t>
            </w:r>
          </w:p>
        </w:tc>
        <w:tc>
          <w:tcPr>
            <w:tcW w:type="dxa" w:w="5083"/>
          </w:tcPr>
          <w:p>
            <w:r>
              <w:t>Read a registered legal basis and exact active version.</w:t>
            </w:r>
          </w:p>
        </w:tc>
      </w:tr>
      <w:tr>
        <w:tc>
          <w:tcPr>
            <w:tcW w:type="dxa" w:w="5083"/>
          </w:tcPr>
          <w:p>
            <w:r>
              <w:t>GET /legal-bases/{legalBasisId}/versions</w:t>
            </w:r>
          </w:p>
        </w:tc>
        <w:tc>
          <w:tcPr>
            <w:tcW w:type="dxa" w:w="5083"/>
          </w:tcPr>
          <w:p>
            <w:r>
              <w:t>List immutable legal-basis versions.</w:t>
            </w:r>
          </w:p>
        </w:tc>
      </w:tr>
      <w:tr>
        <w:tc>
          <w:tcPr>
            <w:tcW w:type="dxa" w:w="5083"/>
          </w:tcPr>
          <w:p>
            <w:r>
              <w:t>POST /legal-bases/{legalBasisId}/validate-reference</w:t>
            </w:r>
          </w:p>
        </w:tc>
        <w:tc>
          <w:tcPr>
            <w:tcW w:type="dxa" w:w="5083"/>
          </w:tcPr>
          <w:p>
            <w:r>
              <w:t>Validate that a legal-basis version covers the proposed purpose, service and data operation.</w:t>
            </w:r>
          </w:p>
        </w:tc>
      </w:tr>
      <w:tr>
        <w:tc>
          <w:tcPr>
            <w:tcW w:type="dxa" w:w="5083"/>
          </w:tcPr>
          <w:p>
            <w:r>
              <w:t>GET /dpias/{dpiaId}</w:t>
            </w:r>
          </w:p>
        </w:tc>
        <w:tc>
          <w:tcPr>
            <w:tcW w:type="dxa" w:w="5083"/>
          </w:tcPr>
          <w:p>
            <w:r>
              <w:t>Read a DPIA record using an authorised representation.</w:t>
            </w:r>
          </w:p>
        </w:tc>
      </w:tr>
      <w:tr>
        <w:tc>
          <w:tcPr>
            <w:tcW w:type="dxa" w:w="5083"/>
          </w:tcPr>
          <w:p>
            <w:r>
              <w:t>GET /dpias/{dpiaId}/versions</w:t>
            </w:r>
          </w:p>
        </w:tc>
        <w:tc>
          <w:tcPr>
            <w:tcW w:type="dxa" w:w="5083"/>
          </w:tcPr>
          <w:p>
            <w:r>
              <w:t>List immutable DPIA versions.</w:t>
            </w:r>
          </w:p>
        </w:tc>
      </w:tr>
      <w:tr>
        <w:tc>
          <w:tcPr>
            <w:tcW w:type="dxa" w:w="5083"/>
          </w:tcPr>
          <w:p>
            <w:r>
              <w:t>GET /services/{serviceId}/dpias</w:t>
            </w:r>
          </w:p>
        </w:tc>
        <w:tc>
          <w:tcPr>
            <w:tcW w:type="dxa" w:w="5083"/>
          </w:tcPr>
          <w:p>
            <w:r>
              <w:t>List active DPIAs governing a registered service.</w:t>
            </w:r>
          </w:p>
        </w:tc>
      </w:tr>
      <w:tr>
        <w:tc>
          <w:tcPr>
            <w:tcW w:type="dxa" w:w="5083"/>
          </w:tcPr>
          <w:p>
            <w:r>
              <w:t>POST /dpias/{dpiaId}/validate-reference</w:t>
            </w:r>
          </w:p>
        </w:tc>
        <w:tc>
          <w:tcPr>
            <w:tcW w:type="dxa" w:w="5083"/>
          </w:tcPr>
          <w:p>
            <w:r>
              <w:t>Validate scope, status, effective period and covered high-risk operation.</w:t>
            </w:r>
          </w:p>
        </w:tc>
      </w:tr>
    </w:tbl>
    <w:p>
      <w:pPr>
        <w:spacing w:after="20"/>
      </w:pPr>
    </w:p>
    <w:p>
      <w:r>
        <w:t>A verifier must display the status-list issuance time and whether its cache is within policy. “Signature valid” is not equivalent to “credential currently valid.”</w:t>
      </w:r>
    </w:p>
    <w:p>
      <w:pPr>
        <w:pStyle w:val="Heading1"/>
      </w:pPr>
      <w:r>
        <w:t>10. Repository and Delivery Shape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4608"/>
            <w:vAlign w:val="center"/>
            <w:tcMar>
              <w:top w:w="90" w:type="dxa"/>
              <w:start w:w="110" w:type="dxa"/>
              <w:bottom w:w="90" w:type="dxa"/>
              <w:end w:w="110" w:type="dxa"/>
            </w:tcMar>
            <w:shd w:fill="17324D"/>
          </w:tcPr>
          <w:p>
            <w:pPr>
              <w:spacing w:after="0" w:before="0"/>
            </w:pPr>
            <w:r/>
            <w:r>
              <w:rPr>
                <w:rFonts w:ascii="Aptos" w:hAnsi="Aptos"/>
                <w:b/>
                <w:color w:val="FFFFFF"/>
                <w:sz w:val="18"/>
              </w:rPr>
              <w:t>Ship for DPG submission</w:t>
            </w:r>
          </w:p>
        </w:tc>
        <w:tc>
          <w:tcPr>
            <w:tcW w:type="dxa" w:w="4896"/>
            <w:vAlign w:val="center"/>
            <w:tcMar>
              <w:top w:w="90" w:type="dxa"/>
              <w:start w:w="110" w:type="dxa"/>
              <w:bottom w:w="90" w:type="dxa"/>
              <w:end w:w="110" w:type="dxa"/>
            </w:tcMar>
            <w:shd w:fill="17324D"/>
          </w:tcPr>
          <w:p>
            <w:pPr>
              <w:spacing w:after="0" w:before="0"/>
            </w:pPr>
            <w:r/>
            <w:r>
              <w:rPr>
                <w:rFonts w:ascii="Aptos" w:hAnsi="Aptos"/>
                <w:b/>
                <w:color w:val="FFFFFF"/>
                <w:sz w:val="18"/>
              </w:rPr>
              <w:t>Mark as roadmap / optional</w:t>
            </w:r>
          </w:p>
        </w:tc>
      </w:tr>
      <w:tr>
        <w:tc>
          <w:tcPr>
            <w:tcW w:type="dxa" w:w="4608"/>
            <w:vAlign w:val="center"/>
            <w:tcMar>
              <w:top w:w="90" w:type="dxa"/>
              <w:start w:w="110" w:type="dxa"/>
              <w:bottom w:w="90" w:type="dxa"/>
              <w:end w:w="110" w:type="dxa"/>
            </w:tcMar>
            <w:shd w:fill="FFFFFF"/>
          </w:tcPr>
          <w:p>
            <w:pPr>
              <w:spacing w:after="0" w:before="0"/>
            </w:pPr>
            <w:r/>
            <w:r>
              <w:rPr>
                <w:rFonts w:ascii="Aptos" w:hAnsi="Aptos"/>
                <w:b w:val="0"/>
                <w:color w:val="18222B"/>
                <w:sz w:val="18"/>
              </w:rPr>
              <w:t>Core domain + existing evaluator + trace model</w:t>
            </w:r>
          </w:p>
        </w:tc>
        <w:tc>
          <w:tcPr>
            <w:tcW w:type="dxa" w:w="4896"/>
            <w:vAlign w:val="center"/>
            <w:tcMar>
              <w:top w:w="90" w:type="dxa"/>
              <w:start w:w="110" w:type="dxa"/>
              <w:bottom w:w="90" w:type="dxa"/>
              <w:end w:w="110" w:type="dxa"/>
            </w:tcMar>
            <w:shd w:fill="FFFFFF"/>
          </w:tcPr>
          <w:p>
            <w:pPr>
              <w:spacing w:after="0" w:before="0"/>
            </w:pPr>
            <w:r/>
            <w:r>
              <w:rPr>
                <w:rFonts w:ascii="Aptos" w:hAnsi="Aptos"/>
                <w:b w:val="0"/>
                <w:color w:val="18222B"/>
                <w:sz w:val="18"/>
              </w:rPr>
              <w:t>Dedicated exchange service</w:t>
            </w:r>
          </w:p>
        </w:tc>
      </w:tr>
      <w:tr>
        <w:tc>
          <w:tcPr>
            <w:tcW w:type="dxa" w:w="4608"/>
            <w:vAlign w:val="center"/>
            <w:tcMar>
              <w:top w:w="90" w:type="dxa"/>
              <w:start w:w="110" w:type="dxa"/>
              <w:bottom w:w="90" w:type="dxa"/>
              <w:end w:w="110" w:type="dxa"/>
            </w:tcMar>
            <w:shd w:fill="F3F7FA"/>
          </w:tcPr>
          <w:p>
            <w:pPr>
              <w:spacing w:after="0" w:before="0"/>
            </w:pPr>
            <w:r/>
            <w:r>
              <w:rPr>
                <w:rFonts w:ascii="Aptos" w:hAnsi="Aptos"/>
                <w:b w:val="0"/>
                <w:color w:val="18222B"/>
                <w:sz w:val="18"/>
              </w:rPr>
              <w:t>Policy schema, validator, packs and conformance suite</w:t>
            </w:r>
          </w:p>
        </w:tc>
        <w:tc>
          <w:tcPr>
            <w:tcW w:type="dxa" w:w="4896"/>
            <w:vAlign w:val="center"/>
            <w:tcMar>
              <w:top w:w="90" w:type="dxa"/>
              <w:start w:w="110" w:type="dxa"/>
              <w:bottom w:w="90" w:type="dxa"/>
              <w:end w:w="110" w:type="dxa"/>
            </w:tcMar>
            <w:shd w:fill="F3F7FA"/>
          </w:tcPr>
          <w:p>
            <w:pPr>
              <w:spacing w:after="0" w:before="0"/>
            </w:pPr>
            <w:r/>
            <w:r>
              <w:rPr>
                <w:rFonts w:ascii="Aptos" w:hAnsi="Aptos"/>
                <w:b w:val="0"/>
                <w:color w:val="18222B"/>
                <w:sz w:val="18"/>
              </w:rPr>
              <w:t>General event broker/orchestrator</w:t>
            </w:r>
          </w:p>
        </w:tc>
      </w:tr>
      <w:tr>
        <w:tc>
          <w:tcPr>
            <w:tcW w:type="dxa" w:w="4608"/>
            <w:vAlign w:val="center"/>
            <w:tcMar>
              <w:top w:w="90" w:type="dxa"/>
              <w:start w:w="110" w:type="dxa"/>
              <w:bottom w:w="90" w:type="dxa"/>
              <w:end w:w="110" w:type="dxa"/>
            </w:tcMar>
            <w:shd w:fill="FFFFFF"/>
          </w:tcPr>
          <w:p>
            <w:pPr>
              <w:spacing w:after="0" w:before="0"/>
            </w:pPr>
            <w:r/>
            <w:r>
              <w:rPr>
                <w:rFonts w:ascii="Aptos" w:hAnsi="Aptos"/>
                <w:b w:val="0"/>
                <w:color w:val="18222B"/>
                <w:sz w:val="18"/>
              </w:rPr>
              <w:t>Auth integration profile and reference OIDC setup</w:t>
            </w:r>
          </w:p>
        </w:tc>
        <w:tc>
          <w:tcPr>
            <w:tcW w:type="dxa" w:w="4896"/>
            <w:vAlign w:val="center"/>
            <w:tcMar>
              <w:top w:w="90" w:type="dxa"/>
              <w:start w:w="110" w:type="dxa"/>
              <w:bottom w:w="90" w:type="dxa"/>
              <w:end w:w="110" w:type="dxa"/>
            </w:tcMar>
            <w:shd w:fill="FFFFFF"/>
          </w:tcPr>
          <w:p>
            <w:pPr>
              <w:spacing w:after="0" w:before="0"/>
            </w:pPr>
            <w:r/>
            <w:r>
              <w:rPr>
                <w:rFonts w:ascii="Aptos" w:hAnsi="Aptos"/>
                <w:b w:val="0"/>
                <w:color w:val="18222B"/>
                <w:sz w:val="18"/>
              </w:rPr>
              <w:t>Large connector repository</w:t>
            </w:r>
          </w:p>
        </w:tc>
      </w:tr>
      <w:tr>
        <w:tc>
          <w:tcPr>
            <w:tcW w:type="dxa" w:w="4608"/>
            <w:vAlign w:val="center"/>
            <w:tcMar>
              <w:top w:w="90" w:type="dxa"/>
              <w:start w:w="110" w:type="dxa"/>
              <w:bottom w:w="90" w:type="dxa"/>
              <w:end w:w="110" w:type="dxa"/>
            </w:tcMar>
            <w:shd w:fill="F3F7FA"/>
          </w:tcPr>
          <w:p>
            <w:pPr>
              <w:spacing w:after="0" w:before="0"/>
            </w:pPr>
            <w:r/>
            <w:r>
              <w:rPr>
                <w:rFonts w:ascii="Aptos" w:hAnsi="Aptos"/>
                <w:b w:val="0"/>
                <w:color w:val="18222B"/>
                <w:sz w:val="18"/>
              </w:rPr>
              <w:t>Credentials, status and offline verification library</w:t>
            </w:r>
          </w:p>
        </w:tc>
        <w:tc>
          <w:tcPr>
            <w:tcW w:type="dxa" w:w="4896"/>
            <w:vAlign w:val="center"/>
            <w:tcMar>
              <w:top w:w="90" w:type="dxa"/>
              <w:start w:w="110" w:type="dxa"/>
              <w:bottom w:w="90" w:type="dxa"/>
              <w:end w:w="110" w:type="dxa"/>
            </w:tcMar>
            <w:shd w:fill="F3F7FA"/>
          </w:tcPr>
          <w:p>
            <w:pPr>
              <w:spacing w:after="0" w:before="0"/>
            </w:pPr>
            <w:r/>
            <w:r>
              <w:rPr>
                <w:rFonts w:ascii="Aptos" w:hAnsi="Aptos"/>
                <w:b w:val="0"/>
                <w:color w:val="18222B"/>
                <w:sz w:val="18"/>
              </w:rPr>
              <w:t>Independent credential microservice unless current scale requires it</w:t>
            </w:r>
          </w:p>
        </w:tc>
      </w:tr>
      <w:tr>
        <w:tc>
          <w:tcPr>
            <w:tcW w:type="dxa" w:w="4608"/>
            <w:vAlign w:val="center"/>
            <w:tcMar>
              <w:top w:w="90" w:type="dxa"/>
              <w:start w:w="110" w:type="dxa"/>
              <w:bottom w:w="90" w:type="dxa"/>
              <w:end w:w="110" w:type="dxa"/>
            </w:tcMar>
            <w:shd w:fill="FFFFFF"/>
          </w:tcPr>
          <w:p>
            <w:pPr>
              <w:spacing w:after="0" w:before="0"/>
            </w:pPr>
            <w:r/>
            <w:r>
              <w:rPr>
                <w:rFonts w:ascii="Aptos" w:hAnsi="Aptos"/>
                <w:b w:val="0"/>
                <w:color w:val="18222B"/>
                <w:sz w:val="18"/>
              </w:rPr>
              <w:t>Reference deployment, governance, security, privacy and contribution docs</w:t>
            </w:r>
          </w:p>
        </w:tc>
        <w:tc>
          <w:tcPr>
            <w:tcW w:type="dxa" w:w="4896"/>
            <w:vAlign w:val="center"/>
            <w:tcMar>
              <w:top w:w="90" w:type="dxa"/>
              <w:start w:w="110" w:type="dxa"/>
              <w:bottom w:w="90" w:type="dxa"/>
              <w:end w:w="110" w:type="dxa"/>
            </w:tcMar>
            <w:shd w:fill="FFFFFF"/>
          </w:tcPr>
          <w:p>
            <w:pPr>
              <w:spacing w:after="0" w:before="0"/>
            </w:pPr>
            <w:r/>
            <w:r>
              <w:rPr>
                <w:rFonts w:ascii="Aptos" w:hAnsi="Aptos"/>
                <w:b w:val="0"/>
                <w:color w:val="18222B"/>
                <w:sz w:val="18"/>
              </w:rPr>
              <w:t>Nationwide federation and exclusivity</w:t>
            </w:r>
          </w:p>
        </w:tc>
      </w:tr>
      <w:tr>
        <w:tc>
          <w:tcPr>
            <w:tcW w:type="dxa" w:w="5083"/>
          </w:tcPr>
          <w:p>
            <w:r>
              <w:t>Outcome determinism</w:t>
            </w:r>
          </w:p>
        </w:tc>
        <w:tc>
          <w:tcPr>
            <w:tcW w:type="dxa" w:w="5083"/>
          </w:tcPr>
          <w:p>
            <w:r>
              <w:t>Every outcome is drawn from the registered DecisionOutcome vocabulary and is reproducible from the policy bundle hash, including the pinned aggregation rule, evidence snapshot, clause classes, clause states and vocabulary version.</w:t>
            </w:r>
          </w:p>
        </w:tc>
      </w:tr>
      <w:tr>
        <w:tc>
          <w:tcPr>
            <w:tcW w:type="dxa" w:w="5083"/>
          </w:tcPr>
          <w:p>
            <w:r>
              <w:t>Aggregation semantics</w:t>
            </w:r>
          </w:p>
        </w:tc>
        <w:tc>
          <w:tcPr>
            <w:tcW w:type="dxa" w:w="5083"/>
          </w:tcPr>
          <w:p>
            <w:r>
              <w:t>ClauseClass is registered and present in every clause result. Floor-invariant or protection-rule review outranks automatic NOT_APPROVED; all other precedence and mappings are deterministic and validated.</w:t>
            </w:r>
          </w:p>
        </w:tc>
      </w:tr>
      <w:tr>
        <w:tc>
          <w:tcPr>
            <w:tcW w:type="dxa" w:w="5083"/>
          </w:tcPr>
          <w:p>
            <w:r>
              <w:t>Vocabulary evolution</w:t>
            </w:r>
          </w:p>
        </w:tc>
        <w:tc>
          <w:tcPr>
            <w:tcW w:type="dxa" w:w="5083"/>
          </w:tcPr>
          <w:p>
            <w:r>
              <w:t>Closed-vocabulary expansion triggers the required major version change; historical traces replay under their pinned vocabulary version without reinterpretation.</w:t>
            </w:r>
          </w:p>
        </w:tc>
      </w:tr>
      <w:tr>
        <w:tc>
          <w:tcPr>
            <w:tcW w:type="dxa" w:w="5083"/>
          </w:tcPr>
          <w:p>
            <w:r>
              <w:t>Appeals API</w:t>
            </w:r>
          </w:p>
        </w:tc>
        <w:tc>
          <w:tcPr>
            <w:tcW w:type="dxa" w:w="5083"/>
          </w:tcPr>
          <w:p>
            <w:r>
              <w:t>Every appealable negative or review-required decision exposes an appeal route, and appeal records are created, evidenced, decided and audited without overwriting the original decision.</w:t>
            </w:r>
          </w:p>
        </w:tc>
      </w:tr>
      <w:tr>
        <w:tc>
          <w:tcPr>
            <w:tcW w:type="dxa" w:w="5083"/>
          </w:tcPr>
          <w:p>
            <w:r>
              <w:t>Registry API completeness</w:t>
            </w:r>
          </w:p>
        </w:tc>
        <w:tc>
          <w:tcPr>
            <w:tcW w:type="dxa" w:w="5083"/>
          </w:tcPr>
          <w:p>
            <w:r>
              <w:t>Mandatory legalBasisReference and dpiaReference values resolve through versioned registry read and validation APIs.</w:t>
            </w:r>
          </w:p>
        </w:tc>
      </w:tr>
    </w:tbl>
    <w:p>
      <w:pPr>
        <w:spacing w:after="20"/>
      </w:pPr>
    </w:p>
    <w:p>
      <w:r>
        <w:t>The initial codebase may remain a modular monolith or small set of packages. Independent service boundaries are future extraction points, not a requirement to create eight repositories immediately.</w:t>
      </w:r>
    </w:p>
    <w:p>
      <w:pPr>
        <w:pStyle w:val="Heading1"/>
      </w:pPr>
      <w:r>
        <w:t>11. Core APIs</w:t>
      </w:r>
    </w:p>
    <w:p>
      <w:r>
        <w:t>The following table is the minimum release-one API surface. The versioned OpenAPI specification is authoritative and may add operational endpoints, but it may not omit the lifecycle capabilities listed here.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312"/>
            <w:vAlign w:val="center"/>
            <w:tcMar>
              <w:top w:w="90" w:type="dxa"/>
              <w:start w:w="110" w:type="dxa"/>
              <w:bottom w:w="90" w:type="dxa"/>
              <w:end w:w="110" w:type="dxa"/>
            </w:tcMar>
            <w:shd w:fill="17324D"/>
          </w:tcPr>
          <w:p>
            <w:pPr>
              <w:spacing w:after="0" w:before="0"/>
            </w:pPr>
            <w:r/>
            <w:r>
              <w:rPr>
                <w:rFonts w:ascii="Aptos" w:hAnsi="Aptos"/>
                <w:b/>
                <w:color w:val="FFFFFF"/>
                <w:sz w:val="18"/>
              </w:rPr>
              <w:t>Method and path</w:t>
            </w:r>
          </w:p>
        </w:tc>
        <w:tc>
          <w:tcPr>
            <w:tcW w:type="dxa" w:w="6192"/>
            <w:vAlign w:val="center"/>
            <w:tcMar>
              <w:top w:w="90" w:type="dxa"/>
              <w:start w:w="110" w:type="dxa"/>
              <w:bottom w:w="90" w:type="dxa"/>
              <w:end w:w="110" w:type="dxa"/>
            </w:tcMar>
            <w:shd w:fill="17324D"/>
          </w:tcPr>
          <w:p>
            <w:pPr>
              <w:spacing w:after="0" w:before="0"/>
            </w:pPr>
            <w:r/>
            <w:r>
              <w:rPr>
                <w:rFonts w:ascii="Aptos" w:hAnsi="Aptos"/>
                <w:b/>
                <w:color w:val="FFFFFF"/>
                <w:sz w:val="18"/>
              </w:rPr>
              <w:t>Purpose</w:t>
            </w:r>
          </w:p>
        </w:tc>
      </w:tr>
      <w:tr>
        <w:tc>
          <w:tcPr>
            <w:tcW w:type="dxa" w:w="3312"/>
            <w:vAlign w:val="center"/>
            <w:tcMar>
              <w:top w:w="90" w:type="dxa"/>
              <w:start w:w="110" w:type="dxa"/>
              <w:bottom w:w="90" w:type="dxa"/>
              <w:end w:w="110" w:type="dxa"/>
            </w:tcMar>
            <w:shd w:fill="FFFFFF"/>
          </w:tcPr>
          <w:p>
            <w:pPr>
              <w:spacing w:after="0" w:before="0"/>
            </w:pPr>
            <w:r/>
            <w:r>
              <w:rPr>
                <w:rFonts w:ascii="Aptos" w:hAnsi="Aptos"/>
                <w:b w:val="0"/>
                <w:color w:val="18222B"/>
                <w:sz w:val="18"/>
              </w:rPr>
              <w:t>POST /policies/{id}/evaluate</w:t>
            </w:r>
          </w:p>
        </w:tc>
        <w:tc>
          <w:tcPr>
            <w:tcW w:type="dxa" w:w="6192"/>
            <w:vAlign w:val="center"/>
            <w:tcMar>
              <w:top w:w="90" w:type="dxa"/>
              <w:start w:w="110" w:type="dxa"/>
              <w:bottom w:w="90" w:type="dxa"/>
              <w:end w:w="110" w:type="dxa"/>
            </w:tcMar>
            <w:shd w:fill="FFFFFF"/>
          </w:tcPr>
          <w:p>
            <w:pPr>
              <w:spacing w:after="0" w:before="0"/>
            </w:pPr>
            <w:r/>
            <w:r>
              <w:rPr>
                <w:rFonts w:ascii="Aptos" w:hAnsi="Aptos"/>
                <w:b w:val="0"/>
                <w:color w:val="18222B"/>
                <w:sz w:val="18"/>
              </w:rPr>
              <w:t>Evaluate supplied normalised facts and evidence against an immutable policy bundle.</w:t>
            </w:r>
          </w:p>
        </w:tc>
      </w:tr>
      <w:tr>
        <w:tc>
          <w:tcPr>
            <w:tcW w:type="dxa" w:w="3312"/>
            <w:vAlign w:val="center"/>
            <w:tcMar>
              <w:top w:w="90" w:type="dxa"/>
              <w:start w:w="110" w:type="dxa"/>
              <w:bottom w:w="90" w:type="dxa"/>
              <w:end w:w="110" w:type="dxa"/>
            </w:tcMar>
            <w:shd w:fill="F3F7FA"/>
          </w:tcPr>
          <w:p>
            <w:pPr>
              <w:spacing w:after="0" w:before="0"/>
            </w:pPr>
            <w:r/>
            <w:r>
              <w:rPr>
                <w:rFonts w:ascii="Aptos" w:hAnsi="Aptos"/>
                <w:b w:val="0"/>
                <w:color w:val="18222B"/>
                <w:sz w:val="18"/>
              </w:rPr>
              <w:t>GET /decisions/{id}</w:t>
            </w:r>
          </w:p>
        </w:tc>
        <w:tc>
          <w:tcPr>
            <w:tcW w:type="dxa" w:w="6192"/>
            <w:vAlign w:val="center"/>
            <w:tcMar>
              <w:top w:w="90" w:type="dxa"/>
              <w:start w:w="110" w:type="dxa"/>
              <w:bottom w:w="90" w:type="dxa"/>
              <w:end w:w="110" w:type="dxa"/>
            </w:tcMar>
            <w:shd w:fill="F3F7FA"/>
          </w:tcPr>
          <w:p>
            <w:pPr>
              <w:spacing w:after="0" w:before="0"/>
            </w:pPr>
            <w:r/>
            <w:r>
              <w:rPr>
                <w:rFonts w:ascii="Aptos" w:hAnsi="Aptos"/>
                <w:b w:val="0"/>
                <w:color w:val="18222B"/>
                <w:sz w:val="18"/>
              </w:rPr>
              <w:t>Retrieve decision and complete trace reference.</w:t>
            </w:r>
          </w:p>
        </w:tc>
      </w:tr>
      <w:tr>
        <w:tc>
          <w:tcPr>
            <w:tcW w:type="dxa" w:w="3312"/>
            <w:vAlign w:val="center"/>
            <w:tcMar>
              <w:top w:w="90" w:type="dxa"/>
              <w:start w:w="110" w:type="dxa"/>
              <w:bottom w:w="90" w:type="dxa"/>
              <w:end w:w="110" w:type="dxa"/>
            </w:tcMar>
            <w:shd w:fill="FFFFFF"/>
          </w:tcPr>
          <w:p>
            <w:pPr>
              <w:spacing w:after="0" w:before="0"/>
            </w:pPr>
            <w:r/>
            <w:r>
              <w:rPr>
                <w:rFonts w:ascii="Aptos" w:hAnsi="Aptos"/>
                <w:b w:val="0"/>
                <w:color w:val="18222B"/>
                <w:sz w:val="18"/>
              </w:rPr>
              <w:t>POST /decisions/{id}/replay</w:t>
            </w:r>
          </w:p>
        </w:tc>
        <w:tc>
          <w:tcPr>
            <w:tcW w:type="dxa" w:w="6192"/>
            <w:vAlign w:val="center"/>
            <w:tcMar>
              <w:top w:w="90" w:type="dxa"/>
              <w:start w:w="110" w:type="dxa"/>
              <w:bottom w:w="90" w:type="dxa"/>
              <w:end w:w="110" w:type="dxa"/>
            </w:tcMar>
            <w:shd w:fill="FFFFFF"/>
          </w:tcPr>
          <w:p>
            <w:pPr>
              <w:spacing w:after="0" w:before="0"/>
            </w:pPr>
            <w:r/>
            <w:r>
              <w:rPr>
                <w:rFonts w:ascii="Aptos" w:hAnsi="Aptos"/>
                <w:b w:val="0"/>
                <w:color w:val="18222B"/>
                <w:sz w:val="18"/>
              </w:rPr>
              <w:t>Reproduce a decision using pinned immutable inputs; restricted and audited.</w:t>
            </w:r>
          </w:p>
        </w:tc>
      </w:tr>
      <w:tr>
        <w:tc>
          <w:tcPr>
            <w:tcW w:type="dxa" w:w="3312"/>
            <w:vAlign w:val="center"/>
            <w:tcMar>
              <w:top w:w="90" w:type="dxa"/>
              <w:start w:w="110" w:type="dxa"/>
              <w:bottom w:w="90" w:type="dxa"/>
              <w:end w:w="110" w:type="dxa"/>
            </w:tcMar>
            <w:shd w:fill="F3F7FA"/>
          </w:tcPr>
          <w:p>
            <w:pPr>
              <w:spacing w:after="0" w:before="0"/>
            </w:pPr>
            <w:r/>
            <w:r>
              <w:rPr>
                <w:rFonts w:ascii="Aptos" w:hAnsi="Aptos"/>
                <w:b w:val="0"/>
                <w:color w:val="18222B"/>
                <w:sz w:val="18"/>
              </w:rPr>
              <w:t>GET /traces/{id}</w:t>
            </w:r>
          </w:p>
        </w:tc>
        <w:tc>
          <w:tcPr>
            <w:tcW w:type="dxa" w:w="6192"/>
            <w:vAlign w:val="center"/>
            <w:tcMar>
              <w:top w:w="90" w:type="dxa"/>
              <w:start w:w="110" w:type="dxa"/>
              <w:bottom w:w="90" w:type="dxa"/>
              <w:end w:w="110" w:type="dxa"/>
            </w:tcMar>
            <w:shd w:fill="F3F7FA"/>
          </w:tcPr>
          <w:p>
            <w:r>
              <w:t>Retrieve a named, policy-authorised and redacted trace representation (subject, sector, reviewer or audit profile); declared purpose and legal-basis/subject-access context required.</w:t>
            </w:r>
          </w:p>
        </w:tc>
      </w:tr>
      <w:tr>
        <w:tc>
          <w:tcPr>
            <w:tcW w:type="dxa" w:w="3312"/>
            <w:vAlign w:val="center"/>
            <w:tcMar>
              <w:top w:w="90" w:type="dxa"/>
              <w:start w:w="110" w:type="dxa"/>
              <w:bottom w:w="90" w:type="dxa"/>
              <w:end w:w="110" w:type="dxa"/>
            </w:tcMar>
            <w:shd w:fill="FFFFFF"/>
          </w:tcPr>
          <w:p>
            <w:pPr>
              <w:spacing w:after="0" w:before="0"/>
            </w:pPr>
            <w:r/>
            <w:r>
              <w:rPr>
                <w:rFonts w:ascii="Aptos" w:hAnsi="Aptos"/>
                <w:b w:val="0"/>
                <w:color w:val="18222B"/>
                <w:sz w:val="18"/>
              </w:rPr>
              <w:t>POST /relationships</w:t>
            </w:r>
          </w:p>
        </w:tc>
        <w:tc>
          <w:tcPr>
            <w:tcW w:type="dxa" w:w="6192"/>
            <w:vAlign w:val="center"/>
            <w:tcMar>
              <w:top w:w="90" w:type="dxa"/>
              <w:start w:w="110" w:type="dxa"/>
              <w:bottom w:w="90" w:type="dxa"/>
              <w:end w:w="110" w:type="dxa"/>
            </w:tcMar>
            <w:shd w:fill="FFFFFF"/>
          </w:tcPr>
          <w:p>
            <w:pPr>
              <w:spacing w:after="0" w:before="0"/>
            </w:pPr>
            <w:r/>
            <w:r>
              <w:rPr>
                <w:rFonts w:ascii="Aptos" w:hAnsi="Aptos"/>
                <w:b w:val="0"/>
                <w:color w:val="18222B"/>
                <w:sz w:val="18"/>
              </w:rPr>
              <w:t>Create a proposed purpose-scoped relationship.</w:t>
            </w:r>
          </w:p>
        </w:tc>
      </w:tr>
      <w:tr>
        <w:tc>
          <w:tcPr>
            <w:tcW w:type="dxa" w:w="3312"/>
            <w:vAlign w:val="center"/>
            <w:tcMar>
              <w:top w:w="90" w:type="dxa"/>
              <w:start w:w="110" w:type="dxa"/>
              <w:bottom w:w="90" w:type="dxa"/>
              <w:end w:w="110" w:type="dxa"/>
            </w:tcMar>
            <w:shd w:fill="F3F7FA"/>
          </w:tcPr>
          <w:p>
            <w:pPr>
              <w:spacing w:after="0" w:before="0"/>
            </w:pPr>
            <w:r/>
            <w:r>
              <w:rPr>
                <w:rFonts w:ascii="Aptos" w:hAnsi="Aptos"/>
                <w:b w:val="0"/>
                <w:color w:val="18222B"/>
                <w:sz w:val="18"/>
              </w:rPr>
              <w:t>POST /identity-links/{id}/unlink</w:t>
            </w:r>
          </w:p>
        </w:tc>
        <w:tc>
          <w:tcPr>
            <w:tcW w:type="dxa" w:w="6192"/>
            <w:vAlign w:val="center"/>
            <w:tcMar>
              <w:top w:w="90" w:type="dxa"/>
              <w:start w:w="110" w:type="dxa"/>
              <w:bottom w:w="90" w:type="dxa"/>
              <w:end w:w="110" w:type="dxa"/>
            </w:tcMar>
            <w:shd w:fill="F3F7FA"/>
          </w:tcPr>
          <w:p>
            <w:pPr>
              <w:spacing w:after="0" w:before="0"/>
            </w:pPr>
            <w:r/>
            <w:r>
              <w:rPr>
                <w:rFonts w:ascii="Aptos" w:hAnsi="Aptos"/>
                <w:b w:val="0"/>
                <w:color w:val="18222B"/>
                <w:sz w:val="18"/>
              </w:rPr>
              <w:t>Close an incorrect mapping without deleting history.</w:t>
            </w:r>
          </w:p>
        </w:tc>
      </w:tr>
      <w:tr>
        <w:tc>
          <w:tcPr>
            <w:tcW w:type="dxa" w:w="3312"/>
            <w:vAlign w:val="center"/>
            <w:tcMar>
              <w:top w:w="90" w:type="dxa"/>
              <w:start w:w="110" w:type="dxa"/>
              <w:bottom w:w="90" w:type="dxa"/>
              <w:end w:w="110" w:type="dxa"/>
            </w:tcMar>
            <w:shd w:fill="FFFFFF"/>
          </w:tcPr>
          <w:p>
            <w:pPr>
              <w:spacing w:after="0" w:before="0"/>
            </w:pPr>
            <w:r/>
            <w:r>
              <w:rPr>
                <w:rFonts w:ascii="Aptos" w:hAnsi="Aptos"/>
                <w:b w:val="0"/>
                <w:color w:val="18222B"/>
                <w:sz w:val="18"/>
              </w:rPr>
              <w:t>POST /consents/{id}/withdraw</w:t>
            </w:r>
          </w:p>
        </w:tc>
        <w:tc>
          <w:tcPr>
            <w:tcW w:type="dxa" w:w="6192"/>
            <w:vAlign w:val="center"/>
            <w:tcMar>
              <w:top w:w="90" w:type="dxa"/>
              <w:start w:w="110" w:type="dxa"/>
              <w:bottom w:w="90" w:type="dxa"/>
              <w:end w:w="110" w:type="dxa"/>
            </w:tcMar>
            <w:shd w:fill="FFFFFF"/>
          </w:tcPr>
          <w:p>
            <w:pPr>
              <w:spacing w:after="0" w:before="0"/>
            </w:pPr>
            <w:r/>
            <w:r>
              <w:rPr>
                <w:rFonts w:ascii="Aptos" w:hAnsi="Aptos"/>
                <w:b w:val="0"/>
                <w:color w:val="18222B"/>
                <w:sz w:val="18"/>
              </w:rPr>
              <w:t>Withdraw consent and trigger dependent enforcement.</w:t>
            </w:r>
          </w:p>
        </w:tc>
      </w:tr>
      <w:tr>
        <w:tc>
          <w:tcPr>
            <w:tcW w:type="dxa" w:w="3312"/>
            <w:vAlign w:val="center"/>
            <w:tcMar>
              <w:top w:w="90" w:type="dxa"/>
              <w:start w:w="110" w:type="dxa"/>
              <w:bottom w:w="90" w:type="dxa"/>
              <w:end w:w="110" w:type="dxa"/>
            </w:tcMar>
            <w:shd w:fill="F3F7FA"/>
          </w:tcPr>
          <w:p>
            <w:pPr>
              <w:spacing w:after="0" w:before="0"/>
            </w:pPr>
            <w:r/>
            <w:r>
              <w:rPr>
                <w:rFonts w:ascii="Aptos" w:hAnsi="Aptos"/>
                <w:b w:val="0"/>
                <w:color w:val="18222B"/>
                <w:sz w:val="18"/>
              </w:rPr>
              <w:t>GET /credentials/{id}/status</w:t>
            </w:r>
          </w:p>
        </w:tc>
        <w:tc>
          <w:tcPr>
            <w:tcW w:type="dxa" w:w="6192"/>
            <w:vAlign w:val="center"/>
            <w:tcMar>
              <w:top w:w="90" w:type="dxa"/>
              <w:start w:w="110" w:type="dxa"/>
              <w:bottom w:w="90" w:type="dxa"/>
              <w:end w:w="110" w:type="dxa"/>
            </w:tcMar>
            <w:shd w:fill="F3F7FA"/>
          </w:tcPr>
          <w:p>
            <w:pPr>
              <w:spacing w:after="0" w:before="0"/>
            </w:pPr>
            <w:r/>
            <w:r>
              <w:rPr>
                <w:rFonts w:ascii="Aptos" w:hAnsi="Aptos"/>
                <w:b w:val="0"/>
                <w:color w:val="18222B"/>
                <w:sz w:val="18"/>
              </w:rPr>
              <w:t>Return current credential status and status-list information.</w:t>
            </w:r>
          </w:p>
        </w:tc>
      </w:tr>
    </w:tbl>
    <w:p>
      <w:pPr>
        <w:spacing w:after="20"/>
      </w:pPr>
    </w:p>
    <w:p>
      <w:pPr>
        <w:pStyle w:val="Heading3"/>
      </w:pPr>
      <w:r>
        <w:t>11.1 Closed AppealOutcome vocabulary</w:t>
      </w:r>
    </w:p>
    <w:p>
      <w:r>
        <w:t>Appeal outcomes are closed registered values. APIs, policies and implementations must reject unknown values. Expanding this vocabulary follows the major-version rule in section 4.7.</w:t>
      </w:r>
    </w:p>
    <w:tbl>
      <w:tblPr>
        <w:tblStyle w:val="TableGrid"/>
        <w:tblW w:type="auto" w:w="0"/>
        <w:tblLook w:firstColumn="1" w:firstRow="1" w:lastColumn="0" w:lastRow="0" w:noHBand="0" w:noVBand="1" w:val="04A0"/>
      </w:tblPr>
      <w:tblGrid>
        <w:gridCol w:w="5083"/>
        <w:gridCol w:w="5083"/>
      </w:tblGrid>
      <w:tr>
        <w:tc>
          <w:tcPr>
            <w:tcW w:type="dxa" w:w="5083"/>
          </w:tcPr>
          <w:p>
            <w:r>
              <w:t>AppealOutcome</w:t>
            </w:r>
          </w:p>
        </w:tc>
        <w:tc>
          <w:tcPr>
            <w:tcW w:type="dxa" w:w="5083"/>
          </w:tcPr>
          <w:p>
            <w:r>
              <w:t>Meaning</w:t>
            </w:r>
          </w:p>
        </w:tc>
      </w:tr>
      <w:tr>
        <w:tc>
          <w:tcPr>
            <w:tcW w:type="dxa" w:w="5083"/>
          </w:tcPr>
          <w:p>
            <w:r>
              <w:t>UPHELD</w:t>
            </w:r>
          </w:p>
        </w:tc>
        <w:tc>
          <w:tcPr>
            <w:tcW w:type="dxa" w:w="5083"/>
          </w:tcPr>
          <w:p>
            <w:r>
              <w:t>The original decision remains in force.</w:t>
            </w:r>
          </w:p>
        </w:tc>
      </w:tr>
      <w:tr>
        <w:tc>
          <w:tcPr>
            <w:tcW w:type="dxa" w:w="5083"/>
          </w:tcPr>
          <w:p>
            <w:r>
              <w:t>OVERTURNED</w:t>
            </w:r>
          </w:p>
        </w:tc>
        <w:tc>
          <w:tcPr>
            <w:tcW w:type="dxa" w:w="5083"/>
          </w:tcPr>
          <w:p>
            <w:r>
              <w:t>The original decision is set aside and a superseding decision is created.</w:t>
            </w:r>
          </w:p>
        </w:tc>
      </w:tr>
      <w:tr>
        <w:tc>
          <w:tcPr>
            <w:tcW w:type="dxa" w:w="5083"/>
          </w:tcPr>
          <w:p>
            <w:r>
              <w:t>VARIED</w:t>
            </w:r>
          </w:p>
        </w:tc>
        <w:tc>
          <w:tcPr>
            <w:tcW w:type="dxa" w:w="5083"/>
          </w:tcPr>
          <w:p>
            <w:r>
              <w:t>The original decision is modified in part and a superseding decision records the variation.</w:t>
            </w:r>
          </w:p>
        </w:tc>
      </w:tr>
      <w:tr>
        <w:tc>
          <w:tcPr>
            <w:tcW w:type="dxa" w:w="5083"/>
          </w:tcPr>
          <w:p>
            <w:r>
              <w:t>DISMISSED</w:t>
            </w:r>
          </w:p>
        </w:tc>
        <w:tc>
          <w:tcPr>
            <w:tcW w:type="dxa" w:w="5083"/>
          </w:tcPr>
          <w:p>
            <w:r>
              <w:t>The appeal is closed without changing the original decision because the appeal does not meet the applicable grounds or procedure.</w:t>
            </w:r>
          </w:p>
        </w:tc>
      </w:tr>
    </w:tbl>
    <w:p>
      <w:pPr>
        <w:pStyle w:val="Heading1"/>
      </w:pPr>
      <w:r>
        <w:t>12. Acceptance Criteria</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024"/>
            <w:vAlign w:val="center"/>
            <w:tcMar>
              <w:top w:w="90" w:type="dxa"/>
              <w:start w:w="110" w:type="dxa"/>
              <w:bottom w:w="90" w:type="dxa"/>
              <w:end w:w="110" w:type="dxa"/>
            </w:tcMar>
            <w:shd w:fill="17324D"/>
          </w:tcPr>
          <w:p>
            <w:pPr>
              <w:spacing w:after="0" w:before="0"/>
            </w:pPr>
            <w:r/>
            <w:r>
              <w:rPr>
                <w:rFonts w:ascii="Aptos" w:hAnsi="Aptos"/>
                <w:b/>
                <w:color w:val="FFFFFF"/>
                <w:sz w:val="17"/>
              </w:rPr>
              <w:t>Criterion</w:t>
            </w:r>
          </w:p>
        </w:tc>
        <w:tc>
          <w:tcPr>
            <w:tcW w:type="dxa" w:w="6480"/>
            <w:vAlign w:val="center"/>
            <w:tcMar>
              <w:top w:w="90" w:type="dxa"/>
              <w:start w:w="110" w:type="dxa"/>
              <w:bottom w:w="90" w:type="dxa"/>
              <w:end w:w="110" w:type="dxa"/>
            </w:tcMar>
            <w:shd w:fill="17324D"/>
          </w:tcPr>
          <w:p>
            <w:pPr>
              <w:spacing w:after="0" w:before="0"/>
            </w:pPr>
            <w:r/>
            <w:r>
              <w:rPr>
                <w:rFonts w:ascii="Aptos" w:hAnsi="Aptos"/>
                <w:b/>
                <w:color w:val="FFFFFF"/>
                <w:sz w:val="17"/>
              </w:rPr>
              <w:t>Definition of done</w:t>
            </w:r>
          </w:p>
        </w:tc>
      </w:tr>
      <w:tr>
        <w:tc>
          <w:tcPr>
            <w:tcW w:type="dxa" w:w="3024"/>
            <w:vAlign w:val="center"/>
            <w:tcMar>
              <w:top w:w="90" w:type="dxa"/>
              <w:start w:w="110" w:type="dxa"/>
              <w:bottom w:w="90" w:type="dxa"/>
              <w:end w:w="110" w:type="dxa"/>
            </w:tcMar>
            <w:shd w:fill="FFFFFF"/>
          </w:tcPr>
          <w:p>
            <w:pPr>
              <w:spacing w:after="0" w:before="0"/>
            </w:pPr>
            <w:r/>
            <w:r>
              <w:rPr>
                <w:rFonts w:ascii="Aptos" w:hAnsi="Aptos"/>
                <w:b w:val="0"/>
                <w:color w:val="18222B"/>
                <w:sz w:val="17"/>
              </w:rPr>
              <w:t>Existing evaluator preserved</w:t>
            </w:r>
          </w:p>
        </w:tc>
        <w:tc>
          <w:tcPr>
            <w:tcW w:type="dxa" w:w="6480"/>
            <w:vAlign w:val="center"/>
            <w:tcMar>
              <w:top w:w="90" w:type="dxa"/>
              <w:start w:w="110" w:type="dxa"/>
              <w:bottom w:w="90" w:type="dxa"/>
              <w:end w:w="110" w:type="dxa"/>
            </w:tcMar>
            <w:shd w:fill="FFFFFF"/>
          </w:tcPr>
          <w:p>
            <w:pPr>
              <w:spacing w:after="0" w:before="0"/>
            </w:pPr>
            <w:r/>
            <w:r>
              <w:rPr>
                <w:rFonts w:ascii="Aptos" w:hAnsi="Aptos"/>
                <w:b w:val="0"/>
                <w:color w:val="18222B"/>
                <w:sz w:val="17"/>
              </w:rPr>
              <w:t>No replacement evaluator or greenfield vertical slice is introduced; extensions are made around the current evaluator and covered by regression tests.</w:t>
            </w:r>
          </w:p>
        </w:tc>
      </w:tr>
      <w:tr>
        <w:tc>
          <w:tcPr>
            <w:tcW w:type="dxa" w:w="3024"/>
            <w:vAlign w:val="center"/>
            <w:tcMar>
              <w:top w:w="90" w:type="dxa"/>
              <w:start w:w="110" w:type="dxa"/>
              <w:bottom w:w="90" w:type="dxa"/>
              <w:end w:w="110" w:type="dxa"/>
            </w:tcMar>
            <w:shd w:fill="F3F7FA"/>
          </w:tcPr>
          <w:p>
            <w:pPr>
              <w:spacing w:after="0" w:before="0"/>
            </w:pPr>
            <w:r/>
            <w:r>
              <w:rPr>
                <w:rFonts w:ascii="Aptos" w:hAnsi="Aptos"/>
                <w:b w:val="0"/>
                <w:color w:val="18222B"/>
                <w:sz w:val="17"/>
              </w:rPr>
              <w:t>Trace reproducibility</w:t>
            </w:r>
          </w:p>
        </w:tc>
        <w:tc>
          <w:tcPr>
            <w:tcW w:type="dxa" w:w="6480"/>
            <w:vAlign w:val="center"/>
            <w:tcMar>
              <w:top w:w="90" w:type="dxa"/>
              <w:start w:w="110" w:type="dxa"/>
              <w:bottom w:w="90" w:type="dxa"/>
              <w:end w:w="110" w:type="dxa"/>
            </w:tcMar>
            <w:shd w:fill="F3F7FA"/>
          </w:tcPr>
          <w:p>
            <w:pPr>
              <w:spacing w:after="0" w:before="0"/>
            </w:pPr>
            <w:r/>
            <w:r>
              <w:rPr>
                <w:rFonts w:ascii="Aptos" w:hAnsi="Aptos"/>
                <w:b w:val="0"/>
                <w:color w:val="18222B"/>
                <w:sz w:val="17"/>
              </w:rPr>
              <w:t>The same evaluator version, policy bundle, normalised fact snapshot and evidence references reproduce the same clause states, reason codes and outcome.</w:t>
            </w:r>
          </w:p>
        </w:tc>
      </w:tr>
      <w:tr>
        <w:tc>
          <w:tcPr>
            <w:tcW w:type="dxa" w:w="3024"/>
            <w:vAlign w:val="center"/>
            <w:tcMar>
              <w:top w:w="90" w:type="dxa"/>
              <w:start w:w="110" w:type="dxa"/>
              <w:bottom w:w="90" w:type="dxa"/>
              <w:end w:w="110" w:type="dxa"/>
            </w:tcMar>
            <w:shd w:fill="FFFFFF"/>
          </w:tcPr>
          <w:p>
            <w:pPr>
              <w:spacing w:after="0" w:before="0"/>
            </w:pPr>
            <w:r/>
            <w:r>
              <w:rPr>
                <w:rFonts w:ascii="Aptos" w:hAnsi="Aptos"/>
                <w:b w:val="0"/>
                <w:color w:val="18222B"/>
                <w:sz w:val="17"/>
              </w:rPr>
              <w:t>Trace atomicity</w:t>
            </w:r>
          </w:p>
        </w:tc>
        <w:tc>
          <w:tcPr>
            <w:tcW w:type="dxa" w:w="6480"/>
            <w:vAlign w:val="center"/>
            <w:tcMar>
              <w:top w:w="90" w:type="dxa"/>
              <w:start w:w="110" w:type="dxa"/>
              <w:bottom w:w="90" w:type="dxa"/>
              <w:end w:w="110" w:type="dxa"/>
            </w:tcMar>
            <w:shd w:fill="FFFFFF"/>
          </w:tcPr>
          <w:p>
            <w:pPr>
              <w:spacing w:after="0" w:before="0"/>
            </w:pPr>
            <w:r/>
            <w:r>
              <w:rPr>
                <w:rFonts w:ascii="Aptos" w:hAnsi="Aptos"/>
                <w:b w:val="0"/>
                <w:color w:val="18222B"/>
                <w:sz w:val="17"/>
              </w:rPr>
              <w:t>A material decision cannot commit without its DecisionTrace.</w:t>
            </w:r>
          </w:p>
        </w:tc>
      </w:tr>
      <w:tr>
        <w:tc>
          <w:tcPr>
            <w:tcW w:type="dxa" w:w="3024"/>
            <w:vAlign w:val="center"/>
            <w:tcMar>
              <w:top w:w="90" w:type="dxa"/>
              <w:start w:w="110" w:type="dxa"/>
              <w:bottom w:w="90" w:type="dxa"/>
              <w:end w:w="110" w:type="dxa"/>
            </w:tcMar>
            <w:shd w:fill="F3F7FA"/>
          </w:tcPr>
          <w:p>
            <w:pPr>
              <w:spacing w:after="0" w:before="0"/>
            </w:pPr>
            <w:r/>
            <w:r>
              <w:rPr>
                <w:rFonts w:ascii="Aptos" w:hAnsi="Aptos"/>
                <w:b w:val="0"/>
                <w:color w:val="18222B"/>
                <w:sz w:val="17"/>
              </w:rPr>
              <w:t>Closed vocabulary</w:t>
            </w:r>
          </w:p>
        </w:tc>
        <w:tc>
          <w:tcPr>
            <w:tcW w:type="dxa" w:w="6480"/>
            <w:vAlign w:val="center"/>
            <w:tcMar>
              <w:top w:w="90" w:type="dxa"/>
              <w:start w:w="110" w:type="dxa"/>
              <w:bottom w:w="90" w:type="dxa"/>
              <w:end w:w="110" w:type="dxa"/>
            </w:tcMar>
            <w:shd w:fill="F3F7FA"/>
          </w:tcPr>
          <w:p>
            <w:r>
              <w:t>Unknown predicates, operators, clause states, clause classes, decision outcomes, appeal outcomes, assurance profiles, purpose codes and relationship types are rejected.</w:t>
            </w:r>
          </w:p>
        </w:tc>
      </w:tr>
      <w:tr>
        <w:tc>
          <w:tcPr>
            <w:tcW w:type="dxa" w:w="3024"/>
            <w:vAlign w:val="center"/>
            <w:tcMar>
              <w:top w:w="90" w:type="dxa"/>
              <w:start w:w="110" w:type="dxa"/>
              <w:bottom w:w="90" w:type="dxa"/>
              <w:end w:w="110" w:type="dxa"/>
            </w:tcMar>
            <w:shd w:fill="FFFFFF"/>
          </w:tcPr>
          <w:p>
            <w:pPr>
              <w:spacing w:after="0" w:before="0"/>
            </w:pPr>
            <w:r/>
            <w:r>
              <w:rPr>
                <w:rFonts w:ascii="Aptos" w:hAnsi="Aptos"/>
                <w:b w:val="0"/>
                <w:color w:val="18222B"/>
                <w:sz w:val="17"/>
              </w:rPr>
              <w:t>Policy layering</w:t>
            </w:r>
          </w:p>
        </w:tc>
        <w:tc>
          <w:tcPr>
            <w:tcW w:type="dxa" w:w="6480"/>
            <w:vAlign w:val="center"/>
            <w:tcMar>
              <w:top w:w="90" w:type="dxa"/>
              <w:start w:w="110" w:type="dxa"/>
              <w:bottom w:w="90" w:type="dxa"/>
              <w:end w:w="110" w:type="dxa"/>
            </w:tcMar>
            <w:shd w:fill="FFFFFF"/>
          </w:tcPr>
          <w:p>
            <w:pPr>
              <w:spacing w:after="0" w:before="0"/>
            </w:pPr>
            <w:r/>
            <w:r>
              <w:rPr>
                <w:rFonts w:ascii="Aptos" w:hAnsi="Aptos"/>
                <w:b w:val="0"/>
                <w:color w:val="18222B"/>
                <w:sz w:val="17"/>
              </w:rPr>
              <w:t>Sealed NationalConstraints cannot be weakened by RulePack or ProgrammeOverlay.</w:t>
            </w:r>
          </w:p>
        </w:tc>
      </w:tr>
      <w:tr>
        <w:tc>
          <w:tcPr>
            <w:tcW w:type="dxa" w:w="3024"/>
            <w:vAlign w:val="center"/>
            <w:tcMar>
              <w:top w:w="90" w:type="dxa"/>
              <w:start w:w="110" w:type="dxa"/>
              <w:bottom w:w="90" w:type="dxa"/>
              <w:end w:w="110" w:type="dxa"/>
            </w:tcMar>
            <w:shd w:fill="F3F7FA"/>
          </w:tcPr>
          <w:p>
            <w:pPr>
              <w:spacing w:after="0" w:before="0"/>
            </w:pPr>
            <w:r/>
            <w:r>
              <w:rPr>
                <w:rFonts w:ascii="Aptos" w:hAnsi="Aptos"/>
                <w:b w:val="0"/>
                <w:color w:val="18222B"/>
                <w:sz w:val="17"/>
              </w:rPr>
              <w:t>Multi-jurisdiction</w:t>
            </w:r>
          </w:p>
        </w:tc>
        <w:tc>
          <w:tcPr>
            <w:tcW w:type="dxa" w:w="6480"/>
            <w:vAlign w:val="center"/>
            <w:tcMar>
              <w:top w:w="90" w:type="dxa"/>
              <w:start w:w="110" w:type="dxa"/>
              <w:bottom w:w="90" w:type="dxa"/>
              <w:end w:w="110" w:type="dxa"/>
            </w:tcMar>
            <w:shd w:fill="F3F7FA"/>
          </w:tcPr>
          <w:p>
            <w:pPr>
              <w:spacing w:after="0" w:before="0"/>
            </w:pPr>
            <w:r/>
            <w:r>
              <w:rPr>
                <w:rFonts w:ascii="Aptos" w:hAnsi="Aptos"/>
                <w:b w:val="0"/>
                <w:color w:val="18222B"/>
                <w:sz w:val="17"/>
              </w:rPr>
              <w:t>Katsina household, Kano employment/tax and Lagos education relationships coexist without false duplication.</w:t>
            </w:r>
          </w:p>
        </w:tc>
      </w:tr>
      <w:tr>
        <w:tc>
          <w:tcPr>
            <w:tcW w:type="dxa" w:w="3024"/>
            <w:vAlign w:val="center"/>
            <w:tcMar>
              <w:top w:w="90" w:type="dxa"/>
              <w:start w:w="110" w:type="dxa"/>
              <w:bottom w:w="90" w:type="dxa"/>
              <w:end w:w="110" w:type="dxa"/>
            </w:tcMar>
            <w:shd w:fill="FFFFFF"/>
          </w:tcPr>
          <w:p>
            <w:pPr>
              <w:spacing w:after="0" w:before="0"/>
            </w:pPr>
            <w:r/>
            <w:r>
              <w:rPr>
                <w:rFonts w:ascii="Aptos" w:hAnsi="Aptos"/>
                <w:b w:val="0"/>
                <w:color w:val="18222B"/>
                <w:sz w:val="17"/>
              </w:rPr>
              <w:t>Exclusivity honesty</w:t>
            </w:r>
          </w:p>
        </w:tc>
        <w:tc>
          <w:tcPr>
            <w:tcW w:type="dxa" w:w="6480"/>
            <w:vAlign w:val="center"/>
            <w:tcMar>
              <w:top w:w="90" w:type="dxa"/>
              <w:start w:w="110" w:type="dxa"/>
              <w:bottom w:w="90" w:type="dxa"/>
              <w:end w:w="110" w:type="dxa"/>
            </w:tcMar>
            <w:shd w:fill="FFFFFF"/>
          </w:tcPr>
          <w:p>
            <w:pPr>
              <w:spacing w:after="0" w:before="0"/>
            </w:pPr>
            <w:r/>
            <w:r>
              <w:rPr>
                <w:rFonts w:ascii="Aptos" w:hAnsi="Aptos"/>
                <w:b w:val="0"/>
                <w:color w:val="18222B"/>
                <w:sz w:val="17"/>
              </w:rPr>
              <w:t>No deployment claims nationwide exclusivity without an authoritative federation source.</w:t>
            </w:r>
          </w:p>
        </w:tc>
      </w:tr>
      <w:tr>
        <w:tc>
          <w:tcPr>
            <w:tcW w:type="dxa" w:w="3024"/>
            <w:vAlign w:val="center"/>
            <w:tcMar>
              <w:top w:w="90" w:type="dxa"/>
              <w:start w:w="110" w:type="dxa"/>
              <w:bottom w:w="90" w:type="dxa"/>
              <w:end w:w="110" w:type="dxa"/>
            </w:tcMar>
            <w:shd w:fill="F3F7FA"/>
          </w:tcPr>
          <w:p>
            <w:pPr>
              <w:spacing w:after="0" w:before="0"/>
            </w:pPr>
            <w:r/>
            <w:r>
              <w:rPr>
                <w:rFonts w:ascii="Aptos" w:hAnsi="Aptos"/>
                <w:b w:val="0"/>
                <w:color w:val="18222B"/>
                <w:sz w:val="17"/>
              </w:rPr>
              <w:t>Humanitarian privacy</w:t>
            </w:r>
          </w:p>
        </w:tc>
        <w:tc>
          <w:tcPr>
            <w:tcW w:type="dxa" w:w="6480"/>
            <w:vAlign w:val="center"/>
            <w:tcMar>
              <w:top w:w="90" w:type="dxa"/>
              <w:start w:w="110" w:type="dxa"/>
              <w:bottom w:w="90" w:type="dxa"/>
              <w:end w:w="110" w:type="dxa"/>
            </w:tcMar>
            <w:shd w:fill="F3F7FA"/>
          </w:tcPr>
          <w:p>
            <w:pPr>
              <w:spacing w:after="0" w:before="0"/>
            </w:pPr>
            <w:r/>
            <w:r>
              <w:rPr>
                <w:rFonts w:ascii="Aptos" w:hAnsi="Aptos"/>
                <w:b w:val="0"/>
                <w:color w:val="18222B"/>
                <w:sz w:val="17"/>
              </w:rPr>
              <w:t>Purpose codes are suppressed/pseudonymised for non-humanitarian subscribers and activation requires a DPIA reference.</w:t>
            </w:r>
          </w:p>
        </w:tc>
      </w:tr>
      <w:tr>
        <w:tc>
          <w:tcPr>
            <w:tcW w:type="dxa" w:w="3024"/>
            <w:vAlign w:val="center"/>
            <w:tcMar>
              <w:top w:w="90" w:type="dxa"/>
              <w:start w:w="110" w:type="dxa"/>
              <w:bottom w:w="90" w:type="dxa"/>
              <w:end w:w="110" w:type="dxa"/>
            </w:tcMar>
            <w:shd w:fill="FFFFFF"/>
          </w:tcPr>
          <w:p>
            <w:pPr>
              <w:spacing w:after="0" w:before="0"/>
            </w:pPr>
            <w:r/>
            <w:r>
              <w:rPr>
                <w:rFonts w:ascii="Aptos" w:hAnsi="Aptos"/>
                <w:b w:val="0"/>
                <w:color w:val="18222B"/>
                <w:sz w:val="17"/>
              </w:rPr>
              <w:t>Offline revocation</w:t>
            </w:r>
          </w:p>
        </w:tc>
        <w:tc>
          <w:tcPr>
            <w:tcW w:type="dxa" w:w="6480"/>
            <w:vAlign w:val="center"/>
            <w:tcMar>
              <w:top w:w="90" w:type="dxa"/>
              <w:start w:w="110" w:type="dxa"/>
              <w:bottom w:w="90" w:type="dxa"/>
              <w:end w:w="110" w:type="dxa"/>
            </w:tcMar>
            <w:shd w:fill="FFFFFF"/>
          </w:tcPr>
          <w:p>
            <w:pPr>
              <w:spacing w:after="0" w:before="0"/>
            </w:pPr>
            <w:r/>
            <w:r>
              <w:rPr>
                <w:rFonts w:ascii="Aptos" w:hAnsi="Aptos"/>
                <w:b w:val="0"/>
                <w:color w:val="18222B"/>
                <w:sz w:val="17"/>
              </w:rPr>
              <w:t>Offline verification reports cache freshness and returns INDETERMINATE when the status snapshot is outside policy.</w:t>
            </w:r>
          </w:p>
        </w:tc>
      </w:tr>
      <w:tr>
        <w:tc>
          <w:tcPr>
            <w:tcW w:type="dxa" w:w="3024"/>
            <w:vAlign w:val="center"/>
            <w:tcMar>
              <w:top w:w="90" w:type="dxa"/>
              <w:start w:w="110" w:type="dxa"/>
              <w:bottom w:w="90" w:type="dxa"/>
              <w:end w:w="110" w:type="dxa"/>
            </w:tcMar>
            <w:shd w:fill="F3F7FA"/>
          </w:tcPr>
          <w:p>
            <w:pPr>
              <w:spacing w:after="0" w:before="0"/>
            </w:pPr>
            <w:r/>
            <w:r>
              <w:rPr>
                <w:rFonts w:ascii="Aptos" w:hAnsi="Aptos"/>
                <w:b w:val="0"/>
                <w:color w:val="18222B"/>
                <w:sz w:val="17"/>
              </w:rPr>
              <w:t>Credential pinning</w:t>
            </w:r>
          </w:p>
        </w:tc>
        <w:tc>
          <w:tcPr>
            <w:tcW w:type="dxa" w:w="6480"/>
            <w:vAlign w:val="center"/>
            <w:tcMar>
              <w:top w:w="90" w:type="dxa"/>
              <w:start w:w="110" w:type="dxa"/>
              <w:bottom w:w="90" w:type="dxa"/>
              <w:end w:w="110" w:type="dxa"/>
            </w:tcMar>
            <w:shd w:fill="F3F7FA"/>
          </w:tcPr>
          <w:p>
            <w:pPr>
              <w:spacing w:after="0" w:before="0"/>
            </w:pPr>
            <w:r/>
            <w:r>
              <w:rPr>
                <w:rFonts w:ascii="Aptos" w:hAnsi="Aptos"/>
                <w:b w:val="0"/>
                <w:color w:val="18222B"/>
                <w:sz w:val="17"/>
              </w:rPr>
              <w:t>VC-JWT and Ed25519 profile, status mechanism and key lifecycle are documented and conformance-tested.</w:t>
            </w:r>
          </w:p>
        </w:tc>
      </w:tr>
      <w:tr>
        <w:tc>
          <w:tcPr>
            <w:tcW w:type="dxa" w:w="3024"/>
            <w:vAlign w:val="center"/>
            <w:tcMar>
              <w:top w:w="90" w:type="dxa"/>
              <w:start w:w="110" w:type="dxa"/>
              <w:bottom w:w="90" w:type="dxa"/>
              <w:end w:w="110" w:type="dxa"/>
            </w:tcMar>
            <w:shd w:fill="FFFFFF"/>
          </w:tcPr>
          <w:p>
            <w:pPr>
              <w:spacing w:after="0" w:before="0"/>
            </w:pPr>
            <w:r/>
            <w:r>
              <w:rPr>
                <w:rFonts w:ascii="Aptos" w:hAnsi="Aptos"/>
                <w:b w:val="0"/>
                <w:color w:val="18222B"/>
                <w:sz w:val="17"/>
              </w:rPr>
              <w:t>DPG scope discipline</w:t>
            </w:r>
          </w:p>
        </w:tc>
        <w:tc>
          <w:tcPr>
            <w:tcW w:type="dxa" w:w="6480"/>
            <w:vAlign w:val="center"/>
            <w:tcMar>
              <w:top w:w="90" w:type="dxa"/>
              <w:start w:w="110" w:type="dxa"/>
              <w:bottom w:w="90" w:type="dxa"/>
              <w:end w:w="110" w:type="dxa"/>
            </w:tcMar>
            <w:shd w:fill="FFFFFF"/>
          </w:tcPr>
          <w:p>
            <w:pPr>
              <w:spacing w:after="0" w:before="0"/>
            </w:pPr>
            <w:r/>
            <w:r>
              <w:rPr>
                <w:rFonts w:ascii="Aptos" w:hAnsi="Aptos"/>
                <w:b w:val="0"/>
                <w:color w:val="18222B"/>
                <w:sz w:val="17"/>
              </w:rPr>
              <w:t>Core, policy packs, auth integration, credentials and documentation ship; broad exchange/events/connectors are clearly roadmap unless already stable.</w:t>
            </w:r>
          </w:p>
        </w:tc>
      </w:tr>
      <w:tr>
        <w:tc>
          <w:tcPr>
            <w:tcW w:type="dxa" w:w="3024"/>
            <w:vAlign w:val="center"/>
            <w:tcMar>
              <w:top w:w="90" w:type="dxa"/>
              <w:start w:w="110" w:type="dxa"/>
              <w:bottom w:w="90" w:type="dxa"/>
              <w:end w:w="110" w:type="dxa"/>
            </w:tcMar>
            <w:shd w:fill="F3F7FA"/>
          </w:tcPr>
          <w:p>
            <w:pPr>
              <w:spacing w:after="0" w:before="0"/>
            </w:pPr>
            <w:r/>
            <w:r>
              <w:rPr>
                <w:rFonts w:ascii="Aptos" w:hAnsi="Aptos"/>
                <w:b w:val="0"/>
                <w:color w:val="18222B"/>
                <w:sz w:val="17"/>
              </w:rPr>
              <w:t>API semantics</w:t>
            </w:r>
          </w:p>
        </w:tc>
        <w:tc>
          <w:tcPr>
            <w:tcW w:type="dxa" w:w="6480"/>
            <w:vAlign w:val="center"/>
            <w:tcMar>
              <w:top w:w="90" w:type="dxa"/>
              <w:start w:w="110" w:type="dxa"/>
              <w:bottom w:w="90" w:type="dxa"/>
              <w:end w:w="110" w:type="dxa"/>
            </w:tcMar>
            <w:shd w:fill="F3F7FA"/>
          </w:tcPr>
          <w:p>
            <w:pPr>
              <w:spacing w:after="0" w:before="0"/>
            </w:pPr>
            <w:r/>
            <w:r>
              <w:rPr>
                <w:rFonts w:ascii="Aptos" w:hAnsi="Aptos"/>
                <w:b w:val="0"/>
                <w:color w:val="18222B"/>
                <w:sz w:val="17"/>
              </w:rPr>
              <w:t>Policy evaluation uses POST and does not place evidence inputs in GET requests.</w:t>
            </w:r>
          </w:p>
        </w:tc>
      </w:tr>
      <w:tr>
        <w:tc>
          <w:tcPr>
            <w:tcW w:type="dxa" w:w="5083"/>
          </w:tcPr>
          <w:p>
            <w:r>
              <w:t>Clause-state compatibility</w:t>
            </w:r>
          </w:p>
        </w:tc>
        <w:tc>
          <w:tcPr>
            <w:tcW w:type="dxa" w:w="5083"/>
          </w:tcPr>
          <w:p>
            <w:r>
              <w:t>The deployed evaluator preserves SATISFIED, NOT_SATISFIED, NOT_APPLICABLE and DISCHARGED; INDETERMINATE is additive and never substitutes for DISCHARGED.</w:t>
            </w:r>
          </w:p>
        </w:tc>
      </w:tr>
      <w:tr>
        <w:tc>
          <w:tcPr>
            <w:tcW w:type="dxa" w:w="5083"/>
          </w:tcPr>
          <w:p>
            <w:r>
              <w:t>Trace privacy</w:t>
            </w:r>
          </w:p>
        </w:tc>
        <w:tc>
          <w:tcPr>
            <w:tcW w:type="dxa" w:w="5083"/>
          </w:tcPr>
          <w:p>
            <w:r>
              <w:t>Named trace representations enforce field-level redaction, subject access, retention and auditable disclosure; humanitarian and vulnerability signals are suppressed by default.</w:t>
            </w:r>
          </w:p>
        </w:tc>
      </w:tr>
      <w:tr>
        <w:tc>
          <w:tcPr>
            <w:tcW w:type="dxa" w:w="5083"/>
          </w:tcPr>
          <w:p>
            <w:r>
              <w:t>DPIA enforcement</w:t>
            </w:r>
          </w:p>
        </w:tc>
        <w:tc>
          <w:tcPr>
            <w:tcW w:type="dxa" w:w="5083"/>
          </w:tcPr>
          <w:p>
            <w:r>
              <w:t>Every high-risk service/event reference resolves to an active DPIARecord whose approved scope covers the operation.</w:t>
            </w:r>
          </w:p>
        </w:tc>
      </w:tr>
      <w:tr>
        <w:tc>
          <w:tcPr>
            <w:tcW w:type="dxa" w:w="5083"/>
          </w:tcPr>
          <w:p>
            <w:r>
              <w:t>Trace signature longevity</w:t>
            </w:r>
          </w:p>
        </w:tc>
        <w:tc>
          <w:tcPr>
            <w:tcW w:type="dxa" w:w="5083"/>
          </w:tcPr>
          <w:p>
            <w:r>
              <w:t>Original traces remain cryptographically verifiable across signing-key rotation using archived trust material and structured compromise status.</w:t>
            </w:r>
          </w:p>
        </w:tc>
      </w:tr>
      <w:tr>
        <w:tc>
          <w:tcPr>
            <w:tcW w:type="dxa" w:w="5083"/>
          </w:tcPr>
          <w:p>
            <w:r>
              <w:t>KSAuth-ready auth profile</w:t>
            </w:r>
          </w:p>
        </w:tc>
        <w:tc>
          <w:tcPr>
            <w:tcW w:type="dxa" w:w="5083"/>
          </w:tcPr>
          <w:p>
            <w:r>
              <w:t>Release one demonstrates OIDC federation, assurance mapping, pairwise subject binding and minimum claims suitable for an existing state auth service such as KSAuth.</w:t>
            </w:r>
          </w:p>
        </w:tc>
      </w:tr>
    </w:tbl>
    <w:p>
      <w:pPr>
        <w:spacing w:after="20"/>
      </w:pPr>
    </w:p>
    <w:p>
      <w:pPr>
        <w:pStyle w:val="Heading1"/>
      </w:pPr>
      <w:r>
        <w:t>13. Privacy, Security and Data Governance Controls</w:t>
      </w:r>
    </w:p>
    <w:p>
      <w:r>
        <w:t>These controls are part of the DPG release and must be documented, implemented where applicable, and covered by conformance or operational evidence. They are not optional future hardening.</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t>Control domain</w:t>
            </w:r>
          </w:p>
        </w:tc>
        <w:tc>
          <w:tcPr>
            <w:tcW w:type="dxa" w:w="5083"/>
            <w:vAlign w:val="center"/>
          </w:tcPr>
          <w:p>
            <w:r>
              <w:t>Minimum control and evidence</w:t>
            </w:r>
          </w:p>
        </w:tc>
      </w:tr>
      <w:tr>
        <w:tc>
          <w:tcPr>
            <w:tcW w:type="dxa" w:w="5083"/>
            <w:vAlign w:val="center"/>
          </w:tcPr>
          <w:p>
            <w:r>
              <w:t>Data minimisation</w:t>
            </w:r>
          </w:p>
        </w:tc>
        <w:tc>
          <w:tcPr>
            <w:tcW w:type="dxa" w:w="5083"/>
            <w:vAlign w:val="center"/>
          </w:tcPr>
          <w:p>
            <w:r>
              <w:t>Document field-level purposes, default suppression, token/event/credential claim profiles and prohibited attributes.</w:t>
            </w:r>
          </w:p>
        </w:tc>
      </w:tr>
      <w:tr>
        <w:tc>
          <w:tcPr>
            <w:tcW w:type="dxa" w:w="5083"/>
            <w:vAlign w:val="center"/>
          </w:tcPr>
          <w:p>
            <w:r>
              <w:t>Purpose and legal basis</w:t>
            </w:r>
          </w:p>
        </w:tc>
        <w:tc>
          <w:tcPr>
            <w:tcW w:type="dxa" w:w="5083"/>
            <w:vAlign w:val="center"/>
          </w:tcPr>
          <w:p>
            <w:r>
              <w:t>Resolve every disclosure to an active LegalBasisRecord or valid consent; reject unresolved references.</w:t>
            </w:r>
          </w:p>
        </w:tc>
      </w:tr>
      <w:tr>
        <w:tc>
          <w:tcPr>
            <w:tcW w:type="dxa" w:w="5083"/>
            <w:vAlign w:val="center"/>
          </w:tcPr>
          <w:p>
            <w:r>
              <w:t>Consent lifecycle</w:t>
            </w:r>
          </w:p>
        </w:tc>
        <w:tc>
          <w:tcPr>
            <w:tcW w:type="dxa" w:w="5083"/>
            <w:vAlign w:val="center"/>
          </w:tcPr>
          <w:p>
            <w:r>
              <w:t>Create, renew, withdraw, expire and audit consent; withdrawal blocks future consent-dependent processing and propagates cache/session invalidation.</w:t>
            </w:r>
          </w:p>
        </w:tc>
      </w:tr>
      <w:tr>
        <w:tc>
          <w:tcPr>
            <w:tcW w:type="dxa" w:w="5083"/>
            <w:vAlign w:val="center"/>
          </w:tcPr>
          <w:p>
            <w:r>
              <w:t>DPIA governance</w:t>
            </w:r>
          </w:p>
        </w:tc>
        <w:tc>
          <w:tcPr>
            <w:tcW w:type="dxa" w:w="5083"/>
            <w:vAlign w:val="center"/>
          </w:tcPr>
          <w:p>
            <w:r>
              <w:t>High-risk integrations, humanitarian routing, biometric use and cross-sector profiling require an active DPIARecord and residual-risk approval.</w:t>
            </w:r>
          </w:p>
        </w:tc>
      </w:tr>
      <w:tr>
        <w:tc>
          <w:tcPr>
            <w:tcW w:type="dxa" w:w="5083"/>
            <w:vAlign w:val="center"/>
          </w:tcPr>
          <w:p>
            <w:r>
              <w:t>Access control</w:t>
            </w:r>
          </w:p>
        </w:tc>
        <w:tc>
          <w:tcPr>
            <w:tcW w:type="dxa" w:w="5083"/>
            <w:vAlign w:val="center"/>
          </w:tcPr>
          <w:p>
            <w:r>
              <w:t>RBAC and ABAC enforce actor, purpose, jurisdiction, service and field-level restrictions; privileged access is time-bound and reviewed.</w:t>
            </w:r>
          </w:p>
        </w:tc>
      </w:tr>
      <w:tr>
        <w:tc>
          <w:tcPr>
            <w:tcW w:type="dxa" w:w="5083"/>
            <w:vAlign w:val="center"/>
          </w:tcPr>
          <w:p>
            <w:r>
              <w:t>Encryption and keys</w:t>
            </w:r>
          </w:p>
        </w:tc>
        <w:tc>
          <w:tcPr>
            <w:tcW w:type="dxa" w:w="5083"/>
            <w:vAlign w:val="center"/>
          </w:tcPr>
          <w:p>
            <w:r>
              <w:t>Encryption in transit and at rest, field-level protection for identifiers and traces, rotation, compromise response and archival verification material.</w:t>
            </w:r>
          </w:p>
        </w:tc>
      </w:tr>
      <w:tr>
        <w:tc>
          <w:tcPr>
            <w:tcW w:type="dxa" w:w="5083"/>
            <w:vAlign w:val="center"/>
          </w:tcPr>
          <w:p>
            <w:r>
              <w:t>Audit and observability</w:t>
            </w:r>
          </w:p>
        </w:tc>
        <w:tc>
          <w:tcPr>
            <w:tcW w:type="dxa" w:w="5083"/>
            <w:vAlign w:val="center"/>
          </w:tcPr>
          <w:p>
            <w:r>
              <w:t>Append-only decision, trace, disclosure, replay, credential and administrative audit; logs exclude unnecessary PII and humanitarian indicators.</w:t>
            </w:r>
          </w:p>
        </w:tc>
      </w:tr>
      <w:tr>
        <w:tc>
          <w:tcPr>
            <w:tcW w:type="dxa" w:w="5083"/>
            <w:vAlign w:val="center"/>
          </w:tcPr>
          <w:p>
            <w:r>
              <w:t>Retention and deletion</w:t>
            </w:r>
          </w:p>
        </w:tc>
        <w:tc>
          <w:tcPr>
            <w:tcW w:type="dxa" w:w="5083"/>
            <w:vAlign w:val="center"/>
          </w:tcPr>
          <w:p>
            <w:r>
              <w:t>Versioned schedules by record type and legal basis; implement archival, deletion, anonymisation and litigation/appeal holds.</w:t>
            </w:r>
          </w:p>
        </w:tc>
      </w:tr>
      <w:tr>
        <w:tc>
          <w:tcPr>
            <w:tcW w:type="dxa" w:w="5083"/>
            <w:vAlign w:val="center"/>
          </w:tcPr>
          <w:p>
            <w:r>
              <w:t>Subject rights</w:t>
            </w:r>
          </w:p>
        </w:tc>
        <w:tc>
          <w:tcPr>
            <w:tcW w:type="dxa" w:w="5083"/>
            <w:vAlign w:val="center"/>
          </w:tcPr>
          <w:p>
            <w:r>
              <w:t>Document access, correction, objection/withdrawal where applicable, appeal, trace explanation and complaint processes.</w:t>
            </w:r>
          </w:p>
        </w:tc>
      </w:tr>
      <w:tr>
        <w:tc>
          <w:tcPr>
            <w:tcW w:type="dxa" w:w="5083"/>
            <w:vAlign w:val="center"/>
          </w:tcPr>
          <w:p>
            <w:r>
              <w:t>Incident response</w:t>
            </w:r>
          </w:p>
        </w:tc>
        <w:tc>
          <w:tcPr>
            <w:tcW w:type="dxa" w:w="5083"/>
            <w:vAlign w:val="center"/>
          </w:tcPr>
          <w:p>
            <w:r>
              <w:t>Breach detection, containment, regulator/subject notification workflow, evidence preservation and post-incident review.</w:t>
            </w:r>
          </w:p>
        </w:tc>
      </w:tr>
      <w:tr>
        <w:tc>
          <w:tcPr>
            <w:tcW w:type="dxa" w:w="5083"/>
            <w:vAlign w:val="center"/>
          </w:tcPr>
          <w:p>
            <w:r>
              <w:t>Secure development</w:t>
            </w:r>
          </w:p>
        </w:tc>
        <w:tc>
          <w:tcPr>
            <w:tcW w:type="dxa" w:w="5083"/>
            <w:vAlign w:val="center"/>
          </w:tcPr>
          <w:p>
            <w:r>
              <w:t>Threat modelling, dependency scanning, secret management, code review, signed releases, SBOM and vulnerability disclosure policy.</w:t>
            </w:r>
          </w:p>
        </w:tc>
      </w:tr>
      <w:tr>
        <w:tc>
          <w:tcPr>
            <w:tcW w:type="dxa" w:w="5083"/>
            <w:vAlign w:val="center"/>
          </w:tcPr>
          <w:p>
            <w:r>
              <w:t>Data portability and exit</w:t>
            </w:r>
          </w:p>
        </w:tc>
        <w:tc>
          <w:tcPr>
            <w:tcW w:type="dxa" w:w="5083"/>
            <w:vAlign w:val="center"/>
          </w:tcPr>
          <w:p>
            <w:r>
              <w:t>Documented open exports, API contracts, policy/trace portability and vendor-exit procedures.</w:t>
            </w:r>
          </w:p>
        </w:tc>
      </w:tr>
    </w:tbl>
    <w:p>
      <w:pPr>
        <w:pStyle w:val="Heading1"/>
      </w:pPr>
      <w:r>
        <w:t>14. Governance and Review</w:t>
      </w:r>
    </w:p>
    <w:p>
      <w:pPr>
        <w:pStyle w:val="ListBullet"/>
        <w:spacing w:after="60"/>
      </w:pPr>
      <w:r>
        <w:t>Policy packs require named owners, legal references, signatures, effective dates, test fixtures and public change history.</w:t>
      </w:r>
    </w:p>
    <w:p>
      <w:pPr>
        <w:pStyle w:val="ListBullet"/>
        <w:spacing w:after="60"/>
      </w:pPr>
      <w:r>
        <w:t>Predicate and vocabulary changes require architecture, security, privacy and conformance review.</w:t>
      </w:r>
    </w:p>
    <w:p>
      <w:pPr>
        <w:pStyle w:val="ListBullet"/>
        <w:spacing w:after="60"/>
      </w:pPr>
      <w:r>
        <w:t>Humanitarian event subscriptions require service registration, legal-basis review and DPIA approval.</w:t>
      </w:r>
    </w:p>
    <w:p>
      <w:pPr>
        <w:pStyle w:val="ListBullet"/>
        <w:spacing w:after="60"/>
      </w:pPr>
      <w:r>
        <w:t>Credential-profile changes require migration and backwards-compatibility plans.</w:t>
      </w:r>
    </w:p>
    <w:p>
      <w:pPr>
        <w:pStyle w:val="ListBullet"/>
        <w:spacing w:after="60"/>
      </w:pPr>
      <w:r>
        <w:t>Government, data protection and sector teams review this public specification; implementation-agent instructions are maintained separately.</w:t>
      </w:r>
    </w:p>
    <w:p>
      <w:pPr>
        <w:pStyle w:val="Heading1"/>
      </w:pPr>
      <w:r>
        <w:t>15. Final Architecture Statement</w:t>
      </w:r>
    </w:p>
    <w:tbl>
      <w:tblPr>
        <w:tblW w:type="auto" w:w="0"/>
        <w:jc w:val="center"/>
        <w:tblLook w:firstColumn="1" w:firstRow="1" w:lastColumn="0" w:lastRow="0" w:noHBand="0" w:noVBand="1" w:val="04A0"/>
      </w:tblPr>
      <w:tblGrid>
        <w:gridCol w:w="10166"/>
      </w:tblGrid>
      <w:tr>
        <w:tc>
          <w:tcPr>
            <w:tcW w:type="dxa" w:w="10166"/>
            <w:shd w:fill="EAF2F7"/>
            <w:tcMar>
              <w:top w:w="130" w:type="dxa"/>
              <w:start w:w="160" w:type="dxa"/>
              <w:bottom w:w="130" w:type="dxa"/>
              <w:end w:w="160" w:type="dxa"/>
            </w:tcMar>
          </w:tcPr>
          <w:p>
            <w:r>
              <w:rPr>
                <w:b/>
                <w:color w:val="188A8A"/>
                <w:sz w:val="21"/>
              </w:rPr>
              <w:t>Target outcome</w:t>
              <w:br/>
            </w:r>
            <w:r>
              <w:rPr>
                <w:color w:val="18222B"/>
                <w:sz w:val="20"/>
              </w:rPr>
              <w:t>One verified person can hold many purpose-scoped jurisdictional relationships. A deterministic, rights-preserving evaluator produces replayable traces. Existing sector systems consume minimum trusted claims and facts. Credentials remain verifiable online and under controlled offline conditions. The first DPG release is small enough to govern and strong enough to prove the product.</w:t>
            </w:r>
          </w:p>
        </w:tc>
      </w:tr>
    </w:tbl>
    <w:p>
      <w:pPr>
        <w:spacing w:after="20"/>
      </w:pPr>
    </w:p>
    <w:p>
      <w:r>
        <w:br w:type="page"/>
      </w:r>
    </w:p>
    <w:p>
      <w:pPr>
        <w:jc w:val="center"/>
      </w:pPr>
      <w:r>
        <w:rPr>
          <w:b/>
          <w:color w:val="A33A3A"/>
          <w:sz w:val="22"/>
        </w:rPr>
        <w:t>INTERNAL IMPLEMENTATION APPENDIX</w:t>
      </w:r>
    </w:p>
    <w:p>
      <w:pPr>
        <w:pStyle w:val="Title"/>
        <w:jc w:val="center"/>
      </w:pPr>
      <w:r>
        <w:t>Claude Code Extension Brief</w:t>
      </w:r>
    </w:p>
    <w:p>
      <w:pPr>
        <w:pStyle w:val="Subtitle"/>
        <w:jc w:val="center"/>
      </w:pPr>
      <w:r>
        <w:t>Non-destructive execution guardrails for extending the existing OpenResidency repository</w:t>
      </w:r>
    </w:p>
    <w:tbl>
      <w:tblPr>
        <w:tblW w:type="auto" w:w="0"/>
        <w:tblLook w:firstColumn="1" w:firstRow="1" w:lastColumn="0" w:lastRow="0" w:noHBand="0" w:noVBand="1" w:val="04A0"/>
      </w:tblPr>
      <w:tblGrid>
        <w:gridCol w:w="10166"/>
      </w:tblGrid>
      <w:tr>
        <w:tc>
          <w:tcPr>
            <w:tcW w:type="dxa" w:w="10166"/>
            <w:shd w:fill="FDECEC"/>
          </w:tcPr>
          <w:p>
            <w:r>
              <w:rPr>
                <w:b/>
                <w:color w:val="A33A3A"/>
                <w:sz w:val="20"/>
              </w:rPr>
              <w:t>Internal use only. Remove this appendix before circulating the public specification to government, policy, data-protection or DPG reviewers.</w:t>
            </w:r>
          </w:p>
        </w:tc>
      </w:tr>
    </w:tbl>
    <w:p>
      <w:pPr>
        <w:pStyle w:val="Heading1"/>
      </w:pPr>
      <w:r>
        <w:t>1. Non-Destructive Mandate</w:t>
      </w:r>
    </w:p>
    <w:tbl>
      <w:tblPr>
        <w:tblW w:type="auto" w:w="0"/>
        <w:jc w:val="center"/>
        <w:tblLook w:firstColumn="1" w:firstRow="1" w:lastColumn="0" w:lastRow="0" w:noHBand="0" w:noVBand="1" w:val="04A0"/>
      </w:tblPr>
      <w:tblGrid>
        <w:gridCol w:w="10166"/>
      </w:tblGrid>
      <w:tr>
        <w:tc>
          <w:tcPr>
            <w:tcW w:type="dxa" w:w="10166"/>
            <w:shd w:fill="FDECEC"/>
            <w:tcMar>
              <w:top w:w="130" w:type="dxa"/>
              <w:start w:w="160" w:type="dxa"/>
              <w:bottom w:w="130" w:type="dxa"/>
              <w:end w:w="160" w:type="dxa"/>
            </w:tcMar>
          </w:tcPr>
          <w:p>
            <w:r>
              <w:rPr>
                <w:b/>
                <w:color w:val="A33A3A"/>
                <w:sz w:val="21"/>
              </w:rPr>
              <w:t>Urgent constraint</w:t>
              <w:br/>
            </w:r>
            <w:r>
              <w:rPr>
                <w:color w:val="18222B"/>
                <w:sz w:val="20"/>
              </w:rPr>
              <w:t>The existing repository already contains the first evaluator vertical slice. Do not implement Person, Jurisdiction, PolicyVersion, evaluator or Decision again. Do not create a parallel “v2” engine. Do not rename, delete or replace working files until the current implementation is inventoried, protected by regression tests and an explicit extension plan is approved.</w:t>
            </w:r>
          </w:p>
        </w:tc>
      </w:tr>
    </w:tbl>
    <w:p>
      <w:pPr>
        <w:spacing w:after="20"/>
      </w:pPr>
    </w:p>
    <w:p>
      <w:r>
        <w:t>Because the repository itself was not attached to this document-generation session, this brief cannot truthfully invent its exact file paths. Claude Code must identify and record the real paths before touching production code. The exact-path inventory is a mandatory gate, not an optional report.</w:t>
      </w:r>
    </w:p>
    <w:p>
      <w:pPr>
        <w:pStyle w:val="Heading1"/>
      </w:pPr>
      <w:r>
        <w:t>2. Phase 0 Gate: Identify and Protect Existing Files</w:t>
      </w:r>
    </w:p>
    <w:p>
      <w:pPr>
        <w:pStyle w:val="ListNumber"/>
        <w:spacing w:after="60"/>
      </w:pPr>
      <w:r>
        <w:t>Inspect the repository and identify the exact existing files that implement Person, Jurisdiction, PolicyVersion/RulePack, the deterministic evaluator, Decision, DecisionTrace or evaluation logging, policy schemas, fixtures and evaluator tests.</w:t>
      </w:r>
    </w:p>
    <w:p>
      <w:pPr>
        <w:pStyle w:val="ListNumber"/>
        <w:spacing w:after="60"/>
      </w:pPr>
      <w:r>
        <w:t>Write the exact paths into docs/architecture/existing-evaluator-files.md. Classify each path as PRESERVE, EXTEND, ADAPT or DEPRECATE-LATER.</w:t>
      </w:r>
    </w:p>
    <w:p>
      <w:pPr>
        <w:pStyle w:val="ListNumber"/>
        <w:spacing w:after="60"/>
      </w:pPr>
      <w:r>
        <w:t>Create or strengthen regression tests that lock current evaluator behaviour before modifying any listed file.</w:t>
      </w:r>
    </w:p>
    <w:p>
      <w:pPr>
        <w:pStyle w:val="ListNumber"/>
        <w:spacing w:after="60"/>
      </w:pPr>
      <w:r>
        <w:t>Produce docs/architecture/no-rewrite-extension-plan.md showing the smallest extensions required by the public specification.</w:t>
      </w:r>
    </w:p>
    <w:p>
      <w:pPr>
        <w:pStyle w:val="ListNumber"/>
        <w:spacing w:after="60"/>
      </w:pPr>
      <w:r>
        <w:t>Do not change production code until the exact-path inventory and no-rewrite plan are complete.</w:t>
      </w:r>
    </w:p>
    <w:tbl>
      <w:tblPr>
        <w:tblW w:type="auto" w:w="0"/>
        <w:tblLook w:firstColumn="1" w:firstRow="1" w:lastColumn="0" w:lastRow="0" w:noHBand="0" w:noVBand="1" w:val="04A0"/>
      </w:tblPr>
      <w:tblGrid>
        <w:gridCol w:w="10166"/>
      </w:tblGrid>
      <w:tr>
        <w:tc>
          <w:tcPr>
            <w:tcW w:type="dxa" w:w="10166"/>
            <w:shd w:fill="F1F4F6"/>
            <w:tcMar>
              <w:top w:w="110" w:type="dxa"/>
              <w:start w:w="130" w:type="dxa"/>
              <w:bottom w:w="110" w:type="dxa"/>
              <w:end w:w="130" w:type="dxa"/>
            </w:tcMar>
          </w:tcPr>
          <w:p>
            <w:pPr>
              <w:pStyle w:val="CodeBlock"/>
            </w:pPr>
            <w:r>
              <w:t>Required inventory format</w:t>
              <w:br/>
              <w:t>- PRESERVE: &lt;exact/repository/path&gt;</w:t>
              <w:br/>
              <w:t>- EXTEND: &lt;exact/repository/path&gt; — describe additive change only</w:t>
              <w:br/>
              <w:t>- ADAPT: &lt;exact/repository/path&gt; — compatibility wrapper</w:t>
              <w:br/>
              <w:t>- DEPRECATE-LATER: &lt;exact/repository/path&gt; — no deletion in this phase</w:t>
            </w:r>
          </w:p>
        </w:tc>
      </w:tr>
    </w:tbl>
    <w:p>
      <w:pPr>
        <w:pStyle w:val="Heading1"/>
      </w:pPr>
      <w:r>
        <w:t>3. Existing Evaluator Contract to Preserve</w:t>
      </w:r>
    </w:p>
    <w:p>
      <w:pPr>
        <w:pStyle w:val="ListBullet"/>
        <w:spacing w:after="60"/>
      </w:pPr>
      <w:r>
        <w:t>Existing clause states to preserve: SATISFIED, NOT_SATISFIED, NOT_APPLICABLE and DISCHARGED. Add INDETERMINATE only as a fifth state if the exact-path inventory confirms it does not already exist. Do not rename NOT_SATISFIED to UNSATISFIED.</w:t>
      </w:r>
    </w:p>
    <w:p>
      <w:pPr>
        <w:pStyle w:val="ListBullet"/>
        <w:spacing w:after="60"/>
      </w:pPr>
      <w:r>
        <w:t>Closed predicate and operator vocabulary.</w:t>
      </w:r>
    </w:p>
    <w:p>
      <w:pPr>
        <w:pStyle w:val="ListBullet"/>
        <w:spacing w:after="60"/>
      </w:pPr>
      <w:r>
        <w:t>Sealed NationalConstraint layer and editable, signed RulePack layer.</w:t>
      </w:r>
    </w:p>
    <w:p>
      <w:pPr>
        <w:pStyle w:val="ListBullet"/>
        <w:spacing w:after="60"/>
      </w:pPr>
      <w:r>
        <w:t>Floor invariants that cannot be weakened by local policy.</w:t>
      </w:r>
    </w:p>
    <w:p>
      <w:pPr>
        <w:pStyle w:val="ListBullet"/>
        <w:spacing w:after="60"/>
      </w:pPr>
      <w:r>
        <w:t>Deterministic evaluation and complete DecisionTrace.</w:t>
      </w:r>
    </w:p>
    <w:p>
      <w:pPr>
        <w:pStyle w:val="ListBullet"/>
        <w:spacing w:after="60"/>
      </w:pPr>
      <w:r>
        <w:t>Policy and evaluator version pinning.</w:t>
      </w:r>
    </w:p>
    <w:p>
      <w:pPr>
        <w:pStyle w:val="ListBullet"/>
        <w:spacing w:after="60"/>
      </w:pPr>
      <w:r>
        <w:t>No arbitrary executable expressions in policy packs.</w:t>
      </w:r>
    </w:p>
    <w:p>
      <w:r>
        <w:t>Where current names differ, preserve the current implementation and document the mapping. Do not rename merely to match this brief.</w:t>
      </w:r>
    </w:p>
    <w:p>
      <w:pPr>
        <w:pStyle w:val="Heading1"/>
      </w:pPr>
      <w:r>
        <w:t>4. Extension Order</w:t>
      </w:r>
    </w:p>
    <w:p>
      <w:pPr>
        <w:pStyle w:val="ListNumber"/>
        <w:spacing w:after="60"/>
      </w:pPr>
      <w:r>
        <w:t>Extend the existing relationship model to support purposeCode and the governed relationshipType vocabulary without replacing Person or Jurisdiction.</w:t>
      </w:r>
    </w:p>
    <w:p>
      <w:pPr>
        <w:pStyle w:val="ListNumber"/>
        <w:spacing w:after="60"/>
      </w:pPr>
      <w:r>
        <w:t>Extend DecisionTrace to pin policy bundle hash, evaluator version, vocabulary version, normalised fact snapshot hash, clause states, floor checks and signature.</w:t>
      </w:r>
    </w:p>
    <w:p>
      <w:pPr>
        <w:pStyle w:val="ListNumber"/>
        <w:spacing w:after="60"/>
      </w:pPr>
      <w:r>
        <w:t>Add assurance-profile validation and registry references; reject free strings.</w:t>
      </w:r>
    </w:p>
    <w:p>
      <w:pPr>
        <w:pStyle w:val="ListNumber"/>
        <w:spacing w:after="60"/>
      </w:pPr>
      <w:r>
        <w:t>Add consent withdrawal, legal-basis registry references and identity unlink/relink lifecycle around existing models.</w:t>
      </w:r>
    </w:p>
    <w:p>
      <w:pPr>
        <w:pStyle w:val="ListNumber"/>
        <w:spacing w:after="60"/>
      </w:pPr>
      <w:r>
        <w:t>Add the pinned credential profile, online status and offline status-list verification.</w:t>
      </w:r>
    </w:p>
    <w:p>
      <w:pPr>
        <w:pStyle w:val="ListNumber"/>
        <w:spacing w:after="60"/>
      </w:pPr>
      <w:r>
        <w:t>Add humanitarian event-envelope suppression and DPIA enforcement only if event capability already exists; otherwise document it as roadmap.</w:t>
      </w:r>
    </w:p>
    <w:p>
      <w:pPr>
        <w:pStyle w:val="ListNumber"/>
        <w:spacing w:after="60"/>
      </w:pPr>
      <w:r>
        <w:t>Do not build general exchange, event orchestration or a connector catalogue for the DPG submission unless those capabilities already exist and are stable.</w:t>
      </w:r>
    </w:p>
    <w:p>
      <w:pPr>
        <w:pStyle w:val="Heading1"/>
      </w:pPr>
      <w:r>
        <w:t>5. Specific Corrections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880"/>
            <w:vAlign w:val="center"/>
            <w:tcMar>
              <w:top w:w="90" w:type="dxa"/>
              <w:start w:w="110" w:type="dxa"/>
              <w:bottom w:w="90" w:type="dxa"/>
              <w:end w:w="110" w:type="dxa"/>
            </w:tcMar>
            <w:shd w:fill="17324D"/>
          </w:tcPr>
          <w:p>
            <w:pPr>
              <w:spacing w:after="0" w:before="0"/>
            </w:pPr>
            <w:r/>
            <w:r>
              <w:rPr>
                <w:rFonts w:ascii="Aptos" w:hAnsi="Aptos"/>
                <w:b/>
                <w:color w:val="FFFFFF"/>
                <w:sz w:val="18"/>
              </w:rPr>
              <w:t>Area</w:t>
            </w:r>
          </w:p>
        </w:tc>
        <w:tc>
          <w:tcPr>
            <w:tcW w:type="dxa" w:w="6624"/>
            <w:vAlign w:val="center"/>
            <w:tcMar>
              <w:top w:w="90" w:type="dxa"/>
              <w:start w:w="110" w:type="dxa"/>
              <w:bottom w:w="90" w:type="dxa"/>
              <w:end w:w="110" w:type="dxa"/>
            </w:tcMar>
            <w:shd w:fill="17324D"/>
          </w:tcPr>
          <w:p>
            <w:pPr>
              <w:spacing w:after="0" w:before="0"/>
            </w:pPr>
            <w:r/>
            <w:r>
              <w:rPr>
                <w:rFonts w:ascii="Aptos" w:hAnsi="Aptos"/>
                <w:b/>
                <w:color w:val="FFFFFF"/>
                <w:sz w:val="18"/>
              </w:rPr>
              <w:t>Required implementation correction</w:t>
            </w:r>
          </w:p>
        </w:tc>
      </w:tr>
      <w:tr>
        <w:tc>
          <w:tcPr>
            <w:tcW w:type="dxa" w:w="2880"/>
            <w:vAlign w:val="center"/>
            <w:tcMar>
              <w:top w:w="90" w:type="dxa"/>
              <w:start w:w="110" w:type="dxa"/>
              <w:bottom w:w="90" w:type="dxa"/>
              <w:end w:w="110" w:type="dxa"/>
            </w:tcMar>
            <w:shd w:fill="FFFFFF"/>
          </w:tcPr>
          <w:p>
            <w:pPr>
              <w:spacing w:after="0" w:before="0"/>
            </w:pPr>
            <w:r/>
            <w:r>
              <w:rPr>
                <w:rFonts w:ascii="Aptos" w:hAnsi="Aptos"/>
                <w:b w:val="0"/>
                <w:color w:val="18222B"/>
                <w:sz w:val="18"/>
              </w:rPr>
              <w:t>Policy API</w:t>
            </w:r>
          </w:p>
        </w:tc>
        <w:tc>
          <w:tcPr>
            <w:tcW w:type="dxa" w:w="6624"/>
            <w:vAlign w:val="center"/>
            <w:tcMar>
              <w:top w:w="90" w:type="dxa"/>
              <w:start w:w="110" w:type="dxa"/>
              <w:bottom w:w="90" w:type="dxa"/>
              <w:end w:w="110" w:type="dxa"/>
            </w:tcMar>
            <w:shd w:fill="FFFFFF"/>
          </w:tcPr>
          <w:p>
            <w:pPr>
              <w:spacing w:after="0" w:before="0"/>
            </w:pPr>
            <w:r/>
            <w:r>
              <w:rPr>
                <w:rFonts w:ascii="Aptos" w:hAnsi="Aptos"/>
                <w:b w:val="0"/>
                <w:color w:val="18222B"/>
                <w:sz w:val="18"/>
              </w:rPr>
              <w:t>Use POST /policies/{id}/evaluate because the request contains facts and evidence.</w:t>
            </w:r>
          </w:p>
        </w:tc>
      </w:tr>
      <w:tr>
        <w:tc>
          <w:tcPr>
            <w:tcW w:type="dxa" w:w="2880"/>
            <w:vAlign w:val="center"/>
            <w:tcMar>
              <w:top w:w="90" w:type="dxa"/>
              <w:start w:w="110" w:type="dxa"/>
              <w:bottom w:w="90" w:type="dxa"/>
              <w:end w:w="110" w:type="dxa"/>
            </w:tcMar>
            <w:shd w:fill="F3F7FA"/>
          </w:tcPr>
          <w:p>
            <w:pPr>
              <w:spacing w:after="0" w:before="0"/>
            </w:pPr>
            <w:r/>
            <w:r>
              <w:rPr>
                <w:rFonts w:ascii="Aptos" w:hAnsi="Aptos"/>
                <w:b w:val="0"/>
                <w:color w:val="18222B"/>
                <w:sz w:val="18"/>
              </w:rPr>
              <w:t>Exclusivity</w:t>
            </w:r>
          </w:p>
        </w:tc>
        <w:tc>
          <w:tcPr>
            <w:tcW w:type="dxa" w:w="6624"/>
            <w:vAlign w:val="center"/>
            <w:tcMar>
              <w:top w:w="90" w:type="dxa"/>
              <w:start w:w="110" w:type="dxa"/>
              <w:bottom w:w="90" w:type="dxa"/>
              <w:end w:w="110" w:type="dxa"/>
            </w:tcMar>
            <w:shd w:fill="F3F7FA"/>
          </w:tcPr>
          <w:p>
            <w:pPr>
              <w:spacing w:after="0" w:before="0"/>
            </w:pPr>
            <w:r/>
            <w:r>
              <w:rPr>
                <w:rFonts w:ascii="Aptos" w:hAnsi="Aptos"/>
                <w:b w:val="0"/>
                <w:color w:val="18222B"/>
                <w:sz w:val="18"/>
              </w:rPr>
              <w:t>Replace ONE_ACTIVE_PER_COUNTRY with deployment-scoped exclusivity unless an authoritative federation provider is configured.</w:t>
            </w:r>
          </w:p>
        </w:tc>
      </w:tr>
      <w:tr>
        <w:tc>
          <w:tcPr>
            <w:tcW w:type="dxa" w:w="2880"/>
            <w:vAlign w:val="center"/>
            <w:tcMar>
              <w:top w:w="90" w:type="dxa"/>
              <w:start w:w="110" w:type="dxa"/>
              <w:bottom w:w="90" w:type="dxa"/>
              <w:end w:w="110" w:type="dxa"/>
            </w:tcMar>
            <w:shd w:fill="FFFFFF"/>
          </w:tcPr>
          <w:p>
            <w:pPr>
              <w:spacing w:after="0" w:before="0"/>
            </w:pPr>
            <w:r/>
            <w:r>
              <w:rPr>
                <w:rFonts w:ascii="Aptos" w:hAnsi="Aptos"/>
                <w:b w:val="0"/>
                <w:color w:val="18222B"/>
                <w:sz w:val="18"/>
              </w:rPr>
              <w:t>Relationship type</w:t>
            </w:r>
          </w:p>
        </w:tc>
        <w:tc>
          <w:tcPr>
            <w:tcW w:type="dxa" w:w="6624"/>
            <w:vAlign w:val="center"/>
            <w:tcMar>
              <w:top w:w="90" w:type="dxa"/>
              <w:start w:w="110" w:type="dxa"/>
              <w:bottom w:w="90" w:type="dxa"/>
              <w:end w:w="110" w:type="dxa"/>
            </w:tcMar>
            <w:shd w:fill="FFFFFF"/>
          </w:tcPr>
          <w:p>
            <w:pPr>
              <w:spacing w:after="0" w:before="0"/>
            </w:pPr>
            <w:r/>
            <w:r>
              <w:rPr>
                <w:rFonts w:ascii="Aptos" w:hAnsi="Aptos"/>
                <w:b w:val="0"/>
                <w:color w:val="18222B"/>
                <w:sz w:val="18"/>
              </w:rPr>
              <w:t>Validate against the closed vocabulary in the public specification.</w:t>
            </w:r>
          </w:p>
        </w:tc>
      </w:tr>
      <w:tr>
        <w:tc>
          <w:tcPr>
            <w:tcW w:type="dxa" w:w="2880"/>
            <w:vAlign w:val="center"/>
            <w:tcMar>
              <w:top w:w="90" w:type="dxa"/>
              <w:start w:w="110" w:type="dxa"/>
              <w:bottom w:w="90" w:type="dxa"/>
              <w:end w:w="110" w:type="dxa"/>
            </w:tcMar>
            <w:shd w:fill="F3F7FA"/>
          </w:tcPr>
          <w:p>
            <w:pPr>
              <w:spacing w:after="0" w:before="0"/>
            </w:pPr>
            <w:r/>
            <w:r>
              <w:rPr>
                <w:rFonts w:ascii="Aptos" w:hAnsi="Aptos"/>
                <w:b w:val="0"/>
                <w:color w:val="18222B"/>
                <w:sz w:val="18"/>
              </w:rPr>
              <w:t>Humanitarian events</w:t>
            </w:r>
          </w:p>
        </w:tc>
        <w:tc>
          <w:tcPr>
            <w:tcW w:type="dxa" w:w="6624"/>
            <w:vAlign w:val="center"/>
            <w:tcMar>
              <w:top w:w="90" w:type="dxa"/>
              <w:start w:w="110" w:type="dxa"/>
              <w:bottom w:w="90" w:type="dxa"/>
              <w:end w:w="110" w:type="dxa"/>
            </w:tcMar>
            <w:shd w:fill="F3F7FA"/>
          </w:tcPr>
          <w:p>
            <w:pPr>
              <w:spacing w:after="0" w:before="0"/>
            </w:pPr>
            <w:r/>
            <w:r>
              <w:rPr>
                <w:rFonts w:ascii="Aptos" w:hAnsi="Aptos"/>
                <w:b w:val="0"/>
                <w:color w:val="18222B"/>
                <w:sz w:val="18"/>
              </w:rPr>
              <w:t>Suppress or pseudonymise humanitarian purpose metadata for ordinary subscribers; require service permission and DPIA reference.</w:t>
            </w:r>
          </w:p>
        </w:tc>
      </w:tr>
      <w:tr>
        <w:tc>
          <w:tcPr>
            <w:tcW w:type="dxa" w:w="2880"/>
            <w:vAlign w:val="center"/>
            <w:tcMar>
              <w:top w:w="90" w:type="dxa"/>
              <w:start w:w="110" w:type="dxa"/>
              <w:bottom w:w="90" w:type="dxa"/>
              <w:end w:w="110" w:type="dxa"/>
            </w:tcMar>
            <w:shd w:fill="FFFFFF"/>
          </w:tcPr>
          <w:p>
            <w:pPr>
              <w:spacing w:after="0" w:before="0"/>
            </w:pPr>
            <w:r/>
            <w:r>
              <w:rPr>
                <w:rFonts w:ascii="Aptos" w:hAnsi="Aptos"/>
                <w:b w:val="0"/>
                <w:color w:val="18222B"/>
                <w:sz w:val="18"/>
              </w:rPr>
              <w:t>Credential format</w:t>
            </w:r>
          </w:p>
        </w:tc>
        <w:tc>
          <w:tcPr>
            <w:tcW w:type="dxa" w:w="6624"/>
            <w:vAlign w:val="center"/>
            <w:tcMar>
              <w:top w:w="90" w:type="dxa"/>
              <w:start w:w="110" w:type="dxa"/>
              <w:bottom w:w="90" w:type="dxa"/>
              <w:end w:w="110" w:type="dxa"/>
            </w:tcMar>
            <w:shd w:fill="FFFFFF"/>
          </w:tcPr>
          <w:p>
            <w:pPr>
              <w:spacing w:after="0" w:before="0"/>
            </w:pPr>
            <w:r/>
            <w:r>
              <w:rPr>
                <w:rFonts w:ascii="Aptos" w:hAnsi="Aptos"/>
                <w:b w:val="0"/>
                <w:color w:val="18222B"/>
                <w:sz w:val="18"/>
              </w:rPr>
              <w:t>Pin VC-JWT with EdDSA/Ed25519 and document key rotation.</w:t>
            </w:r>
          </w:p>
        </w:tc>
      </w:tr>
      <w:tr>
        <w:tc>
          <w:tcPr>
            <w:tcW w:type="dxa" w:w="2880"/>
            <w:vAlign w:val="center"/>
            <w:tcMar>
              <w:top w:w="90" w:type="dxa"/>
              <w:start w:w="110" w:type="dxa"/>
              <w:bottom w:w="90" w:type="dxa"/>
              <w:end w:w="110" w:type="dxa"/>
            </w:tcMar>
            <w:shd w:fill="F3F7FA"/>
          </w:tcPr>
          <w:p>
            <w:pPr>
              <w:spacing w:after="0" w:before="0"/>
            </w:pPr>
            <w:r/>
            <w:r>
              <w:rPr>
                <w:rFonts w:ascii="Aptos" w:hAnsi="Aptos"/>
                <w:b w:val="0"/>
                <w:color w:val="18222B"/>
                <w:sz w:val="18"/>
              </w:rPr>
              <w:t>Offline revocation</w:t>
            </w:r>
          </w:p>
        </w:tc>
        <w:tc>
          <w:tcPr>
            <w:tcW w:type="dxa" w:w="6624"/>
            <w:vAlign w:val="center"/>
            <w:tcMar>
              <w:top w:w="90" w:type="dxa"/>
              <w:start w:w="110" w:type="dxa"/>
              <w:bottom w:w="90" w:type="dxa"/>
              <w:end w:w="110" w:type="dxa"/>
            </w:tcMar>
            <w:shd w:fill="F3F7FA"/>
          </w:tcPr>
          <w:p>
            <w:pPr>
              <w:spacing w:after="0" w:before="0"/>
            </w:pPr>
            <w:r/>
            <w:r>
              <w:rPr>
                <w:rFonts w:ascii="Aptos" w:hAnsi="Aptos"/>
                <w:b w:val="0"/>
                <w:color w:val="18222B"/>
                <w:sz w:val="18"/>
              </w:rPr>
              <w:t>Implement signed status-list snapshots, cache-freshness policy and INDETERMINATE on stale status.</w:t>
            </w:r>
          </w:p>
        </w:tc>
      </w:tr>
      <w:tr>
        <w:tc>
          <w:tcPr>
            <w:tcW w:type="dxa" w:w="2880"/>
            <w:vAlign w:val="center"/>
            <w:tcMar>
              <w:top w:w="90" w:type="dxa"/>
              <w:start w:w="110" w:type="dxa"/>
              <w:bottom w:w="90" w:type="dxa"/>
              <w:end w:w="110" w:type="dxa"/>
            </w:tcMar>
            <w:shd w:fill="FFFFFF"/>
          </w:tcPr>
          <w:p>
            <w:pPr>
              <w:spacing w:after="0" w:before="0"/>
            </w:pPr>
            <w:r/>
            <w:r>
              <w:rPr>
                <w:rFonts w:ascii="Aptos" w:hAnsi="Aptos"/>
                <w:b w:val="0"/>
                <w:color w:val="18222B"/>
                <w:sz w:val="18"/>
              </w:rPr>
              <w:t>USSD</w:t>
            </w:r>
          </w:p>
        </w:tc>
        <w:tc>
          <w:tcPr>
            <w:tcW w:type="dxa" w:w="6624"/>
            <w:vAlign w:val="center"/>
            <w:tcMar>
              <w:top w:w="90" w:type="dxa"/>
              <w:start w:w="110" w:type="dxa"/>
              <w:bottom w:w="90" w:type="dxa"/>
              <w:end w:w="110" w:type="dxa"/>
            </w:tcMar>
            <w:shd w:fill="FFFFFF"/>
          </w:tcPr>
          <w:p>
            <w:pPr>
              <w:spacing w:after="0" w:before="0"/>
            </w:pPr>
            <w:r/>
            <w:r>
              <w:rPr>
                <w:rFonts w:ascii="Aptos" w:hAnsi="Aptos"/>
                <w:b w:val="0"/>
                <w:color w:val="18222B"/>
                <w:sz w:val="18"/>
              </w:rPr>
              <w:t>Perform server-side online status check; do not label it offline verification.</w:t>
            </w:r>
          </w:p>
        </w:tc>
      </w:tr>
      <w:tr>
        <w:tc>
          <w:tcPr>
            <w:tcW w:type="dxa" w:w="2880"/>
            <w:vAlign w:val="center"/>
            <w:tcMar>
              <w:top w:w="90" w:type="dxa"/>
              <w:start w:w="110" w:type="dxa"/>
              <w:bottom w:w="90" w:type="dxa"/>
              <w:end w:w="110" w:type="dxa"/>
            </w:tcMar>
            <w:shd w:fill="F3F7FA"/>
          </w:tcPr>
          <w:p>
            <w:pPr>
              <w:spacing w:after="0" w:before="0"/>
            </w:pPr>
            <w:r/>
            <w:r>
              <w:rPr>
                <w:rFonts w:ascii="Aptos" w:hAnsi="Aptos"/>
                <w:b w:val="0"/>
                <w:color w:val="18222B"/>
                <w:sz w:val="18"/>
              </w:rPr>
              <w:t>Trace</w:t>
            </w:r>
          </w:p>
        </w:tc>
        <w:tc>
          <w:tcPr>
            <w:tcW w:type="dxa" w:w="6624"/>
            <w:vAlign w:val="center"/>
            <w:tcMar>
              <w:top w:w="90" w:type="dxa"/>
              <w:start w:w="110" w:type="dxa"/>
              <w:bottom w:w="90" w:type="dxa"/>
              <w:end w:w="110" w:type="dxa"/>
            </w:tcMar>
            <w:shd w:fill="F3F7FA"/>
          </w:tcPr>
          <w:p>
            <w:pPr>
              <w:spacing w:after="0" w:before="0"/>
            </w:pPr>
            <w:r/>
            <w:r>
              <w:rPr>
                <w:rFonts w:ascii="Aptos" w:hAnsi="Aptos"/>
                <w:b w:val="0"/>
                <w:color w:val="18222B"/>
                <w:sz w:val="18"/>
              </w:rPr>
              <w:t>Persist trace atomically with every material decision; logging alone is insufficient.</w:t>
            </w:r>
          </w:p>
        </w:tc>
      </w:tr>
      <w:tr>
        <w:tc>
          <w:tcPr>
            <w:tcW w:type="dxa" w:w="5083"/>
          </w:tcPr>
          <w:p>
            <w:r>
              <w:t>Clause states</w:t>
            </w:r>
          </w:p>
        </w:tc>
        <w:tc>
          <w:tcPr>
            <w:tcW w:type="dxa" w:w="5083"/>
          </w:tcPr>
          <w:p>
            <w:r>
              <w:t>Preserve SATISFIED, NOT_SATISFIED, NOT_APPLICABLE and DISCHARGED exactly as implemented; add INDETERMINATE as a distinct fifth state only after inventory verification.</w:t>
            </w:r>
          </w:p>
        </w:tc>
      </w:tr>
      <w:tr>
        <w:tc>
          <w:tcPr>
            <w:tcW w:type="dxa" w:w="5083"/>
          </w:tcPr>
          <w:p>
            <w:r>
              <w:t>Trace governance</w:t>
            </w:r>
          </w:p>
        </w:tc>
        <w:tc>
          <w:tcPr>
            <w:tcW w:type="dxa" w:w="5083"/>
          </w:tcPr>
          <w:p>
            <w:r>
              <w:t>Implement named redaction profiles, subject access, field-level authorisation, retention, disclosure audit and humanitarian/vulnerability suppression for DecisionTrace.</w:t>
            </w:r>
          </w:p>
        </w:tc>
      </w:tr>
      <w:tr>
        <w:tc>
          <w:tcPr>
            <w:tcW w:type="dxa" w:w="5083"/>
          </w:tcPr>
          <w:p>
            <w:r>
              <w:t>DPIA registry</w:t>
            </w:r>
          </w:p>
        </w:tc>
        <w:tc>
          <w:tcPr>
            <w:tcW w:type="dxa" w:w="5083"/>
          </w:tcPr>
          <w:p>
            <w:r>
              <w:t>Implement DPIARecord registry and validation; reject unresolved or out-of-scope dpiaReference values.</w:t>
            </w:r>
          </w:p>
        </w:tc>
      </w:tr>
      <w:tr>
        <w:tc>
          <w:tcPr>
            <w:tcW w:type="dxa" w:w="5083"/>
          </w:tcPr>
          <w:p>
            <w:r>
              <w:t>Trace signatures</w:t>
            </w:r>
          </w:p>
        </w:tc>
        <w:tc>
          <w:tcPr>
            <w:tcW w:type="dxa" w:w="5083"/>
          </w:tcPr>
          <w:p>
            <w:r>
              <w:t>Pin trace signing key/version and trust-registry snapshot; retain historical verification material through rotation and compromise events.</w:t>
            </w:r>
          </w:p>
        </w:tc>
      </w:tr>
      <w:tr>
        <w:tc>
          <w:tcPr>
            <w:tcW w:type="dxa" w:w="5083"/>
          </w:tcPr>
          <w:p>
            <w:r>
              <w:t>Auth integration</w:t>
            </w:r>
          </w:p>
        </w:tc>
        <w:tc>
          <w:tcPr>
            <w:tcW w:type="dxa" w:w="5083"/>
          </w:tcPr>
          <w:p>
            <w:r>
              <w:t>Ship the KSAuth-ready OIDC/claims conformance profile without implementing a replacement IdP.</w:t>
            </w:r>
          </w:p>
        </w:tc>
      </w:tr>
      <w:tr>
        <w:tc>
          <w:tcPr>
            <w:tcW w:type="dxa" w:w="5083"/>
          </w:tcPr>
          <w:p>
            <w:r>
              <w:t>DecisionOutcome</w:t>
            </w:r>
          </w:p>
        </w:tc>
        <w:tc>
          <w:tcPr>
            <w:tcW w:type="dxa" w:w="5083"/>
          </w:tcPr>
          <w:p>
            <w:r>
              <w:t>Preserve or extend the existing outcome contract only after exact-path inventory. Implement the registered outcome vocabulary and deterministic aggregation. A floor-invariant or protection-rule review requirement must outrank automatic NOT_APPROVED.</w:t>
            </w:r>
          </w:p>
        </w:tc>
      </w:tr>
      <w:tr>
        <w:tc>
          <w:tcPr>
            <w:tcW w:type="dxa" w:w="5083"/>
          </w:tcPr>
          <w:p>
            <w:r>
              <w:t>Vocabulary versions</w:t>
            </w:r>
          </w:p>
        </w:tc>
        <w:tc>
          <w:tcPr>
            <w:tcW w:type="dxa" w:w="5083"/>
          </w:tcPr>
          <w:p>
            <w:r>
              <w:t>Treat exhaustive vocabulary expansion—including ClauseClass, DecisionOutcome and AppealOutcome—as a major version change. Replay historical traces using their pinned vocabulary version.</w:t>
            </w:r>
          </w:p>
        </w:tc>
      </w:tr>
      <w:tr>
        <w:tc>
          <w:tcPr>
            <w:tcW w:type="dxa" w:w="5083"/>
          </w:tcPr>
          <w:p>
            <w:r>
              <w:t>Appeals and registries</w:t>
            </w:r>
          </w:p>
        </w:tc>
        <w:tc>
          <w:tcPr>
            <w:tcW w:type="dxa" w:w="5083"/>
          </w:tcPr>
          <w:p>
            <w:r>
              <w:t>Extend existing APIs additively to cover appeals, legal-basis reads/validation and DPIA reads/validation. Do not overwrite original decisions when an appeal succeeds.</w:t>
            </w:r>
          </w:p>
        </w:tc>
      </w:tr>
    </w:tbl>
    <w:p>
      <w:pPr>
        <w:spacing w:after="20"/>
      </w:pPr>
    </w:p>
    <w:p>
      <w:pPr>
        <w:pStyle w:val="Heading1"/>
      </w:pPr>
      <w:r>
        <w:t>6. Required Tests</w:t>
      </w:r>
    </w:p>
    <w:p>
      <w:pPr>
        <w:pStyle w:val="ListBullet"/>
        <w:spacing w:after="60"/>
      </w:pPr>
      <w:r>
        <w:t>Katsina household, Kano employment/tax and Lagos education relationships coexist.</w:t>
      </w:r>
    </w:p>
    <w:p>
      <w:pPr>
        <w:pStyle w:val="ListBullet"/>
        <w:spacing w:after="60"/>
      </w:pPr>
      <w:r>
        <w:t>INDETERMINATE is not coerced to false; NOT_APPLICABLE is not counted as satisfied; DISCHARGED remains distinct and records its lawful discharge authority and reason.</w:t>
      </w:r>
    </w:p>
    <w:p>
      <w:pPr>
        <w:pStyle w:val="ListBullet"/>
        <w:spacing w:after="60"/>
      </w:pPr>
      <w:r>
        <w:t>An unknown predicate, operator, assurance profile, purpose code or relationship type is rejected.</w:t>
      </w:r>
    </w:p>
    <w:p>
      <w:pPr>
        <w:pStyle w:val="ListBullet"/>
        <w:spacing w:after="60"/>
      </w:pPr>
      <w:r>
        <w:t>A RulePack cannot weaken a sealed NationalConstraint or floor invariant.</w:t>
      </w:r>
    </w:p>
    <w:p>
      <w:pPr>
        <w:pStyle w:val="ListBullet"/>
        <w:spacing w:after="60"/>
      </w:pPr>
      <w:r>
        <w:t>Replay of the same immutable inputs produces the same trace and outcome.</w:t>
      </w:r>
    </w:p>
    <w:p>
      <w:pPr>
        <w:pStyle w:val="ListBullet"/>
        <w:spacing w:after="60"/>
      </w:pPr>
      <w:r>
        <w:t>Changing evaluator or vocabulary version changes the trace identity and is not represented as the same replay.</w:t>
      </w:r>
    </w:p>
    <w:p>
      <w:pPr>
        <w:pStyle w:val="ListBullet"/>
        <w:spacing w:after="60"/>
      </w:pPr>
      <w:r>
        <w:t>A humanitarian event delivered to an ordinary subscriber does not expose displacement purpose metadata.</w:t>
      </w:r>
    </w:p>
    <w:p>
      <w:pPr>
        <w:pStyle w:val="ListBullet"/>
        <w:spacing w:after="60"/>
      </w:pPr>
      <w:r>
        <w:t>Offline verification with a stale status snapshot returns INDETERMINATE.</w:t>
      </w:r>
    </w:p>
    <w:p>
      <w:pPr>
        <w:pStyle w:val="ListBullet"/>
        <w:spacing w:after="60"/>
      </w:pPr>
      <w:r>
        <w:t>A subnational deployment without federation cannot assert countrywide exclusivity.</w:t>
      </w:r>
    </w:p>
    <w:p>
      <w:pPr>
        <w:pStyle w:val="ListBullet"/>
        <w:spacing w:after="60"/>
      </w:pPr>
      <w:r>
        <w:t>Consent withdrawal prevents new consent-dependent disclosure while retaining legally required records.</w:t>
      </w:r>
    </w:p>
    <w:p>
      <w:r>
        <w:t>A DISCHARGED clause remains distinguishable from NOT_APPLICABLE and records waiver/exemption authority.</w:t>
      </w:r>
    </w:p>
    <w:p>
      <w:r>
        <w:t>A resident trace request returns the subject representation with required explanations and third-party/sensitive-field redaction.</w:t>
      </w:r>
    </w:p>
    <w:p>
      <w:r>
        <w:t>An ordinary analytics or support role cannot retrieve humanitarian purpose or vulnerability clause details from a trace.</w:t>
      </w:r>
    </w:p>
    <w:p>
      <w:r>
        <w:t>A trace signed before key rotation verifies under the archived original key; a replay receives a new signature without mutating the original trace.</w:t>
      </w:r>
    </w:p>
    <w:p>
      <w:r>
        <w:t>A humanitarian subscription with a missing, expired or out-of-scope DPIARecord is rejected.</w:t>
      </w:r>
    </w:p>
    <w:p>
      <w:r>
        <w:t>The reference KSAuth-compatible client receives only registered audience-specific claims and mapped assurance values.</w:t>
      </w:r>
    </w:p>
    <w:p>
      <w:pPr>
        <w:pStyle w:val="Heading1"/>
      </w:pPr>
      <w:r>
        <w:t>7. Change-Safety Rules</w:t>
      </w:r>
    </w:p>
    <w:p>
      <w:pPr>
        <w:pStyle w:val="ListBullet"/>
        <w:spacing w:after="60"/>
      </w:pPr>
      <w:r>
        <w:t>Before each implementation batch, list exact files to be changed and why.</w:t>
      </w:r>
    </w:p>
    <w:p>
      <w:pPr>
        <w:pStyle w:val="ListBullet"/>
        <w:spacing w:after="60"/>
      </w:pPr>
      <w:r>
        <w:t>Prefer additive migrations, adapters and compatibility fields.</w:t>
      </w:r>
    </w:p>
    <w:p>
      <w:pPr>
        <w:pStyle w:val="ListBullet"/>
        <w:spacing w:after="60"/>
      </w:pPr>
      <w:r>
        <w:t>Never delete migrations, tests, evaluator fixtures or policy packs as cleanup.</w:t>
      </w:r>
    </w:p>
    <w:p>
      <w:pPr>
        <w:pStyle w:val="ListBullet"/>
        <w:spacing w:after="60"/>
      </w:pPr>
      <w:r>
        <w:t>Run tests, type checks, linting and migration validation after each batch.</w:t>
      </w:r>
    </w:p>
    <w:p>
      <w:pPr>
        <w:pStyle w:val="ListBullet"/>
        <w:spacing w:after="60"/>
      </w:pPr>
      <w:r>
        <w:t>If a requirement conflicts with current code, stop and report the conflict instead of replacing the implementation.</w:t>
      </w:r>
    </w:p>
    <w:p>
      <w:pPr>
        <w:pStyle w:val="ListBullet"/>
        <w:spacing w:after="60"/>
      </w:pPr>
      <w:r>
        <w:t>Keep a file-level change log in docs/architecture/implementation-journal.md.</w:t>
      </w:r>
    </w:p>
    <w:p>
      <w:pPr>
        <w:pStyle w:val="Heading1"/>
      </w:pPr>
      <w:r>
        <w:t>8. Completion Output</w:t>
      </w:r>
    </w:p>
    <w:p>
      <w:r>
        <w:t>At completion, report: exact files extended; files deliberately preserved; migrations added; evaluator contract changes; trace reproducibility evidence; security/privacy decisions; tests run and results; roadmap items intentionally not built.</w:t>
      </w:r>
    </w:p>
    <w:p>
      <w:r>
        <w:rPr>
          <w:i/>
        </w:rPr>
        <w:t>End of internal implementation appendix.</w:t>
      </w:r>
    </w:p>
    <w:p/>
    <w:p/>
    <w:p/>
    <w:p/>
    <w:p/>
    <w:p/>
    <w:p/>
    <w:p/>
    <w:p/>
    <w:p/>
    <w:p/>
    <w:p/>
    <w:p/>
    <w:p/>
    <w:p/>
    <w:sectPr w:rsidR="00FC693F" w:rsidRPr="0006063C" w:rsidSect="00034616">
      <w:pgSz w:w="12240" w:h="15840"/>
      <w:pgMar w:top="1008"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822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100" w:after="80"/>
      <w:outlineLvl w:val="1"/>
    </w:pPr>
    <w:rPr>
      <w:rFonts w:asciiTheme="majorHAnsi" w:eastAsiaTheme="majorEastAsia" w:hAnsiTheme="majorHAnsi" w:cstheme="majorBidi" w:ascii="Aptos Display" w:hAnsi="Aptos Display"/>
      <w:b/>
      <w:bCs/>
      <w:color w:val="235C88"/>
      <w:sz w:val="27"/>
      <w:szCs w:val="26"/>
    </w:rPr>
  </w:style>
  <w:style w:type="paragraph" w:styleId="Heading3">
    <w:name w:val="heading 3"/>
    <w:basedOn w:val="Normal"/>
    <w:next w:val="Normal"/>
    <w:link w:val="Heading3Char"/>
    <w:uiPriority w:val="9"/>
    <w:unhideWhenUsed/>
    <w:qFormat/>
    <w:rsid w:val="00FC693F"/>
    <w:pPr>
      <w:keepNext/>
      <w:keepLines/>
      <w:spacing w:before="80" w:after="80"/>
      <w:outlineLvl w:val="2"/>
    </w:pPr>
    <w:rPr>
      <w:rFonts w:asciiTheme="majorHAnsi" w:eastAsiaTheme="majorEastAsia" w:hAnsiTheme="majorHAnsi" w:cstheme="majorBidi" w:ascii="Aptos Display" w:hAnsi="Aptos Display"/>
      <w:b/>
      <w:bCs/>
      <w:color w:val="188A8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200"/>
      <w:contextualSpacing/>
    </w:pPr>
    <w:rPr>
      <w:rFonts w:asciiTheme="majorHAnsi" w:eastAsiaTheme="majorEastAsia" w:hAnsiTheme="majorHAnsi" w:cstheme="majorBidi" w:ascii="Aptos Display" w:hAnsi="Aptos Display"/>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80"/>
    </w:pPr>
    <w:rPr>
      <w:rFonts w:asciiTheme="majorHAnsi" w:eastAsiaTheme="majorEastAsia" w:hAnsiTheme="majorHAnsi" w:cstheme="majorBidi" w:ascii="Aptos" w:hAnsi="Aptos"/>
      <w:b w:val="0"/>
      <w:i/>
      <w:iCs/>
      <w:color w:val="5D6A7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288" w:right="288"/>
    </w:pPr>
    <w:rPr>
      <w:rFonts w:ascii="Aptos Mono" w:hAnsi="Aptos Mono"/>
      <w:color w:val="18222B"/>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OpenResidency Consolidated Product, Governance and Implementation Specification v4</dc:title>
  <dc:subject>Subnational residency DPI architecture with internal Claude Code extension appendix</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