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090DB6">
      <w:pPr>
        <w:pStyle w:val="2"/>
        <w:bidi w:val="0"/>
        <w:rPr>
          <w:rFonts w:hint="default"/>
          <w:lang w:val="en-US" w:eastAsia="zh-CN"/>
        </w:rPr>
      </w:pPr>
      <w:r>
        <w:rPr>
          <w:rFonts w:hint="eastAsia"/>
          <w:lang w:val="en-US" w:eastAsia="zh-CN"/>
        </w:rPr>
        <w:t>1.</w:t>
      </w:r>
    </w:p>
    <w:p w14:paraId="2FCA9B78">
      <w:pPr>
        <w:bidi w:val="0"/>
      </w:pPr>
      <w:commentRangeStart w:id="0"/>
      <w:r>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commentRangeEnd w:id="0"/>
      <w:r>
        <w:commentReference w:id="0"/>
      </w:r>
    </w:p>
    <w:p w14:paraId="005CE7E0">
      <w:pPr>
        <w:bidi w:val="0"/>
        <w:rPr>
          <w:rFonts w:hint="eastAsia"/>
        </w:rPr>
      </w:pPr>
    </w:p>
    <w:p w14:paraId="6B3C50FF">
      <w:pPr>
        <w:pStyle w:val="2"/>
        <w:bidi w:val="0"/>
        <w:rPr>
          <w:rFonts w:hint="default"/>
          <w:lang w:val="en-US" w:eastAsia="zh-CN"/>
        </w:rPr>
      </w:pPr>
      <w:r>
        <w:rPr>
          <w:rFonts w:hint="eastAsia"/>
          <w:lang w:val="en-US" w:eastAsia="zh-CN"/>
        </w:rPr>
        <w:t>2.</w:t>
      </w:r>
    </w:p>
    <w:p w14:paraId="332B810A">
      <w:pPr>
        <w:bidi w:val="0"/>
        <w:rPr>
          <w:rFonts w:hint="eastAsia"/>
          <w:lang w:val="en-US" w:eastAsia="zh-CN"/>
        </w:rPr>
      </w:pPr>
      <w:commentRangeStart w:id="1"/>
      <w:r>
        <w:rPr>
          <w:rFonts w:hint="eastAsia"/>
        </w:rPr>
        <w:t>验收期</w:t>
      </w:r>
      <w:r>
        <w:rPr>
          <w:rFonts w:hint="eastAsia"/>
          <w:lang w:val="en-US" w:eastAsia="zh-CN"/>
        </w:rPr>
        <w:t>为5月12日</w:t>
      </w:r>
      <w:commentRangeEnd w:id="1"/>
      <w:r>
        <w:commentReference w:id="1"/>
      </w:r>
    </w:p>
    <w:p w14:paraId="0EB605E8">
      <w:pPr>
        <w:bidi w:val="0"/>
        <w:rPr>
          <w:rFonts w:hint="eastAsia"/>
          <w:lang w:val="en-US" w:eastAsia="zh-CN"/>
        </w:rPr>
      </w:pPr>
    </w:p>
    <w:p w14:paraId="7C04220E">
      <w:pPr>
        <w:pStyle w:val="2"/>
        <w:bidi w:val="0"/>
        <w:rPr>
          <w:rFonts w:hint="default"/>
          <w:lang w:val="en-US" w:eastAsia="zh-CN"/>
        </w:rPr>
      </w:pPr>
      <w:r>
        <w:rPr>
          <w:rFonts w:hint="eastAsia"/>
          <w:lang w:val="en-US" w:eastAsia="zh-CN"/>
        </w:rPr>
        <w:t>3.</w:t>
      </w:r>
    </w:p>
    <w:p w14:paraId="48332975">
      <w:pPr>
        <w:bidi w:val="0"/>
        <w:rPr>
          <w:rFonts w:hint="eastAsia"/>
          <w:lang w:val="en-US" w:eastAsia="zh-CN"/>
        </w:rPr>
      </w:pPr>
      <w:commentRangeStart w:id="2"/>
      <w:r>
        <w:rPr>
          <w:rFonts w:hint="eastAsia"/>
        </w:rPr>
        <w:t>验收期</w:t>
      </w:r>
      <w:r>
        <w:rPr>
          <w:rFonts w:hint="eastAsia"/>
          <w:lang w:val="en-US" w:eastAsia="zh-CN"/>
        </w:rPr>
        <w:t>为5月14日</w:t>
      </w:r>
      <w:commentRangeEnd w:id="2"/>
      <w:r>
        <w:commentReference w:id="2"/>
      </w:r>
    </w:p>
    <w:p w14:paraId="5CEC4477">
      <w:pPr>
        <w:bidi w:val="0"/>
        <w:rPr>
          <w:rFonts w:hint="default"/>
          <w:lang w:val="en-US" w:eastAsia="zh-CN"/>
        </w:rPr>
      </w:pPr>
    </w:p>
    <w:p w14:paraId="684BC3D2">
      <w:pPr>
        <w:pStyle w:val="2"/>
        <w:bidi w:val="0"/>
        <w:rPr>
          <w:rFonts w:hint="eastAsia"/>
          <w:lang w:val="en-US" w:eastAsia="zh-CN"/>
        </w:rPr>
      </w:pPr>
      <w:r>
        <w:rPr>
          <w:rFonts w:hint="eastAsia"/>
          <w:lang w:val="en-US" w:eastAsia="zh-CN"/>
        </w:rPr>
        <w:t>4.</w:t>
      </w:r>
    </w:p>
    <w:p w14:paraId="27DFE341">
      <w:pPr>
        <w:bidi w:val="0"/>
        <w:rPr>
          <w:rFonts w:hint="eastAsia"/>
          <w:lang w:val="en-US" w:eastAsia="zh-CN"/>
        </w:rPr>
      </w:pPr>
      <w:r>
        <w:rPr>
          <w:rFonts w:hint="eastAsia"/>
          <w:lang w:val="en-US" w:eastAsia="zh-CN"/>
        </w:rPr>
        <w:t>检查知识产权条款的约定是否合理，明确乙方的背景知识产权。</w:t>
      </w:r>
    </w:p>
    <w:p w14:paraId="7EDA0FB6">
      <w:pPr>
        <w:bidi w:val="0"/>
        <w:rPr>
          <w:rFonts w:hint="eastAsia"/>
          <w:lang w:val="en-US" w:eastAsia="zh-CN"/>
        </w:rPr>
      </w:pPr>
    </w:p>
    <w:p w14:paraId="57DCE612">
      <w:pPr>
        <w:pStyle w:val="2"/>
        <w:bidi w:val="0"/>
        <w:rPr>
          <w:rFonts w:hint="eastAsia"/>
          <w:lang w:val="en-US" w:eastAsia="zh-CN"/>
        </w:rPr>
      </w:pPr>
      <w:r>
        <w:rPr>
          <w:rFonts w:hint="eastAsia"/>
          <w:lang w:val="en-US" w:eastAsia="zh-CN"/>
        </w:rPr>
        <w:t>5.</w:t>
      </w:r>
    </w:p>
    <w:p w14:paraId="352BB807">
      <w:pPr>
        <w:bidi w:val="0"/>
      </w:pPr>
      <w:r>
        <w:rPr>
          <w:rFonts w:hint="eastAsia"/>
        </w:rPr>
        <w:t>除非本合同另有规定，或者甲方</w:t>
      </w:r>
      <w:bookmarkStart w:id="0" w:name="OLE_LINK1"/>
      <w:bookmarkStart w:id="1" w:name="OLE_LINK2"/>
      <w:r>
        <w:rPr>
          <w:rFonts w:hint="eastAsia"/>
        </w:rPr>
        <w:t>授权</w:t>
      </w:r>
      <w:bookmarkEnd w:id="0"/>
      <w:bookmarkEnd w:id="1"/>
      <w:r>
        <w:rPr>
          <w:rFonts w:hint="eastAsia"/>
        </w:rPr>
        <w:t>代表另行授权，所有甲方向乙方发出的与本合同有关的指令、指示、确认、签署、通知、变化、变更等（以下简称“通知和指示”）须由甲方授权代表以书面形式发出方可视为甲方做出的该等行为和行动，对甲方具有本合同规定的约束力或者效力。</w:t>
      </w:r>
    </w:p>
    <w:p w14:paraId="7E51A9E3">
      <w:pPr>
        <w:bidi w:val="0"/>
        <w:rPr>
          <w:rFonts w:hint="default"/>
          <w:lang w:val="en-US" w:eastAsia="zh-CN"/>
        </w:rPr>
      </w:pPr>
    </w:p>
    <w:p w14:paraId="08059C38">
      <w:pPr>
        <w:pStyle w:val="2"/>
        <w:bidi w:val="0"/>
        <w:rPr>
          <w:rFonts w:hint="eastAsia"/>
          <w:lang w:val="en-US" w:eastAsia="zh-CN"/>
        </w:rPr>
      </w:pPr>
      <w:r>
        <w:rPr>
          <w:rFonts w:hint="eastAsia"/>
          <w:lang w:val="en-US" w:eastAsia="zh-CN"/>
        </w:rPr>
        <w:t>6.</w:t>
      </w:r>
    </w:p>
    <w:p w14:paraId="145E3A23">
      <w:pPr>
        <w:bidi w:val="0"/>
      </w:pPr>
      <w:commentRangeStart w:id="3"/>
      <w:r>
        <w:rPr>
          <w:rFonts w:hint="eastAsia"/>
        </w:rPr>
        <w:t>乙方确认，其须按照本合同及附件的规定提供合同服务，在本合同生效前，乙方不得根据甲方授权代表以外的任何第三人的要求擅自开始合同服务。若因此导致提供的合同服务不符合本合同及附件的规定，则应视乙方提供的合同服务及提交的服务成果不符合本合同及附件的要求，乙方应根据本合同下述4.2款的规定进行补救并承担本合同规定的其他责任。</w:t>
      </w:r>
      <w:commentRangeEnd w:id="3"/>
      <w:r>
        <w:commentReference w:id="3"/>
      </w:r>
    </w:p>
    <w:p w14:paraId="6A7A1E7A">
      <w:pPr>
        <w:rPr>
          <w:rFonts w:hint="default"/>
          <w:lang w:val="en-US" w:eastAsia="zh-CN"/>
        </w:rPr>
      </w:pPr>
    </w:p>
    <w:p w14:paraId="6DBC78A5">
      <w:pPr>
        <w:pStyle w:val="2"/>
        <w:bidi w:val="0"/>
        <w:rPr>
          <w:rFonts w:hint="eastAsia"/>
          <w:lang w:val="en-US" w:eastAsia="zh-CN"/>
        </w:rPr>
      </w:pPr>
      <w:r>
        <w:rPr>
          <w:rFonts w:hint="eastAsia"/>
          <w:lang w:val="en-US" w:eastAsia="zh-CN"/>
        </w:rPr>
        <w:t>7.</w:t>
      </w:r>
    </w:p>
    <w:p w14:paraId="4E42BF9F">
      <w:pPr>
        <w:bidi w:val="0"/>
        <w:rPr>
          <w:rFonts w:hint="eastAsia"/>
          <w:lang w:val="en-US" w:eastAsia="zh-CN"/>
        </w:rPr>
      </w:pPr>
      <w:commentRangeStart w:id="4"/>
      <w:r>
        <w:rPr>
          <w:rFonts w:hint="eastAsia"/>
          <w:lang w:val="en-US" w:eastAsia="zh-CN"/>
        </w:rPr>
        <w:t>检查知识产权条款的约定是否合理，明确甲方的背景知识产权。</w:t>
      </w:r>
      <w:commentRangeEnd w:id="4"/>
      <w:r>
        <w:commentReference w:id="4"/>
      </w:r>
    </w:p>
    <w:p w14:paraId="51394D98">
      <w:pPr>
        <w:rPr>
          <w:rFonts w:hint="default"/>
          <w:lang w:val="en-US" w:eastAsia="zh-CN"/>
        </w:rPr>
      </w:pPr>
    </w:p>
    <w:p w14:paraId="52BAF315">
      <w:pPr>
        <w:pStyle w:val="2"/>
        <w:keepNext/>
        <w:keepLines/>
        <w:widowControl w:val="0"/>
        <w:numPr>
          <w:ilvl w:val="0"/>
          <w:numId w:val="1"/>
        </w:numPr>
        <w:adjustRightInd w:val="0"/>
        <w:snapToGrid w:val="0"/>
        <w:spacing w:after="120" w:afterLines="50"/>
        <w:jc w:val="center"/>
        <w:rPr>
          <w:b/>
          <w:bCs/>
          <w:sz w:val="22"/>
          <w:szCs w:val="22"/>
        </w:rPr>
      </w:pPr>
      <w:bookmarkStart w:id="2" w:name="_Toc83812038"/>
      <w:r>
        <w:rPr>
          <w:rFonts w:hint="eastAsia"/>
          <w:sz w:val="22"/>
          <w:szCs w:val="22"/>
        </w:rPr>
        <w:t>反贿赂</w:t>
      </w:r>
    </w:p>
    <w:p w14:paraId="3F07ED64">
      <w:pPr>
        <w:pStyle w:val="31"/>
        <w:numPr>
          <w:ilvl w:val="0"/>
          <w:numId w:val="0"/>
        </w:numPr>
        <w:adjustRightInd w:val="0"/>
        <w:snapToGrid w:val="0"/>
        <w:spacing w:after="120" w:afterLines="50" w:line="240" w:lineRule="auto"/>
        <w:ind w:leftChars="0"/>
        <w:contextualSpacing w:val="0"/>
        <w:jc w:val="both"/>
      </w:pPr>
      <w:commentRangeStart w:id="5"/>
      <w:r>
        <w:rPr>
          <w:rFonts w:hint="eastAsia"/>
        </w:rPr>
        <w:t>乙方的陈述和保证：</w:t>
      </w:r>
      <w:commentRangeEnd w:id="5"/>
      <w:r>
        <w:commentReference w:id="5"/>
      </w:r>
    </w:p>
    <w:p w14:paraId="35DA616F">
      <w:pPr>
        <w:numPr>
          <w:ilvl w:val="0"/>
          <w:numId w:val="0"/>
        </w:numPr>
        <w:overflowPunct/>
        <w:autoSpaceDE/>
        <w:autoSpaceDN/>
        <w:snapToGrid w:val="0"/>
        <w:spacing w:after="120" w:afterLines="50"/>
        <w:ind w:leftChars="149"/>
        <w:jc w:val="both"/>
        <w:textAlignment w:val="auto"/>
        <w:rPr>
          <w:sz w:val="22"/>
          <w:szCs w:val="22"/>
        </w:rPr>
      </w:pPr>
      <w:r>
        <w:rPr>
          <w:rFonts w:hint="eastAsia"/>
          <w:sz w:val="22"/>
          <w:szCs w:val="22"/>
        </w:rPr>
        <w:t>按照本地法律、法规、政策和行政规定，乙方获得了许可，经过注册，或是具有资格从事业务，并且根据相关法律要求，为在规定时间内提供商品或完成服</w:t>
      </w:r>
      <w:bookmarkStart w:id="3" w:name="_GoBack"/>
      <w:bookmarkEnd w:id="3"/>
      <w:r>
        <w:rPr>
          <w:rFonts w:hint="eastAsia"/>
          <w:sz w:val="22"/>
          <w:szCs w:val="22"/>
        </w:rPr>
        <w:t>务，已经获得必需的或者法定的许可或注册。</w:t>
      </w:r>
    </w:p>
    <w:p w14:paraId="3E401797">
      <w:pPr>
        <w:numPr>
          <w:ilvl w:val="0"/>
          <w:numId w:val="0"/>
        </w:numPr>
        <w:overflowPunct/>
        <w:autoSpaceDE/>
        <w:autoSpaceDN/>
        <w:snapToGrid w:val="0"/>
        <w:spacing w:after="120" w:afterLines="50"/>
        <w:ind w:leftChars="149"/>
        <w:jc w:val="both"/>
        <w:textAlignment w:val="auto"/>
        <w:rPr>
          <w:sz w:val="22"/>
          <w:szCs w:val="22"/>
        </w:rPr>
      </w:pPr>
      <w:r>
        <w:rPr>
          <w:rFonts w:hint="eastAsia"/>
          <w:sz w:val="22"/>
          <w:szCs w:val="22"/>
        </w:rPr>
        <w:t>乙方没有也将不会直接或间接向甲方有关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p>
    <w:p w14:paraId="533BFA8C">
      <w:pPr>
        <w:numPr>
          <w:ilvl w:val="0"/>
          <w:numId w:val="0"/>
        </w:numPr>
        <w:overflowPunct/>
        <w:autoSpaceDE/>
        <w:autoSpaceDN/>
        <w:snapToGrid w:val="0"/>
        <w:spacing w:after="120" w:afterLines="50"/>
        <w:ind w:leftChars="149"/>
        <w:jc w:val="both"/>
        <w:textAlignment w:val="auto"/>
        <w:rPr>
          <w:sz w:val="22"/>
          <w:szCs w:val="22"/>
        </w:rPr>
      </w:pPr>
      <w:r>
        <w:rPr>
          <w:rFonts w:hint="eastAsia"/>
          <w:sz w:val="22"/>
          <w:szCs w:val="22"/>
        </w:rPr>
        <w:t>当根据甲方内部制度或流程对乙方合同执行尽职调查时，甲方在合同签约前进行尽职调查期间，所有乙方提供的信息，包括乙方在尽职调查问卷中提供的所有信息，是完整的，真实的和准确的；并且</w:t>
      </w:r>
    </w:p>
    <w:p w14:paraId="28312396">
      <w:pPr>
        <w:numPr>
          <w:ilvl w:val="0"/>
          <w:numId w:val="0"/>
        </w:numPr>
        <w:overflowPunct/>
        <w:autoSpaceDE/>
        <w:autoSpaceDN/>
        <w:snapToGrid w:val="0"/>
        <w:spacing w:after="120" w:afterLines="50"/>
        <w:ind w:leftChars="151"/>
        <w:jc w:val="both"/>
        <w:textAlignment w:val="auto"/>
        <w:rPr>
          <w:sz w:val="22"/>
          <w:szCs w:val="22"/>
        </w:rPr>
      </w:pPr>
      <w:r>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p>
    <w:p w14:paraId="00C5B216">
      <w:pPr>
        <w:pStyle w:val="31"/>
        <w:numPr>
          <w:ilvl w:val="0"/>
          <w:numId w:val="0"/>
        </w:numPr>
        <w:adjustRightInd w:val="0"/>
        <w:snapToGrid w:val="0"/>
        <w:spacing w:after="120" w:afterLines="50" w:line="240" w:lineRule="auto"/>
        <w:ind w:leftChars="0"/>
        <w:contextualSpacing w:val="0"/>
        <w:jc w:val="both"/>
      </w:pPr>
      <w:r>
        <w:rPr>
          <w:rFonts w:hint="eastAsia"/>
        </w:rPr>
        <w:t>乙方同意采取合理措施来确保恰当的提供合同下的服务，包括</w:t>
      </w:r>
      <w:r>
        <w:t>:</w:t>
      </w:r>
    </w:p>
    <w:p w14:paraId="63295A16">
      <w:pPr>
        <w:numPr>
          <w:ilvl w:val="0"/>
          <w:numId w:val="0"/>
        </w:numPr>
        <w:overflowPunct/>
        <w:autoSpaceDE/>
        <w:autoSpaceDN/>
        <w:snapToGrid w:val="0"/>
        <w:spacing w:after="120" w:afterLines="50"/>
        <w:ind w:leftChars="151"/>
        <w:jc w:val="both"/>
        <w:textAlignment w:val="auto"/>
        <w:rPr>
          <w:sz w:val="22"/>
          <w:szCs w:val="22"/>
        </w:rPr>
      </w:pPr>
      <w:r>
        <w:rPr>
          <w:rFonts w:hint="eastAsia"/>
          <w:sz w:val="22"/>
          <w:szCs w:val="22"/>
        </w:rPr>
        <w:t>按期提供发票，详细陈述完成的工作；</w:t>
      </w:r>
    </w:p>
    <w:p w14:paraId="66898EB9">
      <w:pPr>
        <w:numPr>
          <w:ilvl w:val="0"/>
          <w:numId w:val="0"/>
        </w:numPr>
        <w:overflowPunct/>
        <w:autoSpaceDE/>
        <w:autoSpaceDN/>
        <w:snapToGrid w:val="0"/>
        <w:spacing w:after="120" w:afterLines="50"/>
        <w:ind w:leftChars="151"/>
        <w:jc w:val="both"/>
        <w:textAlignment w:val="auto"/>
        <w:rPr>
          <w:sz w:val="22"/>
          <w:szCs w:val="22"/>
        </w:rPr>
      </w:pPr>
      <w:r>
        <w:rPr>
          <w:rFonts w:hint="eastAsia"/>
          <w:sz w:val="22"/>
          <w:szCs w:val="22"/>
        </w:rPr>
        <w:t>提供用于报销所需的全部费用文件，并且在出现异常支出之前提前向甲方提供书面通知。在任何异常支出发生前，应取得甲方的书面批准；</w:t>
      </w:r>
    </w:p>
    <w:bookmarkEnd w:id="2"/>
    <w:p w14:paraId="65499E65">
      <w:pPr>
        <w:rPr>
          <w:rFonts w:hint="default"/>
          <w:lang w:val="en-US" w:eastAsia="zh-CN"/>
        </w:rPr>
      </w:pPr>
    </w:p>
    <w:sectPr>
      <w:headerReference r:id="rId4" w:type="first"/>
      <w:footerReference r:id="rId6" w:type="first"/>
      <w:headerReference r:id="rId3" w:type="default"/>
      <w:footerReference r:id="rId5" w:type="default"/>
      <w:pgSz w:w="11909" w:h="16834"/>
      <w:pgMar w:top="1440" w:right="1800" w:bottom="1440" w:left="1411" w:header="720" w:footer="720" w:gutter="0"/>
      <w:cols w:space="720" w:num="1"/>
      <w:titlePg/>
    </w:sectPr>
    <w:p>
      <w:commentRangeStart w:id="6"/>
      <w:r>
        <w:t>【未匹配成功批注】</w:t>
      </w:r>
      <w:commentRangeEnd w:id="6"/>
      <w:r>
        <w:commentReference w:id="6"/>
      </w:r>
    </w:p>
  </w:body>
</w:document>
</file>

<file path=word/comments.xml><?xml version="1.0" encoding="utf-8"?>
<w:comments xmlns:w="http://schemas.openxmlformats.org/wordprocessingml/2006/main" xmlns:mc="http://schemas.openxmlformats.org/markup-compatibility/2006" mc:Ignorable="w14 w15 wp14">
  <w:comment w:id="0" w:author="批注系统" w:date="2025-06-25T11:42:24Z">
    <w:p>
      <w:r>
        <w:t>【全局】站在本合同乙方的立场上审查合同的商业及法律风险。</w:t>
      </w:r>
    </w:p>
    <w:p>
      <w:r>
        <w:t>匹配原因：该批注建议站在乙方立场审查合同的商业及法律风险，与段落内容中提到的合同条款的效力和适用性、附件的作用等法律和商业风险相关的内容高度相关。</w:t>
      </w:r>
    </w:p>
    <w:p>
      <w:r>
        <w:t>上下文分析：上下文信息为空，无法进行更深入的上下文分析。</w:t>
      </w:r>
    </w:p>
    <w:p>
      <w:r>
        <w:t>错误类型：</w:t>
      </w:r>
    </w:p>
    <w:p>
      <w:r>
        <w:t>批注类型：全局性批注</w:t>
      </w:r>
    </w:p>
  </w:comment>
  <w:comment w:id="1" w:author="批注系统" w:date="2025-06-25T11:42:33Z">
    <w:p>
      <w:r>
        <w:t>验收期应约定为14日，该期限不接受任何形式的更改。</w:t>
      </w:r>
    </w:p>
    <w:p>
      <w:r>
        <w:t>匹配原因：批注10明确指出验收期应约定为14日，且不接受任何形式的更改，与当前段落中的&amp;apos;验收期为5月12日&amp;apos;形成直接对比，表明存在明显的日期错误。</w:t>
      </w:r>
    </w:p>
    <w:p>
      <w:r>
        <w:t>上下文分析：同一标题下的上下文信息为空，无法提供额外的上下文分析。</w:t>
      </w:r>
    </w:p>
    <w:p>
      <w:r>
        <w:t>错误类型：日期错误</w:t>
      </w:r>
    </w:p>
    <w:p>
      <w:r>
        <w:t>批注类型：具体错误批注</w:t>
      </w:r>
    </w:p>
  </w:comment>
  <w:comment w:id="2" w:author="批注系统" w:date="2025-06-25T11:42:41Z">
    <w:p>
      <w:r>
        <w:t>验收期应约定为14日，该期限不接受任何形式的更改。</w:t>
      </w:r>
    </w:p>
    <w:p>
      <w:r>
        <w:t>匹配原因：批注10明确指出验收期应约定为14日，且不接受任何形式的更改，与段落中的&amp;apos;验收期为5月14日&amp;apos;直接相关，表明存在明显的日期错误。</w:t>
      </w:r>
    </w:p>
    <w:p>
      <w:r>
        <w:t>上下文分析：同一标题下的上下文信息为空，无法提供额外的上下文分析。</w:t>
      </w:r>
    </w:p>
    <w:p>
      <w:r>
        <w:t>错误类型：日期错误</w:t>
      </w:r>
    </w:p>
    <w:p>
      <w:r>
        <w:t>批注类型：具体错误批注</w:t>
      </w:r>
    </w:p>
  </w:comment>
  <w:comment w:id="3" w:author="批注系统" w:date="2025-06-25T11:43:11Z">
    <w:p>
      <w:r>
        <w:t>【全局】站在本合同乙方的立场上审查合同的商业及法律风险。</w:t>
      </w:r>
    </w:p>
    <w:p>
      <w:r>
        <w:t>匹配原因：该批注直接关联到乙方在合同中的立场和风险，与段落内容高度相关，段落讨论了乙方的责任和义务，批注1提供了审查这些条款的建议。</w:t>
      </w:r>
    </w:p>
    <w:p>
      <w:r>
        <w:t>上下文分析：上下文信息为空，无法进行更深入的分析。</w:t>
      </w:r>
    </w:p>
    <w:p>
      <w:r>
        <w:t>错误类型：</w:t>
      </w:r>
    </w:p>
    <w:p>
      <w:r>
        <w:t>批注类型：全局性批注</w:t>
      </w:r>
    </w:p>
  </w:comment>
  <w:comment w:id="4" w:author="批注系统" w:date="2025-06-25T11:43:18Z">
    <w:p>
      <w:r>
        <w:t>检查知识产权条款的约定是否合理，明确乙方的背景知识产权。</w:t>
      </w:r>
    </w:p>
    <w:p>
      <w:r>
        <w:t>匹配原因：批注8直接针对段落中提到的知识产权条款，明确指出了应明确乙方的背景知识产权，与段落内容高度相关且精确对应。</w:t>
      </w:r>
    </w:p>
    <w:p>
      <w:r>
        <w:t>上下文分析：同一标题下的上下文信息为空，无法提供额外的上下文分析。</w:t>
      </w:r>
    </w:p>
    <w:p>
      <w:r>
        <w:t>错误类型：名称错误</w:t>
      </w:r>
    </w:p>
    <w:p>
      <w:r>
        <w:t>批注类型：具体错误批注</w:t>
      </w:r>
    </w:p>
  </w:comment>
  <w:comment w:id="5" w:author="批注系统" w:date="2025-06-25T11:43:37Z">
    <w:p>
      <w:r>
        <w:t>【全局】站在本合同乙方的立场上审查合同的商业及法律风险。</w:t>
      </w:r>
    </w:p>
    <w:p>
      <w:r>
        <w:t>匹配原因：批注1与当前段落&amp;apos;乙方的陈述和保证：&amp;apos;在语义上高度相关，因为它直接提到了站在乙方立场上审查合同的商业及法律风险，这与段落的主题紧密相关。</w:t>
      </w:r>
    </w:p>
    <w:p>
      <w:r>
        <w:t>上下文分析：上下文信息提供了关于乙方在合同中的具体义务和保证，这与批注1中提到的审查乙方立场的内容相呼应。</w:t>
      </w:r>
    </w:p>
    <w:p>
      <w:r>
        <w:t>错误类型：</w:t>
      </w:r>
    </w:p>
    <w:p>
      <w:r>
        <w:t>批注类型：全局性批注</w:t>
      </w:r>
    </w:p>
  </w:comment>
  <w:comment w:id="6" w:author="批注系统" w:date="2025-06-25T11:44:43Z">
    <w:p>
      <w:r>
        <w:t>【未匹配成功】应帮助用户查找所有待填写的信息，并建议用户补充，如3.4条。</w:t>
      </w:r>
    </w:p>
    <w:p>
      <w:r>
        <w:t>原始序号：2</w:t>
      </w:r>
    </w:p>
    <w:p>
      <w:r>
        <w:t>状态：未找到匹配的文档内容，作为独立批注添加</w:t>
      </w:r>
    </w:p>
    <w:p>
      <w:r>
        <w:t>【未匹配成功】对于本合同的事实条款、及乙方有可能会违约的细节条款，提醒用户添加恰当的批注，请项目负责人确认相关细节。</w:t>
      </w:r>
    </w:p>
    <w:p>
      <w:r>
        <w:t>原始序号：3</w:t>
      </w:r>
    </w:p>
    <w:p>
      <w:r>
        <w:t>状态：未找到匹配的文档内容，作为独立批注添加</w:t>
      </w:r>
    </w:p>
    <w:p>
      <w:r>
        <w:t>【未匹配成功】项目如可能变更的，应建议用户明确变更需通过书面形式进行，且乙方有权审查是否接受甲方要求的变更，且产生额外费用的，乙方有权要求甲方支付。</w:t>
      </w:r>
    </w:p>
    <w:p>
      <w:r>
        <w:t>原始序号：4</w:t>
      </w:r>
    </w:p>
    <w:p>
      <w:r>
        <w:t>状态：未找到匹配的文档内容，作为独立批注添加</w:t>
      </w:r>
    </w:p>
    <w:p>
      <w:r>
        <w:t>【未匹配成功】找出所有对乙方权利的不合理限制及对乙方义务的不合理要求，并建议予以修改，如第2.5条中的约定，要求乙方承担甲方资料信息有错误的后果，明显不合理地加重了乙方的义务，应建议用户修改。</w:t>
      </w:r>
    </w:p>
    <w:p>
      <w:r>
        <w:t>原始序号：5</w:t>
      </w:r>
    </w:p>
    <w:p>
      <w:r>
        <w:t>状态：未找到匹配的文档内容，作为独立批注添加</w:t>
      </w:r>
    </w:p>
    <w:p>
      <w:r>
        <w:t>【未匹配成功】如约定了价格，应检查价格条款，有没有计算有误或金额大小写不一致等情形，如有，应提醒用户修改。</w:t>
      </w:r>
    </w:p>
    <w:p>
      <w:r>
        <w:t>原始序号：6</w:t>
      </w:r>
    </w:p>
    <w:p>
      <w:r>
        <w:t>状态：未找到匹配的文档内容，作为独立批注添加</w:t>
      </w:r>
    </w:p>
    <w:p>
      <w:r>
        <w:t>【未匹配成功】检查付款条款，如现有付款条款对比公司的标准模板（一次总付：签合同后2周内付款；分期付款：50%-40%-10%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原始序号：7</w:t>
      </w:r>
    </w:p>
    <w:p>
      <w:r>
        <w:t>状态：未找到匹配的文档内容，作为独立批注添加</w:t>
      </w:r>
    </w:p>
    <w:p>
      <w:r>
        <w:t>【未匹配成功】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原始序号：9</w:t>
      </w:r>
    </w:p>
    <w:p>
      <w:r>
        <w:t>状态：未找到匹配的文档内容，作为独立批注添加</w:t>
      </w:r>
    </w:p>
    <w:p>
      <w:r>
        <w:t>【未匹配成功】不接受保证期的相关约定。</w:t>
      </w:r>
    </w:p>
    <w:p>
      <w:r>
        <w:t>原始序号：11</w:t>
      </w:r>
    </w:p>
    <w:p>
      <w:r>
        <w:t>状态：未找到匹配的文档内容，作为独立批注添加</w:t>
      </w:r>
    </w:p>
    <w:p>
      <w:r>
        <w:t>【未匹配成功】对于某些应约束双方的情形，应建议用户修改为双方条款，如5.3条。</w:t>
      </w:r>
    </w:p>
    <w:p>
      <w:r>
        <w:t>原始序号：12</w:t>
      </w:r>
    </w:p>
    <w:p>
      <w:r>
        <w:t>状态：未找到匹配的文档内容，作为独立批注添加</w:t>
      </w:r>
    </w:p>
    <w:p>
      <w:r>
        <w:t>【未匹配成功】建议用户添加针对甲方违反知识产权承诺情形的条款。</w:t>
      </w:r>
    </w:p>
    <w:p>
      <w:r>
        <w:t>原始序号：13</w:t>
      </w:r>
    </w:p>
    <w:p>
      <w:r>
        <w:t>状态：未找到匹配的文档内容，作为独立批注添加</w:t>
      </w:r>
    </w:p>
    <w:p>
      <w:r>
        <w:t>【未匹配成功】对于甲方任意终止合同的情形，应建议用户确保乙方至少可以收回实际发生的费用及不可撤销的费用。</w:t>
      </w:r>
    </w:p>
    <w:p>
      <w:r>
        <w:t>原始序号：14</w:t>
      </w:r>
    </w:p>
    <w:p>
      <w:r>
        <w:t>状态：未找到匹配的文档内容，作为独立批注添加</w:t>
      </w:r>
    </w:p>
    <w:p>
      <w:r>
        <w:t>【未匹配成功】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原始序号：15</w:t>
      </w:r>
    </w:p>
    <w:p>
      <w:r>
        <w:t>状态：未找到匹配的文档内容，作为独立批注添加</w:t>
      </w:r>
    </w:p>
    <w:p>
      <w:r>
        <w:t>【未匹配成功】在保密条款中，建议用户明确双方均有保密义务，并添加服务方法、报价作为乙方的保密信息，且应补充保密义务的例外情形。</w:t>
      </w:r>
    </w:p>
    <w:p>
      <w:r>
        <w:t>原始序号：16</w:t>
      </w:r>
    </w:p>
    <w:p>
      <w:r>
        <w:t>状态：未找到匹配的文档内容，作为独立批注添加</w:t>
      </w:r>
    </w:p>
    <w:p>
      <w:r>
        <w:t>【未匹配成功】甲方要求审计的，应建议用户明确审计费用由甲方自担，且于乙方正常经营时间内进行，且审计人员应对保密信息承担保密义务。</w:t>
      </w:r>
    </w:p>
    <w:p>
      <w:r>
        <w:t>原始序号：17</w:t>
      </w:r>
    </w:p>
    <w:p>
      <w:r>
        <w:t>状态：未找到匹配的文档内容，作为独立批注添加</w:t>
      </w:r>
    </w:p>
    <w:p>
      <w:r>
        <w:t>【未匹配成功】争议解决条款，在遵守法律规定的前提下，站在乙方的立场上，应使乙方有权在其所在地提起诉讼或仲裁。</w:t>
      </w:r>
    </w:p>
    <w:p>
      <w:r>
        <w:t>原始序号：18</w:t>
      </w:r>
    </w:p>
    <w:p>
      <w:r>
        <w:t>状态：未找到匹配的文档内容，作为独立批注添加</w:t>
      </w:r>
    </w:p>
    <w:p>
      <w:r>
        <w:t>【未匹配成功】检查全文序号问题，有没有一些条款需要删除，但在合同其它处仍有引用的情况。</w:t>
      </w:r>
    </w:p>
    <w:p>
      <w:r>
        <w:t>原始序号：19</w:t>
      </w:r>
    </w:p>
    <w:p>
      <w:r>
        <w:t>状态：未找到匹配的文档内容，作为独立批注添加</w:t>
      </w:r>
    </w:p>
  </w:comment>
</w:comments>
</file>

<file path=word/comments.xml><?xml version="1.0" encoding="utf-8"?>
<w:comments xmlns:w="http://schemas.openxmlformats.org/wordprocessingml/2006/main" xmlns:mc="http://schemas.openxmlformats.org/markup-compatibility/2006" mc:Ignorable="w14 w15 wp14">
  <w:comment w:id="0" w:author="批注系统" w:date="2025-06-25T11:42:24Z">
    <w:p>
      <w:r>
        <w:t>【全局】站在本合同乙方的立场上审查合同的商业及法律风险。</w:t>
      </w:r>
    </w:p>
    <w:p>
      <w:r>
        <w:t>匹配原因：该批注建议站在乙方立场审查合同的商业及法律风险，与段落内容中提到的合同条款的效力和适用性、附件的作用等法律和商业风险相关的内容高度相关。</w:t>
      </w:r>
    </w:p>
    <w:p>
      <w:r>
        <w:t>上下文分析：上下文信息为空，无法进行更深入的上下文分析。</w:t>
      </w:r>
    </w:p>
    <w:p>
      <w:r>
        <w:t>错误类型：</w:t>
      </w:r>
    </w:p>
    <w:p>
      <w:r>
        <w:t>批注类型：全局性批注</w:t>
      </w:r>
    </w:p>
  </w:comment>
  <w:comment w:id="1" w:author="批注系统" w:date="2025-06-25T11:42:33Z">
    <w:p>
      <w:r>
        <w:t>验收期应约定为14日，该期限不接受任何形式的更改。</w:t>
      </w:r>
    </w:p>
    <w:p>
      <w:r>
        <w:t>匹配原因：批注10明确指出验收期应约定为14日，且不接受任何形式的更改，与当前段落中的&amp;apos;验收期为5月12日&amp;apos;形成直接对比，表明存在明显的日期错误。</w:t>
      </w:r>
    </w:p>
    <w:p>
      <w:r>
        <w:t>上下文分析：同一标题下的上下文信息为空，无法提供额外的上下文分析。</w:t>
      </w:r>
    </w:p>
    <w:p>
      <w:r>
        <w:t>错误类型：日期错误</w:t>
      </w:r>
    </w:p>
    <w:p>
      <w:r>
        <w:t>批注类型：具体错误批注</w:t>
      </w:r>
    </w:p>
  </w:comment>
  <w:comment w:id="2" w:author="批注系统" w:date="2025-06-25T11:42:41Z">
    <w:p>
      <w:r>
        <w:t>验收期应约定为14日，该期限不接受任何形式的更改。</w:t>
      </w:r>
    </w:p>
    <w:p>
      <w:r>
        <w:t>匹配原因：批注10明确指出验收期应约定为14日，且不接受任何形式的更改，与段落中的&amp;apos;验收期为5月14日&amp;apos;直接相关，表明存在明显的日期错误。</w:t>
      </w:r>
    </w:p>
    <w:p>
      <w:r>
        <w:t>上下文分析：同一标题下的上下文信息为空，无法提供额外的上下文分析。</w:t>
      </w:r>
    </w:p>
    <w:p>
      <w:r>
        <w:t>错误类型：日期错误</w:t>
      </w:r>
    </w:p>
    <w:p>
      <w:r>
        <w:t>批注类型：具体错误批注</w:t>
      </w:r>
    </w:p>
  </w:comment>
  <w:comment w:id="3" w:author="批注系统" w:date="2025-06-25T11:43:11Z">
    <w:p>
      <w:r>
        <w:t>【全局】站在本合同乙方的立场上审查合同的商业及法律风险。</w:t>
      </w:r>
    </w:p>
    <w:p>
      <w:r>
        <w:t>匹配原因：该批注直接关联到乙方在合同中的立场和风险，与段落内容高度相关，段落讨论了乙方的责任和义务，批注1提供了审查这些条款的建议。</w:t>
      </w:r>
    </w:p>
    <w:p>
      <w:r>
        <w:t>上下文分析：上下文信息为空，无法进行更深入的分析。</w:t>
      </w:r>
    </w:p>
    <w:p>
      <w:r>
        <w:t>错误类型：</w:t>
      </w:r>
    </w:p>
    <w:p>
      <w:r>
        <w:t>批注类型：全局性批注</w:t>
      </w:r>
    </w:p>
  </w:comment>
  <w:comment w:id="4" w:author="批注系统" w:date="2025-06-25T11:43:18Z">
    <w:p>
      <w:r>
        <w:t>检查知识产权条款的约定是否合理，明确乙方的背景知识产权。</w:t>
      </w:r>
    </w:p>
    <w:p>
      <w:r>
        <w:t>匹配原因：批注8直接针对段落中提到的知识产权条款，明确指出了应明确乙方的背景知识产权，与段落内容高度相关且精确对应。</w:t>
      </w:r>
    </w:p>
    <w:p>
      <w:r>
        <w:t>上下文分析：同一标题下的上下文信息为空，无法提供额外的上下文分析。</w:t>
      </w:r>
    </w:p>
    <w:p>
      <w:r>
        <w:t>错误类型：名称错误</w:t>
      </w:r>
    </w:p>
    <w:p>
      <w:r>
        <w:t>批注类型：具体错误批注</w:t>
      </w:r>
    </w:p>
  </w:comment>
  <w:comment w:id="5" w:author="批注系统" w:date="2025-06-25T11:43:37Z">
    <w:p>
      <w:r>
        <w:t>【全局】站在本合同乙方的立场上审查合同的商业及法律风险。</w:t>
      </w:r>
    </w:p>
    <w:p>
      <w:r>
        <w:t>匹配原因：批注1与当前段落&amp;apos;乙方的陈述和保证：&amp;apos;在语义上高度相关，因为它直接提到了站在乙方立场上审查合同的商业及法律风险，这与段落的主题紧密相关。</w:t>
      </w:r>
    </w:p>
    <w:p>
      <w:r>
        <w:t>上下文分析：上下文信息提供了关于乙方在合同中的具体义务和保证，这与批注1中提到的审查乙方立场的内容相呼应。</w:t>
      </w:r>
    </w:p>
    <w:p>
      <w:r>
        <w:t>错误类型：</w:t>
      </w:r>
    </w:p>
    <w:p>
      <w:r>
        <w:t>批注类型：全局性批注</w:t>
      </w:r>
    </w:p>
  </w:comment>
  <w:comment w:id="6" w:author="批注系统" w:date="2025-06-25T11:44:43Z">
    <w:p>
      <w:r>
        <w:t>【未匹配成功】应帮助用户查找所有待填写的信息，并建议用户补充，如3.4条。</w:t>
      </w:r>
    </w:p>
    <w:p>
      <w:r>
        <w:t>原始序号：2</w:t>
      </w:r>
    </w:p>
    <w:p>
      <w:r>
        <w:t>状态：未找到匹配的文档内容，作为独立批注添加</w:t>
      </w:r>
    </w:p>
    <w:p>
      <w:r>
        <w:t>【未匹配成功】对于本合同的事实条款、及乙方有可能会违约的细节条款，提醒用户添加恰当的批注，请项目负责人确认相关细节。</w:t>
      </w:r>
    </w:p>
    <w:p>
      <w:r>
        <w:t>原始序号：3</w:t>
      </w:r>
    </w:p>
    <w:p>
      <w:r>
        <w:t>状态：未找到匹配的文档内容，作为独立批注添加</w:t>
      </w:r>
    </w:p>
    <w:p>
      <w:r>
        <w:t>【未匹配成功】项目如可能变更的，应建议用户明确变更需通过书面形式进行，且乙方有权审查是否接受甲方要求的变更，且产生额外费用的，乙方有权要求甲方支付。</w:t>
      </w:r>
    </w:p>
    <w:p>
      <w:r>
        <w:t>原始序号：4</w:t>
      </w:r>
    </w:p>
    <w:p>
      <w:r>
        <w:t>状态：未找到匹配的文档内容，作为独立批注添加</w:t>
      </w:r>
    </w:p>
    <w:p>
      <w:r>
        <w:t>【未匹配成功】找出所有对乙方权利的不合理限制及对乙方义务的不合理要求，并建议予以修改，如第2.5条中的约定，要求乙方承担甲方资料信息有错误的后果，明显不合理地加重了乙方的义务，应建议用户修改。</w:t>
      </w:r>
    </w:p>
    <w:p>
      <w:r>
        <w:t>原始序号：5</w:t>
      </w:r>
    </w:p>
    <w:p>
      <w:r>
        <w:t>状态：未找到匹配的文档内容，作为独立批注添加</w:t>
      </w:r>
    </w:p>
    <w:p>
      <w:r>
        <w:t>【未匹配成功】如约定了价格，应检查价格条款，有没有计算有误或金额大小写不一致等情形，如有，应提醒用户修改。</w:t>
      </w:r>
    </w:p>
    <w:p>
      <w:r>
        <w:t>原始序号：6</w:t>
      </w:r>
    </w:p>
    <w:p>
      <w:r>
        <w:t>状态：未找到匹配的文档内容，作为独立批注添加</w:t>
      </w:r>
    </w:p>
    <w:p>
      <w:r>
        <w:t>【未匹配成功】检查付款条款，如现有付款条款对比公司的标准模板（一次总付：签合同后2周内付款；分期付款：50%-40%-10%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原始序号：7</w:t>
      </w:r>
    </w:p>
    <w:p>
      <w:r>
        <w:t>状态：未找到匹配的文档内容，作为独立批注添加</w:t>
      </w:r>
    </w:p>
    <w:p>
      <w:r>
        <w:t>【未匹配成功】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原始序号：9</w:t>
      </w:r>
    </w:p>
    <w:p>
      <w:r>
        <w:t>状态：未找到匹配的文档内容，作为独立批注添加</w:t>
      </w:r>
    </w:p>
    <w:p>
      <w:r>
        <w:t>【未匹配成功】不接受保证期的相关约定。</w:t>
      </w:r>
    </w:p>
    <w:p>
      <w:r>
        <w:t>原始序号：11</w:t>
      </w:r>
    </w:p>
    <w:p>
      <w:r>
        <w:t>状态：未找到匹配的文档内容，作为独立批注添加</w:t>
      </w:r>
    </w:p>
    <w:p>
      <w:r>
        <w:t>【未匹配成功】对于某些应约束双方的情形，应建议用户修改为双方条款，如5.3条。</w:t>
      </w:r>
    </w:p>
    <w:p>
      <w:r>
        <w:t>原始序号：12</w:t>
      </w:r>
    </w:p>
    <w:p>
      <w:r>
        <w:t>状态：未找到匹配的文档内容，作为独立批注添加</w:t>
      </w:r>
    </w:p>
    <w:p>
      <w:r>
        <w:t>【未匹配成功】建议用户添加针对甲方违反知识产权承诺情形的条款。</w:t>
      </w:r>
    </w:p>
    <w:p>
      <w:r>
        <w:t>原始序号：13</w:t>
      </w:r>
    </w:p>
    <w:p>
      <w:r>
        <w:t>状态：未找到匹配的文档内容，作为独立批注添加</w:t>
      </w:r>
    </w:p>
    <w:p>
      <w:r>
        <w:t>【未匹配成功】对于甲方任意终止合同的情形，应建议用户确保乙方至少可以收回实际发生的费用及不可撤销的费用。</w:t>
      </w:r>
    </w:p>
    <w:p>
      <w:r>
        <w:t>原始序号：14</w:t>
      </w:r>
    </w:p>
    <w:p>
      <w:r>
        <w:t>状态：未找到匹配的文档内容，作为独立批注添加</w:t>
      </w:r>
    </w:p>
    <w:p>
      <w:r>
        <w:t>【未匹配成功】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原始序号：15</w:t>
      </w:r>
    </w:p>
    <w:p>
      <w:r>
        <w:t>状态：未找到匹配的文档内容，作为独立批注添加</w:t>
      </w:r>
    </w:p>
    <w:p>
      <w:r>
        <w:t>【未匹配成功】在保密条款中，建议用户明确双方均有保密义务，并添加服务方法、报价作为乙方的保密信息，且应补充保密义务的例外情形。</w:t>
      </w:r>
    </w:p>
    <w:p>
      <w:r>
        <w:t>原始序号：16</w:t>
      </w:r>
    </w:p>
    <w:p>
      <w:r>
        <w:t>状态：未找到匹配的文档内容，作为独立批注添加</w:t>
      </w:r>
    </w:p>
    <w:p>
      <w:r>
        <w:t>【未匹配成功】甲方要求审计的，应建议用户明确审计费用由甲方自担，且于乙方正常经营时间内进行，且审计人员应对保密信息承担保密义务。</w:t>
      </w:r>
    </w:p>
    <w:p>
      <w:r>
        <w:t>原始序号：17</w:t>
      </w:r>
    </w:p>
    <w:p>
      <w:r>
        <w:t>状态：未找到匹配的文档内容，作为独立批注添加</w:t>
      </w:r>
    </w:p>
    <w:p>
      <w:r>
        <w:t>【未匹配成功】争议解决条款，在遵守法律规定的前提下，站在乙方的立场上，应使乙方有权在其所在地提起诉讼或仲裁。</w:t>
      </w:r>
    </w:p>
    <w:p>
      <w:r>
        <w:t>原始序号：18</w:t>
      </w:r>
    </w:p>
    <w:p>
      <w:r>
        <w:t>状态：未找到匹配的文档内容，作为独立批注添加</w:t>
      </w:r>
    </w:p>
    <w:p>
      <w:r>
        <w:t>【未匹配成功】检查全文序号问题，有没有一些条款需要删除，但在合同其它处仍有引用的情况。</w:t>
      </w:r>
    </w:p>
    <w:p>
      <w:r>
        <w:t>原始序号：19</w:t>
      </w:r>
    </w:p>
    <w:p>
      <w:r>
        <w:t>状态：未找到匹配的文档内容，作为独立批注添加</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7745644"/>
      <w:docPartObj>
        <w:docPartGallery w:val="autotext"/>
      </w:docPartObj>
    </w:sdtPr>
    <w:sdtContent>
      <w:p w14:paraId="212E6375">
        <w:pPr>
          <w:pStyle w:val="14"/>
          <w:jc w:val="center"/>
        </w:pPr>
        <w:r>
          <w:fldChar w:fldCharType="begin"/>
        </w:r>
        <w:r>
          <w:instrText xml:space="preserve">PAGE   \* MERGEFORMAT</w:instrText>
        </w:r>
        <w:r>
          <w:fldChar w:fldCharType="separate"/>
        </w:r>
        <w:r>
          <w:rPr>
            <w:lang w:val="zh-CN"/>
          </w:rPr>
          <w:t>9</w:t>
        </w:r>
        <w:r>
          <w:fldChar w:fldCharType="end"/>
        </w:r>
      </w:p>
    </w:sdtContent>
  </w:sdt>
  <w:p w14:paraId="04590D8E">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36DDF2">
    <w:pPr>
      <w:pStyle w:val="14"/>
      <w:ind w:firstLine="100" w:firstLineChars="50"/>
      <w:jc w:val="both"/>
    </w:pP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A0D0EB">
    <w:pPr>
      <w:jc w:val="center"/>
      <w:rPr>
        <w:rFonts w:ascii="黑体" w:eastAsia="黑体"/>
        <w:b/>
        <w:sz w:val="48"/>
      </w:rPr>
    </w:pPr>
  </w:p>
  <w:tbl>
    <w:tblPr>
      <w:tblStyle w:val="18"/>
      <w:tblW w:w="10156" w:type="dxa"/>
      <w:tblInd w:w="0" w:type="dxa"/>
      <w:tblLayout w:type="fixed"/>
      <w:tblCellMar>
        <w:top w:w="0" w:type="dxa"/>
        <w:left w:w="71" w:type="dxa"/>
        <w:bottom w:w="0" w:type="dxa"/>
        <w:right w:w="71" w:type="dxa"/>
      </w:tblCellMar>
    </w:tblPr>
    <w:tblGrid>
      <w:gridCol w:w="1934"/>
      <w:gridCol w:w="5591"/>
      <w:gridCol w:w="1390"/>
      <w:gridCol w:w="1241"/>
    </w:tblGrid>
    <w:tr w14:paraId="41385C35">
      <w:tblPrEx>
        <w:tblCellMar>
          <w:top w:w="0" w:type="dxa"/>
          <w:left w:w="71" w:type="dxa"/>
          <w:bottom w:w="0" w:type="dxa"/>
          <w:right w:w="71" w:type="dxa"/>
        </w:tblCellMar>
      </w:tblPrEx>
      <w:trPr>
        <w:trHeight w:val="413" w:hRule="atLeast"/>
      </w:trPr>
      <w:tc>
        <w:tcPr>
          <w:tcW w:w="1934" w:type="dxa"/>
        </w:tcPr>
        <w:p w14:paraId="2B9A68B0">
          <w:pPr>
            <w:pStyle w:val="15"/>
          </w:pPr>
        </w:p>
      </w:tc>
      <w:tc>
        <w:tcPr>
          <w:tcW w:w="5591" w:type="dxa"/>
        </w:tcPr>
        <w:p w14:paraId="59FF0390">
          <w:pPr>
            <w:pStyle w:val="15"/>
            <w:jc w:val="center"/>
          </w:pPr>
        </w:p>
      </w:tc>
      <w:tc>
        <w:tcPr>
          <w:tcW w:w="1390" w:type="dxa"/>
        </w:tcPr>
        <w:p w14:paraId="18A3BDC0">
          <w:pPr>
            <w:pStyle w:val="15"/>
          </w:pPr>
        </w:p>
      </w:tc>
      <w:tc>
        <w:tcPr>
          <w:tcW w:w="1241" w:type="dxa"/>
        </w:tcPr>
        <w:p w14:paraId="41DCDF50">
          <w:pPr>
            <w:pStyle w:val="15"/>
            <w:jc w:val="right"/>
          </w:pPr>
        </w:p>
      </w:tc>
    </w:tr>
  </w:tbl>
  <w:p w14:paraId="0F684BDE">
    <w:pPr>
      <w:pStyle w:val="15"/>
    </w:pPr>
    <w:r>
      <mc:AlternateContent>
        <mc:Choice Requires="wps">
          <w:drawing>
            <wp:anchor distT="0" distB="0" distL="114300" distR="114300" simplePos="0" relativeHeight="251659264" behindDoc="0" locked="0" layoutInCell="1" allowOverlap="1">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ln>
                    </wps:spPr>
                    <wps:bodyPr/>
                  </wps:wsp>
                </a:graphicData>
              </a:graphic>
            </wp:anchor>
          </w:drawing>
        </mc:Choice>
        <mc:Fallback>
          <w:pict>
            <v:line id="Line 14" o:spid="_x0000_s1026" o:spt="20" style="position:absolute;left:0pt;margin-left:-3.5pt;margin-top:0.95pt;height:0pt;width:474pt;z-index:251659264;mso-width-relative:page;mso-height-relative:page;" filled="f" stroked="t" coordsize="21600,21600" o:gfxdata="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MiOuyNMAAAAGAQAADwAAAAAAAAABACAAAAAiAAAAZHJzL2Rvd25y&#10;ZXYueG1sUEsBAhQAFAAAAAgAh07iQDkJ14zKAQAAoAMAAA4AAAAAAAAAAQAgAAAAIgEAAGRycy9l&#10;Mm9Eb2MueG1sUEsFBgAAAAAGAAYAWQEAAF4FAAAAAA==&#10;">
              <v:fill on="f" focussize="0,0"/>
              <v:stroke color="#000000"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0" w:type="auto"/>
      <w:tblInd w:w="0" w:type="dxa"/>
      <w:tblLayout w:type="fixed"/>
      <w:tblCellMar>
        <w:top w:w="0" w:type="dxa"/>
        <w:left w:w="71" w:type="dxa"/>
        <w:bottom w:w="0" w:type="dxa"/>
        <w:right w:w="71" w:type="dxa"/>
      </w:tblCellMar>
    </w:tblPr>
    <w:tblGrid>
      <w:gridCol w:w="1914"/>
      <w:gridCol w:w="5103"/>
      <w:gridCol w:w="2835"/>
    </w:tblGrid>
    <w:tr w14:paraId="58E47B23">
      <w:tblPrEx>
        <w:tblCellMar>
          <w:top w:w="0" w:type="dxa"/>
          <w:left w:w="71" w:type="dxa"/>
          <w:bottom w:w="0" w:type="dxa"/>
          <w:right w:w="71" w:type="dxa"/>
        </w:tblCellMar>
      </w:tblPrEx>
      <w:trPr>
        <w:trHeight w:val="413" w:hRule="atLeast"/>
      </w:trPr>
      <w:tc>
        <w:tcPr>
          <w:tcW w:w="1914" w:type="dxa"/>
        </w:tcPr>
        <w:p w14:paraId="365249C6">
          <w:pPr>
            <w:pStyle w:val="15"/>
            <w:ind w:firstLine="200" w:firstLineChars="100"/>
          </w:pPr>
        </w:p>
      </w:tc>
      <w:tc>
        <w:tcPr>
          <w:tcW w:w="5103" w:type="dxa"/>
        </w:tcPr>
        <w:p w14:paraId="3CCA1797">
          <w:pPr>
            <w:pStyle w:val="15"/>
            <w:rPr>
              <w:sz w:val="18"/>
              <w:szCs w:val="18"/>
            </w:rPr>
          </w:pPr>
        </w:p>
      </w:tc>
      <w:tc>
        <w:tcPr>
          <w:tcW w:w="2835" w:type="dxa"/>
        </w:tcPr>
        <w:p w14:paraId="30C6AB02">
          <w:pPr>
            <w:pStyle w:val="15"/>
            <w:ind w:right="400"/>
          </w:pPr>
        </w:p>
      </w:tc>
    </w:tr>
  </w:tbl>
  <w:p w14:paraId="43384309">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DD6F8C"/>
    <w:multiLevelType w:val="multilevel"/>
    <w:tmpl w:val="4DDD6F8C"/>
    <w:lvl w:ilvl="0" w:tentative="0">
      <w:start w:val="1"/>
      <w:numFmt w:val="japaneseCounting"/>
      <w:lvlText w:val="第%1条"/>
      <w:lvlJc w:val="left"/>
      <w:pPr>
        <w:ind w:left="1320" w:hanging="132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120"/>
  <w:drawingGridVerticalSpacing w:val="104"/>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spaceForUL/>
    <w:doNotLeaveBackslashAlone/>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12211B39"/>
    <w:rsid w:val="15F330F8"/>
    <w:rsid w:val="21B8075F"/>
    <w:rsid w:val="25734D74"/>
    <w:rsid w:val="27E651DA"/>
    <w:rsid w:val="2E23429B"/>
    <w:rsid w:val="300D4E4E"/>
    <w:rsid w:val="50C86601"/>
    <w:rsid w:val="539511FC"/>
    <w:rsid w:val="54F074BB"/>
    <w:rsid w:val="649C0125"/>
    <w:rsid w:val="6CE66525"/>
    <w:rsid w:val="6E2C7B54"/>
    <w:rsid w:val="7B173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lang w:val="en-US" w:eastAsia="zh-CN" w:bidi="ar-SA"/>
    </w:rPr>
  </w:style>
  <w:style w:type="paragraph" w:styleId="2">
    <w:name w:val="heading 1"/>
    <w:basedOn w:val="1"/>
    <w:next w:val="1"/>
    <w:qFormat/>
    <w:uiPriority w:val="0"/>
    <w:pPr>
      <w:overflowPunct/>
      <w:autoSpaceDE/>
      <w:autoSpaceDN/>
      <w:adjustRightInd/>
      <w:textAlignment w:val="auto"/>
      <w:outlineLvl w:val="0"/>
    </w:pPr>
    <w:rPr>
      <w:rFonts w:ascii="Courier New" w:hAnsi="Courier New"/>
      <w:sz w:val="24"/>
    </w:rPr>
  </w:style>
  <w:style w:type="paragraph" w:styleId="3">
    <w:name w:val="heading 2"/>
    <w:basedOn w:val="1"/>
    <w:next w:val="1"/>
    <w:qFormat/>
    <w:uiPriority w:val="0"/>
    <w:pPr>
      <w:overflowPunct/>
      <w:autoSpaceDE/>
      <w:autoSpaceDN/>
      <w:adjustRightInd/>
      <w:textAlignment w:val="auto"/>
      <w:outlineLvl w:val="1"/>
    </w:pPr>
    <w:rPr>
      <w:rFonts w:ascii="Courier New" w:hAnsi="Courier New"/>
      <w:sz w:val="24"/>
    </w:rPr>
  </w:style>
  <w:style w:type="paragraph" w:styleId="4">
    <w:name w:val="heading 3"/>
    <w:basedOn w:val="1"/>
    <w:next w:val="1"/>
    <w:qFormat/>
    <w:uiPriority w:val="0"/>
    <w:pPr>
      <w:overflowPunct/>
      <w:autoSpaceDE/>
      <w:autoSpaceDN/>
      <w:adjustRightInd/>
      <w:textAlignment w:val="auto"/>
      <w:outlineLvl w:val="2"/>
    </w:pPr>
    <w:rPr>
      <w:rFonts w:ascii="Courier New" w:hAnsi="Courier New"/>
      <w:sz w:val="24"/>
    </w:rPr>
  </w:style>
  <w:style w:type="paragraph" w:styleId="5">
    <w:name w:val="heading 4"/>
    <w:basedOn w:val="1"/>
    <w:next w:val="1"/>
    <w:qFormat/>
    <w:uiPriority w:val="0"/>
    <w:pPr>
      <w:overflowPunct/>
      <w:autoSpaceDE/>
      <w:autoSpaceDN/>
      <w:adjustRightInd/>
      <w:textAlignment w:val="auto"/>
      <w:outlineLvl w:val="3"/>
    </w:pPr>
    <w:rPr>
      <w:rFonts w:ascii="Courier New" w:hAnsi="Courier New"/>
      <w:sz w:val="24"/>
    </w:rPr>
  </w:style>
  <w:style w:type="paragraph" w:styleId="6">
    <w:name w:val="heading 5"/>
    <w:basedOn w:val="1"/>
    <w:next w:val="1"/>
    <w:qFormat/>
    <w:uiPriority w:val="0"/>
    <w:pPr>
      <w:overflowPunct/>
      <w:autoSpaceDE/>
      <w:autoSpaceDN/>
      <w:adjustRightInd/>
      <w:textAlignment w:val="auto"/>
      <w:outlineLvl w:val="4"/>
    </w:pPr>
    <w:rPr>
      <w:rFonts w:ascii="Courier New" w:hAnsi="Courier New"/>
      <w:sz w:val="24"/>
    </w:rPr>
  </w:style>
  <w:style w:type="paragraph" w:styleId="7">
    <w:name w:val="heading 6"/>
    <w:basedOn w:val="1"/>
    <w:next w:val="1"/>
    <w:qFormat/>
    <w:uiPriority w:val="0"/>
    <w:pPr>
      <w:overflowPunct/>
      <w:autoSpaceDE/>
      <w:autoSpaceDN/>
      <w:adjustRightInd/>
      <w:textAlignment w:val="auto"/>
      <w:outlineLvl w:val="5"/>
    </w:pPr>
    <w:rPr>
      <w:rFonts w:ascii="Courier New" w:hAnsi="Courier New"/>
      <w:sz w:val="24"/>
    </w:rPr>
  </w:style>
  <w:style w:type="paragraph" w:styleId="8">
    <w:name w:val="heading 7"/>
    <w:basedOn w:val="1"/>
    <w:next w:val="1"/>
    <w:qFormat/>
    <w:uiPriority w:val="0"/>
    <w:pPr>
      <w:overflowPunct/>
      <w:autoSpaceDE/>
      <w:autoSpaceDN/>
      <w:adjustRightInd/>
      <w:textAlignment w:val="auto"/>
      <w:outlineLvl w:val="6"/>
    </w:pPr>
    <w:rPr>
      <w:rFonts w:ascii="Courier New" w:hAnsi="Courier New"/>
      <w:sz w:val="24"/>
    </w:rPr>
  </w:style>
  <w:style w:type="paragraph" w:styleId="9">
    <w:name w:val="heading 8"/>
    <w:basedOn w:val="1"/>
    <w:next w:val="1"/>
    <w:qFormat/>
    <w:uiPriority w:val="0"/>
    <w:pPr>
      <w:overflowPunct/>
      <w:autoSpaceDE/>
      <w:autoSpaceDN/>
      <w:adjustRightInd/>
      <w:textAlignment w:val="auto"/>
      <w:outlineLvl w:val="7"/>
    </w:pPr>
    <w:rPr>
      <w:rFonts w:ascii="Courier New" w:hAnsi="Courier New"/>
      <w:sz w:val="24"/>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0">
    <w:name w:val="annotation text"/>
    <w:basedOn w:val="1"/>
    <w:link w:val="27"/>
    <w:qFormat/>
    <w:uiPriority w:val="0"/>
  </w:style>
  <w:style w:type="paragraph" w:styleId="11">
    <w:name w:val="Body Text"/>
    <w:basedOn w:val="1"/>
    <w:qFormat/>
    <w:uiPriority w:val="0"/>
    <w:pPr>
      <w:widowControl w:val="0"/>
      <w:overflowPunct/>
      <w:autoSpaceDE/>
      <w:autoSpaceDN/>
      <w:adjustRightInd/>
      <w:jc w:val="both"/>
      <w:textAlignment w:val="auto"/>
    </w:pPr>
    <w:rPr>
      <w:b/>
      <w:kern w:val="2"/>
      <w:sz w:val="28"/>
    </w:rPr>
  </w:style>
  <w:style w:type="paragraph" w:styleId="12">
    <w:name w:val="Body Text Indent 2"/>
    <w:basedOn w:val="1"/>
    <w:qFormat/>
    <w:uiPriority w:val="0"/>
    <w:pPr>
      <w:widowControl w:val="0"/>
      <w:overflowPunct/>
      <w:autoSpaceDE/>
      <w:autoSpaceDN/>
      <w:adjustRightInd/>
      <w:ind w:left="105" w:firstLine="254" w:firstLineChars="106"/>
      <w:jc w:val="both"/>
      <w:textAlignment w:val="auto"/>
    </w:pPr>
    <w:rPr>
      <w:bCs/>
      <w:kern w:val="2"/>
      <w:sz w:val="24"/>
    </w:rPr>
  </w:style>
  <w:style w:type="paragraph" w:styleId="13">
    <w:name w:val="Balloon Text"/>
    <w:basedOn w:val="1"/>
    <w:link w:val="26"/>
    <w:qFormat/>
    <w:uiPriority w:val="0"/>
    <w:rPr>
      <w:sz w:val="18"/>
      <w:szCs w:val="18"/>
    </w:rPr>
  </w:style>
  <w:style w:type="paragraph" w:styleId="14">
    <w:name w:val="footer"/>
    <w:basedOn w:val="1"/>
    <w:link w:val="29"/>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Body Text Indent 3"/>
    <w:basedOn w:val="1"/>
    <w:qFormat/>
    <w:uiPriority w:val="0"/>
    <w:pPr>
      <w:widowControl w:val="0"/>
      <w:overflowPunct/>
      <w:autoSpaceDE/>
      <w:autoSpaceDN/>
      <w:adjustRightInd/>
      <w:ind w:firstLine="569" w:firstLineChars="237"/>
      <w:jc w:val="both"/>
      <w:textAlignment w:val="auto"/>
    </w:pPr>
    <w:rPr>
      <w:kern w:val="2"/>
      <w:sz w:val="24"/>
    </w:rPr>
  </w:style>
  <w:style w:type="paragraph" w:styleId="17">
    <w:name w:val="annotation subject"/>
    <w:basedOn w:val="10"/>
    <w:next w:val="10"/>
    <w:link w:val="28"/>
    <w:qFormat/>
    <w:uiPriority w:val="0"/>
    <w:rPr>
      <w:b/>
      <w:bCs/>
    </w:rPr>
  </w:style>
  <w:style w:type="character" w:styleId="20">
    <w:name w:val="page number"/>
    <w:basedOn w:val="19"/>
    <w:qFormat/>
    <w:uiPriority w:val="0"/>
  </w:style>
  <w:style w:type="character" w:styleId="21">
    <w:name w:val="annotation reference"/>
    <w:qFormat/>
    <w:uiPriority w:val="0"/>
    <w:rPr>
      <w:sz w:val="21"/>
      <w:szCs w:val="21"/>
    </w:rPr>
  </w:style>
  <w:style w:type="paragraph" w:customStyle="1" w:styleId="22">
    <w:name w:val="StandardohneAbstand"/>
    <w:basedOn w:val="1"/>
    <w:qFormat/>
    <w:uiPriority w:val="0"/>
    <w:pPr>
      <w:overflowPunct/>
      <w:autoSpaceDE/>
      <w:autoSpaceDN/>
      <w:adjustRightInd/>
      <w:textAlignment w:val="auto"/>
    </w:pPr>
    <w:rPr>
      <w:sz w:val="24"/>
      <w:lang w:val="de-DE" w:eastAsia="de-DE"/>
    </w:rPr>
  </w:style>
  <w:style w:type="paragraph" w:customStyle="1" w:styleId="23">
    <w:name w:val="Main Text"/>
    <w:basedOn w:val="1"/>
    <w:qFormat/>
    <w:uiPriority w:val="0"/>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24">
    <w:name w:val="1"/>
    <w:basedOn w:val="1"/>
    <w:next w:val="16"/>
    <w:qFormat/>
    <w:uiPriority w:val="0"/>
    <w:pPr>
      <w:widowControl w:val="0"/>
      <w:overflowPunct/>
      <w:autoSpaceDE/>
      <w:autoSpaceDN/>
      <w:adjustRightInd/>
      <w:spacing w:line="480" w:lineRule="exact"/>
      <w:ind w:firstLine="560" w:firstLineChars="200"/>
      <w:jc w:val="both"/>
      <w:textAlignment w:val="auto"/>
    </w:pPr>
    <w:rPr>
      <w:rFonts w:eastAsia="隶书"/>
      <w:bCs/>
      <w:kern w:val="2"/>
      <w:sz w:val="28"/>
    </w:rPr>
  </w:style>
  <w:style w:type="paragraph" w:customStyle="1" w:styleId="25">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character" w:customStyle="1" w:styleId="26">
    <w:name w:val="批注框文本 字符"/>
    <w:link w:val="13"/>
    <w:qFormat/>
    <w:uiPriority w:val="0"/>
    <w:rPr>
      <w:sz w:val="18"/>
      <w:szCs w:val="18"/>
    </w:rPr>
  </w:style>
  <w:style w:type="character" w:customStyle="1" w:styleId="27">
    <w:name w:val="批注文字 字符"/>
    <w:basedOn w:val="19"/>
    <w:link w:val="10"/>
    <w:qFormat/>
    <w:uiPriority w:val="0"/>
  </w:style>
  <w:style w:type="character" w:customStyle="1" w:styleId="28">
    <w:name w:val="批注主题 字符"/>
    <w:link w:val="17"/>
    <w:qFormat/>
    <w:uiPriority w:val="0"/>
    <w:rPr>
      <w:b/>
      <w:bCs/>
    </w:rPr>
  </w:style>
  <w:style w:type="character" w:customStyle="1" w:styleId="29">
    <w:name w:val="页脚 字符"/>
    <w:basedOn w:val="19"/>
    <w:link w:val="14"/>
    <w:qFormat/>
    <w:uiPriority w:val="99"/>
  </w:style>
  <w:style w:type="character" w:styleId="30">
    <w:name w:val="Placeholder Text"/>
    <w:basedOn w:val="19"/>
    <w:semiHidden/>
    <w:qFormat/>
    <w:uiPriority w:val="99"/>
    <w:rPr>
      <w:color w:val="808080"/>
    </w:rPr>
  </w:style>
  <w:style w:type="paragraph" w:styleId="31">
    <w:name w:val="List Paragraph"/>
    <w:basedOn w:val="1"/>
    <w:qFormat/>
    <w:uiPriority w:val="34"/>
    <w:pPr>
      <w:overflowPunct/>
      <w:autoSpaceDE/>
      <w:autoSpaceDN/>
      <w:adjustRightInd/>
      <w:spacing w:after="200" w:line="276" w:lineRule="auto"/>
      <w:ind w:left="720"/>
      <w:contextualSpacing/>
      <w:textAlignment w:val="auto"/>
    </w:pPr>
    <w:rPr>
      <w:rFonts w:asciiTheme="minorHAnsi" w:hAnsiTheme="minorHAnsi" w:eastAsiaTheme="minorEastAsia" w:cstheme="minorBidi"/>
      <w:sz w:val="22"/>
      <w:szCs w:val="22"/>
    </w:rPr>
  </w:style>
  <w:style w:type="paragraph" w:customStyle="1" w:styleId="32">
    <w:name w:val="Revision"/>
    <w:hidden/>
    <w:semiHidden/>
    <w:qFormat/>
    <w:uiPriority w:val="99"/>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 Id="rIdComments" Type="http://schemas.openxmlformats.org/officeDocument/2006/relationships/comments" Target="comments.xml"/></Relationship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97691E-7E9F-44EB-8E30-11C7575210E3}">
  <ds:schemaRefs/>
</ds:datastoreItem>
</file>

<file path=docProps/app.xml><?xml version="1.0" encoding="utf-8"?>
<Properties xmlns="http://schemas.openxmlformats.org/officeDocument/2006/extended-properties" xmlns:vt="http://schemas.openxmlformats.org/officeDocument/2006/docPropsVTypes">
  <Template>HK eng-chn (word95).dot</Template>
  <Pages>2</Pages>
  <Words>1705</Words>
  <Characters>1735</Characters>
  <Lines>65</Lines>
  <Paragraphs>18</Paragraphs>
  <TotalTime>0</TotalTime>
  <ScaleCrop>false</ScaleCrop>
  <LinksUpToDate>false</LinksUpToDate>
  <CharactersWithSpaces>1745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2022-05-17T07:26:00Z</dcterms:created>
  <dc:creator>Gina Yan</dc:creator>
  <cp:lastModifiedBy>指南针先生</cp:lastModifiedBy>
  <cp:lastPrinted>2017-09-24T07:20:00Z</cp:lastPrinted>
  <dcterms:modified xsi:type="dcterms:W3CDTF">2025-06-25T03:42:00Z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eyJoZGlkIjoiM2E4YzdlZTMyOGMzYjczZjAyNTJkMDVmMDAwN2VhZjUiLCJ1c2VySWQiOiI4NDMwMDEyMTkifQ==</vt:lpwstr>
  </property>
  <property fmtid="{D5CDD505-2E9C-101B-9397-08002B2CF9AE}" pid="4" name="ICV">
    <vt:lpwstr>C3A00F91D14048918E304269D6790DFF_12</vt:lpwstr>
  </property>
</Properties>
</file>