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r>
        <w:rPr>
          <w:rFonts w:cs="Times New Roman" w:ascii="Times New Roman" w:hAnsi="Times New Roman"/>
          <w:spacing w:val="-2"/>
          <w:szCs w:val="24"/>
        </w:rPr>
        <w:t>This Mutual Confidential Disclosure Agreement (the “</w:t>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commentRangeStart w:id="0"/>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commentRangeEnd w:id="0"/>
      <w:r>
        <w:commentReference w:id="0"/>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14"/>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 xml:space="preserve">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body>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批注1讨论了协议是单边还是双边保密的问题，这与段落中提到的&amp;apos;Disclosing Party&amp;apos;和&amp;apos;Recipient&amp;apos;的概念高度相关，且批注中提到的修改建议直接关联到段落中的术语使用。</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批注1讨论了协议是单边还是双边保密的问题，这与段落中提到的&amp;apos;Disclosing Party&amp;apos;和&amp;apos;Recipient&amp;apos;的概念高度相关，且批注中提到的修改建议直接关联到段落中的术语使用。</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default"/>
  </w:font>
  <w:font w:name="Arial">
    <w:charset w:val="00" w:characterSet="windows-1252"/>
    <w:family w:val="swiss"/>
    <w:pitch w:val="default"/>
  </w:font>
  <w:font w:name="Tms Rmn">
    <w:altName w:val="Times New Roman"/>
    <w:charset w:val="00" w:characterSet="windows-1252"/>
    <w:family w:val="roman"/>
    <w:pitch w:val="default"/>
  </w:font>
  <w:font w:name="Courier New">
    <w:charset w:val="00" w:characterSet="windows-1252"/>
    <w:family w:val="modern"/>
    <w:pitch w:val="default"/>
  </w:font>
  <w:font w:name="Liberation Sans">
    <w:altName w:val="Arial"/>
    <w:charset w:val="86"/>
    <w:family w:val="swiss"/>
    <w:pitch w:val="variable"/>
  </w:font>
  <w:font w:name="Times New Roman">
    <w:charset w:val="00" w:characterSet="windows-1252"/>
    <w:family w:val="roman"/>
    <w:pitch w:val="default"/>
  </w:font>
  <w:font w:name="Tahoma">
    <w:charset w:val="00" w:characterSet="windows-1252"/>
    <w:family w:val="swiss"/>
    <w:pitch w:val="default"/>
  </w:font>
  <w:font w:name="Wingdings 2">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2</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14"/>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0"/>
        </w:tabs>
        <w:ind w:start="709" w:hanging="709"/>
      </w:pPr>
      <w:rPr>
        <w:i w:val="false"/>
        <w:b w:val="false"/>
      </w:rPr>
    </w:lvl>
    <w:lvl w:ilvl="1">
      <w:start w:val="1"/>
      <w:numFmt w:val="decimal"/>
      <w:lvlText w:val="%1.%2"/>
      <w:lvlJc w:val="start"/>
      <w:pPr>
        <w:tabs>
          <w:tab w:val="num" w:pos="0"/>
        </w:tabs>
        <w:ind w:start="709" w:hanging="709"/>
      </w:pPr>
      <w:rPr/>
    </w:lvl>
    <w:lvl w:ilvl="2">
      <w:start w:val="1"/>
      <w:numFmt w:val="lowerLetter"/>
      <w:lvlText w:val="(%3)"/>
      <w:lvlJc w:val="start"/>
      <w:pPr>
        <w:tabs>
          <w:tab w:val="num" w:pos="0"/>
        </w:tabs>
        <w:ind w:start="1418" w:hanging="709"/>
      </w:pPr>
      <w:rPr/>
    </w:lvl>
    <w:lvl w:ilvl="3">
      <w:start w:val="1"/>
      <w:numFmt w:val="lowerRoman"/>
      <w:lvlText w:val="(%4)"/>
      <w:lvlJc w:val="start"/>
      <w:pPr>
        <w:tabs>
          <w:tab w:val="num" w:pos="0"/>
        </w:tabs>
        <w:ind w:start="2126" w:hanging="708"/>
      </w:pPr>
      <w:rPr/>
    </w:lvl>
    <w:lvl w:ilvl="4">
      <w:start w:val="1"/>
      <w:numFmt w:val="upperLetter"/>
      <w:lvlText w:val="(%5)"/>
      <w:lvlJc w:val="start"/>
      <w:pPr>
        <w:tabs>
          <w:tab w:val="num" w:pos="0"/>
        </w:tabs>
        <w:ind w:start="2835" w:hanging="709"/>
      </w:pPr>
      <w:rPr/>
    </w:lvl>
    <w:lvl w:ilvl="5">
      <w:start w:val="1"/>
      <w:numFmt w:val="upperRoman"/>
      <w:lvlText w:val="(%6)"/>
      <w:lvlJc w:val="start"/>
      <w:pPr>
        <w:tabs>
          <w:tab w:val="num" w:pos="0"/>
        </w:tabs>
        <w:ind w:start="3544" w:hanging="709"/>
      </w:pPr>
      <w:rPr/>
    </w:lvl>
    <w:lvl w:ilvl="6">
      <w:start w:val="1"/>
      <w:numFmt w:val="decimal"/>
      <w:lvlText w:val="(%7)"/>
      <w:lvlJc w:val="start"/>
      <w:pPr>
        <w:tabs>
          <w:tab w:val="num" w:pos="0"/>
        </w:tabs>
        <w:ind w:start="4253" w:hanging="709"/>
      </w:pPr>
      <w:rPr/>
    </w:lvl>
    <w:lvl w:ilvl="7">
      <w:start w:val="1"/>
      <w:numFmt w:val="lowerLetter"/>
      <w:lvlText w:val="%8)"/>
      <w:lvlJc w:val="start"/>
      <w:pPr>
        <w:tabs>
          <w:tab w:val="num" w:pos="0"/>
        </w:tabs>
        <w:ind w:start="4678" w:hanging="425"/>
      </w:pPr>
      <w:rPr/>
    </w:lvl>
    <w:lvl w:ilvl="8">
      <w:start w:val="1"/>
      <w:numFmt w:val="lowerRoman"/>
      <w:lvlText w:val="%9)"/>
      <w:lvlJc w:val="start"/>
      <w:pPr>
        <w:tabs>
          <w:tab w:val="num" w:pos="0"/>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 w:cs="CG Times;Times New Roman"/>
      <w:color w:val="auto"/>
      <w:sz w:val="24"/>
      <w:szCs w:val="20"/>
      <w:lang w:val="en-US" w:eastAsia="en-US" w:bidi="ar-SA"/>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val="false"/>
      <w:i w:val="false"/>
    </w:rPr>
  </w:style>
  <w:style w:type="character" w:styleId="WW8Num2z1">
    <w:name w:val="WW8Num2z1"/>
    <w:qFormat/>
    <w:rPr/>
  </w:style>
  <w:style w:type="character" w:styleId="Style5">
    <w:name w:val="默认段落字体"/>
    <w:qFormat/>
    <w:rPr/>
  </w:style>
  <w:style w:type="character" w:styleId="Style6">
    <w:name w:val="宏文本 字符"/>
    <w:qFormat/>
    <w:rPr>
      <w:rFonts w:ascii="Courier New" w:hAnsi="Courier New" w:cs="Courier New"/>
      <w:lang w:eastAsia="en-US"/>
    </w:rPr>
  </w:style>
  <w:style w:type="character" w:styleId="Style7">
    <w:name w:val="批注文字 字符"/>
    <w:qFormat/>
    <w:rPr>
      <w:rFonts w:ascii="CG Times;Times New Roman" w:hAnsi="CG Times;Times New Roman" w:cs="CG Times;Times New Roman"/>
    </w:rPr>
  </w:style>
  <w:style w:type="character" w:styleId="Style8">
    <w:name w:val="页脚 字符"/>
    <w:basedOn w:val="Style5"/>
    <w:qFormat/>
    <w:rPr/>
  </w:style>
  <w:style w:type="character" w:styleId="Style9">
    <w:name w:val="页眉 字符"/>
    <w:qFormat/>
    <w:rPr>
      <w:rFonts w:ascii="CG Times;Times New Roman" w:hAnsi="CG Times;Times New Roman" w:cs="CG Times;Times New Roman"/>
      <w:sz w:val="24"/>
    </w:rPr>
  </w:style>
  <w:style w:type="character" w:styleId="Style10">
    <w:name w:val="脚注文本 字符"/>
    <w:qFormat/>
    <w:rPr>
      <w:rFonts w:ascii="CG Times;Times New Roman" w:hAnsi="CG Times;Times New Roman" w:cs="CG Times;Times New Roman"/>
      <w:sz w:val="24"/>
    </w:rPr>
  </w:style>
  <w:style w:type="character" w:styleId="Style11">
    <w:name w:val="批注主题 字符"/>
    <w:qFormat/>
    <w:rPr>
      <w:rFonts w:ascii="CG Times;Times New Roman" w:hAnsi="CG Times;Times New Roman" w:cs="CG Times;Times New Roman"/>
      <w:b/>
      <w:bCs/>
    </w:rPr>
  </w:style>
  <w:style w:type="character" w:styleId="Style12">
    <w:name w:val="尾注符"/>
    <w:qFormat/>
    <w:rPr>
      <w:vertAlign w:val="superscript"/>
    </w:rPr>
  </w:style>
  <w:style w:type="character" w:styleId="PageNumber">
    <w:name w:val="page number"/>
    <w:basedOn w:val="Style5"/>
    <w:rPr/>
  </w:style>
  <w:style w:type="character" w:styleId="Hyperlink">
    <w:name w:val="Hyperlink"/>
    <w:rPr>
      <w:color w:val="0000FF"/>
      <w:u w:val="single"/>
    </w:rPr>
  </w:style>
  <w:style w:type="character" w:styleId="Style13">
    <w:name w:val="批注引用"/>
    <w:qFormat/>
    <w:rPr>
      <w:sz w:val="16"/>
      <w:szCs w:val="16"/>
    </w:rPr>
  </w:style>
  <w:style w:type="character" w:styleId="Style14">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zzmpTrailerItem">
    <w:name w:val="zzmpTrailerItem"/>
    <w:qFormat/>
    <w:rPr>
      <w:b w:val="false"/>
      <w:spacing w:val="0"/>
      <w:sz w:val="16"/>
    </w:rPr>
  </w:style>
  <w:style w:type="character" w:styleId="Style15">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Style18">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 w:cs="Courier New"/>
      <w:color w:val="auto"/>
      <w:sz w:val="20"/>
      <w:szCs w:val="20"/>
      <w:lang w:val="en-US" w:eastAsia="en-US" w:bidi="ar-SA"/>
    </w:rPr>
  </w:style>
  <w:style w:type="paragraph" w:styleId="TOC7">
    <w:name w:val="toc 7"/>
    <w:basedOn w:val="Normal"/>
    <w:next w:val="Normal"/>
    <w:pPr>
      <w:suppressAutoHyphens w:val="true"/>
      <w:ind w:hanging="720" w:start="720" w:end="0"/>
    </w:pPr>
    <w:rPr/>
  </w:style>
  <w:style w:type="paragraph" w:styleId="Style19">
    <w:name w:val="文档结构图"/>
    <w:basedOn w:val="Normal"/>
    <w:qFormat/>
    <w:pPr>
      <w:shd w:fill="000080" w:val="clear"/>
    </w:pPr>
    <w:rPr>
      <w:rFonts w:ascii="Tahoma" w:hAnsi="Tahoma" w:cs="Tahoma"/>
    </w:rPr>
  </w:style>
  <w:style w:type="paragraph" w:styleId="Style20">
    <w:name w:val="引文目录标题"/>
    <w:basedOn w:val="Normal"/>
    <w:next w:val="Normal"/>
    <w:qFormat/>
    <w:pPr>
      <w:tabs>
        <w:tab w:val="clear" w:pos="720"/>
        <w:tab w:val="right" w:pos="9360" w:leader="none"/>
      </w:tabs>
      <w:suppressAutoHyphens w:val="true"/>
    </w:pPr>
    <w:rPr/>
  </w:style>
  <w:style w:type="paragraph" w:styleId="Style21">
    <w:name w:val="批注文字"/>
    <w:basedOn w:val="Normal"/>
    <w:qFormat/>
    <w:pPr/>
    <w:rPr>
      <w:sz w:val="20"/>
    </w:rPr>
  </w:style>
  <w:style w:type="paragraph" w:styleId="TOC5">
    <w:name w:val="toc 5"/>
    <w:basedOn w:val="Normal"/>
    <w:next w:val="Normal"/>
    <w:pPr>
      <w:tabs>
        <w:tab w:val="clear" w:pos="720"/>
        <w:tab w:val="right" w:pos="9360" w:leader="dot"/>
      </w:tabs>
      <w:suppressAutoHyphens w:val="true"/>
      <w:ind w:hanging="720" w:start="3600" w:end="720"/>
    </w:pPr>
    <w:rPr/>
  </w:style>
  <w:style w:type="paragraph" w:styleId="TOC3">
    <w:name w:val="toc 3"/>
    <w:basedOn w:val="Normal"/>
    <w:next w:val="Normal"/>
    <w:pPr>
      <w:tabs>
        <w:tab w:val="clear" w:pos="720"/>
        <w:tab w:val="right" w:pos="9360" w:leader="dot"/>
      </w:tabs>
      <w:suppressAutoHyphens w:val="true"/>
      <w:ind w:hanging="720" w:start="2160" w:end="720"/>
    </w:pPr>
    <w:rPr/>
  </w:style>
  <w:style w:type="paragraph" w:styleId="TOC8">
    <w:name w:val="toc 8"/>
    <w:basedOn w:val="Normal"/>
    <w:next w:val="Normal"/>
    <w:pPr>
      <w:tabs>
        <w:tab w:val="clear" w:pos="720"/>
        <w:tab w:val="right" w:pos="9360" w:leader="none"/>
      </w:tabs>
      <w:suppressAutoHyphens w:val="true"/>
      <w:ind w:hanging="720" w:start="720" w:end="0"/>
    </w:pPr>
    <w:rPr/>
  </w:style>
  <w:style w:type="paragraph" w:styleId="EndnoteText">
    <w:name w:val="endnote text"/>
    <w:basedOn w:val="Normal"/>
    <w:pPr/>
    <w:rPr/>
  </w:style>
  <w:style w:type="paragraph" w:styleId="Style22">
    <w:name w:val="批注框文本"/>
    <w:basedOn w:val="Normal"/>
    <w:qFormat/>
    <w:pPr/>
    <w:rPr>
      <w:rFonts w:ascii="Tahoma" w:hAnsi="Tahoma" w:cs="Tahoma"/>
      <w:sz w:val="16"/>
      <w:szCs w:val="16"/>
    </w:rPr>
  </w:style>
  <w:style w:type="paragraph" w:styleId="Style23">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000" w:leader="none"/>
      </w:tabs>
      <w:suppressAutoHyphens w:val="true"/>
    </w:pPr>
    <w:rPr>
      <w:rFonts w:ascii="Times New Roman" w:hAnsi="Times New Roman" w:cs="Times New Roman"/>
      <w:sz w:val="20"/>
    </w:rPr>
  </w:style>
  <w:style w:type="paragraph" w:styleId="Header">
    <w:name w:val="header"/>
    <w:basedOn w:val="Normal"/>
    <w:pPr>
      <w:tabs>
        <w:tab w:val="clear" w:pos="720"/>
        <w:tab w:val="center" w:pos="4320" w:leader="none"/>
        <w:tab w:val="right" w:pos="8640" w:leader="none"/>
      </w:tabs>
    </w:pPr>
    <w:rPr/>
  </w:style>
  <w:style w:type="paragraph" w:styleId="TOC1">
    <w:name w:val="toc 1"/>
    <w:basedOn w:val="Normal"/>
    <w:next w:val="Normal"/>
    <w:pPr>
      <w:tabs>
        <w:tab w:val="clear" w:pos="720"/>
        <w:tab w:val="right" w:pos="9360" w:leader="dot"/>
      </w:tabs>
      <w:suppressAutoHyphens w:val="true"/>
      <w:spacing w:before="480" w:after="0"/>
      <w:ind w:hanging="720" w:start="720" w:end="720"/>
    </w:pPr>
    <w:rPr/>
  </w:style>
  <w:style w:type="paragraph" w:styleId="TOC4">
    <w:name w:val="toc 4"/>
    <w:basedOn w:val="Normal"/>
    <w:next w:val="Normal"/>
    <w:pPr>
      <w:tabs>
        <w:tab w:val="clear" w:pos="720"/>
        <w:tab w:val="right" w:pos="9360" w:leader="dot"/>
      </w:tabs>
      <w:suppressAutoHyphens w:val="true"/>
      <w:ind w:hanging="720" w:start="2880" w:end="720"/>
    </w:pPr>
    <w:rPr/>
  </w:style>
  <w:style w:type="paragraph" w:styleId="FootnoteText">
    <w:name w:val="footnote text"/>
    <w:basedOn w:val="Normal"/>
    <w:pPr/>
    <w:rPr/>
  </w:style>
  <w:style w:type="paragraph" w:styleId="TOC6">
    <w:name w:val="toc 6"/>
    <w:basedOn w:val="Normal"/>
    <w:next w:val="Normal"/>
    <w:pPr>
      <w:tabs>
        <w:tab w:val="clear" w:pos="720"/>
        <w:tab w:val="right" w:pos="9360" w:leader="none"/>
      </w:tabs>
      <w:suppressAutoHyphens w:val="true"/>
      <w:ind w:hanging="720" w:start="720" w:end="0"/>
    </w:pPr>
    <w:rPr/>
  </w:style>
  <w:style w:type="paragraph" w:styleId="TOC2">
    <w:name w:val="toc 2"/>
    <w:basedOn w:val="Normal"/>
    <w:next w:val="Normal"/>
    <w:pPr>
      <w:tabs>
        <w:tab w:val="clear" w:pos="720"/>
        <w:tab w:val="right" w:pos="9360" w:leader="dot"/>
      </w:tabs>
      <w:suppressAutoHyphens w:val="true"/>
      <w:ind w:hanging="720" w:start="1440" w:end="720"/>
    </w:pPr>
    <w:rPr/>
  </w:style>
  <w:style w:type="paragraph" w:styleId="TOC9">
    <w:name w:val="toc 9"/>
    <w:basedOn w:val="Normal"/>
    <w:next w:val="Normal"/>
    <w:pPr>
      <w:tabs>
        <w:tab w:val="clear" w:pos="720"/>
        <w:tab w:val="right" w:pos="9360" w:leader="dot"/>
      </w:tabs>
      <w:suppressAutoHyphens w:val="true"/>
      <w:ind w:hanging="720" w:start="720" w:end="0"/>
    </w:pPr>
    <w:rPr/>
  </w:style>
  <w:style w:type="paragraph" w:styleId="Index1">
    <w:name w:val="index 1"/>
    <w:basedOn w:val="Normal"/>
    <w:next w:val="Normal"/>
    <w:pPr>
      <w:tabs>
        <w:tab w:val="clear" w:pos="720"/>
        <w:tab w:val="right" w:pos="9360" w:leader="dot"/>
      </w:tabs>
      <w:suppressAutoHyphens w:val="true"/>
      <w:ind w:hanging="1440" w:start="1440" w:end="720"/>
    </w:pPr>
    <w:rPr/>
  </w:style>
  <w:style w:type="paragraph" w:styleId="Index2">
    <w:name w:val="index 2"/>
    <w:basedOn w:val="Normal"/>
    <w:next w:val="Normal"/>
    <w:pPr>
      <w:tabs>
        <w:tab w:val="clear" w:pos="720"/>
        <w:tab w:val="right" w:pos="9360" w:leader="dot"/>
      </w:tabs>
      <w:suppressAutoHyphens w:val="true"/>
      <w:ind w:hanging="720" w:start="1440" w:end="720"/>
    </w:pPr>
    <w:rPr/>
  </w:style>
  <w:style w:type="paragraph" w:styleId="Style24">
    <w:name w:val="批注主题"/>
    <w:basedOn w:val="Style21"/>
    <w:next w:val="Style21"/>
    <w:qFormat/>
    <w:pPr/>
    <w:rPr>
      <w:b/>
      <w:bCs/>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 w:cs="CG Times;Times New Roman"/>
      <w:b/>
      <w:color w:val="auto"/>
      <w:sz w:val="24"/>
      <w:szCs w:val="20"/>
      <w:lang w:val="en-US" w:eastAsia="en-US" w:bidi="ar-SA"/>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 w:cs="CG Times;Times New Roman"/>
      <w:b/>
      <w:color w:val="auto"/>
      <w:sz w:val="24"/>
      <w:szCs w:val="20"/>
      <w:lang w:val="en-US" w:eastAsia="en-US" w:bidi="ar-SA"/>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 w:cs="CG Times;Times New Roman"/>
      <w:b/>
      <w:color w:val="auto"/>
      <w:sz w:val="24"/>
      <w:szCs w:val="20"/>
      <w:lang w:val="en-US" w:eastAsia="en-US" w:bidi="ar-SA"/>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 w:cs="CG Times;Times New Roman"/>
      <w:color w:val="auto"/>
      <w:sz w:val="24"/>
      <w:szCs w:val="20"/>
      <w:lang w:val="en-US" w:eastAsia="en-US" w:bidi="ar-SA"/>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 w:cs="CG Times;Times New Roman"/>
      <w:color w:val="auto"/>
      <w:sz w:val="24"/>
      <w:szCs w:val="20"/>
      <w:lang w:val="en-US" w:eastAsia="en-US" w:bidi="ar-SA"/>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 w:cs="CG Times;Times New Roman"/>
      <w:color w:val="auto"/>
      <w:sz w:val="24"/>
      <w:szCs w:val="20"/>
      <w:lang w:val="en-US" w:eastAsia="en-US" w:bidi="ar-SA"/>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 w:cs="CG Times;Times New Roman"/>
      <w:color w:val="auto"/>
      <w:sz w:val="24"/>
      <w:szCs w:val="20"/>
      <w:lang w:val="en-US" w:eastAsia="en-US" w:bidi="ar-SA"/>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 w:cs="CG Times;Times New Roman"/>
      <w:color w:val="auto"/>
      <w:sz w:val="24"/>
      <w:szCs w:val="20"/>
      <w:lang w:val="en-US" w:eastAsia="en-US" w:bidi="ar-SA"/>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 w:cs="CG Times;Times New Roman"/>
      <w:color w:val="auto"/>
      <w:sz w:val="24"/>
      <w:szCs w:val="20"/>
      <w:lang w:val="en-US" w:eastAsia="en-US" w:bidi="ar-SA"/>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 w:cs="CG Times;Times New Roman"/>
      <w:color w:val="auto"/>
      <w:sz w:val="24"/>
      <w:szCs w:val="20"/>
      <w:lang w:val="en-US" w:eastAsia="en-US" w:bidi="ar-SA"/>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 w:cs="CG Times;Times New Roman"/>
      <w:color w:val="auto"/>
      <w:sz w:val="24"/>
      <w:szCs w:val="20"/>
      <w:lang w:val="en-US" w:eastAsia="en-US" w:bidi="ar-SA"/>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 w:cs="CG Times;Times New Roman"/>
      <w:color w:val="auto"/>
      <w:sz w:val="24"/>
      <w:szCs w:val="20"/>
      <w:lang w:val="en-US" w:eastAsia="en-US" w:bidi="ar-SA"/>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 w:cs="CG Times;Times New Roman"/>
      <w:color w:val="auto"/>
      <w:sz w:val="24"/>
      <w:szCs w:val="20"/>
      <w:lang w:val="en-US" w:eastAsia="en-US" w:bidi="ar-SA"/>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 w:cs="CG Times;Times New Roman"/>
      <w:b/>
      <w:color w:val="auto"/>
      <w:sz w:val="24"/>
      <w:szCs w:val="20"/>
      <w:lang w:val="en-US" w:eastAsia="en-US" w:bidi="ar-SA"/>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 w:cs="CG Times;Times New Roman"/>
      <w:b/>
      <w:color w:val="auto"/>
      <w:sz w:val="24"/>
      <w:szCs w:val="20"/>
      <w:lang w:val="en-US" w:eastAsia="en-US" w:bidi="ar-SA"/>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 w:cs="CG Times;Times New Roman"/>
      <w:b/>
      <w:color w:val="auto"/>
      <w:sz w:val="24"/>
      <w:szCs w:val="20"/>
      <w:lang w:val="en-US" w:eastAsia="en-US" w:bidi="ar-SA"/>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 w:cs="CG Times;Times New Roman"/>
      <w:b/>
      <w:color w:val="auto"/>
      <w:sz w:val="29"/>
      <w:szCs w:val="20"/>
      <w:lang w:val="en-US" w:eastAsia="en-US" w:bidi="ar-SA"/>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 w:cs="CG Times;Times New Roman"/>
      <w:color w:val="auto"/>
      <w:sz w:val="24"/>
      <w:szCs w:val="20"/>
      <w:lang w:val="en-US" w:eastAsia="en-US" w:bidi="ar-SA"/>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 w:cs="CG Times;Times New Roman"/>
      <w:color w:val="auto"/>
      <w:sz w:val="24"/>
      <w:szCs w:val="20"/>
      <w:lang w:val="en-US" w:eastAsia="en-US" w:bidi="ar-SA"/>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 w:cs="CG Times;Times New Roman"/>
      <w:color w:val="auto"/>
      <w:sz w:val="24"/>
      <w:szCs w:val="20"/>
      <w:lang w:val="en-US" w:eastAsia="en-US" w:bidi="ar-SA"/>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 w:cs="CG Times;Times New Roman"/>
      <w:color w:val="auto"/>
      <w:sz w:val="24"/>
      <w:szCs w:val="20"/>
      <w:lang w:val="en-US" w:eastAsia="en-US" w:bidi="ar-SA"/>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 w:cs="CG Times;Times New Roman"/>
      <w:color w:val="auto"/>
      <w:sz w:val="24"/>
      <w:szCs w:val="20"/>
      <w:lang w:val="en-US" w:eastAsia="en-US" w:bidi="ar-SA"/>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 w:cs="CG Times;Times New Roman"/>
      <w:color w:val="auto"/>
      <w:sz w:val="24"/>
      <w:szCs w:val="20"/>
      <w:lang w:val="en-US" w:eastAsia="en-US" w:bidi="ar-SA"/>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 w:cs="CG Times;Times New Roman"/>
      <w:color w:val="auto"/>
      <w:sz w:val="24"/>
      <w:szCs w:val="20"/>
      <w:lang w:val="en-US" w:eastAsia="en-US" w:bidi="ar-SA"/>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 w:cs="CG Times;Times New Roman"/>
      <w:color w:val="auto"/>
      <w:sz w:val="24"/>
      <w:szCs w:val="20"/>
      <w:lang w:val="en-US" w:eastAsia="en-US" w:bidi="ar-SA"/>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0</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dc:language>zh-CN</dc:language>
  <cp:lastModifiedBy>指南针先生</cp:lastModifiedBy>
  <dcterms:modified xsi:type="dcterms:W3CDTF">2025-06-23T15:17:15Z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E948C63B27BB48CDA98FDE4E8EAD84EA_12</vt:lpwstr>
  </property>
  <property fmtid="{D5CDD505-2E9C-101B-9397-08002B2CF9AE}" pid="3" name="KSOProductBuildVer">
    <vt:lpwstr>2052-12.1.0.21171</vt:lpwstr>
  </property>
  <property fmtid="{D5CDD505-2E9C-101B-9397-08002B2CF9AE}" pid="4" name="KSOTemplateDocerSaveRecord">
    <vt:lpwstr>eyJoZGlkIjoiM2E4YzdlZTMyOGMzYjczZjAyNTJkMDVmMDAwN2VhZjUiLCJ1c2VySWQiOiI4NDMwMDEyMTkifQ==</vt:lpwstr>
  </property>
  <property fmtid="{D5CDD505-2E9C-101B-9397-08002B2CF9AE}" pid="5" name="REF">
    <vt:lpwstr>{REF:0618670002}</vt:lpwstr>
  </property>
</Properties>
</file>