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090DB6">
      <w:pPr>
        <w:pStyle w:val="2"/>
        <w:bidi w:val="0"/>
        <w:rPr>
          <w:rFonts w:hint="default"/>
          <w:lang w:val="en-US" w:eastAsia="zh-CN"/>
        </w:rPr>
      </w:pPr>
      <w:r>
        <w:rPr>
          <w:rFonts w:hint="eastAsia"/>
          <w:lang w:val="en-US" w:eastAsia="zh-CN"/>
        </w:rPr>
        <w:t>1.</w:t>
      </w:r>
    </w:p>
    <w:p w14:paraId="2FCA9B78">
      <w:pPr>
        <w:bidi w:val="0"/>
      </w:pPr>
      <w:r>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w:t>
      </w:r>
      <w:r>
        <w:commentReference w:id="0"/>
      </w:r>
      <w:r>
        <w:rPr>
          <w:rFonts w:hint="eastAsia"/>
        </w:rPr>
        <w:t>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14:paraId="005CE7E0">
      <w:pPr>
        <w:bidi w:val="0"/>
        <w:rPr>
          <w:rFonts w:hint="eastAsia"/>
        </w:rPr>
      </w:pPr>
    </w:p>
    <w:p w14:paraId="6B3C50FF">
      <w:pPr>
        <w:pStyle w:val="2"/>
        <w:bidi w:val="0"/>
        <w:rPr>
          <w:rFonts w:hint="default"/>
          <w:lang w:val="en-US" w:eastAsia="zh-CN"/>
        </w:rPr>
      </w:pPr>
      <w:r>
        <w:rPr>
          <w:rFonts w:hint="eastAsia"/>
          <w:lang w:val="en-US" w:eastAsia="zh-CN"/>
        </w:rPr>
        <w:t>2.</w:t>
      </w:r>
    </w:p>
    <w:p w14:paraId="332B810A">
      <w:pPr>
        <w:bidi w:val="0"/>
        <w:rPr>
          <w:rFonts w:hint="eastAsia"/>
          <w:lang w:val="en-US" w:eastAsia="zh-CN"/>
        </w:rPr>
      </w:pPr>
      <w:r>
        <w:rPr>
          <w:rFonts w:hint="eastAsia"/>
        </w:rPr>
        <w:t>验收期</w:t>
      </w:r>
      <w:r>
        <w:rPr>
          <w:rFonts w:hint="eastAsia"/>
          <w:lang w:val="en-US" w:eastAsia="zh-CN"/>
        </w:rPr>
        <w:t>为5月12日</w:t>
      </w:r>
    </w:p>
    <w:p w14:paraId="0EB605E8">
      <w:pPr>
        <w:bidi w:val="0"/>
        <w:rPr>
          <w:rFonts w:hint="eastAsia"/>
          <w:lang w:val="en-US" w:eastAsia="zh-CN"/>
        </w:rPr>
      </w:pPr>
    </w:p>
    <w:p w14:paraId="7C04220E">
      <w:pPr>
        <w:pStyle w:val="2"/>
        <w:bidi w:val="0"/>
        <w:rPr>
          <w:rFonts w:hint="default"/>
          <w:lang w:val="en-US" w:eastAsia="zh-CN"/>
        </w:rPr>
      </w:pPr>
      <w:r>
        <w:rPr>
          <w:rFonts w:hint="eastAsia"/>
          <w:lang w:val="en-US" w:eastAsia="zh-CN"/>
        </w:rPr>
        <w:t>3.</w:t>
      </w:r>
    </w:p>
    <w:p w14:paraId="48332975">
      <w:pPr>
        <w:bidi w:val="0"/>
        <w:rPr>
          <w:rFonts w:hint="eastAsia"/>
          <w:lang w:val="en-US" w:eastAsia="zh-CN"/>
        </w:rPr>
      </w:pPr>
      <w:r>
        <w:rPr>
          <w:rFonts w:hint="eastAsia"/>
        </w:rPr>
        <w:t>验收期</w:t>
      </w:r>
      <w:r>
        <w:rPr>
          <w:rFonts w:hint="eastAsia"/>
          <w:lang w:val="en-US" w:eastAsia="zh-CN"/>
        </w:rPr>
        <w:t>为5月14日</w:t>
      </w:r>
    </w:p>
    <w:p w14:paraId="5CEC4477">
      <w:pPr>
        <w:bidi w:val="0"/>
        <w:rPr>
          <w:rFonts w:hint="default"/>
          <w:lang w:val="en-US" w:eastAsia="zh-CN"/>
        </w:rPr>
      </w:pPr>
    </w:p>
    <w:p w14:paraId="684BC3D2">
      <w:pPr>
        <w:pStyle w:val="2"/>
        <w:bidi w:val="0"/>
        <w:rPr>
          <w:rFonts w:hint="eastAsia"/>
          <w:lang w:val="en-US" w:eastAsia="zh-CN"/>
        </w:rPr>
      </w:pPr>
      <w:r>
        <w:rPr>
          <w:rFonts w:hint="eastAsia"/>
          <w:lang w:val="en-US" w:eastAsia="zh-CN"/>
        </w:rPr>
        <w:t>4.</w:t>
      </w:r>
    </w:p>
    <w:p w14:paraId="27DFE341">
      <w:pPr>
        <w:bidi w:val="0"/>
        <w:rPr>
          <w:rFonts w:hint="eastAsia"/>
          <w:lang w:val="en-US" w:eastAsia="zh-CN"/>
        </w:rPr>
      </w:pPr>
      <w:r>
        <w:rPr>
          <w:rFonts w:hint="eastAsia"/>
          <w:lang w:val="en-US" w:eastAsia="zh-CN"/>
        </w:rPr>
        <w:t>检查知识产权条款的约定是否合理，明确乙方的背景知识产权。</w:t>
      </w:r>
    </w:p>
    <w:p w14:paraId="7EDA0FB6">
      <w:pPr>
        <w:bidi w:val="0"/>
        <w:rPr>
          <w:rFonts w:hint="eastAsia"/>
          <w:lang w:val="en-US" w:eastAsia="zh-CN"/>
        </w:rPr>
      </w:pPr>
    </w:p>
    <w:p w14:paraId="57DCE612">
      <w:pPr>
        <w:pStyle w:val="2"/>
        <w:bidi w:val="0"/>
        <w:rPr>
          <w:rFonts w:hint="eastAsia"/>
          <w:lang w:val="en-US" w:eastAsia="zh-CN"/>
        </w:rPr>
      </w:pPr>
      <w:r>
        <w:rPr>
          <w:rFonts w:hint="eastAsia"/>
          <w:lang w:val="en-US" w:eastAsia="zh-CN"/>
        </w:rPr>
        <w:t>5.</w:t>
      </w:r>
    </w:p>
    <w:p w14:paraId="352BB807">
      <w:pPr>
        <w:bidi w:val="0"/>
      </w:pPr>
      <w:r>
        <w:rPr>
          <w:rFonts w:hint="eastAsia"/>
        </w:rPr>
        <w:t>除非本合同另有规定，或者甲方</w:t>
      </w:r>
      <w:bookmarkStart w:id="0" w:name="OLE_LINK1"/>
      <w:bookmarkStart w:id="1" w:name="OLE_LINK2"/>
      <w:r>
        <w:rPr>
          <w:rFonts w:hint="eastAsia"/>
        </w:rPr>
        <w:t>授权</w:t>
      </w:r>
      <w:bookmarkEnd w:id="0"/>
      <w:bookmarkEnd w:id="1"/>
      <w:r>
        <w:rPr>
          <w:rFonts w:hint="eastAsia"/>
        </w:rPr>
        <w:t>代表另行授权，所有甲方向乙方发出的与本合同有关的指令、指示、确认、签署、通知、变化、变更等（以下简称“通知和指示”）须由甲方授权代表以书面形式发出方可视为甲方做出的该等行为和行动，对甲方具有本合同规定的约束力或者效力。</w:t>
      </w:r>
      <w:bookmarkStart w:id="3" w:name="_GoBack"/>
      <w:bookmarkEnd w:id="3"/>
    </w:p>
    <w:p w14:paraId="7E51A9E3">
      <w:pPr>
        <w:bidi w:val="0"/>
        <w:rPr>
          <w:rFonts w:hint="default"/>
          <w:lang w:val="en-US" w:eastAsia="zh-CN"/>
        </w:rPr>
      </w:pPr>
    </w:p>
    <w:p w14:paraId="08059C38">
      <w:pPr>
        <w:pStyle w:val="2"/>
        <w:bidi w:val="0"/>
        <w:rPr>
          <w:rFonts w:hint="eastAsia"/>
          <w:lang w:val="en-US" w:eastAsia="zh-CN"/>
        </w:rPr>
      </w:pPr>
      <w:r>
        <w:rPr>
          <w:rFonts w:hint="eastAsia"/>
          <w:lang w:val="en-US" w:eastAsia="zh-CN"/>
        </w:rPr>
        <w:t>6.</w:t>
      </w:r>
    </w:p>
    <w:p w14:paraId="145E3A23">
      <w:pPr>
        <w:bidi w:val="0"/>
      </w:pPr>
      <w:r>
        <w:rPr>
          <w:rFonts w:hint="eastAsia"/>
        </w:rPr>
        <w:t>乙方确认，其须按照本合同及附件的规定提供合同服务，在本合同生效前，乙方不得根据甲方授权代表以外的任何第三人的要求擅自开始合同服务。若因此导致提供的合同服务不符合本合同及附件的规定，则应视乙方提供的合同服务及提交的服务成果不符合本合同及附件的要求，乙方应根据本合同下述4.2款的规定进行补救并承担本合同规定的其他责任。</w:t>
      </w:r>
    </w:p>
    <w:p w14:paraId="6A7A1E7A">
      <w:pPr>
        <w:rPr>
          <w:rFonts w:hint="default"/>
          <w:lang w:val="en-US" w:eastAsia="zh-CN"/>
        </w:rPr>
      </w:pPr>
    </w:p>
    <w:p w14:paraId="6DBC78A5">
      <w:pPr>
        <w:pStyle w:val="2"/>
        <w:bidi w:val="0"/>
        <w:rPr>
          <w:rFonts w:hint="eastAsia"/>
          <w:lang w:val="en-US" w:eastAsia="zh-CN"/>
        </w:rPr>
      </w:pPr>
      <w:r>
        <w:rPr>
          <w:rFonts w:hint="eastAsia"/>
          <w:lang w:val="en-US" w:eastAsia="zh-CN"/>
        </w:rPr>
        <w:t>7.</w:t>
      </w:r>
    </w:p>
    <w:p w14:paraId="4E42BF9F">
      <w:pPr>
        <w:bidi w:val="0"/>
        <w:rPr>
          <w:rFonts w:hint="eastAsia"/>
          <w:lang w:val="en-US" w:eastAsia="zh-CN"/>
        </w:rPr>
      </w:pPr>
      <w:r>
        <w:rPr>
          <w:rFonts w:hint="eastAsia"/>
          <w:lang w:val="en-US" w:eastAsia="zh-CN"/>
        </w:rPr>
        <w:t>检查知识产权条款的约定是否合理，明确甲方的背景知识产权。</w:t>
      </w:r>
    </w:p>
    <w:p w14:paraId="51394D98">
      <w:pPr>
        <w:rPr>
          <w:rFonts w:hint="default"/>
          <w:lang w:val="en-US" w:eastAsia="zh-CN"/>
        </w:rPr>
      </w:pPr>
    </w:p>
    <w:p w14:paraId="52BAF315">
      <w:pPr>
        <w:pStyle w:val="2"/>
        <w:keepNext/>
        <w:keepLines/>
        <w:widowControl w:val="0"/>
        <w:numPr>
          <w:ilvl w:val="0"/>
          <w:numId w:val="1"/>
        </w:numPr>
        <w:adjustRightInd w:val="0"/>
        <w:snapToGrid w:val="0"/>
        <w:spacing w:after="120" w:afterLines="50"/>
        <w:jc w:val="center"/>
        <w:rPr>
          <w:b/>
          <w:bCs/>
          <w:sz w:val="22"/>
          <w:szCs w:val="22"/>
        </w:rPr>
      </w:pPr>
      <w:bookmarkStart w:id="2" w:name="_Toc83812038"/>
      <w:r>
        <w:rPr>
          <w:rFonts w:hint="eastAsia"/>
          <w:sz w:val="22"/>
          <w:szCs w:val="22"/>
        </w:rPr>
        <w:t>反贿赂</w:t>
      </w:r>
    </w:p>
    <w:p w14:paraId="3F07ED64">
      <w:pPr>
        <w:pStyle w:val="31"/>
        <w:numPr>
          <w:ilvl w:val="0"/>
          <w:numId w:val="0"/>
        </w:numPr>
        <w:adjustRightInd w:val="0"/>
        <w:snapToGrid w:val="0"/>
        <w:spacing w:after="120" w:afterLines="50" w:line="240" w:lineRule="auto"/>
        <w:ind w:leftChars="0"/>
        <w:contextualSpacing w:val="0"/>
        <w:jc w:val="both"/>
      </w:pPr>
      <w:r>
        <w:rPr>
          <w:rFonts w:hint="eastAsia"/>
        </w:rPr>
        <w:t>乙方的陈述和保证：</w:t>
      </w:r>
    </w:p>
    <w:p w14:paraId="35DA616F">
      <w:pPr>
        <w:numPr>
          <w:ilvl w:val="0"/>
          <w:numId w:val="0"/>
        </w:numPr>
        <w:overflowPunct/>
        <w:autoSpaceDE/>
        <w:autoSpaceDN/>
        <w:snapToGrid w:val="0"/>
        <w:spacing w:after="120" w:afterLines="50"/>
        <w:ind w:leftChars="149"/>
        <w:jc w:val="both"/>
        <w:textAlignment w:val="auto"/>
        <w:rPr>
          <w:sz w:val="22"/>
          <w:szCs w:val="22"/>
        </w:rPr>
      </w:pPr>
      <w:r>
        <w:rPr>
          <w:rFonts w:hint="eastAsia"/>
          <w:sz w:val="22"/>
          <w:szCs w:val="22"/>
        </w:rPr>
        <w:t>按照本地法律、法规、政策和行政规定，乙方获得了许可，经过注册，或是具有资格从事业务，并且根据相关法律要求，为在规定时间内提供商品或完成服务，已经获得必需的或者法定的许可或注册。</w:t>
      </w:r>
    </w:p>
    <w:p w14:paraId="3E401797">
      <w:pPr>
        <w:numPr>
          <w:ilvl w:val="0"/>
          <w:numId w:val="0"/>
        </w:numPr>
        <w:overflowPunct/>
        <w:autoSpaceDE/>
        <w:autoSpaceDN/>
        <w:snapToGrid w:val="0"/>
        <w:spacing w:after="120" w:afterLines="50"/>
        <w:ind w:leftChars="149"/>
        <w:jc w:val="both"/>
        <w:textAlignment w:val="auto"/>
        <w:rPr>
          <w:sz w:val="22"/>
          <w:szCs w:val="22"/>
        </w:rPr>
      </w:pPr>
      <w:r>
        <w:rPr>
          <w:rFonts w:hint="eastAsia"/>
          <w:sz w:val="22"/>
          <w:szCs w:val="22"/>
        </w:rPr>
        <w:t>乙方没有也将不会直接或间接向甲方有关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14:paraId="533BFA8C">
      <w:pPr>
        <w:numPr>
          <w:ilvl w:val="0"/>
          <w:numId w:val="0"/>
        </w:numPr>
        <w:overflowPunct/>
        <w:autoSpaceDE/>
        <w:autoSpaceDN/>
        <w:snapToGrid w:val="0"/>
        <w:spacing w:after="120" w:afterLines="50"/>
        <w:ind w:leftChars="149"/>
        <w:jc w:val="both"/>
        <w:textAlignment w:val="auto"/>
        <w:rPr>
          <w:sz w:val="22"/>
          <w:szCs w:val="22"/>
        </w:rPr>
      </w:pPr>
      <w:r>
        <w:rPr>
          <w:rFonts w:hint="eastAsia"/>
          <w:sz w:val="22"/>
          <w:szCs w:val="22"/>
        </w:rPr>
        <w:t>当根据甲方内部制度或流程对乙方合同执行尽职调查时，甲方在合同签约前进行尽职调查期间，所有乙方提供的信息，包括乙方在尽职调查问卷中提供的所有信息，是完整的，真实的和准确的；并且</w:t>
      </w:r>
    </w:p>
    <w:p w14:paraId="28312396">
      <w:pPr>
        <w:numPr>
          <w:ilvl w:val="0"/>
          <w:numId w:val="0"/>
        </w:numPr>
        <w:overflowPunct/>
        <w:autoSpaceDE/>
        <w:autoSpaceDN/>
        <w:snapToGrid w:val="0"/>
        <w:spacing w:after="120" w:afterLines="50"/>
        <w:ind w:leftChars="151"/>
        <w:jc w:val="both"/>
        <w:textAlignment w:val="auto"/>
        <w:rPr>
          <w:sz w:val="22"/>
          <w:szCs w:val="22"/>
        </w:rPr>
      </w:pPr>
      <w:r>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p>
    <w:p w14:paraId="00C5B216">
      <w:pPr>
        <w:pStyle w:val="31"/>
        <w:numPr>
          <w:ilvl w:val="0"/>
          <w:numId w:val="0"/>
        </w:numPr>
        <w:adjustRightInd w:val="0"/>
        <w:snapToGrid w:val="0"/>
        <w:spacing w:after="120" w:afterLines="50" w:line="240" w:lineRule="auto"/>
        <w:ind w:leftChars="0"/>
        <w:contextualSpacing w:val="0"/>
        <w:jc w:val="both"/>
      </w:pPr>
      <w:r>
        <w:rPr>
          <w:rFonts w:hint="eastAsia"/>
        </w:rPr>
        <w:t>乙方同意采取合理措施来确保恰当的提供合同下的服务，包括</w:t>
      </w:r>
      <w:r>
        <w:t>:</w:t>
      </w:r>
    </w:p>
    <w:p w14:paraId="63295A16">
      <w:pPr>
        <w:numPr>
          <w:ilvl w:val="0"/>
          <w:numId w:val="0"/>
        </w:numPr>
        <w:overflowPunct/>
        <w:autoSpaceDE/>
        <w:autoSpaceDN/>
        <w:snapToGrid w:val="0"/>
        <w:spacing w:after="120" w:afterLines="50"/>
        <w:ind w:leftChars="151"/>
        <w:jc w:val="both"/>
        <w:textAlignment w:val="auto"/>
        <w:rPr>
          <w:sz w:val="22"/>
          <w:szCs w:val="22"/>
        </w:rPr>
      </w:pPr>
      <w:r>
        <w:rPr>
          <w:rFonts w:hint="eastAsia"/>
          <w:sz w:val="22"/>
          <w:szCs w:val="22"/>
        </w:rPr>
        <w:t>按期提供发票，详细陈述完成的工作；</w:t>
      </w:r>
    </w:p>
    <w:p w14:paraId="66898EB9">
      <w:pPr>
        <w:numPr>
          <w:ilvl w:val="0"/>
          <w:numId w:val="0"/>
        </w:numPr>
        <w:overflowPunct/>
        <w:autoSpaceDE/>
        <w:autoSpaceDN/>
        <w:snapToGrid w:val="0"/>
        <w:spacing w:after="120" w:afterLines="50"/>
        <w:ind w:leftChars="151"/>
        <w:jc w:val="both"/>
        <w:textAlignment w:val="auto"/>
        <w:rPr>
          <w:sz w:val="22"/>
          <w:szCs w:val="22"/>
        </w:rPr>
      </w:pPr>
      <w:r>
        <w:rPr>
          <w:rFonts w:hint="eastAsia"/>
          <w:sz w:val="22"/>
          <w:szCs w:val="22"/>
        </w:rPr>
        <w:t>提供用于报销所需的全部费用文件，并且在出现异常支出之前提前向甲方提供书面通知。在任何异常支出发生前，应取得甲方的书面批准；</w:t>
      </w:r>
    </w:p>
    <w:bookmarkEnd w:id="2"/>
    <w:p w14:paraId="65499E65">
      <w:pPr>
        <w:rPr>
          <w:rFonts w:hint="default"/>
          <w:lang w:val="en-US" w:eastAsia="zh-CN"/>
        </w:rPr>
      </w:pPr>
    </w:p>
    <w:sectPr>
      <w:headerReference r:id="rId6" w:type="first"/>
      <w:footerReference r:id="rId8" w:type="first"/>
      <w:headerReference r:id="rId5" w:type="default"/>
      <w:footerReference r:id="rId7" w:type="default"/>
      <w:pgSz w:w="11909" w:h="16834"/>
      <w:pgMar w:top="1440" w:right="1800" w:bottom="1440" w:left="1411" w:header="720" w:footer="720" w:gutter="0"/>
      <w:cols w:space="720" w:num="1"/>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指南针先生" w:date="2025-07-01T14:12:06Z" w:initials="">
    <w:p w14:paraId="13DF43FF">
      <w:r>
        <w:t>【全局】检查知识产权条款的约定是否合理，明确乙方的背景知识产权。</w:t>
      </w:r>
    </w:p>
    <w:p w14:paraId="19620DBB"/>
    <w:p w14:paraId="1C74E908">
      <w:r>
        <w:t>匹配原因：批注2提到了检查知识产权条款的约定是否合理，明确乙方的背景知识产权。虽然当前段落没有直接提到知识产权条款，但提到了合同条款的效力和适用，以及附件与本合同正文不一致时的处理方式，这与知识产权条款的合理性和明确性有一定的相关性。因此，批注2可以作为全局性建议插入到当前段落中。</w:t>
      </w:r>
    </w:p>
    <w:p w14:paraId="12724DB3">
      <w:pPr>
        <w:pStyle w:val="10"/>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2724DB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7745644"/>
      <w:docPartObj>
        <w:docPartGallery w:val="autotext"/>
      </w:docPartObj>
    </w:sdtPr>
    <w:sdtContent>
      <w:p w14:paraId="212E6375">
        <w:pPr>
          <w:pStyle w:val="14"/>
          <w:jc w:val="center"/>
        </w:pPr>
        <w:r>
          <w:fldChar w:fldCharType="begin"/>
        </w:r>
        <w:r>
          <w:instrText xml:space="preserve">PAGE   \* MERGEFORMAT</w:instrText>
        </w:r>
        <w:r>
          <w:fldChar w:fldCharType="separate"/>
        </w:r>
        <w:r>
          <w:rPr>
            <w:lang w:val="zh-CN"/>
          </w:rPr>
          <w:t>9</w:t>
        </w:r>
        <w:r>
          <w:fldChar w:fldCharType="end"/>
        </w:r>
      </w:p>
    </w:sdtContent>
  </w:sdt>
  <w:p w14:paraId="04590D8E">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36DDF2">
    <w:pPr>
      <w:pStyle w:val="14"/>
      <w:ind w:firstLine="100" w:firstLineChars="50"/>
      <w:jc w:val="both"/>
    </w:pP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A0D0EB">
    <w:pPr>
      <w:jc w:val="center"/>
      <w:rPr>
        <w:rFonts w:ascii="黑体" w:eastAsia="黑体"/>
        <w:b/>
        <w:sz w:val="48"/>
      </w:rPr>
    </w:pPr>
  </w:p>
  <w:tbl>
    <w:tblPr>
      <w:tblStyle w:val="18"/>
      <w:tblW w:w="10156" w:type="dxa"/>
      <w:tblInd w:w="0" w:type="dxa"/>
      <w:tblLayout w:type="fixed"/>
      <w:tblCellMar>
        <w:top w:w="0" w:type="dxa"/>
        <w:left w:w="71" w:type="dxa"/>
        <w:bottom w:w="0" w:type="dxa"/>
        <w:right w:w="71" w:type="dxa"/>
      </w:tblCellMar>
    </w:tblPr>
    <w:tblGrid>
      <w:gridCol w:w="1934"/>
      <w:gridCol w:w="5591"/>
      <w:gridCol w:w="1390"/>
      <w:gridCol w:w="1241"/>
    </w:tblGrid>
    <w:tr w14:paraId="41385C35">
      <w:tblPrEx>
        <w:tblCellMar>
          <w:top w:w="0" w:type="dxa"/>
          <w:left w:w="71" w:type="dxa"/>
          <w:bottom w:w="0" w:type="dxa"/>
          <w:right w:w="71" w:type="dxa"/>
        </w:tblCellMar>
      </w:tblPrEx>
      <w:trPr>
        <w:trHeight w:val="413" w:hRule="atLeast"/>
      </w:trPr>
      <w:tc>
        <w:tcPr>
          <w:tcW w:w="1934" w:type="dxa"/>
        </w:tcPr>
        <w:p w14:paraId="2B9A68B0">
          <w:pPr>
            <w:pStyle w:val="15"/>
          </w:pPr>
        </w:p>
      </w:tc>
      <w:tc>
        <w:tcPr>
          <w:tcW w:w="5591" w:type="dxa"/>
        </w:tcPr>
        <w:p w14:paraId="59FF0390">
          <w:pPr>
            <w:pStyle w:val="15"/>
            <w:jc w:val="center"/>
          </w:pPr>
        </w:p>
      </w:tc>
      <w:tc>
        <w:tcPr>
          <w:tcW w:w="1390" w:type="dxa"/>
        </w:tcPr>
        <w:p w14:paraId="18A3BDC0">
          <w:pPr>
            <w:pStyle w:val="15"/>
          </w:pPr>
        </w:p>
      </w:tc>
      <w:tc>
        <w:tcPr>
          <w:tcW w:w="1241" w:type="dxa"/>
        </w:tcPr>
        <w:p w14:paraId="41DCDF50">
          <w:pPr>
            <w:pStyle w:val="15"/>
            <w:jc w:val="right"/>
          </w:pPr>
        </w:p>
      </w:tc>
    </w:tr>
  </w:tbl>
  <w:p w14:paraId="0F684BDE">
    <w:pPr>
      <w:pStyle w:val="15"/>
    </w:pPr>
    <w: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ln>
                    </wps:spPr>
                    <wps:bodyPr/>
                  </wps:wsp>
                </a:graphicData>
              </a:graphic>
            </wp:anchor>
          </w:drawing>
        </mc:Choice>
        <mc:Fallback>
          <w:pict>
            <v:line id="Line 14" o:spid="_x0000_s1026" o:spt="20" style="position:absolute;left:0pt;margin-left:-3.5pt;margin-top:0.95pt;height:0pt;width:474pt;z-index:251659264;mso-width-relative:page;mso-height-relative:page;" filled="f" stroked="t" coordsize="21600,21600" o:gfxdata="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MiOuyNMAAAAGAQAADwAAAAAAAAABACAAAAAiAAAAZHJzL2Rvd25y&#10;ZXYueG1sUEsBAhQAFAAAAAgAh07iQDkJ14zKAQAAoAMAAA4AAAAAAAAAAQAgAAAAIgEAAGRycy9l&#10;Mm9Eb2MueG1sUEsFBgAAAAAGAAYAWQEAAF4FAAAAAA==&#10;">
              <v:fill on="f" focussize="0,0"/>
              <v:stroke color="#000000"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0" w:type="auto"/>
      <w:tblInd w:w="0" w:type="dxa"/>
      <w:tblLayout w:type="fixed"/>
      <w:tblCellMar>
        <w:top w:w="0" w:type="dxa"/>
        <w:left w:w="71" w:type="dxa"/>
        <w:bottom w:w="0" w:type="dxa"/>
        <w:right w:w="71" w:type="dxa"/>
      </w:tblCellMar>
    </w:tblPr>
    <w:tblGrid>
      <w:gridCol w:w="1914"/>
      <w:gridCol w:w="5103"/>
      <w:gridCol w:w="2835"/>
    </w:tblGrid>
    <w:tr w14:paraId="58E47B23">
      <w:tblPrEx>
        <w:tblCellMar>
          <w:top w:w="0" w:type="dxa"/>
          <w:left w:w="71" w:type="dxa"/>
          <w:bottom w:w="0" w:type="dxa"/>
          <w:right w:w="71" w:type="dxa"/>
        </w:tblCellMar>
      </w:tblPrEx>
      <w:trPr>
        <w:trHeight w:val="413" w:hRule="atLeast"/>
      </w:trPr>
      <w:tc>
        <w:tcPr>
          <w:tcW w:w="1914" w:type="dxa"/>
        </w:tcPr>
        <w:p w14:paraId="365249C6">
          <w:pPr>
            <w:pStyle w:val="15"/>
            <w:ind w:firstLine="200" w:firstLineChars="100"/>
          </w:pPr>
        </w:p>
      </w:tc>
      <w:tc>
        <w:tcPr>
          <w:tcW w:w="5103" w:type="dxa"/>
        </w:tcPr>
        <w:p w14:paraId="3CCA1797">
          <w:pPr>
            <w:pStyle w:val="15"/>
            <w:rPr>
              <w:sz w:val="18"/>
              <w:szCs w:val="18"/>
            </w:rPr>
          </w:pPr>
        </w:p>
      </w:tc>
      <w:tc>
        <w:tcPr>
          <w:tcW w:w="2835" w:type="dxa"/>
        </w:tcPr>
        <w:p w14:paraId="30C6AB02">
          <w:pPr>
            <w:pStyle w:val="15"/>
            <w:ind w:right="400"/>
          </w:pPr>
        </w:p>
      </w:tc>
    </w:tr>
  </w:tbl>
  <w:p w14:paraId="43384309">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DD6F8C"/>
    <w:multiLevelType w:val="multilevel"/>
    <w:tmpl w:val="4DDD6F8C"/>
    <w:lvl w:ilvl="0" w:tentative="0">
      <w:start w:val="1"/>
      <w:numFmt w:val="japaneseCounting"/>
      <w:lvlText w:val="第%1条"/>
      <w:lvlJc w:val="left"/>
      <w:pPr>
        <w:ind w:left="1320" w:hanging="132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指南针先生">
    <w15:presenceInfo w15:providerId="WPS Office" w15:userId="2094628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120"/>
  <w:drawingGridVerticalSpacing w:val="104"/>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spaceForUL/>
    <w:doNotLeaveBackslashAlone/>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12211B39"/>
    <w:rsid w:val="15F330F8"/>
    <w:rsid w:val="21B8075F"/>
    <w:rsid w:val="25734D74"/>
    <w:rsid w:val="27E651DA"/>
    <w:rsid w:val="2E23429B"/>
    <w:rsid w:val="300D4E4E"/>
    <w:rsid w:val="50C86601"/>
    <w:rsid w:val="5307450C"/>
    <w:rsid w:val="539511FC"/>
    <w:rsid w:val="54F074BB"/>
    <w:rsid w:val="620E2B01"/>
    <w:rsid w:val="649C0125"/>
    <w:rsid w:val="6CE66525"/>
    <w:rsid w:val="6E2C7B54"/>
    <w:rsid w:val="7B173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lang w:val="en-US" w:eastAsia="zh-CN" w:bidi="ar-SA"/>
    </w:rPr>
  </w:style>
  <w:style w:type="paragraph" w:styleId="2">
    <w:name w:val="heading 1"/>
    <w:basedOn w:val="1"/>
    <w:next w:val="1"/>
    <w:qFormat/>
    <w:uiPriority w:val="0"/>
    <w:pPr>
      <w:overflowPunct/>
      <w:autoSpaceDE/>
      <w:autoSpaceDN/>
      <w:adjustRightInd/>
      <w:textAlignment w:val="auto"/>
      <w:outlineLvl w:val="0"/>
    </w:pPr>
    <w:rPr>
      <w:rFonts w:ascii="Courier New" w:hAnsi="Courier New"/>
      <w:sz w:val="24"/>
    </w:rPr>
  </w:style>
  <w:style w:type="paragraph" w:styleId="3">
    <w:name w:val="heading 2"/>
    <w:basedOn w:val="1"/>
    <w:next w:val="1"/>
    <w:qFormat/>
    <w:uiPriority w:val="0"/>
    <w:pPr>
      <w:overflowPunct/>
      <w:autoSpaceDE/>
      <w:autoSpaceDN/>
      <w:adjustRightInd/>
      <w:textAlignment w:val="auto"/>
      <w:outlineLvl w:val="1"/>
    </w:pPr>
    <w:rPr>
      <w:rFonts w:ascii="Courier New" w:hAnsi="Courier New"/>
      <w:sz w:val="24"/>
    </w:rPr>
  </w:style>
  <w:style w:type="paragraph" w:styleId="4">
    <w:name w:val="heading 3"/>
    <w:basedOn w:val="1"/>
    <w:next w:val="1"/>
    <w:qFormat/>
    <w:uiPriority w:val="0"/>
    <w:pPr>
      <w:overflowPunct/>
      <w:autoSpaceDE/>
      <w:autoSpaceDN/>
      <w:adjustRightInd/>
      <w:textAlignment w:val="auto"/>
      <w:outlineLvl w:val="2"/>
    </w:pPr>
    <w:rPr>
      <w:rFonts w:ascii="Courier New" w:hAnsi="Courier New"/>
      <w:sz w:val="24"/>
    </w:rPr>
  </w:style>
  <w:style w:type="paragraph" w:styleId="5">
    <w:name w:val="heading 4"/>
    <w:basedOn w:val="1"/>
    <w:next w:val="1"/>
    <w:qFormat/>
    <w:uiPriority w:val="0"/>
    <w:pPr>
      <w:overflowPunct/>
      <w:autoSpaceDE/>
      <w:autoSpaceDN/>
      <w:adjustRightInd/>
      <w:textAlignment w:val="auto"/>
      <w:outlineLvl w:val="3"/>
    </w:pPr>
    <w:rPr>
      <w:rFonts w:ascii="Courier New" w:hAnsi="Courier New"/>
      <w:sz w:val="24"/>
    </w:rPr>
  </w:style>
  <w:style w:type="paragraph" w:styleId="6">
    <w:name w:val="heading 5"/>
    <w:basedOn w:val="1"/>
    <w:next w:val="1"/>
    <w:qFormat/>
    <w:uiPriority w:val="0"/>
    <w:pPr>
      <w:overflowPunct/>
      <w:autoSpaceDE/>
      <w:autoSpaceDN/>
      <w:adjustRightInd/>
      <w:textAlignment w:val="auto"/>
      <w:outlineLvl w:val="4"/>
    </w:pPr>
    <w:rPr>
      <w:rFonts w:ascii="Courier New" w:hAnsi="Courier New"/>
      <w:sz w:val="24"/>
    </w:rPr>
  </w:style>
  <w:style w:type="paragraph" w:styleId="7">
    <w:name w:val="heading 6"/>
    <w:basedOn w:val="1"/>
    <w:next w:val="1"/>
    <w:qFormat/>
    <w:uiPriority w:val="0"/>
    <w:pPr>
      <w:overflowPunct/>
      <w:autoSpaceDE/>
      <w:autoSpaceDN/>
      <w:adjustRightInd/>
      <w:textAlignment w:val="auto"/>
      <w:outlineLvl w:val="5"/>
    </w:pPr>
    <w:rPr>
      <w:rFonts w:ascii="Courier New" w:hAnsi="Courier New"/>
      <w:sz w:val="24"/>
    </w:rPr>
  </w:style>
  <w:style w:type="paragraph" w:styleId="8">
    <w:name w:val="heading 7"/>
    <w:basedOn w:val="1"/>
    <w:next w:val="1"/>
    <w:qFormat/>
    <w:uiPriority w:val="0"/>
    <w:pPr>
      <w:overflowPunct/>
      <w:autoSpaceDE/>
      <w:autoSpaceDN/>
      <w:adjustRightInd/>
      <w:textAlignment w:val="auto"/>
      <w:outlineLvl w:val="6"/>
    </w:pPr>
    <w:rPr>
      <w:rFonts w:ascii="Courier New" w:hAnsi="Courier New"/>
      <w:sz w:val="24"/>
    </w:rPr>
  </w:style>
  <w:style w:type="paragraph" w:styleId="9">
    <w:name w:val="heading 8"/>
    <w:basedOn w:val="1"/>
    <w:next w:val="1"/>
    <w:qFormat/>
    <w:uiPriority w:val="0"/>
    <w:pPr>
      <w:overflowPunct/>
      <w:autoSpaceDE/>
      <w:autoSpaceDN/>
      <w:adjustRightInd/>
      <w:textAlignment w:val="auto"/>
      <w:outlineLvl w:val="7"/>
    </w:pPr>
    <w:rPr>
      <w:rFonts w:ascii="Courier New" w:hAnsi="Courier New"/>
      <w:sz w:val="24"/>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0">
    <w:name w:val="annotation text"/>
    <w:basedOn w:val="1"/>
    <w:link w:val="27"/>
    <w:qFormat/>
    <w:uiPriority w:val="0"/>
  </w:style>
  <w:style w:type="paragraph" w:styleId="11">
    <w:name w:val="Body Text"/>
    <w:basedOn w:val="1"/>
    <w:qFormat/>
    <w:uiPriority w:val="0"/>
    <w:pPr>
      <w:widowControl w:val="0"/>
      <w:overflowPunct/>
      <w:autoSpaceDE/>
      <w:autoSpaceDN/>
      <w:adjustRightInd/>
      <w:jc w:val="both"/>
      <w:textAlignment w:val="auto"/>
    </w:pPr>
    <w:rPr>
      <w:b/>
      <w:kern w:val="2"/>
      <w:sz w:val="28"/>
    </w:rPr>
  </w:style>
  <w:style w:type="paragraph" w:styleId="12">
    <w:name w:val="Body Text Indent 2"/>
    <w:basedOn w:val="1"/>
    <w:qFormat/>
    <w:uiPriority w:val="0"/>
    <w:pPr>
      <w:widowControl w:val="0"/>
      <w:overflowPunct/>
      <w:autoSpaceDE/>
      <w:autoSpaceDN/>
      <w:adjustRightInd/>
      <w:ind w:left="105" w:firstLine="254" w:firstLineChars="106"/>
      <w:jc w:val="both"/>
      <w:textAlignment w:val="auto"/>
    </w:pPr>
    <w:rPr>
      <w:bCs/>
      <w:kern w:val="2"/>
      <w:sz w:val="24"/>
    </w:rPr>
  </w:style>
  <w:style w:type="paragraph" w:styleId="13">
    <w:name w:val="Balloon Text"/>
    <w:basedOn w:val="1"/>
    <w:link w:val="26"/>
    <w:qFormat/>
    <w:uiPriority w:val="0"/>
    <w:rPr>
      <w:sz w:val="18"/>
      <w:szCs w:val="18"/>
    </w:rPr>
  </w:style>
  <w:style w:type="paragraph" w:styleId="14">
    <w:name w:val="footer"/>
    <w:basedOn w:val="1"/>
    <w:link w:val="29"/>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Body Text Indent 3"/>
    <w:basedOn w:val="1"/>
    <w:qFormat/>
    <w:uiPriority w:val="0"/>
    <w:pPr>
      <w:widowControl w:val="0"/>
      <w:overflowPunct/>
      <w:autoSpaceDE/>
      <w:autoSpaceDN/>
      <w:adjustRightInd/>
      <w:ind w:firstLine="569" w:firstLineChars="237"/>
      <w:jc w:val="both"/>
      <w:textAlignment w:val="auto"/>
    </w:pPr>
    <w:rPr>
      <w:kern w:val="2"/>
      <w:sz w:val="24"/>
    </w:rPr>
  </w:style>
  <w:style w:type="paragraph" w:styleId="17">
    <w:name w:val="annotation subject"/>
    <w:basedOn w:val="10"/>
    <w:next w:val="10"/>
    <w:link w:val="28"/>
    <w:qFormat/>
    <w:uiPriority w:val="0"/>
    <w:rPr>
      <w:b/>
      <w:bCs/>
    </w:rPr>
  </w:style>
  <w:style w:type="character" w:styleId="20">
    <w:name w:val="page number"/>
    <w:basedOn w:val="19"/>
    <w:qFormat/>
    <w:uiPriority w:val="0"/>
  </w:style>
  <w:style w:type="character" w:styleId="21">
    <w:name w:val="annotation reference"/>
    <w:qFormat/>
    <w:uiPriority w:val="0"/>
    <w:rPr>
      <w:sz w:val="21"/>
      <w:szCs w:val="21"/>
    </w:rPr>
  </w:style>
  <w:style w:type="paragraph" w:customStyle="1" w:styleId="22">
    <w:name w:val="StandardohneAbstand"/>
    <w:basedOn w:val="1"/>
    <w:qFormat/>
    <w:uiPriority w:val="0"/>
    <w:pPr>
      <w:overflowPunct/>
      <w:autoSpaceDE/>
      <w:autoSpaceDN/>
      <w:adjustRightInd/>
      <w:textAlignment w:val="auto"/>
    </w:pPr>
    <w:rPr>
      <w:sz w:val="24"/>
      <w:lang w:val="de-DE" w:eastAsia="de-DE"/>
    </w:rPr>
  </w:style>
  <w:style w:type="paragraph" w:customStyle="1" w:styleId="23">
    <w:name w:val="Main Text"/>
    <w:basedOn w:val="1"/>
    <w:qFormat/>
    <w:uiPriority w:val="0"/>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24">
    <w:name w:val="1"/>
    <w:basedOn w:val="1"/>
    <w:next w:val="16"/>
    <w:qFormat/>
    <w:uiPriority w:val="0"/>
    <w:pPr>
      <w:widowControl w:val="0"/>
      <w:overflowPunct/>
      <w:autoSpaceDE/>
      <w:autoSpaceDN/>
      <w:adjustRightInd/>
      <w:spacing w:line="480" w:lineRule="exact"/>
      <w:ind w:firstLine="560" w:firstLineChars="200"/>
      <w:jc w:val="both"/>
      <w:textAlignment w:val="auto"/>
    </w:pPr>
    <w:rPr>
      <w:rFonts w:eastAsia="隶书"/>
      <w:bCs/>
      <w:kern w:val="2"/>
      <w:sz w:val="28"/>
    </w:rPr>
  </w:style>
  <w:style w:type="paragraph" w:customStyle="1" w:styleId="25">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character" w:customStyle="1" w:styleId="26">
    <w:name w:val="批注框文本 字符"/>
    <w:link w:val="13"/>
    <w:qFormat/>
    <w:uiPriority w:val="0"/>
    <w:rPr>
      <w:sz w:val="18"/>
      <w:szCs w:val="18"/>
    </w:rPr>
  </w:style>
  <w:style w:type="character" w:customStyle="1" w:styleId="27">
    <w:name w:val="批注文字 字符"/>
    <w:basedOn w:val="19"/>
    <w:link w:val="10"/>
    <w:qFormat/>
    <w:uiPriority w:val="0"/>
  </w:style>
  <w:style w:type="character" w:customStyle="1" w:styleId="28">
    <w:name w:val="批注主题 字符"/>
    <w:link w:val="17"/>
    <w:qFormat/>
    <w:uiPriority w:val="0"/>
    <w:rPr>
      <w:b/>
      <w:bCs/>
    </w:rPr>
  </w:style>
  <w:style w:type="character" w:customStyle="1" w:styleId="29">
    <w:name w:val="页脚 字符"/>
    <w:basedOn w:val="19"/>
    <w:link w:val="14"/>
    <w:qFormat/>
    <w:uiPriority w:val="99"/>
  </w:style>
  <w:style w:type="character" w:styleId="30">
    <w:name w:val="Placeholder Text"/>
    <w:basedOn w:val="19"/>
    <w:semiHidden/>
    <w:qFormat/>
    <w:uiPriority w:val="99"/>
    <w:rPr>
      <w:color w:val="808080"/>
    </w:rPr>
  </w:style>
  <w:style w:type="paragraph" w:styleId="31">
    <w:name w:val="List Paragraph"/>
    <w:basedOn w:val="1"/>
    <w:qFormat/>
    <w:uiPriority w:val="34"/>
    <w:pPr>
      <w:overflowPunct/>
      <w:autoSpaceDE/>
      <w:autoSpaceDN/>
      <w:adjustRightInd/>
      <w:spacing w:after="200" w:line="276" w:lineRule="auto"/>
      <w:ind w:left="720"/>
      <w:contextualSpacing/>
      <w:textAlignment w:val="auto"/>
    </w:pPr>
    <w:rPr>
      <w:rFonts w:asciiTheme="minorHAnsi" w:hAnsiTheme="minorHAnsi" w:eastAsiaTheme="minorEastAsia" w:cstheme="minorBidi"/>
      <w:sz w:val="22"/>
      <w:szCs w:val="22"/>
    </w:rPr>
  </w:style>
  <w:style w:type="paragraph" w:customStyle="1" w:styleId="32">
    <w:name w:val="Revision"/>
    <w:hidden/>
    <w:semiHidden/>
    <w:qFormat/>
    <w:uiPriority w:val="99"/>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97691E-7E9F-44EB-8E30-11C7575210E3}">
  <ds:schemaRefs/>
</ds:datastoreItem>
</file>

<file path=docProps/app.xml><?xml version="1.0" encoding="utf-8"?>
<Properties xmlns="http://schemas.openxmlformats.org/officeDocument/2006/extended-properties" xmlns:vt="http://schemas.openxmlformats.org/officeDocument/2006/docPropsVTypes">
  <Template>HK eng-chn (word95).dot</Template>
  <Pages>2</Pages>
  <Words>1072</Words>
  <Characters>1083</Characters>
  <Lines>65</Lines>
  <Paragraphs>18</Paragraphs>
  <TotalTime>0</TotalTime>
  <ScaleCrop>false</ScaleCrop>
  <LinksUpToDate>false</LinksUpToDate>
  <CharactersWithSpaces>1083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2022-05-17T07:26:00Z</dcterms:created>
  <dc:creator>Gina Yan</dc:creator>
  <cp:lastModifiedBy>指南针先生</cp:lastModifiedBy>
  <cp:lastPrinted>2017-09-24T07:20:00Z</cp:lastPrinted>
  <dcterms:modified xsi:type="dcterms:W3CDTF">2025-07-01T07:24:13Z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eyJoZGlkIjoiM2E4YzdlZTMyOGMzYjczZjAyNTJkMDVmMDAwN2VhZjUiLCJ1c2VySWQiOiI4NDMwMDEyMTkifQ==</vt:lpwstr>
  </property>
  <property fmtid="{D5CDD505-2E9C-101B-9397-08002B2CF9AE}" pid="4" name="ICV">
    <vt:lpwstr>C3A00F91D14048918E304269D6790DFF_12</vt:lpwstr>
  </property>
</Properties>
</file>