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90DB6">
      <w:pPr>
        <w:pStyle w:val="2"/>
        <w:bidi w:val="0"/>
        <w:rPr>
          <w:rFonts w:hint="default"/>
          <w:lang w:val="en-US" w:eastAsia="zh-CN"/>
        </w:rPr>
      </w:pPr>
      <w:r>
        <w:rPr>
          <w:rFonts w:hint="eastAsia"/>
          <w:lang w:val="en-US" w:eastAsia="zh-CN"/>
        </w:rPr>
        <w:t>1.</w:t>
      </w:r>
    </w:p>
    <w:p w14:paraId="2FCA9B78">
      <w:pPr>
        <w:bidi w:val="0"/>
      </w:pPr>
      <w:commentRangeStart w:id="0"/>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0"/>
      <w:r>
        <w:commentReference w:id="0"/>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commentRangeStart w:id="1"/>
      <w:r>
        <w:rPr>
          <w:rFonts w:hint="eastAsia"/>
        </w:rPr>
        <w:t>验收期为5月12日</w:t>
      </w:r>
      <w:r>
        <w:rPr>
          <w:rFonts w:hint="eastAsia"/>
          <w:lang w:val="en-US" w:eastAsia="zh-CN"/>
        </w:rPr>
        <w:t/>
      </w:r>
      <w:commentRangeEnd w:id="1"/>
      <w:r>
        <w:commentReference w:id="1"/>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commentRangeStart w:id="2"/>
      <w:r>
        <w:rPr>
          <w:rFonts w:hint="eastAsia"/>
        </w:rPr>
        <w:t>验收期为5月14日</w:t>
      </w:r>
      <w:r>
        <w:rPr>
          <w:rFonts w:hint="eastAsia"/>
          <w:lang w:val="en-US" w:eastAsia="zh-CN"/>
        </w:rPr>
        <w:t/>
      </w:r>
      <w:commentRangeEnd w:id="2"/>
      <w:r>
        <w:commentReference w:id="2"/>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commentRangeStart w:id="3"/>
      <w:r>
        <w:rPr>
          <w:rFonts w:hint="eastAsia"/>
          <w:lang w:val="en-US" w:eastAsia="zh-CN"/>
        </w:rPr>
        <w:t>检查知识产权条款的约定是否合理，明确乙方的背景知识产权。</w:t>
      </w:r>
      <w:commentRangeEnd w:id="3"/>
      <w:r>
        <w:commentReference w:id="3"/>
      </w:r>
    </w:p>
    <w:p w14:paraId="7EDA0FB6">
      <w:pPr>
        <w:bidi w:val="0"/>
        <w:rPr>
          <w:rFonts w:hint="eastAsia"/>
          <w:lang w:val="en-US" w:eastAsia="zh-CN"/>
        </w:rPr>
      </w:pPr>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commentRangeStart w:id="4"/>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commentRangeEnd w:id="4"/>
      <w:r>
        <w:commentReference w:id="4"/>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commentRangeStart w:id="5"/>
      <w:r>
        <w:rPr>
          <w:rFonts w:hint="eastAsia"/>
          <w:lang w:val="en-US" w:eastAsia="zh-CN"/>
        </w:rPr>
        <w:t>检查知识产权条款的约定是否合理，明确甲方的背景知识产权。</w:t>
      </w:r>
      <w:commentRangeEnd w:id="5"/>
      <w:r>
        <w:commentReference w:id="5"/>
      </w:r>
    </w:p>
    <w:p w14:paraId="51394D98">
      <w:pPr>
        <w:rPr>
          <w:rFonts w:hint="default"/>
          <w:lang w:val="en-US" w:eastAsia="zh-CN"/>
        </w:rPr>
      </w:pPr>
    </w:p>
    <w:p w14:paraId="52BAF315">
      <w:pPr>
        <w:pStyle w:val="2"/>
        <w:keepNext/>
        <w:keepLines/>
        <w:widowControl w:val="0"/>
        <w:numPr>
          <w:ilvl w:val="0"/>
          <w:numId w:val="1"/>
        </w:numPr>
        <w:adjustRightInd w:val="0"/>
        <w:snapToGrid w:val="0"/>
        <w:spacing w:after="120" w:afterLines="50"/>
        <w:jc w:val="center"/>
        <w:rPr>
          <w:b/>
          <w:bCs/>
          <w:sz w:val="22"/>
          <w:szCs w:val="22"/>
        </w:rPr>
      </w:pPr>
      <w:bookmarkStart w:id="2" w:name="_Toc83812038"/>
      <w:r>
        <w:rPr>
          <w:rFonts w:hint="eastAsia"/>
          <w:sz w:val="22"/>
          <w:szCs w:val="22"/>
        </w:rPr>
        <w:t>反贿赂</w:t>
      </w:r>
    </w:p>
    <w:p w14:paraId="3F07ED64">
      <w:pPr>
        <w:pStyle w:val="31"/>
        <w:numPr>
          <w:ilvl w:val="0"/>
          <w:numId w:val="0"/>
        </w:numPr>
        <w:adjustRightInd w:val="0"/>
        <w:snapToGrid w:val="0"/>
        <w:spacing w:after="120" w:afterLines="50" w:line="240" w:lineRule="auto"/>
        <w:ind w:leftChars="0"/>
        <w:contextualSpacing w:val="0"/>
        <w:jc w:val="both"/>
      </w:pPr>
      <w:r>
        <w:rPr>
          <w:rFonts w:hint="eastAsia"/>
        </w:rPr>
        <w:t>乙方的陈述和保证：</w:t>
      </w:r>
    </w:p>
    <w:p w14:paraId="35DA616F">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按照本地法律、法规、政策和行政规定，乙方获得了许可，经过注册，或是具有资格从事业务，并且根据相关法律要求，为在规定时间内提供商品或完成服</w:t>
      </w:r>
      <w:bookmarkStart w:id="3" w:name="_GoBack"/>
      <w:bookmarkEnd w:id="3"/>
      <w:r>
        <w:rPr>
          <w:rFonts w:hint="eastAsia"/>
          <w:sz w:val="22"/>
          <w:szCs w:val="22"/>
        </w:rPr>
        <w:t>务，已经获得必需的或者法定的许可或注册。</w:t>
      </w:r>
    </w:p>
    <w:p w14:paraId="3E401797">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乙方没有也将不会直接或间接向甲方有关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533BFA8C">
      <w:pPr>
        <w:numPr>
          <w:ilvl w:val="0"/>
          <w:numId w:val="0"/>
        </w:numPr>
        <w:overflowPunct/>
        <w:autoSpaceDE/>
        <w:autoSpaceDN/>
        <w:snapToGrid w:val="0"/>
        <w:spacing w:after="120" w:afterLines="50"/>
        <w:ind w:leftChars="149"/>
        <w:jc w:val="both"/>
        <w:textAlignment w:val="auto"/>
        <w:rPr>
          <w:sz w:val="22"/>
          <w:szCs w:val="22"/>
        </w:rPr>
      </w:pPr>
      <w:commentRangeStart w:id="6"/>
      <w:r>
        <w:rPr>
          <w:rFonts w:hint="eastAsia"/>
          <w:sz w:val="22"/>
          <w:szCs w:val="22"/>
        </w:rPr>
        <w:t>当根据甲方内部制度或流程对乙方合同执行尽职调查时，甲方在合同签约前进行尽职调查期间，所有乙方提供的信息，包括乙方在尽职调查问卷中提供的所有信息，是完整的，真实的和准确的；并且</w:t>
      </w:r>
      <w:commentRangeEnd w:id="6"/>
      <w:r>
        <w:commentReference w:id="6"/>
      </w:r>
    </w:p>
    <w:p w14:paraId="2831239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00C5B216">
      <w:pPr>
        <w:pStyle w:val="31"/>
        <w:numPr>
          <w:ilvl w:val="0"/>
          <w:numId w:val="0"/>
        </w:numPr>
        <w:adjustRightInd w:val="0"/>
        <w:snapToGrid w:val="0"/>
        <w:spacing w:after="120" w:afterLines="50" w:line="240" w:lineRule="auto"/>
        <w:ind w:leftChars="0"/>
        <w:contextualSpacing w:val="0"/>
        <w:jc w:val="both"/>
      </w:pPr>
      <w:r>
        <w:rPr>
          <w:rFonts w:hint="eastAsia"/>
        </w:rPr>
        <w:t>乙方同意采取合理措施来确保恰当的提供合同下的服务，包括</w:t>
      </w:r>
      <w:r>
        <w:t>:</w:t>
      </w:r>
    </w:p>
    <w:p w14:paraId="63295A1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按期提供发票，详细陈述完成的工作；</w:t>
      </w:r>
    </w:p>
    <w:p w14:paraId="66898EB9">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提供用于报销所需的全部费用文件，并且在出现异常支出之前提前向甲方提供书面通知。在任何异常支出发生前，应取得甲方的书面批准；</w:t>
      </w:r>
    </w:p>
    <w:bookmarkEnd w:id="2"/>
    <w:p w14:paraId="65499E65">
      <w:pPr>
        <w:rPr>
          <w:rFonts w:hint="default"/>
          <w:lang w:val="en-US" w:eastAsia="zh-CN"/>
        </w:rPr>
      </w:pP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1T15:37:38Z">
    <w:p w14:paraId="73C6B076">
      <w:pPr>
        <w:pStyle w:val="CommentText"/>
      </w:pPr>
      <w:r>
        <w:annotationRef/>
      </w:r>
      <w:r>
        <w:t>【全局】检查知识产权条款的约定是否合理，明确乙方的背景知识产权。</w:t>
      </w:r>
    </w:p>
    <w:p w14:paraId="4544A368">
      <w:r>
        <w:t/>
      </w:r>
    </w:p>
    <w:p w14:paraId="227289C3">
      <w:r>
        <w:t>匹配原因：批注2提到了检查知识产权条款的约定是否合理，明确乙方的背景知识产权。虽然当前段落没有直接提到知识产权条款，但提到了合同条款的效力和适用，以及附件与本合同正文不一致时的处理方式，这与知识产权条款的合理性和明确性有一定的相关性。因此，批注2可以作为全局性批注插入到当前段落中，以提醒对知识产权条款的关注。</w:t>
      </w:r>
    </w:p>
    <w:p w14:paraId="2FAFB1FF">
      <w:pPr>
        <w:pStyle w:val="10"/>
      </w:pPr>
    </w:p>
  </w:comment>
  <w:comment w:id="1" w:author="批注系统" w:date="2025-07-01T15:37:38Z">
    <w:p w14:paraId="C8AE0765">
      <w:pPr>
        <w:pStyle w:val="CommentText"/>
      </w:pPr>
      <w:r>
        <w:annotationRef/>
      </w:r>
      <w:r>
        <w:t>验收期应约定为14日，该期限不接受任何形式的更改。</w:t>
      </w:r>
    </w:p>
    <w:p w14:paraId="50D2AEF6">
      <w:r>
        <w:t/>
      </w:r>
    </w:p>
    <w:p w14:paraId="97571F54">
      <w:r>
        <w:t>匹配原因：批注1明确指出验收期应约定为14日，而原文中的验收期为5月12日，与批注要求不符，存在明显的日期错误。虽然批注1中的&amp;apos;14日&amp;apos;与原文中的&amp;apos;12日&amp;apos;不完全相同，但都涉及到验收期的具体日期，语义相关性高。</w:t>
      </w:r>
    </w:p>
    <w:p w14:paraId="D840143F">
      <w:pPr>
        <w:pStyle w:val="10"/>
      </w:pPr>
    </w:p>
  </w:comment>
  <w:comment w:id="2" w:author="批注系统" w:date="2025-07-01T15:37:38Z">
    <w:p w14:paraId="0C030098">
      <w:pPr>
        <w:pStyle w:val="CommentText"/>
      </w:pPr>
      <w:r>
        <w:annotationRef/>
      </w:r>
      <w:r>
        <w:t>【模糊】验收期应约定为14日，该期限不接受任何形式的更改。</w:t>
      </w:r>
    </w:p>
    <w:p w14:paraId="D8917043">
      <w:r>
        <w:t/>
      </w:r>
    </w:p>
    <w:p w14:paraId="A3F6BEC1">
      <w:r>
        <w:t>匹配原因：模糊匹配成功，相似度: 1.000；相似度较高，存在较强的语义关联；与其他批注相比优势明显（差距: 1.000）；词汇重叠率较低（0.0%），主要基于语义相似性；虽然未达到精确匹配标准，但基于语义相似性和内容相关性，该批注最适合当前段落</w:t>
      </w:r>
    </w:p>
    <w:p w14:paraId="CAE21B3E">
      <w:pPr>
        <w:pStyle w:val="10"/>
      </w:pPr>
    </w:p>
  </w:comment>
  <w:comment w:id="3" w:author="批注系统" w:date="2025-07-01T15:37:38Z">
    <w:p w14:paraId="B80DF774">
      <w:pPr>
        <w:pStyle w:val="CommentText"/>
      </w:pPr>
      <w:r>
        <w:annotationRef/>
      </w:r>
      <w:r>
        <w:t>【全局】检查知识产权条款的约定是否合理，明确乙方的背景知识产权。</w:t>
      </w:r>
    </w:p>
    <w:p w14:paraId="5D208698">
      <w:r>
        <w:t/>
      </w:r>
    </w:p>
    <w:p w14:paraId="ABEB3A71">
      <w:r>
        <w:t>匹配原因：批注2与当前段落文本完全一致，语义上高度相关，且批注内容是对知识产权条款的宏观评价和建议，符合global_comment类型。</w:t>
      </w:r>
    </w:p>
    <w:p w14:paraId="E619A3CB">
      <w:pPr>
        <w:pStyle w:val="10"/>
      </w:pPr>
    </w:p>
  </w:comment>
  <w:comment w:id="4" w:author="批注系统" w:date="2025-07-01T15:37:38Z">
    <w:p w14:paraId="DE7EBB14">
      <w:pPr>
        <w:pStyle w:val="CommentText"/>
      </w:pPr>
      <w:r>
        <w:annotationRef/>
      </w:r>
      <w:r>
        <w:t>【全局】检查知识产权条款的约定是否合理，明确乙方的背景知识产权。</w:t>
      </w:r>
    </w:p>
    <w:p w14:paraId="92FCB4B3">
      <w:r>
        <w:t/>
      </w:r>
    </w:p>
    <w:p w14:paraId="DBBC237F">
      <w:r>
        <w:t>匹配原因：批注2提到了检查知识产权条款的约定是否合理，明确乙方的背景知识产权。虽然当前段落没有直接提到知识产权，但提到了乙方提供的合同服务及提交的服务成果需要符合合同及附件的要求，这与知识产权条款的合理性有一定的关联性。因此，批注2可以作为全局性建议插入到当前段落中。</w:t>
      </w:r>
    </w:p>
    <w:p w14:paraId="7E5B804E">
      <w:pPr>
        <w:pStyle w:val="10"/>
      </w:pPr>
    </w:p>
  </w:comment>
  <w:comment w:id="5" w:author="批注系统" w:date="2025-07-01T15:37:38Z">
    <w:p w14:paraId="47124AF0">
      <w:pPr>
        <w:pStyle w:val="CommentText"/>
      </w:pPr>
      <w:r>
        <w:annotationRef/>
      </w:r>
      <w:r>
        <w:t>检查知识产权条款的约定是否合理，明确乙方的背景知识产权。</w:t>
      </w:r>
    </w:p>
    <w:p w14:paraId="15DDCD5E">
      <w:r>
        <w:t/>
      </w:r>
    </w:p>
    <w:p w14:paraId="BDAC8DC5">
      <w:r>
        <w:t>匹配原因：批注2与当前段落内容高度相关，都涉及知识产权条款的约定和背景知识产权的明确。虽然批注2中提到的&amp;apos;乙方&amp;apos;与段落中的&amp;apos;甲方&amp;apos;不符，但这是明显的错误，符合精确错误识别的规则。因此，批注2最适合该段落。</w:t>
      </w:r>
    </w:p>
    <w:p w14:paraId="87FBE5BD">
      <w:pPr>
        <w:pStyle w:val="10"/>
      </w:pPr>
    </w:p>
  </w:comment>
  <w:comment w:id="6" w:author="批注系统" w:date="2025-07-01T15:37:38Z">
    <w:p w14:paraId="1ED938BA">
      <w:pPr>
        <w:pStyle w:val="CommentText"/>
      </w:pPr>
      <w:r>
        <w:annotationRef/>
      </w:r>
      <w:r>
        <w:t>【全局】检查知识产权条款的约定是否合理，明确乙方的背景知识产权。</w:t>
      </w:r>
    </w:p>
    <w:p w14:paraId="211BD9DA">
      <w:r>
        <w:t/>
      </w:r>
    </w:p>
    <w:p w14:paraId="5E8641DE">
      <w:r>
        <w:t>匹配原因：批注2提到了检查知识产权条款的约定是否合理，明确乙方的背景知识产权。虽然当前段落没有直接提到知识产权，但提到了乙方提供的信息需要是完整的、真实的和准确的，这与知识产权条款的合理性和明确性有一定的关联性。因此，批注2可以作为一个模糊匹配的批注插入到当前段落中。</w:t>
      </w:r>
    </w:p>
    <w:p w14:paraId="E85EEBB3">
      <w:pPr>
        <w:pStyle w:val="10"/>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DD6F8C"/>
    <w:multiLevelType w:val="multilevel"/>
    <w:tmpl w:val="4DDD6F8C"/>
    <w:lvl w:ilvl="0" w:tentative="0">
      <w:start w:val="1"/>
      <w:numFmt w:val="japaneseCounting"/>
      <w:lvlText w:val="第%1条"/>
      <w:lvlJc w:val="left"/>
      <w:pPr>
        <w:ind w:left="1320" w:hanging="13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2211B39"/>
    <w:rsid w:val="15F330F8"/>
    <w:rsid w:val="21B8075F"/>
    <w:rsid w:val="25734D74"/>
    <w:rsid w:val="27E651DA"/>
    <w:rsid w:val="2E23429B"/>
    <w:rsid w:val="300D4E4E"/>
    <w:rsid w:val="50C86601"/>
    <w:rsid w:val="539511FC"/>
    <w:rsid w:val="54F074BB"/>
    <w:rsid w:val="649C0125"/>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2</Pages>
  <Words>1705</Words>
  <Characters>1735</Characters>
  <Lines>65</Lines>
  <Paragraphs>18</Paragraphs>
  <TotalTime>0</TotalTime>
  <ScaleCrop>false</ScaleCrop>
  <LinksUpToDate>false</LinksUpToDate>
  <CharactersWithSpaces>1745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2025-06-25T03:42:00Z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