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296" w:rsidRDefault="000B5296"/>
    <w:p w:rsidR="000B5296" w:rsidRDefault="000B5296"/>
    <w:p w:rsidR="000B5296" w:rsidRDefault="00DA6B8A">
      <w:pPr>
        <w:jc w:val="center"/>
      </w:pPr>
      <w:r>
        <w:rPr>
          <w:b/>
          <w:color w:val="0F172A"/>
          <w:sz w:val="52"/>
        </w:rPr>
        <w:t>GeoNarrative AI</w:t>
      </w:r>
    </w:p>
    <w:p w:rsidR="000B5296" w:rsidRDefault="00DA6B8A">
      <w:pPr>
        <w:jc w:val="center"/>
      </w:pPr>
      <w:r>
        <w:rPr>
          <w:b/>
          <w:color w:val="0284C7"/>
          <w:sz w:val="32"/>
        </w:rPr>
        <w:t>An AI-Powered Digital Twin Platform for Flood Risk Assessment, Spatial Intelligence, and Decision Support</w:t>
      </w:r>
    </w:p>
    <w:p w:rsidR="000B5296" w:rsidRDefault="000B5296"/>
    <w:p w:rsidR="000B5296" w:rsidRDefault="00DA6B8A">
      <w:pPr>
        <w:jc w:val="center"/>
      </w:pPr>
      <w:r>
        <w:rPr>
          <w:color w:val="475569"/>
          <w:sz w:val="28"/>
        </w:rPr>
        <w:t>Literature Review and Study Area Report</w:t>
      </w:r>
    </w:p>
    <w:p w:rsidR="000B5296" w:rsidRDefault="000B5296"/>
    <w:p w:rsidR="000B5296" w:rsidRDefault="000B5296"/>
    <w:p w:rsidR="000B5296" w:rsidRDefault="00DA6B8A">
      <w:pPr>
        <w:jc w:val="center"/>
      </w:pPr>
      <w:r>
        <w:rPr>
          <w:b/>
        </w:rPr>
        <w:t xml:space="preserve">Candidate: </w:t>
      </w:r>
      <w:proofErr w:type="spellStart"/>
      <w:r>
        <w:t>Harnish</w:t>
      </w:r>
      <w:proofErr w:type="spellEnd"/>
      <w:r>
        <w:t xml:space="preserve"> Savant</w:t>
      </w:r>
    </w:p>
    <w:p w:rsidR="000B5296" w:rsidRDefault="00DA6B8A">
      <w:pPr>
        <w:jc w:val="center"/>
      </w:pPr>
      <w:r>
        <w:rPr>
          <w:b/>
        </w:rPr>
        <w:t xml:space="preserve">Program: </w:t>
      </w:r>
      <w:r>
        <w:t>MSc DSSA</w:t>
      </w:r>
      <w:r>
        <w:t>, Semester III</w:t>
      </w:r>
    </w:p>
    <w:p w:rsidR="000B5296" w:rsidRDefault="00DA6B8A">
      <w:pPr>
        <w:jc w:val="center"/>
      </w:pPr>
      <w:r>
        <w:rPr>
          <w:b/>
        </w:rPr>
        <w:t xml:space="preserve">Institution: </w:t>
      </w:r>
      <w:r w:rsidRPr="00DA6B8A">
        <w:t xml:space="preserve">symbiosis institute of </w:t>
      </w:r>
      <w:proofErr w:type="spellStart"/>
      <w:r w:rsidRPr="00DA6B8A">
        <w:t>Geoinformatics</w:t>
      </w:r>
      <w:proofErr w:type="spellEnd"/>
      <w:r w:rsidRPr="00DA6B8A">
        <w:t xml:space="preserve"> </w:t>
      </w:r>
    </w:p>
    <w:p w:rsidR="000B5296" w:rsidRDefault="00DA6B8A">
      <w:pPr>
        <w:jc w:val="center"/>
      </w:pPr>
      <w:r>
        <w:rPr>
          <w:b/>
        </w:rPr>
        <w:t xml:space="preserve">Guide: </w:t>
      </w:r>
      <w:r w:rsidRPr="00DA6B8A">
        <w:t xml:space="preserve">Dr. T.P. Singh, Dr. </w:t>
      </w:r>
      <w:proofErr w:type="spellStart"/>
      <w:r w:rsidRPr="00DA6B8A">
        <w:t>Dharmaveer</w:t>
      </w:r>
      <w:proofErr w:type="spellEnd"/>
      <w:r w:rsidRPr="00DA6B8A">
        <w:t xml:space="preserve"> Singh</w:t>
      </w:r>
    </w:p>
    <w:p w:rsidR="000B5296" w:rsidRDefault="00DA6B8A">
      <w:pPr>
        <w:jc w:val="center"/>
      </w:pPr>
      <w:r>
        <w:rPr>
          <w:b/>
        </w:rPr>
        <w:t xml:space="preserve">Date: </w:t>
      </w:r>
      <w:r>
        <w:t>June 2026</w:t>
      </w:r>
    </w:p>
    <w:p w:rsidR="000B5296" w:rsidRDefault="00DA6B8A">
      <w:bookmarkStart w:id="0" w:name="_GoBack"/>
      <w:bookmarkEnd w:id="0"/>
      <w:r>
        <w:br w:type="page"/>
      </w:r>
    </w:p>
    <w:p w:rsidR="000B5296" w:rsidRDefault="00DA6B8A">
      <w:pPr>
        <w:pStyle w:val="Heading1"/>
      </w:pPr>
      <w:r>
        <w:rPr>
          <w:rFonts w:ascii="Times New Roman" w:hAnsi="Times New Roman"/>
          <w:color w:val="000000"/>
        </w:rPr>
        <w:lastRenderedPageBreak/>
        <w:t>1. Introduction</w:t>
      </w:r>
    </w:p>
    <w:p w:rsidR="000B5296" w:rsidRDefault="00DA6B8A">
      <w:pPr>
        <w:jc w:val="both"/>
      </w:pPr>
      <w:r>
        <w:t>Urban flooding has emerged as one of the most disruptive consequences of rapid, often poorly regulated, urbanisation across South Asian cities. In the Indian context, cities such as Mumbai, Chenna</w:t>
      </w:r>
      <w:r>
        <w:t>i, Hyderabad, and Pune have experienced catastrophic flood events within the past decade, each exposing significant gaps in urban planning, drainage infrastructure, and institutional preparedness [1]. Traditional flood management approaches—typically ancho</w:t>
      </w:r>
      <w:r>
        <w:t>red in static hydrological models and paper-based hazard maps—struggle to keep pace with the spatial and temporal complexity of contemporary urban systems, where land-use change, population growth, and climate variability interact in non-linear ways [2].</w:t>
      </w:r>
    </w:p>
    <w:p w:rsidR="000B5296" w:rsidRDefault="00DA6B8A">
      <w:pPr>
        <w:jc w:val="both"/>
      </w:pPr>
      <w:r>
        <w:t>M</w:t>
      </w:r>
      <w:r>
        <w:t xml:space="preserve">ore recently, the convergence of Geographic Information Systems (GIS), remote sensing, artificial intelligence (AI), and Digital Twin technology has begun to reshape how urban flood risk is understood and communicated to decision-makers. Digital Twins, in </w:t>
      </w:r>
      <w:r>
        <w:t>particular, offer a compelling paradigm: a continuously updated virtual replica of a physical environment that supports real-time monitoring, simulation, and scenario analysis [3]. However, despite considerable progress in individual domains—flood modellin</w:t>
      </w:r>
      <w:r>
        <w:t>g, spatial databases, AI-driven analytics—there remains a notable gap in platforms that integrate these capabilities into a single, coherent decision-support environment accessible to non-specialist stakeholders such as urban planners, disaster managers, a</w:t>
      </w:r>
      <w:r>
        <w:t>nd elected officials.</w:t>
      </w:r>
    </w:p>
    <w:p w:rsidR="000B5296" w:rsidRDefault="00DA6B8A">
      <w:pPr>
        <w:jc w:val="both"/>
      </w:pPr>
      <w:r>
        <w:t xml:space="preserve">This report presents a review of the relevant literature across six thematic areas, situates the study within the geographic and hydrological context of the Pune Metropolitan Region, and identifies the specific research gaps that the </w:t>
      </w:r>
      <w:r>
        <w:t>proposed GeoNarrative AI platform seeks to address.</w:t>
      </w:r>
    </w:p>
    <w:p w:rsidR="000B5296" w:rsidRDefault="00DA6B8A">
      <w:pPr>
        <w:pStyle w:val="Heading1"/>
      </w:pPr>
      <w:r>
        <w:rPr>
          <w:rFonts w:ascii="Times New Roman" w:hAnsi="Times New Roman"/>
          <w:color w:val="000000"/>
        </w:rPr>
        <w:t>2. Study Area Description</w:t>
      </w:r>
    </w:p>
    <w:p w:rsidR="000B5296" w:rsidRDefault="00DA6B8A">
      <w:pPr>
        <w:pStyle w:val="Heading2"/>
      </w:pPr>
      <w:r>
        <w:rPr>
          <w:rFonts w:ascii="Times New Roman" w:hAnsi="Times New Roman"/>
          <w:color w:val="000000"/>
        </w:rPr>
        <w:t>2.1 Geographic Location</w:t>
      </w:r>
    </w:p>
    <w:p w:rsidR="000B5296" w:rsidRDefault="00DA6B8A">
      <w:pPr>
        <w:jc w:val="both"/>
      </w:pPr>
      <w:r>
        <w:t xml:space="preserve">The Pune Metropolitan Region (PMR) is located in the western part of Maharashtra, India, centred approximately at 18.52°N latitude and 73.86°E longitude. </w:t>
      </w:r>
      <w:r>
        <w:t>The region spans roughly 7,256 km² and encompasses Pune City, Pimpri-Chinchwad, and several peri-urban municipal councils. Situated on the leeward side of the Sahyadri range (Western Ghats) at an elevation of 560 m above mean sea level, Pune occupies a tra</w:t>
      </w:r>
      <w:r>
        <w:t xml:space="preserve">nsitional zone between the high-rainfall </w:t>
      </w:r>
      <w:r>
        <w:lastRenderedPageBreak/>
        <w:t xml:space="preserve">escarpment to the west and the rain-shadow plateau to the east [4]. This geographic setting gives rise to a distinctive hydrological regime characterised by sharp gradients in rainfall, terrain, and land cover over </w:t>
      </w:r>
      <w:r>
        <w:t>relatively short distances.</w:t>
      </w:r>
    </w:p>
    <w:p w:rsidR="000B5296" w:rsidRDefault="00DA6B8A">
      <w:pPr>
        <w:pStyle w:val="Heading2"/>
      </w:pPr>
      <w:r>
        <w:rPr>
          <w:rFonts w:ascii="Times New Roman" w:hAnsi="Times New Roman"/>
          <w:color w:val="000000"/>
        </w:rPr>
        <w:t>2.2 Climate</w:t>
      </w:r>
    </w:p>
    <w:p w:rsidR="000B5296" w:rsidRDefault="00DA6B8A">
      <w:pPr>
        <w:jc w:val="both"/>
      </w:pPr>
      <w:r>
        <w:t>Pune experiences a tropical wet-and-dry climate (Köppen classification: Aw) with three distinct seasons. The southwest monsoon, typically active from June through September, accounts for approximately 80% of the annu</w:t>
      </w:r>
      <w:r>
        <w:t>al precipitation of around 722 mm [5]. However, rainfall distribution is highly uneven: stations near the Sinhagad and Katraj ranges routinely record in excess of 1,200 mm, while the eastern fringes of the metropolitan area receive less than 600 mm. This s</w:t>
      </w:r>
      <w:r>
        <w:t>patial variability, combined with the increasing frequency of short-duration, high-intensity rainfall events attributed to changing climate patterns, makes flood prediction across the PMR particularly challenging [6].</w:t>
      </w:r>
    </w:p>
    <w:p w:rsidR="000B5296" w:rsidRDefault="00DA6B8A">
      <w:pPr>
        <w:pStyle w:val="Heading2"/>
      </w:pPr>
      <w:r>
        <w:rPr>
          <w:rFonts w:ascii="Times New Roman" w:hAnsi="Times New Roman"/>
          <w:color w:val="000000"/>
        </w:rPr>
        <w:t>2.3 Hydrology</w:t>
      </w:r>
    </w:p>
    <w:p w:rsidR="000B5296" w:rsidRDefault="00DA6B8A">
      <w:pPr>
        <w:jc w:val="both"/>
      </w:pPr>
      <w:r>
        <w:t>The PMR is drained by th</w:t>
      </w:r>
      <w:r>
        <w:t>e Mula-Mutha river system, formed by the confluence of the Mula and Mutha rivers near the historic core of Pune city. Several tributaries, including the Pavana, Ram Nadi, and Ambil Odha, traverse densely urbanised areas before joining the main channel. Fou</w:t>
      </w:r>
      <w:r>
        <w:t>r major dams—Khadakwasla, Panshet, Warasgaon, and Temghar—located upstream of the city regulate water supply but also introduce operational flood risk during heavy monsoon inflows, as demonstrated during the September 2024 event when synchronised dam relea</w:t>
      </w:r>
      <w:r>
        <w:t>ses coincided with intense urban rainfall [7]. The drainage network, much of it dating from pre-independence municipal planning, is widely acknowledged to be undersized for current runoff volumes, particularly in areas where natural drainage paths have bee</w:t>
      </w:r>
      <w:r>
        <w:t>n encroached upon by construction [8].</w:t>
      </w:r>
    </w:p>
    <w:p w:rsidR="000B5296" w:rsidRDefault="00DA6B8A">
      <w:pPr>
        <w:pStyle w:val="Heading2"/>
      </w:pPr>
      <w:r>
        <w:rPr>
          <w:rFonts w:ascii="Times New Roman" w:hAnsi="Times New Roman"/>
          <w:color w:val="000000"/>
        </w:rPr>
        <w:t>2.4 Urban Growth</w:t>
      </w:r>
    </w:p>
    <w:p w:rsidR="000B5296" w:rsidRDefault="00DA6B8A">
      <w:pPr>
        <w:jc w:val="both"/>
      </w:pPr>
      <w:r>
        <w:t>Pune's population has grown from approximately 2.5 million in 1991 to over 7.4 million in 2021, making it one of India's fastest-growing metropolitan regions. The IT corridor stretching from Hinjawadi</w:t>
      </w:r>
      <w:r>
        <w:t xml:space="preserve"> through Baner and Balewadi to Kharadi has driven conversion of agricultural and scrubland to impervious surfaces at a rate estimated at 12–15 km² per year [9]. This expansion has progressively encroached upon floodplains, obstructed natural drainage corri</w:t>
      </w:r>
      <w:r>
        <w:t xml:space="preserve">dors, and </w:t>
      </w:r>
      <w:r>
        <w:lastRenderedPageBreak/>
        <w:t>increased surface runoff coefficients—factors that collectively amplify flood hazard even without any change in rainfall intensity. Remote sensing analyses using Landsat time-series data indicate that the built-up area within PMR increased by app</w:t>
      </w:r>
      <w:r>
        <w:t>roximately 68% between 2001 and 2021 [10].</w:t>
      </w:r>
    </w:p>
    <w:p w:rsidR="000B5296" w:rsidRDefault="00DA6B8A">
      <w:pPr>
        <w:pStyle w:val="Heading2"/>
      </w:pPr>
      <w:r>
        <w:rPr>
          <w:rFonts w:ascii="Times New Roman" w:hAnsi="Times New Roman"/>
          <w:color w:val="000000"/>
        </w:rPr>
        <w:t>2.5 Flood Challenges</w:t>
      </w:r>
    </w:p>
    <w:p w:rsidR="000B5296" w:rsidRDefault="00DA6B8A">
      <w:pPr>
        <w:jc w:val="both"/>
      </w:pPr>
      <w:r>
        <w:t xml:space="preserve">The combination of the factors described above—orographic rainfall variability, ageing drainage infrastructure, rapid impermeabilisation, and floodplain encroachment—makes Pune particularly </w:t>
      </w:r>
      <w:r>
        <w:t>susceptible to urban pluvial and fluvial flooding. Major flood events occurred in 2010, 2019, and most recently in 2024, with the latter affecting over 40,000 residents and causing significant damage to transportation infrastructure along the Ambil Odha co</w:t>
      </w:r>
      <w:r>
        <w:t>rridor [7]. A recurring observation across post-event assessments is the disconnect between available geospatial data (satellite imagery, LiDAR, cadastral records) and the operational decision-making processes of the Pune Municipal Corporation (PMC) and th</w:t>
      </w:r>
      <w:r>
        <w:t>e National Disaster Response Force (NDRF). This disconnect motivates the present study.</w:t>
      </w:r>
    </w:p>
    <w:p w:rsidR="000B5296" w:rsidRDefault="00DA6B8A">
      <w:pPr>
        <w:pStyle w:val="Heading1"/>
      </w:pPr>
      <w:r>
        <w:rPr>
          <w:rFonts w:ascii="Times New Roman" w:hAnsi="Times New Roman"/>
          <w:color w:val="000000"/>
        </w:rPr>
        <w:t>3. Literature Review</w:t>
      </w:r>
    </w:p>
    <w:p w:rsidR="000B5296" w:rsidRDefault="00DA6B8A">
      <w:pPr>
        <w:pStyle w:val="Heading2"/>
      </w:pPr>
      <w:r>
        <w:rPr>
          <w:rFonts w:ascii="Times New Roman" w:hAnsi="Times New Roman"/>
          <w:color w:val="000000"/>
        </w:rPr>
        <w:t>3.1 Digital Twins in Smart Cities</w:t>
      </w:r>
    </w:p>
    <w:p w:rsidR="000B5296" w:rsidRDefault="00DA6B8A">
      <w:pPr>
        <w:jc w:val="both"/>
      </w:pPr>
      <w:r>
        <w:t>The concept of a Digital Twin originated in manufacturing and aerospace engineering, where Grieves and Vickers [1</w:t>
      </w:r>
      <w:r>
        <w:t>1] first formalised the idea of maintaining a virtual counterpart of a physical asset throughout its lifecycle. Adaptation to urban contexts has accelerated since approximately 2018, driven by improvements in sensor networks, cloud computing, and 3D city m</w:t>
      </w:r>
      <w:r>
        <w:t>odelling standards such as CityGML [12]. Notable early implementations include the Virtual Singapore project, which integrated BIM, GIS, and IoT sensor data into a city-scale digital replica for planning and emergency management [13].</w:t>
      </w:r>
    </w:p>
    <w:p w:rsidR="000B5296" w:rsidRDefault="00DA6B8A">
      <w:pPr>
        <w:jc w:val="both"/>
      </w:pPr>
      <w:r>
        <w:t>However, the majority</w:t>
      </w:r>
      <w:r>
        <w:t xml:space="preserve"> of urban Digital Twin implementations remain concentrated in well-resourced cities in Europe, East Asia, and North America. Bolton et al. [3] proposed the Gemini Principles for national digital twins in the UK context, emphasising data openness, federatio</w:t>
      </w:r>
      <w:r>
        <w:t xml:space="preserve">n, and value creation, but acknowledged that implementation in data-sparse environments—common across South Asian cities—poses fundamental challenges. More recently, Deng et al. </w:t>
      </w:r>
      <w:r>
        <w:lastRenderedPageBreak/>
        <w:t xml:space="preserve">[14] reviewed 127 Digital Twin studies and found that fewer than 8% addressed </w:t>
      </w:r>
      <w:r>
        <w:t>developing-country contexts, and virtually none incorporated natural language interaction or AI-driven explanation capabilities. This is a significant limitation: Digital Twins that require GIS expertise to operate exclude the very decision-makers they are</w:t>
      </w:r>
      <w:r>
        <w:t xml:space="preserve"> designed to serve.</w:t>
      </w:r>
    </w:p>
    <w:p w:rsidR="000B5296" w:rsidRDefault="00DA6B8A">
      <w:pPr>
        <w:jc w:val="both"/>
      </w:pPr>
      <w:r>
        <w:t>A further gap concerns the static nature of many current implementations. While the term "Digital Twin" implies continuous synchronisation with its physical counterpart, many published systems are better described as sophisticated 3D vi</w:t>
      </w:r>
      <w:r>
        <w:t>sualisation platforms that lack the analytical reasoning, scenario simulation, and narrative generation capabilities that would make them genuinely useful for flood risk governance [15].</w:t>
      </w:r>
    </w:p>
    <w:p w:rsidR="000B5296" w:rsidRDefault="00DA6B8A">
      <w:pPr>
        <w:pStyle w:val="Heading2"/>
      </w:pPr>
      <w:r>
        <w:rPr>
          <w:rFonts w:ascii="Times New Roman" w:hAnsi="Times New Roman"/>
          <w:color w:val="000000"/>
        </w:rPr>
        <w:t>3.2 GIS-based Flood Risk Assessment</w:t>
      </w:r>
    </w:p>
    <w:p w:rsidR="000B5296" w:rsidRDefault="00DA6B8A">
      <w:pPr>
        <w:jc w:val="both"/>
      </w:pPr>
      <w:r>
        <w:t>GIS-based flood risk assessment h</w:t>
      </w:r>
      <w:r>
        <w:t>as a substantial body of literature spanning over two decades. Multi-criteria decision analysis (MCDA) approaches, often implemented through the Analytic Hierarchy Process (AHP), remain widely used for producing flood susceptibility maps. Tehrany et al. [1</w:t>
      </w:r>
      <w:r>
        <w:t>6] applied AHP with eight conditioning factors (slope, elevation, land use, rainfall, distance to rivers, soil type, drainage density, and TWI) to map flood susceptibility in Malaysia, achieving reasonable agreement with observed flood extents. Similar met</w:t>
      </w:r>
      <w:r>
        <w:t>hodologies have been applied in Indian contexts by Samanta et al. [17], who combined AHP with frequency ratio analysis for the Ajoy River basin in West Bengal.</w:t>
      </w:r>
    </w:p>
    <w:p w:rsidR="000B5296" w:rsidRDefault="00DA6B8A">
      <w:pPr>
        <w:jc w:val="both"/>
      </w:pPr>
      <w:r>
        <w:t>While AHP-based approaches are intuitive and require comparatively modest data inputs, they suff</w:t>
      </w:r>
      <w:r>
        <w:t>er from well-documented subjectivity in pairwise comparisons and limited ability to capture non-linear interactions between conditioning factors [18]. Machine learning methods—including Random Forests, Support Vector Machines, and gradient boosting algorit</w:t>
      </w:r>
      <w:r>
        <w:t>hms—have increasingly been proposed as alternatives. Costache et al. [19] compared AHP against ensemble machine learning models for flood susceptibility mapping in Romania and found that ensemble methods outperformed AHP by 12–18% in terms of area under th</w:t>
      </w:r>
      <w:r>
        <w:t>e ROC curve.</w:t>
      </w:r>
    </w:p>
    <w:p w:rsidR="000B5296" w:rsidRDefault="00DA6B8A">
      <w:pPr>
        <w:jc w:val="both"/>
      </w:pPr>
      <w:r>
        <w:t>For the Pune context specifically, Kulkarni and Patil [20] applied weighted overlay analysis in ArcGIS to delineate flood-prone zones along the Mula-Mutha corridor, but relied exclusively on topographic and hydrological variables without incor</w:t>
      </w:r>
      <w:r>
        <w:t xml:space="preserve">porating built environment exposure or socio-economic vulnerability. This is a recurring limitation in GIS-based assessments: they often </w:t>
      </w:r>
      <w:r>
        <w:lastRenderedPageBreak/>
        <w:t>stop at hazard mapping and do not progress to exposure or vulnerability analysis, which are essential for translating s</w:t>
      </w:r>
      <w:r>
        <w:t>patial information into actionable risk management decisions [21].</w:t>
      </w:r>
    </w:p>
    <w:p w:rsidR="000B5296" w:rsidRDefault="00DA6B8A">
      <w:pPr>
        <w:pStyle w:val="Heading2"/>
      </w:pPr>
      <w:r>
        <w:rPr>
          <w:rFonts w:ascii="Times New Roman" w:hAnsi="Times New Roman"/>
          <w:color w:val="000000"/>
        </w:rPr>
        <w:t>3.3 AI in Geospatial Analysis</w:t>
      </w:r>
    </w:p>
    <w:p w:rsidR="000B5296" w:rsidRDefault="00DA6B8A">
      <w:pPr>
        <w:jc w:val="both"/>
      </w:pPr>
      <w:r>
        <w:t xml:space="preserve">The application of artificial intelligence to geospatial problems has progressed through several phases. Early work focused on neural networks for land-use </w:t>
      </w:r>
      <w:r>
        <w:t>classification from satellite imagery [22]. More recently, attention has shifted towards deep learning architectures—particularly convolutional neural networks (CNNs) and transformer models—for tasks such as building footprint extraction, change detection,</w:t>
      </w:r>
      <w:r>
        <w:t xml:space="preserve"> and flood extent estimation from SAR imagery [23].</w:t>
      </w:r>
    </w:p>
    <w:p w:rsidR="000B5296" w:rsidRDefault="00DA6B8A">
      <w:pPr>
        <w:jc w:val="both"/>
      </w:pPr>
      <w:r>
        <w:t>Large Language Models (LLMs) represent a newer and less explored frontier in geospatial AI. Mai et al. [24] examined the spatial reasoning capabilities of GPT-4 and found that while the model demonstrated</w:t>
      </w:r>
      <w:r>
        <w:t xml:space="preserve"> impressive performance on geographic knowledge tasks, it struggled with precise spatial computation (e.g., distance calculations, coordinate transformations). This finding is significant because it suggests that LLMs alone are insufficient for geospatial </w:t>
      </w:r>
      <w:r>
        <w:t>analysis; they must be coupled with structured spatial databases and formal query engines to produce reliable outputs.</w:t>
      </w:r>
    </w:p>
    <w:p w:rsidR="000B5296" w:rsidRDefault="00DA6B8A">
      <w:pPr>
        <w:jc w:val="both"/>
      </w:pPr>
      <w:r>
        <w:t>The concept of "GeoAI agents"—LLM-based systems that can autonomously formulate and execute spatial queries against databases such as Pos</w:t>
      </w:r>
      <w:r>
        <w:t>tGIS—has been explored by Li and Ning [25], who demonstrated a prototype capable of translating natural language questions into SQL spatial queries. However, their system was limited to simple point-in-polygon and buffer operations, did not incorporate flo</w:t>
      </w:r>
      <w:r>
        <w:t>od risk semantics, and lacked any mechanism for communicating uncertainty or data provenance to the user. The challenge of maintaining truthfulness—ensuring that AI-generated spatial narratives are grounded in verified data rather than hallucinated statist</w:t>
      </w:r>
      <w:r>
        <w:t>ics—remains largely unaddressed in the existing literature.</w:t>
      </w:r>
    </w:p>
    <w:p w:rsidR="000B5296" w:rsidRDefault="00DA6B8A">
      <w:pPr>
        <w:pStyle w:val="Heading2"/>
      </w:pPr>
      <w:r>
        <w:rPr>
          <w:rFonts w:ascii="Times New Roman" w:hAnsi="Times New Roman"/>
          <w:color w:val="000000"/>
        </w:rPr>
        <w:t>3.4 Spatial Decision Support Systems</w:t>
      </w:r>
    </w:p>
    <w:p w:rsidR="000B5296" w:rsidRDefault="00DA6B8A">
      <w:pPr>
        <w:jc w:val="both"/>
      </w:pPr>
      <w:r>
        <w:t>Spatial Decision Support Systems (SDSS) have been developed for various environmental management applications since the 1990s. Malczewski [26] provided a found</w:t>
      </w:r>
      <w:r>
        <w:t xml:space="preserve">ational taxonomy distinguishing between data-driven, model-driven, and knowledge-driven SDSS architectures. In the flood management domain, Evers et al. [27] developed a collaborative SDSS for the Rhine </w:t>
      </w:r>
      <w:r>
        <w:lastRenderedPageBreak/>
        <w:t>delta that allowed stakeholders to explore trade-offs</w:t>
      </w:r>
      <w:r>
        <w:t xml:space="preserve"> between flood protection investment scenarios, though the system required significant domain expertise to operate.</w:t>
      </w:r>
    </w:p>
    <w:p w:rsidR="000B5296" w:rsidRDefault="00DA6B8A">
      <w:pPr>
        <w:jc w:val="both"/>
      </w:pPr>
      <w:r>
        <w:t>A persistent criticism of existing SDSS is their limited accessibility to non-technical users. Janssen et al. [28] argued that decision-supp</w:t>
      </w:r>
      <w:r>
        <w:t>ort tools for environmental management frequently fail because they are designed by technical specialists for technical specialists, without adequate consideration of the information needs, cognitive constraints, and institutional contexts of the actual de</w:t>
      </w:r>
      <w:r>
        <w:t>cision-makers. This observation is directly relevant to the Pune context, where municipal officers responsible for flood preparedness typically lack GIS training and rely instead on narrative briefings, tabular summaries, and PDF reports rather than intera</w:t>
      </w:r>
      <w:r>
        <w:t>ctive map-based interfaces [29].</w:t>
      </w:r>
    </w:p>
    <w:p w:rsidR="000B5296" w:rsidRDefault="00DA6B8A">
      <w:pPr>
        <w:jc w:val="both"/>
      </w:pPr>
      <w:r>
        <w:t>More recently, the integration of conversational AI into decision-support workflows has been proposed as a means of bridging this accessibility gap. Xu et al. [30] developed a chatbot-assisted environmental monitoring syste</w:t>
      </w:r>
      <w:r>
        <w:t>m that allowed users to query sensor data through natural language, but the system operated on tabular data only and did not incorporate spatial reasoning or map-based visualisation. The potential of combining conversational AI with spatial databases and i</w:t>
      </w:r>
      <w:r>
        <w:t>nteractive mapping for flood risk decision support remains largely untapped.</w:t>
      </w:r>
    </w:p>
    <w:p w:rsidR="000B5296" w:rsidRDefault="00DA6B8A">
      <w:pPr>
        <w:pStyle w:val="Heading2"/>
      </w:pPr>
      <w:r>
        <w:rPr>
          <w:rFonts w:ascii="Times New Roman" w:hAnsi="Times New Roman"/>
          <w:color w:val="000000"/>
        </w:rPr>
        <w:t>3.5 Flood Exposure and Vulnerability Modelling</w:t>
      </w:r>
    </w:p>
    <w:p w:rsidR="000B5296" w:rsidRDefault="00DA6B8A">
      <w:pPr>
        <w:jc w:val="both"/>
      </w:pPr>
      <w:r>
        <w:t>Flood risk is conventionally decomposed into three components: hazard, exposure, and vulnerability [21]. While hazard mapping has re</w:t>
      </w:r>
      <w:r>
        <w:t>ceived extensive attention (see Section 3.2), exposure and vulnerability assessment remain comparatively underdeveloped, particularly in rapidly urbanising contexts where built environment data is incomplete or outdated.</w:t>
      </w:r>
    </w:p>
    <w:p w:rsidR="000B5296" w:rsidRDefault="00DA6B8A">
      <w:pPr>
        <w:jc w:val="both"/>
      </w:pPr>
      <w:r>
        <w:t>Exposure analysis quantifies the as</w:t>
      </w:r>
      <w:r>
        <w:t xml:space="preserve">sets—buildings, infrastructure, population—located within hazard zones. Merz et al. [31] provided a comprehensive review of flood damage modelling approaches, noting that exposure databases in developing countries are often incomplete, forcing analysts to </w:t>
      </w:r>
      <w:r>
        <w:t>rely on proxy indicators derived from remote sensing. OpenStreetMap (OSM) has emerged as a valuable supplementary data source: Herfort et al. [32] evaluated OSM building footprint completeness across 40 cities and found significant variation, with South As</w:t>
      </w:r>
      <w:r>
        <w:t>ian cities typically exhibiting 30–60% coverage compared to 80–95% in European cities.</w:t>
      </w:r>
    </w:p>
    <w:p w:rsidR="000B5296" w:rsidRDefault="00DA6B8A">
      <w:pPr>
        <w:jc w:val="both"/>
      </w:pPr>
      <w:r>
        <w:lastRenderedPageBreak/>
        <w:t>Vulnerability modelling introduces socio-economic dimensions such as poverty, housing quality, and access to early warning systems. Cutter et al. [33] developed the Soci</w:t>
      </w:r>
      <w:r>
        <w:t>al Vulnerability Index (SoVI), which has been widely adapted but rarely integrated with spatial flood hazard models in a dynamic, queryable platform. In the Indian context, Bhat et al. [34] applied a modified vulnerability framework to Kashmir but acknowle</w:t>
      </w:r>
      <w:r>
        <w:t xml:space="preserve">dged that the static, map-based output limited its utility for ongoing decision support. The absence of platforms that dynamically combine hazard, exposure, and vulnerability layers—and allow users to interrogate them through natural language—represents a </w:t>
      </w:r>
      <w:r>
        <w:t>clear gap.</w:t>
      </w:r>
    </w:p>
    <w:p w:rsidR="000B5296" w:rsidRDefault="00DA6B8A">
      <w:pPr>
        <w:pStyle w:val="Heading2"/>
      </w:pPr>
      <w:r>
        <w:rPr>
          <w:rFonts w:ascii="Times New Roman" w:hAnsi="Times New Roman"/>
          <w:color w:val="000000"/>
        </w:rPr>
        <w:t>3.6 Smart City Resilience Frameworks</w:t>
      </w:r>
    </w:p>
    <w:p w:rsidR="000B5296" w:rsidRDefault="00DA6B8A">
      <w:pPr>
        <w:jc w:val="both"/>
      </w:pPr>
      <w:r>
        <w:t>India's Smart Cities Mission (SCM), launched in 2015, identified 100 cities including Pune for technology-driven urban transformation. The mission emphasises integrated command-and-control centres (ICCCs) equ</w:t>
      </w:r>
      <w:r>
        <w:t>ipped with dashboards for real-time monitoring of urban services [35]. However, Praharaj et al. [36] critically evaluated the SCM's implementation and found that most ICCCs focused on traffic management and utility monitoring, with limited integration of e</w:t>
      </w:r>
      <w:r>
        <w:t>nvironmental hazard data or predictive analytics.</w:t>
      </w:r>
    </w:p>
    <w:p w:rsidR="000B5296" w:rsidRDefault="00DA6B8A">
      <w:pPr>
        <w:jc w:val="both"/>
      </w:pPr>
      <w:r>
        <w:t>Internationally, the Sendai Framework for Disaster Risk Reduction (2015–2030) calls for the development of multi-hazard early warning systems and risk-informed decision-making at all levels [37]. The framew</w:t>
      </w:r>
      <w:r>
        <w:t>ork explicitly recognises the need for "accessible, understandable, and usable" risk information—a requirement that current GIS-centric tools, with their steep learning curves and technical interfaces, do not adequately fulfil.</w:t>
      </w:r>
    </w:p>
    <w:p w:rsidR="000B5296" w:rsidRDefault="00DA6B8A">
      <w:pPr>
        <w:jc w:val="both"/>
      </w:pPr>
      <w:r>
        <w:t xml:space="preserve">Kitchin [38] offered a more </w:t>
      </w:r>
      <w:r>
        <w:t>cautious perspective on smart city technology, arguing that dashboards and real-time data streams can create an "illusion of control" if not accompanied by genuine analytical capability and institutional capacity to act on the information provided. This cr</w:t>
      </w:r>
      <w:r>
        <w:t>itique is pertinent to the design of any new decision-support platform: the technology must not merely display data but must support interpretation, comparison, and deliberation.</w:t>
      </w:r>
    </w:p>
    <w:p w:rsidR="000B5296" w:rsidRDefault="00DA6B8A">
      <w:pPr>
        <w:pStyle w:val="Heading1"/>
      </w:pPr>
      <w:r>
        <w:rPr>
          <w:rFonts w:ascii="Times New Roman" w:hAnsi="Times New Roman"/>
          <w:color w:val="000000"/>
        </w:rPr>
        <w:t>4. Research Gap Analysis</w:t>
      </w:r>
    </w:p>
    <w:p w:rsidR="000B5296" w:rsidRDefault="00DA6B8A">
      <w:pPr>
        <w:jc w:val="both"/>
      </w:pPr>
      <w:r>
        <w:t xml:space="preserve">The literature reviewed above reveals several </w:t>
      </w:r>
      <w:r>
        <w:t>interconnected gaps:</w:t>
      </w:r>
    </w:p>
    <w:p w:rsidR="000B5296" w:rsidRDefault="00DA6B8A">
      <w:pPr>
        <w:pStyle w:val="ListBullet"/>
        <w:jc w:val="both"/>
      </w:pPr>
      <w:r>
        <w:lastRenderedPageBreak/>
        <w:t>Integration Gap: Digital Twin, GIS flood modelling, AI reasoning, and decision-support capabilities exist as separate research streams with limited cross-pollination. No existing platform combines all four within a single environment t</w:t>
      </w:r>
      <w:r>
        <w:t>ailored to urban flood risk governance.</w:t>
      </w:r>
    </w:p>
    <w:p w:rsidR="000B5296" w:rsidRDefault="00DA6B8A">
      <w:pPr>
        <w:pStyle w:val="ListBullet"/>
        <w:jc w:val="both"/>
      </w:pPr>
      <w:r>
        <w:t>Accessibility Gap: Existing spatial analysis tools and Digital Twin platforms overwhelmingly require GIS or programming expertise, effectively excluding the municipal officers, emergency managers, and elected officia</w:t>
      </w:r>
      <w:r>
        <w:t>ls who are the primary consumers of flood risk information.</w:t>
      </w:r>
    </w:p>
    <w:p w:rsidR="000B5296" w:rsidRDefault="00DA6B8A">
      <w:pPr>
        <w:pStyle w:val="ListBullet"/>
        <w:jc w:val="both"/>
      </w:pPr>
      <w:r>
        <w:t>AI Grounding Gap: While LLMs demonstrate potential for natural language interaction with spatial data, existing prototypes lack mechanisms for ensuring that AI-generated narratives are grounded in</w:t>
      </w:r>
      <w:r>
        <w:t xml:space="preserve"> verified spatial database outputs rather than hallucinated content.</w:t>
      </w:r>
    </w:p>
    <w:p w:rsidR="000B5296" w:rsidRDefault="00DA6B8A">
      <w:pPr>
        <w:pStyle w:val="ListBullet"/>
        <w:jc w:val="both"/>
      </w:pPr>
      <w:r>
        <w:t xml:space="preserve">Context Gap: The vast majority of Digital Twin and SDSS implementations target well-resourced cities in Europe and East Asia. Applications in data-constrained South Asian urban contexts, </w:t>
      </w:r>
      <w:r>
        <w:t>where open data sources such as OSM must supplement incomplete authoritative datasets, remain scarce.</w:t>
      </w:r>
    </w:p>
    <w:p w:rsidR="000B5296" w:rsidRDefault="00DA6B8A">
      <w:pPr>
        <w:pStyle w:val="ListBullet"/>
        <w:jc w:val="both"/>
      </w:pPr>
      <w:r>
        <w:t>Analytical Depth Gap: Most GIS-based flood risk assessments stop at hazard mapping and do not extend to dynamic exposure and vulnerability analysis that c</w:t>
      </w:r>
      <w:r>
        <w:t>an be interrogated through user queries.</w:t>
      </w:r>
    </w:p>
    <w:p w:rsidR="000B5296" w:rsidRDefault="00DA6B8A">
      <w:pPr>
        <w:pStyle w:val="Heading1"/>
      </w:pPr>
      <w:r>
        <w:rPr>
          <w:rFonts w:ascii="Times New Roman" w:hAnsi="Times New Roman"/>
          <w:color w:val="000000"/>
        </w:rPr>
        <w:t>5. Motivation of the Study</w:t>
      </w:r>
    </w:p>
    <w:p w:rsidR="000B5296" w:rsidRDefault="00DA6B8A">
      <w:pPr>
        <w:jc w:val="both"/>
      </w:pPr>
      <w:r>
        <w:t>This study is motivated by a practical observation: despite the availability of rich geospatial data for the Pune Metropolitan Region—including DEM data, satellite-derived land use classif</w:t>
      </w:r>
      <w:r>
        <w:t>ications, OpenStreetMap building and infrastructure footprints, and historical flood event records—this information remains largely inaccessible to the decision-makers who need it most. Municipal engineers consult static PDF maps; disaster managers receive</w:t>
      </w:r>
      <w:r>
        <w:t xml:space="preserve"> tabular summaries stripped of spatial context; and elected officials rely on verbal briefings that cannot be independently verified.</w:t>
      </w:r>
    </w:p>
    <w:p w:rsidR="000B5296" w:rsidRDefault="00DA6B8A">
      <w:pPr>
        <w:jc w:val="both"/>
      </w:pPr>
      <w:r>
        <w:t>The GeoNarrative AI platform is conceived as a response to this information asymmetry. By coupling a PostGIS spatial datab</w:t>
      </w:r>
      <w:r>
        <w:t xml:space="preserve">ase with an LLM-driven conversational interface and interactive Digital Twin visualisation, the platform aims to allow users to pose natural language questions </w:t>
      </w:r>
      <w:r>
        <w:lastRenderedPageBreak/>
        <w:t>about flood risk, exposure, and vulnerability—and receive spatially grounded, evidence-based res</w:t>
      </w:r>
      <w:r>
        <w:t>ponses accompanied by dynamic map visualisations.</w:t>
      </w:r>
    </w:p>
    <w:p w:rsidR="000B5296" w:rsidRDefault="00DA6B8A">
      <w:pPr>
        <w:jc w:val="both"/>
      </w:pPr>
      <w:r>
        <w:t>The choice of Pune as the study area is deliberate: the city's combination of complex hydrology, rapid urbanisation, recurrent flooding, and relatively strong open data ecosystem makes it a representative a</w:t>
      </w:r>
      <w:r>
        <w:t>nd challenging testbed for the proposed approach.</w:t>
      </w:r>
    </w:p>
    <w:p w:rsidR="000B5296" w:rsidRDefault="00DA6B8A">
      <w:pPr>
        <w:pStyle w:val="Heading1"/>
      </w:pPr>
      <w:r>
        <w:rPr>
          <w:rFonts w:ascii="Times New Roman" w:hAnsi="Times New Roman"/>
          <w:color w:val="000000"/>
        </w:rPr>
        <w:t>6. Proposed Framework Overview</w:t>
      </w:r>
    </w:p>
    <w:p w:rsidR="000B5296" w:rsidRDefault="00DA6B8A">
      <w:pPr>
        <w:jc w:val="both"/>
      </w:pPr>
      <w:r>
        <w:t>The GeoNarrative AI platform is structured around four interconnected subsystems:</w:t>
      </w:r>
    </w:p>
    <w:p w:rsidR="000B5296" w:rsidRDefault="00DA6B8A">
      <w:pPr>
        <w:pStyle w:val="ListBullet"/>
        <w:jc w:val="both"/>
      </w:pPr>
      <w:r>
        <w:t>Spatial Data Engine: A PostGIS-backed geospatial database storing vector layers (building foo</w:t>
      </w:r>
      <w:r>
        <w:t>tprints, road networks, drainage infrastructure, critical facilities) and raster-derived analytics (flood risk indices computed through Jenks natural breaks classification of composite hazard scores). Data is ingested from OpenStreetMap, SRTM/ALOS DEM prod</w:t>
      </w:r>
      <w:r>
        <w:t>ucts, IMD rainfall records, and Census of India population grids.</w:t>
      </w:r>
    </w:p>
    <w:p w:rsidR="000B5296" w:rsidRDefault="00DA6B8A">
      <w:pPr>
        <w:pStyle w:val="ListBullet"/>
        <w:jc w:val="both"/>
      </w:pPr>
      <w:r>
        <w:t>Digital Twin Visualisation Layer: A Mapbox GL JS-based interactive map interface providing 2.5D building extrusion, real-time layer toggling, cross-filtering by risk class, and animated fly-</w:t>
      </w:r>
      <w:r>
        <w:t>to navigation. The visualisation supports multiple analytical modes (Hydrology Twin, Infrastructure Twin, Population Twin, Environment Twin) that reconfigure KPI dashboards and map symbology according to the user's analytical focus.</w:t>
      </w:r>
    </w:p>
    <w:p w:rsidR="000B5296" w:rsidRDefault="00DA6B8A">
      <w:pPr>
        <w:pStyle w:val="ListBullet"/>
        <w:jc w:val="both"/>
      </w:pPr>
      <w:r>
        <w:t>GeoAI Reasoning Engine:</w:t>
      </w:r>
      <w:r>
        <w:t xml:space="preserve"> A multi-agent architecture powered by Google Gemini LLM with function-calling capabilities. The system comprises an Intent Router (classifying user queries into spatial, analytical, or conversational intents), a Query Planner (translating intents into opt</w:t>
      </w:r>
      <w:r>
        <w:t>imised PostGIS SQL queries), and a Narrative Generator (synthesising query results into contextualised, evidence-cited responses). A truthfulness layer ensures that all generated statistics are traceable to database outputs.</w:t>
      </w:r>
    </w:p>
    <w:p w:rsidR="000B5296" w:rsidRDefault="00DA6B8A">
      <w:pPr>
        <w:pStyle w:val="ListBullet"/>
        <w:jc w:val="both"/>
      </w:pPr>
      <w:r>
        <w:t>Executive Decision Support Modu</w:t>
      </w:r>
      <w:r>
        <w:t>le: A report generation engine capable of producing structured PDF intelligence briefings (flood risk reports, infrastructure exposure reports, emergency planning documents) from live spatial query results, with scenario simulation capabilities allowing us</w:t>
      </w:r>
      <w:r>
        <w:t>ers to explore "what-if" questions (e.g., "What happens if rainfall increases by 30%?").</w:t>
      </w:r>
    </w:p>
    <w:p w:rsidR="000B5296" w:rsidRDefault="00DA6B8A">
      <w:pPr>
        <w:pStyle w:val="Heading1"/>
      </w:pPr>
      <w:r>
        <w:rPr>
          <w:rFonts w:ascii="Times New Roman" w:hAnsi="Times New Roman"/>
          <w:color w:val="000000"/>
        </w:rPr>
        <w:lastRenderedPageBreak/>
        <w:t>7. Expected Contributions</w:t>
      </w:r>
    </w:p>
    <w:p w:rsidR="000B5296" w:rsidRDefault="00DA6B8A">
      <w:pPr>
        <w:jc w:val="both"/>
      </w:pPr>
      <w:r>
        <w:t>This study is expected to make the following contributions:</w:t>
      </w:r>
    </w:p>
    <w:p w:rsidR="000B5296" w:rsidRDefault="00DA6B8A">
      <w:pPr>
        <w:pStyle w:val="ListBullet"/>
        <w:jc w:val="both"/>
      </w:pPr>
      <w:r>
        <w:t>A working prototype of an AI-powered urban Digital Twin that integrates GIS, spat</w:t>
      </w:r>
      <w:r>
        <w:t>ial databases, LLM reasoning, and interactive visualisation within a single web-based platform—demonstrating feasibility for a South Asian urban context.</w:t>
      </w:r>
    </w:p>
    <w:p w:rsidR="000B5296" w:rsidRDefault="00DA6B8A">
      <w:pPr>
        <w:pStyle w:val="ListBullet"/>
        <w:jc w:val="both"/>
      </w:pPr>
      <w:r>
        <w:t>A validated methodology for LLM-grounded spatial reasoning, in which AI-generated flood risk narrative</w:t>
      </w:r>
      <w:r>
        <w:t>s are constrained by PostGIS query outputs rather than model-internal knowledge, addressing the hallucination problem identified in existing GeoAI literature.</w:t>
      </w:r>
    </w:p>
    <w:p w:rsidR="000B5296" w:rsidRDefault="00DA6B8A">
      <w:pPr>
        <w:pStyle w:val="ListBullet"/>
        <w:jc w:val="both"/>
      </w:pPr>
      <w:r>
        <w:t>An empirical flood risk assessment of the Pune Metropolitan Region combining hazard, exposure, an</w:t>
      </w:r>
      <w:r>
        <w:t>d vulnerability dimensions in a queryable, interactive format rather than static maps.</w:t>
      </w:r>
    </w:p>
    <w:p w:rsidR="000B5296" w:rsidRDefault="00DA6B8A">
      <w:pPr>
        <w:pStyle w:val="ListBullet"/>
        <w:jc w:val="both"/>
      </w:pPr>
      <w:r>
        <w:t>Design principles for accessible spatial decision-support interfaces that serve non-specialist users through conversational interaction, informed by the accessibility li</w:t>
      </w:r>
      <w:r>
        <w:t>mitations documented in existing SDSS research.</w:t>
      </w:r>
    </w:p>
    <w:p w:rsidR="000B5296" w:rsidRDefault="00DA6B8A">
      <w:pPr>
        <w:pStyle w:val="Heading1"/>
      </w:pPr>
      <w:r>
        <w:rPr>
          <w:rFonts w:ascii="Times New Roman" w:hAnsi="Times New Roman"/>
          <w:color w:val="000000"/>
        </w:rPr>
        <w:t>8. Conclusion</w:t>
      </w:r>
    </w:p>
    <w:p w:rsidR="000B5296" w:rsidRDefault="00DA6B8A">
      <w:pPr>
        <w:jc w:val="both"/>
      </w:pPr>
      <w:r>
        <w:t>This review has examined the current state of research across Digital Twin technology, GIS-based flood risk assessment, AI-driven geospatial analysis, spatial decision support systems, flood exp</w:t>
      </w:r>
      <w:r>
        <w:t xml:space="preserve">osure and vulnerability modelling, and smart city resilience frameworks. While each domain has seen considerable individual progress, the integration of these capabilities into a unified, accessible platform for urban flood risk governance remains an open </w:t>
      </w:r>
      <w:r>
        <w:t>challenge—particularly in the data-constrained, rapidly urbanising contexts typical of South Asian cities.</w:t>
      </w:r>
    </w:p>
    <w:p w:rsidR="000B5296" w:rsidRDefault="00DA6B8A">
      <w:pPr>
        <w:jc w:val="both"/>
      </w:pPr>
      <w:r>
        <w:t>The Pune Metropolitan Region, with its well-documented flood vulnerability, complex hydrology, and growing open data ecosystem, provides a suitable t</w:t>
      </w:r>
      <w:r>
        <w:t>estbed for exploring this integration. The proposed GeoNarrative AI platform seeks to bridge the identified gaps by combining PostGIS spatial analytics, Gemini LLM-powered conversational intelligence, and Digital Twin visualisation into a coherent decision</w:t>
      </w:r>
      <w:r>
        <w:t>-support environment. The following chapters detail the system architecture, implementation, and evaluation of this approach.</w:t>
      </w:r>
    </w:p>
    <w:p w:rsidR="000B5296" w:rsidRDefault="00DA6B8A">
      <w:pPr>
        <w:pStyle w:val="Heading1"/>
      </w:pPr>
      <w:r>
        <w:rPr>
          <w:rFonts w:ascii="Times New Roman" w:hAnsi="Times New Roman"/>
          <w:color w:val="000000"/>
        </w:rPr>
        <w:lastRenderedPageBreak/>
        <w:t>9. References</w:t>
      </w:r>
    </w:p>
    <w:p w:rsidR="000B5296" w:rsidRDefault="00DA6B8A">
      <w:pPr>
        <w:jc w:val="both"/>
      </w:pPr>
      <w:r>
        <w:rPr>
          <w:sz w:val="22"/>
        </w:rPr>
        <w:t>[1] S. Hallegatte, C. Green, R. J. Nicholls, and J. Corfee-Morlot, "Future flood losses in major coastal cities," Na</w:t>
      </w:r>
      <w:r>
        <w:rPr>
          <w:sz w:val="22"/>
        </w:rPr>
        <w:t>ture Climate Change, vol. 3, no. 9, pp. 802–806, 2013.</w:t>
      </w:r>
    </w:p>
    <w:p w:rsidR="000B5296" w:rsidRDefault="00DA6B8A">
      <w:pPr>
        <w:jc w:val="both"/>
      </w:pPr>
      <w:r>
        <w:rPr>
          <w:sz w:val="22"/>
        </w:rPr>
        <w:t>[2] Z. W. Kundzewicz et al., "Flood risk and climate change: global and regional perspectives," Hydrological Sciences Journal, vol. 59, no. 1, pp. 1–28, 2014.</w:t>
      </w:r>
    </w:p>
    <w:p w:rsidR="000B5296" w:rsidRDefault="00DA6B8A">
      <w:pPr>
        <w:jc w:val="both"/>
      </w:pPr>
      <w:r>
        <w:rPr>
          <w:sz w:val="22"/>
        </w:rPr>
        <w:t xml:space="preserve">[3] A. Bolton, L. Butler, I. Dabson, M. </w:t>
      </w:r>
      <w:r>
        <w:rPr>
          <w:sz w:val="22"/>
        </w:rPr>
        <w:t>Enzer, M. Evans, T. Fenemore, and M. Harradence, "The Gemini Principles," Centre for Digital Built Britain, University of Cambridge, 2018.</w:t>
      </w:r>
    </w:p>
    <w:p w:rsidR="000B5296" w:rsidRDefault="00DA6B8A">
      <w:pPr>
        <w:jc w:val="both"/>
      </w:pPr>
      <w:r>
        <w:rPr>
          <w:sz w:val="22"/>
        </w:rPr>
        <w:t>[4] R. Gadgil and A. Gadgil, "Rainfall patterns in the Western Ghats of India," Current Science, vol. 116, no. 5, pp.</w:t>
      </w:r>
      <w:r>
        <w:rPr>
          <w:sz w:val="22"/>
        </w:rPr>
        <w:t xml:space="preserve"> 770–779, 2019.</w:t>
      </w:r>
    </w:p>
    <w:p w:rsidR="000B5296" w:rsidRDefault="00DA6B8A">
      <w:pPr>
        <w:jc w:val="both"/>
      </w:pPr>
      <w:r>
        <w:rPr>
          <w:sz w:val="22"/>
        </w:rPr>
        <w:t>[5] India Meteorological Department, "Climatological Tables of Observatories in India (1991–2020)," Government of India, New Delhi, 2021.</w:t>
      </w:r>
    </w:p>
    <w:p w:rsidR="000B5296" w:rsidRDefault="00DA6B8A">
      <w:pPr>
        <w:jc w:val="both"/>
      </w:pPr>
      <w:r>
        <w:rPr>
          <w:sz w:val="22"/>
        </w:rPr>
        <w:t>[6] S. K. Mishra, P. Tyagi, and V. P. Singh, "Trend analysis of extreme rainfall events over India," H</w:t>
      </w:r>
      <w:r>
        <w:rPr>
          <w:sz w:val="22"/>
        </w:rPr>
        <w:t>ydrological Sciences Journal, vol. 66, no. 8, pp. 1291–1307, 2021.</w:t>
      </w:r>
    </w:p>
    <w:p w:rsidR="000B5296" w:rsidRDefault="00DA6B8A">
      <w:pPr>
        <w:jc w:val="both"/>
      </w:pPr>
      <w:r>
        <w:rPr>
          <w:sz w:val="22"/>
        </w:rPr>
        <w:t>[7] Pune Municipal Corporation, "Report on Urban Flooding Events: Response and Recovery Assessment 2019–2024," PMC Disaster Management Cell, 2024.</w:t>
      </w:r>
    </w:p>
    <w:p w:rsidR="000B5296" w:rsidRDefault="00DA6B8A">
      <w:pPr>
        <w:jc w:val="both"/>
      </w:pPr>
      <w:r>
        <w:rPr>
          <w:sz w:val="22"/>
        </w:rPr>
        <w:t xml:space="preserve">[8] D. V. Kale, "Status of urban drainage </w:t>
      </w:r>
      <w:r>
        <w:rPr>
          <w:sz w:val="22"/>
        </w:rPr>
        <w:t>in Pune city: An assessment of capacity and bottlenecks," Journal of Indian Water Works Association, vol. 52, no. 3, pp. 45–53, 2020.</w:t>
      </w:r>
    </w:p>
    <w:p w:rsidR="000B5296" w:rsidRDefault="00DA6B8A">
      <w:pPr>
        <w:jc w:val="both"/>
      </w:pPr>
      <w:r>
        <w:rPr>
          <w:sz w:val="22"/>
        </w:rPr>
        <w:t xml:space="preserve">[9] N. Mundhe and R. Jaybhaye, "Impact of urbanisation on land use/land cover change using remote sensing and GIS: A case </w:t>
      </w:r>
      <w:r>
        <w:rPr>
          <w:sz w:val="22"/>
        </w:rPr>
        <w:t>study of Pune," International Journal of Remote Sensing and GIS, vol. 3, no. 2, pp. 37–44, 2014.</w:t>
      </w:r>
    </w:p>
    <w:p w:rsidR="000B5296" w:rsidRDefault="00DA6B8A">
      <w:pPr>
        <w:jc w:val="both"/>
      </w:pPr>
      <w:r>
        <w:rPr>
          <w:sz w:val="22"/>
        </w:rPr>
        <w:t>[10] P. Sharma and S. Singh, "Urban sprawl analysis of Pune Metropolitan Region using Landsat time-series and random forest classification," Remote Sensing App</w:t>
      </w:r>
      <w:r>
        <w:rPr>
          <w:sz w:val="22"/>
        </w:rPr>
        <w:t>lications: Society and Environment, vol. 23, art. 100567, 2021.</w:t>
      </w:r>
    </w:p>
    <w:p w:rsidR="000B5296" w:rsidRDefault="00DA6B8A">
      <w:pPr>
        <w:jc w:val="both"/>
      </w:pPr>
      <w:r>
        <w:rPr>
          <w:sz w:val="22"/>
        </w:rPr>
        <w:t>[11] M. Grieves and J. Vickers, "Digital Twin: Mitigating unpredictable, undesirable emergent behavior in complex systems," in Transdisciplinary Perspectives on Complex Systems, Springer, 2017</w:t>
      </w:r>
      <w:r>
        <w:rPr>
          <w:sz w:val="22"/>
        </w:rPr>
        <w:t>, pp. 85–113.</w:t>
      </w:r>
    </w:p>
    <w:p w:rsidR="000B5296" w:rsidRDefault="00DA6B8A">
      <w:pPr>
        <w:jc w:val="both"/>
      </w:pPr>
      <w:r>
        <w:rPr>
          <w:sz w:val="22"/>
        </w:rPr>
        <w:t>[12] T. H. Kolbe, G. Gröger, and L. Plümer, "CityGML: Interoperable access to 3D city models," in Geo-information for Disaster Management, Springer, 2005, pp. 883–899.</w:t>
      </w:r>
    </w:p>
    <w:p w:rsidR="000B5296" w:rsidRDefault="00DA6B8A">
      <w:pPr>
        <w:jc w:val="both"/>
      </w:pPr>
      <w:r>
        <w:rPr>
          <w:sz w:val="22"/>
        </w:rPr>
        <w:lastRenderedPageBreak/>
        <w:t>[13] National Research Foundation Singapore, "Virtual Singapore: A 3D digi</w:t>
      </w:r>
      <w:r>
        <w:rPr>
          <w:sz w:val="22"/>
        </w:rPr>
        <w:t>tal platform for the city," NRF Technical Report, 2018.</w:t>
      </w:r>
    </w:p>
    <w:p w:rsidR="000B5296" w:rsidRDefault="00DA6B8A">
      <w:pPr>
        <w:jc w:val="both"/>
      </w:pPr>
      <w:r>
        <w:rPr>
          <w:sz w:val="22"/>
        </w:rPr>
        <w:t xml:space="preserve">[14] T. Deng, K. Zhang, and Z. Shen, "A systematic review of a digital twin city: A new pattern of urban governance toward smart cities," Journal of Management Science and Engineering, vol. 6, no. 2, </w:t>
      </w:r>
      <w:r>
        <w:rPr>
          <w:sz w:val="22"/>
        </w:rPr>
        <w:t>pp. 125–134, 2021.</w:t>
      </w:r>
    </w:p>
    <w:p w:rsidR="000B5296" w:rsidRDefault="00DA6B8A">
      <w:pPr>
        <w:jc w:val="both"/>
      </w:pPr>
      <w:r>
        <w:rPr>
          <w:sz w:val="22"/>
        </w:rPr>
        <w:t>[15] F. Deren, W. Wenbo, and Z. Zhenfeng, "Smart city based on digital twins," Computational Urban Science, vol. 1, art. 4, 2021.</w:t>
      </w:r>
    </w:p>
    <w:p w:rsidR="000B5296" w:rsidRDefault="00DA6B8A">
      <w:pPr>
        <w:jc w:val="both"/>
      </w:pPr>
      <w:r>
        <w:rPr>
          <w:sz w:val="22"/>
        </w:rPr>
        <w:t>[16] M. S. Tehrany, B. Pradhan, and M. N. Jebur, "Flood susceptibility mapping using a novel ensemble weigh</w:t>
      </w:r>
      <w:r>
        <w:rPr>
          <w:sz w:val="22"/>
        </w:rPr>
        <w:t>ts-of-evidence and support vector machine models in GIS," Journal of Hydrology, vol. 512, pp. 332–343, 2014.</w:t>
      </w:r>
    </w:p>
    <w:p w:rsidR="000B5296" w:rsidRDefault="00DA6B8A">
      <w:pPr>
        <w:jc w:val="both"/>
      </w:pPr>
      <w:r>
        <w:rPr>
          <w:sz w:val="22"/>
        </w:rPr>
        <w:t>[17] S. Samanta, D. K. Pal, and B. Palsamanta, "Flood susceptibility analysis through remote sensing, GIS and frequency ratio model," Applied Water</w:t>
      </w:r>
      <w:r>
        <w:rPr>
          <w:sz w:val="22"/>
        </w:rPr>
        <w:t xml:space="preserve"> Science, vol. 8, art. 66, 2018.</w:t>
      </w:r>
    </w:p>
    <w:p w:rsidR="000B5296" w:rsidRDefault="00DA6B8A">
      <w:pPr>
        <w:jc w:val="both"/>
      </w:pPr>
      <w:r>
        <w:rPr>
          <w:sz w:val="22"/>
        </w:rPr>
        <w:t>[18] S. Lee and B. Pradhan, "Landslide hazard mapping at Selangor, Malaysia using frequency ratio and logistic regression models," Landslides, vol. 4, no. 1, pp. 33–41, 2007.</w:t>
      </w:r>
    </w:p>
    <w:p w:rsidR="000B5296" w:rsidRDefault="00DA6B8A">
      <w:pPr>
        <w:jc w:val="both"/>
      </w:pPr>
      <w:r>
        <w:rPr>
          <w:sz w:val="22"/>
        </w:rPr>
        <w:t>[19] R. Costache et al., "Flash-flood susceptibi</w:t>
      </w:r>
      <w:r>
        <w:rPr>
          <w:sz w:val="22"/>
        </w:rPr>
        <w:t>lity assessment using multi-criteria decision making and machine learning supported by remote sensing and GIS techniques," Remote Sensing, vol. 12, no. 1, art. 106, 2020.</w:t>
      </w:r>
    </w:p>
    <w:p w:rsidR="000B5296" w:rsidRDefault="00DA6B8A">
      <w:pPr>
        <w:jc w:val="both"/>
      </w:pPr>
      <w:r>
        <w:rPr>
          <w:sz w:val="22"/>
        </w:rPr>
        <w:t>[20] A. T. Kulkarni and J. P. Patil, "Flood vulnerability mapping for Mula-Mutha rive</w:t>
      </w:r>
      <w:r>
        <w:rPr>
          <w:sz w:val="22"/>
        </w:rPr>
        <w:t>r basin, Pune," ISH Journal of Hydraulic Engineering, vol. 26, no. 4, pp. 456–467, 2020.</w:t>
      </w:r>
    </w:p>
    <w:p w:rsidR="000B5296" w:rsidRDefault="00DA6B8A">
      <w:pPr>
        <w:jc w:val="both"/>
      </w:pPr>
      <w:r>
        <w:rPr>
          <w:sz w:val="22"/>
        </w:rPr>
        <w:t>[21] UNDRR, "Global Assessment Report on Disaster Risk Reduction," United Nations Office for Disaster Risk Reduction, Geneva, 2022.</w:t>
      </w:r>
    </w:p>
    <w:p w:rsidR="000B5296" w:rsidRDefault="00DA6B8A">
      <w:pPr>
        <w:jc w:val="both"/>
      </w:pPr>
      <w:r>
        <w:rPr>
          <w:sz w:val="22"/>
        </w:rPr>
        <w:t>[22] G. Camps-Valls, D. Tuia, L. Br</w:t>
      </w:r>
      <w:r>
        <w:rPr>
          <w:sz w:val="22"/>
        </w:rPr>
        <w:t>uzzone, and J. A. Benediktsson, "Advances in hyperspectral image classification," IEEE Signal Processing Magazine, vol. 31, no. 1, pp. 45–54, 2014.</w:t>
      </w:r>
    </w:p>
    <w:p w:rsidR="000B5296" w:rsidRDefault="00DA6B8A">
      <w:pPr>
        <w:jc w:val="both"/>
      </w:pPr>
      <w:r>
        <w:rPr>
          <w:sz w:val="22"/>
        </w:rPr>
        <w:t>[23] M. Schmitt, L. H. Hughes, C. Qiu, and X. X. Zhu, "SEN12MS: A curated dataset of georeferenced multi-spe</w:t>
      </w:r>
      <w:r>
        <w:rPr>
          <w:sz w:val="22"/>
        </w:rPr>
        <w:t>ctral Sentinel-1/2 imagery," ISPRS Annals, vol. IV-2/W7, pp. 153–160, 2019.</w:t>
      </w:r>
    </w:p>
    <w:p w:rsidR="000B5296" w:rsidRDefault="00DA6B8A">
      <w:pPr>
        <w:jc w:val="both"/>
      </w:pPr>
      <w:r>
        <w:rPr>
          <w:sz w:val="22"/>
        </w:rPr>
        <w:t>[24] G. Mai, Y. Chen, and N. Lao, "On the opportunities and challenges of foundation models for GeoAI," ACM Transactions on Spatial Algorithms and Systems, vol. 10, no. 2, pp. 1–46</w:t>
      </w:r>
      <w:r>
        <w:rPr>
          <w:sz w:val="22"/>
        </w:rPr>
        <w:t>, 2024.</w:t>
      </w:r>
    </w:p>
    <w:p w:rsidR="000B5296" w:rsidRDefault="00DA6B8A">
      <w:pPr>
        <w:jc w:val="both"/>
      </w:pPr>
      <w:r>
        <w:rPr>
          <w:sz w:val="22"/>
        </w:rPr>
        <w:lastRenderedPageBreak/>
        <w:t>[25] Z. Li and H. Ning, "Autonomous GIS: An AI agent for spatial analysis," arXiv preprint arXiv:2312.11216, 2023.</w:t>
      </w:r>
    </w:p>
    <w:p w:rsidR="000B5296" w:rsidRDefault="00DA6B8A">
      <w:pPr>
        <w:jc w:val="both"/>
      </w:pPr>
      <w:r>
        <w:rPr>
          <w:sz w:val="22"/>
        </w:rPr>
        <w:t>[26] J. Malczewski, GIS and Multicriteria Decision Analysis. New York: John Wiley &amp; Sons, 1999.</w:t>
      </w:r>
    </w:p>
    <w:p w:rsidR="000B5296" w:rsidRDefault="00DA6B8A">
      <w:pPr>
        <w:jc w:val="both"/>
      </w:pPr>
      <w:r>
        <w:rPr>
          <w:sz w:val="22"/>
        </w:rPr>
        <w:t>[27] M. Evers, A. Jonoski, A. Almorad</w:t>
      </w:r>
      <w:r>
        <w:rPr>
          <w:sz w:val="22"/>
        </w:rPr>
        <w:t>ie, and L. Lange, "Collaborative decision making in sustainable flood risk management: A socio-technical approach and tools for participatory governance," Environmental Science &amp; Policy, vol. 55, pp. 335–344, 2016.</w:t>
      </w:r>
    </w:p>
    <w:p w:rsidR="000B5296" w:rsidRDefault="00DA6B8A">
      <w:pPr>
        <w:jc w:val="both"/>
      </w:pPr>
      <w:r>
        <w:rPr>
          <w:sz w:val="22"/>
        </w:rPr>
        <w:t>[28] R. Janssen, H. Goosen, M. L. Verhoev</w:t>
      </w:r>
      <w:r>
        <w:rPr>
          <w:sz w:val="22"/>
        </w:rPr>
        <w:t>en, J. M. Verhoeven, H. A. Omtzigt, and E. Maltby, "Decision support for integrated wetland management," Environmental Modelling &amp; Software, vol. 20, no. 2, pp. 215–229, 2005.</w:t>
      </w:r>
    </w:p>
    <w:p w:rsidR="000B5296" w:rsidRDefault="00DA6B8A">
      <w:pPr>
        <w:jc w:val="both"/>
      </w:pPr>
      <w:r>
        <w:rPr>
          <w:sz w:val="22"/>
        </w:rPr>
        <w:t>[29] A. K. Jha, R. Bloch, and J. Lamond, Cities and Flooding: A Guide to Integra</w:t>
      </w:r>
      <w:r>
        <w:rPr>
          <w:sz w:val="22"/>
        </w:rPr>
        <w:t>ted Urban Flood Risk Management for the 21st Century. Washington, DC: World Bank Publications, 2012.</w:t>
      </w:r>
    </w:p>
    <w:p w:rsidR="000B5296" w:rsidRDefault="00DA6B8A">
      <w:pPr>
        <w:jc w:val="both"/>
      </w:pPr>
      <w:r>
        <w:rPr>
          <w:sz w:val="22"/>
        </w:rPr>
        <w:t>[30] Y. Xu, M. Liu, and J. Chen, "Chatbot-assisted environmental monitoring using natural language processing and IoT sensor data," Environmental Modelling</w:t>
      </w:r>
      <w:r>
        <w:rPr>
          <w:sz w:val="22"/>
        </w:rPr>
        <w:t xml:space="preserve"> &amp; Software, vol. 145, art. 105187, 2021.</w:t>
      </w:r>
    </w:p>
    <w:p w:rsidR="000B5296" w:rsidRDefault="00DA6B8A">
      <w:pPr>
        <w:jc w:val="both"/>
      </w:pPr>
      <w:r>
        <w:rPr>
          <w:sz w:val="22"/>
        </w:rPr>
        <w:t>[31] B. Merz, H. Kreibich, R. Schwarze, and A. Thieken, "Review article: Assessment of economic flood damage," Natural Hazards and Earth System Sciences, vol. 10, pp. 1697–1724, 2010.</w:t>
      </w:r>
    </w:p>
    <w:p w:rsidR="000B5296" w:rsidRDefault="00DA6B8A">
      <w:pPr>
        <w:jc w:val="both"/>
      </w:pPr>
      <w:r>
        <w:rPr>
          <w:sz w:val="22"/>
        </w:rPr>
        <w:t xml:space="preserve">[32] B. Herfort, S. </w:t>
      </w:r>
      <w:r>
        <w:rPr>
          <w:sz w:val="22"/>
        </w:rPr>
        <w:t>Lautenbach, J. P. de Albuquerque, J. Anderson, and A. Zipf, "The evolution of humanitarian mapping within the OpenStreetMap community," Scientific Reports, vol. 11, art. 3037, 2021.</w:t>
      </w:r>
    </w:p>
    <w:p w:rsidR="000B5296" w:rsidRDefault="00DA6B8A">
      <w:pPr>
        <w:jc w:val="both"/>
      </w:pPr>
      <w:r>
        <w:rPr>
          <w:sz w:val="22"/>
        </w:rPr>
        <w:t xml:space="preserve">[33] S. L. Cutter, B. J. Boruff, and W. L. Shirley, "Social vulnerability </w:t>
      </w:r>
      <w:r>
        <w:rPr>
          <w:sz w:val="22"/>
        </w:rPr>
        <w:t>to environmental hazards," Social Science Quarterly, vol. 84, no. 2, pp. 242–261, 2003.</w:t>
      </w:r>
    </w:p>
    <w:p w:rsidR="000B5296" w:rsidRDefault="00DA6B8A">
      <w:pPr>
        <w:jc w:val="both"/>
      </w:pPr>
      <w:r>
        <w:rPr>
          <w:sz w:val="22"/>
        </w:rPr>
        <w:t>[34] M. S. Bhat, A. Alam, B. Ahmad, D. Kotlia, and H. Farooq, "Flood frequency analysis of river Jhelum in Kashmir basin," Quaternary International, vol. 507, pp. 288–2</w:t>
      </w:r>
      <w:r>
        <w:rPr>
          <w:sz w:val="22"/>
        </w:rPr>
        <w:t>94, 2019.</w:t>
      </w:r>
    </w:p>
    <w:p w:rsidR="000B5296" w:rsidRDefault="00DA6B8A">
      <w:pPr>
        <w:jc w:val="both"/>
      </w:pPr>
      <w:r>
        <w:rPr>
          <w:sz w:val="22"/>
        </w:rPr>
        <w:t>[35] Ministry of Housing and Urban Affairs, "Smart Cities Mission Statement and Guidelines," Government of India, New Delhi, 2015.</w:t>
      </w:r>
    </w:p>
    <w:p w:rsidR="000B5296" w:rsidRDefault="00DA6B8A">
      <w:pPr>
        <w:jc w:val="both"/>
      </w:pPr>
      <w:r>
        <w:rPr>
          <w:sz w:val="22"/>
        </w:rPr>
        <w:t xml:space="preserve">[36] S. Praharaj, J. H. Han, and S. Hawken, "Innovative civic engagement and digital urban infrastructure: Lessons </w:t>
      </w:r>
      <w:r>
        <w:rPr>
          <w:sz w:val="22"/>
        </w:rPr>
        <w:t>from 100 Smart Cities Mission in India," Procedia Engineering, vol. 180, pp. 1423–1432, 2017.</w:t>
      </w:r>
    </w:p>
    <w:p w:rsidR="000B5296" w:rsidRDefault="00DA6B8A">
      <w:pPr>
        <w:jc w:val="both"/>
      </w:pPr>
      <w:r>
        <w:rPr>
          <w:sz w:val="22"/>
        </w:rPr>
        <w:lastRenderedPageBreak/>
        <w:t>[37] UNISDR, "Sendai Framework for Disaster Risk Reduction 2015–2030," United Nations Office for Disaster Risk Reduction, Geneva, 2015.</w:t>
      </w:r>
    </w:p>
    <w:p w:rsidR="000B5296" w:rsidRDefault="00DA6B8A">
      <w:pPr>
        <w:jc w:val="both"/>
      </w:pPr>
      <w:r>
        <w:rPr>
          <w:sz w:val="22"/>
        </w:rPr>
        <w:t>[38] R. Kitchin, "The real</w:t>
      </w:r>
      <w:r>
        <w:rPr>
          <w:sz w:val="22"/>
        </w:rPr>
        <w:t>-time city? Big data and smart urbanism," GeoJournal, vol. 79, no. 1, pp. 1–14, 2014.</w:t>
      </w:r>
    </w:p>
    <w:sectPr w:rsidR="000B52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296"/>
    <w:rsid w:val="0015074B"/>
    <w:rsid w:val="0029639D"/>
    <w:rsid w:val="00326F90"/>
    <w:rsid w:val="00AA1D8D"/>
    <w:rsid w:val="00B47730"/>
    <w:rsid w:val="00CB0664"/>
    <w:rsid w:val="00DA6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2150D56-FB40-412B-A6E1-4063FF83C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4880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26084-03A5-44C2-BAE0-350D6936B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4447</Words>
  <Characters>25351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2026-06-16T08:03:00Z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1cc1c0d2-c137-40d1-a7e2-c6b83c98a142</vt:lpwstr>
  </property>
</Properties>
</file>