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0F172A"/>
          <w:sz w:val="52"/>
        </w:rPr>
        <w:t>GeoNarrative AI</w:t>
      </w:r>
    </w:p>
    <w:p>
      <w:pPr>
        <w:jc w:val="center"/>
      </w:pPr>
      <w:r>
        <w:rPr>
          <w:rFonts w:ascii="Times New Roman" w:hAnsi="Times New Roman"/>
          <w:b/>
          <w:color w:val="0284C7"/>
          <w:sz w:val="32"/>
        </w:rPr>
        <w:t>Conversational GeoAI Digital Twin for Urban Intelligence</w:t>
      </w:r>
    </w:p>
    <w:p/>
    <w:p>
      <w:pPr>
        <w:jc w:val="center"/>
      </w:pPr>
      <w:r>
        <w:rPr>
          <w:rFonts w:ascii="Times New Roman" w:hAnsi="Times New Roman"/>
          <w:b w:val="0"/>
          <w:color w:val="475569"/>
          <w:sz w:val="28"/>
        </w:rPr>
        <w:t>A Research Synopsis</w:t>
      </w:r>
    </w:p>
    <w:p/>
    <w:p/>
    <w:p>
      <w:pPr>
        <w:jc w:val="center"/>
      </w:pPr>
      <w:r>
        <w:rPr>
          <w:rFonts w:ascii="Times New Roman" w:hAnsi="Times New Roman"/>
          <w:b/>
          <w:sz w:val="24"/>
        </w:rPr>
        <w:t xml:space="preserve">Candidate: </w:t>
      </w:r>
      <w:r>
        <w:rPr>
          <w:rFonts w:ascii="Times New Roman" w:hAnsi="Times New Roman"/>
          <w:sz w:val="24"/>
        </w:rPr>
        <w:t>[Your Name]</w:t>
      </w:r>
    </w:p>
    <w:p>
      <w:pPr>
        <w:jc w:val="center"/>
      </w:pPr>
      <w:r>
        <w:rPr>
          <w:rFonts w:ascii="Times New Roman" w:hAnsi="Times New Roman"/>
          <w:b/>
          <w:sz w:val="24"/>
        </w:rPr>
        <w:t xml:space="preserve">Program: </w:t>
      </w:r>
      <w:r>
        <w:rPr>
          <w:rFonts w:ascii="Times New Roman" w:hAnsi="Times New Roman"/>
          <w:sz w:val="24"/>
        </w:rPr>
        <w:t>[Program Name], Semester III</w:t>
      </w:r>
    </w:p>
    <w:p>
      <w:pPr>
        <w:jc w:val="center"/>
      </w:pPr>
      <w:r>
        <w:rPr>
          <w:rFonts w:ascii="Times New Roman" w:hAnsi="Times New Roman"/>
          <w:b/>
          <w:sz w:val="24"/>
        </w:rPr>
        <w:t xml:space="preserve">Institution: </w:t>
      </w:r>
      <w:r>
        <w:rPr>
          <w:rFonts w:ascii="Times New Roman" w:hAnsi="Times New Roman"/>
          <w:sz w:val="24"/>
        </w:rPr>
        <w:t>[University Name]</w:t>
      </w:r>
    </w:p>
    <w:p>
      <w:pPr>
        <w:jc w:val="center"/>
      </w:pPr>
      <w:r>
        <w:rPr>
          <w:rFonts w:ascii="Times New Roman" w:hAnsi="Times New Roman"/>
          <w:b/>
          <w:sz w:val="24"/>
        </w:rPr>
        <w:t xml:space="preserve">Guide: </w:t>
      </w:r>
      <w:r>
        <w:rPr>
          <w:rFonts w:ascii="Times New Roman" w:hAnsi="Times New Roman"/>
          <w:sz w:val="24"/>
        </w:rPr>
        <w:t>[Guide Name]</w:t>
      </w:r>
    </w:p>
    <w:p>
      <w:pPr>
        <w:jc w:val="center"/>
      </w:pPr>
      <w:r>
        <w:rPr>
          <w:rFonts w:ascii="Times New Roman" w:hAnsi="Times New Roman"/>
          <w:b/>
          <w:sz w:val="24"/>
        </w:rPr>
        <w:t xml:space="preserve">Date: </w:t>
      </w:r>
      <w:r>
        <w:rPr>
          <w:rFonts w:ascii="Times New Roman" w:hAnsi="Times New Roman"/>
          <w:sz w:val="24"/>
        </w:rPr>
        <w:t>June 2026</w:t>
      </w:r>
    </w:p>
    <w:p>
      <w:r>
        <w:br w:type="page"/>
      </w:r>
    </w:p>
    <w:p>
      <w:pPr>
        <w:pStyle w:val="Heading1"/>
      </w:pPr>
      <w:r>
        <w:rPr>
          <w:rFonts w:ascii="Times New Roman" w:hAnsi="Times New Roman"/>
          <w:color w:val="000000"/>
        </w:rPr>
        <w:t>1. Title</w:t>
      </w:r>
    </w:p>
    <w:p>
      <w:pPr>
        <w:jc w:val="both"/>
      </w:pPr>
      <w:r>
        <w:rPr>
          <w:rFonts w:ascii="Times New Roman" w:hAnsi="Times New Roman"/>
          <w:b/>
          <w:i w:val="0"/>
          <w:sz w:val="26"/>
        </w:rPr>
        <w:t>GeoNarrative AI: Conversational GeoAI Digital Twin for Urban Intelligence</w:t>
      </w:r>
    </w:p>
    <w:p>
      <w:pPr>
        <w:pStyle w:val="Heading1"/>
      </w:pPr>
      <w:r>
        <w:rPr>
          <w:rFonts w:ascii="Times New Roman" w:hAnsi="Times New Roman"/>
          <w:color w:val="000000"/>
        </w:rPr>
        <w:t>2. Abstract</w:t>
      </w:r>
    </w:p>
    <w:p>
      <w:pPr>
        <w:jc w:val="both"/>
      </w:pPr>
      <w:r>
        <w:rPr>
          <w:rFonts w:ascii="Times New Roman" w:hAnsi="Times New Roman"/>
          <w:b w:val="0"/>
          <w:i w:val="0"/>
          <w:sz w:val="24"/>
        </w:rPr>
        <w:t>Contemporary urban governance demands rapid, evidence-driven spatial reasoning across heterogeneous geospatial datasets. Traditional Geographic Information System (GIS) dashboards, while effective for static cartographic visualization, impose a significant cognitive barrier on non-expert stakeholders who lack proficiency in spatial query languages (SQL/OGC) and cartographic interpretation. This research presents GeoNarrative AI, a conversational GeoAI digital twin platform that unifies natural language interaction, PostGIS-backed spatial analytics, ensemble machine learning prediction, and generative AI narrative synthesis within a single coherent architecture. The system implements a six-stage processing pipeline—Intent Router, Spatial Engine, PostGIS Query Executor, Geo-Reasoning Engine, Generative AI Layer, and Digital Twin Dashboard—enabling users to interrogate complex urban datasets through conversational prompts and receive structured, evidence-grounded intelligence reports. The platform operates across four urban intelligence domains: flood risk management, traffic congestion analysis, urban zoning compliance, and utility grid reliability. A Multi-Criteria Decision Analysis (MCDA) framework with linear weighted scoring underpins all risk computations, while pure-Python implementations of Random Forest and XGBoost ensemble regressors provide predictive capability with full model explainability. Empirical evaluation demonstrates that the proposed architecture reduces the time-to-insight for spatial queries by transforming multi-step GIS workflows into single-turn conversational interactions, thereby democratizing access to geospatial intelligence for urban planners, municipal administrators, and emergency response coordinators.</w:t>
      </w:r>
    </w:p>
    <w:p>
      <w:pPr>
        <w:jc w:val="both"/>
      </w:pPr>
      <w:r>
        <w:rPr>
          <w:rFonts w:ascii="Times New Roman" w:hAnsi="Times New Roman"/>
          <w:b w:val="0"/>
          <w:i/>
          <w:sz w:val="22"/>
        </w:rPr>
        <w:t>Keywords: GeoAI, Digital Twin, Conversational AI, Urban Intelligence, PostGIS, Spatial Analytics, Generative AI, Smart Cities, Retrieval-Augmented Generation</w:t>
      </w:r>
    </w:p>
    <w:p>
      <w:pPr>
        <w:pStyle w:val="Heading1"/>
      </w:pPr>
      <w:r>
        <w:rPr>
          <w:rFonts w:ascii="Times New Roman" w:hAnsi="Times New Roman"/>
          <w:color w:val="000000"/>
        </w:rPr>
        <w:t>3. Introduction</w:t>
      </w:r>
    </w:p>
    <w:p>
      <w:pPr>
        <w:jc w:val="both"/>
      </w:pPr>
      <w:r>
        <w:rPr>
          <w:rFonts w:ascii="Times New Roman" w:hAnsi="Times New Roman"/>
          <w:b w:val="0"/>
          <w:i w:val="0"/>
          <w:sz w:val="24"/>
        </w:rPr>
        <w:t>The accelerating pace of urbanization, projected to encompass 68% of the global population by 2050 (United Nations, 2018), imposes unprecedented demands on municipal infrastructure systems spanning flood management, transportation networks, utility grids, and zoning regulation. Geographic Information Systems have historically served as the computational backbone for spatial decision-support, enabling planners to visualize, query, and analyze geographically referenced data. However, conventional GIS platforms such as QGIS, ArcGIS, and web-based dashboard systems operate predominantly through graphical user interfaces requiring specialized training in cartographic conventions, coordinate reference systems, and structured query formulations.</w:t>
      </w:r>
    </w:p>
    <w:p>
      <w:pPr>
        <w:jc w:val="both"/>
      </w:pPr>
      <w:r>
        <w:rPr>
          <w:rFonts w:ascii="Times New Roman" w:hAnsi="Times New Roman"/>
          <w:b w:val="0"/>
          <w:i w:val="0"/>
          <w:sz w:val="24"/>
        </w:rPr>
        <w:t>The emergence of Generative AI, particularly Large Language Models (LLMs) such as Google Gemini, GPT-4, and Claude, has introduced a paradigm shift in human-computer interaction. These models demonstrate remarkable capability in natural language understanding, contextual reasoning, and structured text generation. Simultaneously, the Digital Twin paradigm—originating in manufacturing (Grieves, 2014) and now extending to urban systems—proposes the creation of dynamic, data-driven virtual replicas of physical environments for simulation, monitoring, and predictive analytics.</w:t>
      </w:r>
    </w:p>
    <w:p>
      <w:pPr>
        <w:jc w:val="both"/>
      </w:pPr>
      <w:r>
        <w:rPr>
          <w:rFonts w:ascii="Times New Roman" w:hAnsi="Times New Roman"/>
          <w:b w:val="0"/>
          <w:i w:val="0"/>
          <w:sz w:val="24"/>
        </w:rPr>
        <w:t>Despite these parallel advances, a critical architectural gap persists: no existing system cohesively integrates conversational AI interfaces with spatially-indexed PostGIS databases, domain-specific geo-reasoning engines, and digital twin visualization within a unified pipeline. GeoNarrative AI addresses this gap by constructing a Spatial Retrieval-Augmented Generation (Spatial RAG) architecture that grounds LLM responses in verifiable PostGIS query results, enforces truthfulness constraints through deterministic reasoning fallbacks, and renders analytical outputs through an interactive Mapbox GL digital twin dashboard.</w:t>
      </w:r>
    </w:p>
    <w:p>
      <w:pPr>
        <w:pStyle w:val="Heading1"/>
      </w:pPr>
      <w:r>
        <w:rPr>
          <w:rFonts w:ascii="Times New Roman" w:hAnsi="Times New Roman"/>
          <w:color w:val="000000"/>
        </w:rPr>
        <w:t>4. Problem Statement</w:t>
      </w:r>
    </w:p>
    <w:p>
      <w:pPr>
        <w:jc w:val="both"/>
      </w:pPr>
      <w:r>
        <w:rPr>
          <w:rFonts w:ascii="Times New Roman" w:hAnsi="Times New Roman"/>
          <w:b w:val="0"/>
          <w:i w:val="0"/>
          <w:sz w:val="24"/>
        </w:rPr>
        <w:t>Existing GIS-based urban intelligence platforms suffer from four structural deficiencies:</w:t>
      </w:r>
    </w:p>
    <w:p>
      <w:pPr>
        <w:pStyle w:val="ListBullet"/>
        <w:jc w:val="both"/>
      </w:pPr>
      <w:r>
        <w:rPr>
          <w:rFonts w:ascii="Times New Roman" w:hAnsi="Times New Roman"/>
          <w:sz w:val="24"/>
        </w:rPr>
        <w:t>Static Visualization Paradigm: Conventional GIS dashboards present pre-computed cartographic layers without supporting dynamic, query-driven spatial reasoning.</w:t>
      </w:r>
    </w:p>
    <w:p>
      <w:pPr>
        <w:pStyle w:val="ListBullet"/>
        <w:jc w:val="both"/>
      </w:pPr>
      <w:r>
        <w:rPr>
          <w:rFonts w:ascii="Times New Roman" w:hAnsi="Times New Roman"/>
          <w:sz w:val="24"/>
        </w:rPr>
        <w:t>Expert-Dependent Interaction Model: Formulating spatial queries requires proficiency in SQL, OGC standards, and coordinate reference systems, excluding non-technical stakeholders.</w:t>
      </w:r>
    </w:p>
    <w:p>
      <w:pPr>
        <w:pStyle w:val="ListBullet"/>
        <w:jc w:val="both"/>
      </w:pPr>
      <w:r>
        <w:rPr>
          <w:rFonts w:ascii="Times New Roman" w:hAnsi="Times New Roman"/>
          <w:sz w:val="24"/>
        </w:rPr>
        <w:t>Fragmented Intelligence Architecture: Urban analytics tools operate in domain silos preventing holistic cross-domain risk assessment.</w:t>
      </w:r>
    </w:p>
    <w:p>
      <w:pPr>
        <w:pStyle w:val="ListBullet"/>
        <w:jc w:val="both"/>
      </w:pPr>
      <w:r>
        <w:rPr>
          <w:rFonts w:ascii="Times New Roman" w:hAnsi="Times New Roman"/>
          <w:sz w:val="24"/>
        </w:rPr>
        <w:t>Absence of Narrative Intelligence: Raw spatial query results lack contextual interpretation and actionable recommendations.</w:t>
      </w:r>
    </w:p>
    <w:p>
      <w:pPr>
        <w:jc w:val="both"/>
      </w:pPr>
      <w:r>
        <w:rPr>
          <w:rFonts w:ascii="Times New Roman" w:hAnsi="Times New Roman"/>
          <w:b w:val="0"/>
          <w:i w:val="0"/>
          <w:sz w:val="24"/>
        </w:rPr>
        <w:t>Formal Problem Definition: Given a natural language query Q, a spatially-indexed urban database D (PostgreSQL + PostGIS), and a set of urban intelligence domains Ω = {flood, traffic, urban, utility}, design an end-to-end system F such that: F(Q, D, Ω) → (R_narrative, V_spatial, M_predictive), where R_narrative is a structured evidence-grounded intelligence report, V_spatial is a digital twin map visualization, and M_predictive is a quantitative risk assessment with model explainability metrics.</w:t>
      </w:r>
    </w:p>
    <w:p>
      <w:pPr>
        <w:pStyle w:val="Heading1"/>
      </w:pPr>
      <w:r>
        <w:rPr>
          <w:rFonts w:ascii="Times New Roman" w:hAnsi="Times New Roman"/>
          <w:color w:val="000000"/>
        </w:rPr>
        <w:t>5. Research Motivation</w:t>
      </w:r>
    </w:p>
    <w:p>
      <w:pPr>
        <w:pStyle w:val="ListBullet"/>
        <w:jc w:val="both"/>
      </w:pPr>
      <w:r>
        <w:rPr>
          <w:rFonts w:ascii="Times New Roman" w:hAnsi="Times New Roman"/>
          <w:sz w:val="24"/>
        </w:rPr>
        <w:t>Democratization Imperative: Municipal decision-makers require spatial intelligence but lack GIS expertise. Conversational interfaces can bridge this accessibility gap.</w:t>
      </w:r>
    </w:p>
    <w:p>
      <w:pPr>
        <w:pStyle w:val="ListBullet"/>
        <w:jc w:val="both"/>
      </w:pPr>
      <w:r>
        <w:rPr>
          <w:rFonts w:ascii="Times New Roman" w:hAnsi="Times New Roman"/>
          <w:sz w:val="24"/>
        </w:rPr>
        <w:t>Generative AI Maturity: LLMs have achieved sufficient reasoning capability to process structured spatial data contexts and generate domain-appropriate analytical narratives.</w:t>
      </w:r>
    </w:p>
    <w:p>
      <w:pPr>
        <w:pStyle w:val="ListBullet"/>
        <w:jc w:val="both"/>
      </w:pPr>
      <w:r>
        <w:rPr>
          <w:rFonts w:ascii="Times New Roman" w:hAnsi="Times New Roman"/>
          <w:sz w:val="24"/>
        </w:rPr>
        <w:t>Digital Twin Convergence: The confluence of real-time geospatial data, spatial databases, and WebGL-based visualization makes operational urban digital twins technically feasible.</w:t>
      </w:r>
    </w:p>
    <w:p>
      <w:pPr>
        <w:pStyle w:val="ListBullet"/>
        <w:jc w:val="both"/>
      </w:pPr>
      <w:r>
        <w:rPr>
          <w:rFonts w:ascii="Times New Roman" w:hAnsi="Times New Roman"/>
          <w:sz w:val="24"/>
        </w:rPr>
        <w:t>Evidence-Driven Governance: The transition from intuition-based to evidence-based urban planning requires transparent, auditable analytical systems.</w:t>
      </w:r>
    </w:p>
    <w:p>
      <w:pPr>
        <w:pStyle w:val="ListBullet"/>
        <w:jc w:val="both"/>
      </w:pPr>
      <w:r>
        <w:rPr>
          <w:rFonts w:ascii="Times New Roman" w:hAnsi="Times New Roman"/>
          <w:sz w:val="24"/>
        </w:rPr>
        <w:t>Interdisciplinary Research Opportunity: The intersection of GeoAI, Digital Twins, Generative AI, and HCI represents a nascent research frontier.</w:t>
      </w:r>
    </w:p>
    <w:p>
      <w:pPr>
        <w:pStyle w:val="Heading1"/>
      </w:pPr>
      <w:r>
        <w:rPr>
          <w:rFonts w:ascii="Times New Roman" w:hAnsi="Times New Roman"/>
          <w:color w:val="000000"/>
        </w:rPr>
        <w:t>6. Research Objectives</w:t>
      </w:r>
    </w:p>
    <w:p>
      <w:pPr>
        <w:pStyle w:val="ListBullet"/>
        <w:jc w:val="both"/>
      </w:pPr>
      <w:r>
        <w:rPr>
          <w:rFonts w:ascii="Times New Roman" w:hAnsi="Times New Roman"/>
          <w:sz w:val="24"/>
        </w:rPr>
        <w:t>To design and implement a multi-stage conversational GeoAI pipeline that translates natural language queries into PostGIS spatial operations and synthesizes results into narrative intelligence.</w:t>
      </w:r>
    </w:p>
    <w:p>
      <w:pPr>
        <w:pStyle w:val="ListBullet"/>
        <w:jc w:val="both"/>
      </w:pPr>
      <w:r>
        <w:rPr>
          <w:rFonts w:ascii="Times New Roman" w:hAnsi="Times New Roman"/>
          <w:sz w:val="24"/>
        </w:rPr>
        <w:t>To develop a deterministic Geo-Reasoning Engine capable of generating domain-specific risk assessments from raw spatial intersection results without LLM dependency.</w:t>
      </w:r>
    </w:p>
    <w:p>
      <w:pPr>
        <w:pStyle w:val="ListBullet"/>
        <w:jc w:val="both"/>
      </w:pPr>
      <w:r>
        <w:rPr>
          <w:rFonts w:ascii="Times New Roman" w:hAnsi="Times New Roman"/>
          <w:sz w:val="24"/>
        </w:rPr>
        <w:t>To implement pure-Python ensemble ML models (Random Forest, XGBoost) with full feature engineering pipelines and explainability metrics for multi-factor urban risk prediction.</w:t>
      </w:r>
    </w:p>
    <w:p>
      <w:pPr>
        <w:pStyle w:val="ListBullet"/>
        <w:jc w:val="both"/>
      </w:pPr>
      <w:r>
        <w:rPr>
          <w:rFonts w:ascii="Times New Roman" w:hAnsi="Times New Roman"/>
          <w:sz w:val="24"/>
        </w:rPr>
        <w:t>To construct a Spatial RAG architecture that enforces truthfulness constraints by grounding generative AI outputs in verifiable PostGIS query evidence.</w:t>
      </w:r>
    </w:p>
    <w:p>
      <w:pPr>
        <w:pStyle w:val="ListBullet"/>
        <w:jc w:val="both"/>
      </w:pPr>
      <w:r>
        <w:rPr>
          <w:rFonts w:ascii="Times New Roman" w:hAnsi="Times New Roman"/>
          <w:sz w:val="24"/>
        </w:rPr>
        <w:t>To integrate real-time OpenStreetMap data ingestion, weather telemetry, and MCDA-based risk scoring within a unified digital twin dashboard.</w:t>
      </w:r>
    </w:p>
    <w:p>
      <w:pPr>
        <w:pStyle w:val="ListBullet"/>
        <w:jc w:val="both"/>
      </w:pPr>
      <w:r>
        <w:rPr>
          <w:rFonts w:ascii="Times New Roman" w:hAnsi="Times New Roman"/>
          <w:sz w:val="24"/>
        </w:rPr>
        <w:t>To evaluate the system’s effectiveness in reducing time-to-insight for spatial queries compared to traditional GIS workflow approaches.</w:t>
      </w:r>
    </w:p>
    <w:p>
      <w:pPr>
        <w:pStyle w:val="Heading1"/>
      </w:pPr>
      <w:r>
        <w:rPr>
          <w:rFonts w:ascii="Times New Roman" w:hAnsi="Times New Roman"/>
          <w:color w:val="000000"/>
        </w:rPr>
        <w:t>7. Scope of Study</w:t>
      </w:r>
    </w:p>
    <w:p>
      <w:pPr>
        <w:jc w:val="both"/>
      </w:pPr>
      <w:r>
        <w:rPr>
          <w:rFonts w:ascii="Times New Roman" w:hAnsi="Times New Roman"/>
          <w:b/>
          <w:i w:val="0"/>
          <w:sz w:val="24"/>
        </w:rPr>
        <w:t>Included:</w:t>
      </w:r>
    </w:p>
    <w:p>
      <w:pPr>
        <w:pStyle w:val="ListBullet"/>
        <w:jc w:val="both"/>
      </w:pPr>
      <w:r>
        <w:rPr>
          <w:rFonts w:ascii="Times New Roman" w:hAnsi="Times New Roman"/>
          <w:sz w:val="24"/>
        </w:rPr>
        <w:t>Conversational interaction via natural language for geospatial queries</w:t>
      </w:r>
    </w:p>
    <w:p>
      <w:pPr>
        <w:pStyle w:val="ListBullet"/>
        <w:jc w:val="both"/>
      </w:pPr>
      <w:r>
        <w:rPr>
          <w:rFonts w:ascii="Times New Roman" w:hAnsi="Times New Roman"/>
          <w:sz w:val="24"/>
        </w:rPr>
        <w:t>PostGIS spatial operations: ST_Contains, ST_DWithin, ST_Intersects, KNN (&lt;-&gt;)</w:t>
      </w:r>
    </w:p>
    <w:p>
      <w:pPr>
        <w:pStyle w:val="ListBullet"/>
        <w:jc w:val="both"/>
      </w:pPr>
      <w:r>
        <w:rPr>
          <w:rFonts w:ascii="Times New Roman" w:hAnsi="Times New Roman"/>
          <w:sz w:val="24"/>
        </w:rPr>
        <w:t>Four urban domains: Flood Risk, Traffic Congestion, Urban Zoning, Utility Grid</w:t>
      </w:r>
    </w:p>
    <w:p>
      <w:pPr>
        <w:pStyle w:val="ListBullet"/>
        <w:jc w:val="both"/>
      </w:pPr>
      <w:r>
        <w:rPr>
          <w:rFonts w:ascii="Times New Roman" w:hAnsi="Times New Roman"/>
          <w:sz w:val="24"/>
        </w:rPr>
        <w:t>Ensemble ML prediction with MCDA scoring</w:t>
      </w:r>
    </w:p>
    <w:p>
      <w:pPr>
        <w:pStyle w:val="ListBullet"/>
        <w:jc w:val="both"/>
      </w:pPr>
      <w:r>
        <w:rPr>
          <w:rFonts w:ascii="Times New Roman" w:hAnsi="Times New Roman"/>
          <w:sz w:val="24"/>
        </w:rPr>
        <w:t>Dynamic OpenStreetMap data ingestion via Overpass API</w:t>
      </w:r>
    </w:p>
    <w:p>
      <w:pPr>
        <w:pStyle w:val="ListBullet"/>
        <w:jc w:val="both"/>
      </w:pPr>
      <w:r>
        <w:rPr>
          <w:rFonts w:ascii="Times New Roman" w:hAnsi="Times New Roman"/>
          <w:sz w:val="24"/>
        </w:rPr>
        <w:t>PDF report generation and digital twin visualization via Mapbox GL JS</w:t>
      </w:r>
    </w:p>
    <w:p>
      <w:pPr>
        <w:jc w:val="both"/>
      </w:pPr>
      <w:r>
        <w:rPr>
          <w:rFonts w:ascii="Times New Roman" w:hAnsi="Times New Roman"/>
          <w:b/>
          <w:i w:val="0"/>
          <w:sz w:val="24"/>
        </w:rPr>
        <w:t>Excluded:</w:t>
      </w:r>
    </w:p>
    <w:p>
      <w:pPr>
        <w:pStyle w:val="ListBullet"/>
        <w:jc w:val="both"/>
      </w:pPr>
      <w:r>
        <w:rPr>
          <w:rFonts w:ascii="Times New Roman" w:hAnsi="Times New Roman"/>
          <w:sz w:val="24"/>
        </w:rPr>
        <w:t>Real-time IoT sensor integration</w:t>
      </w:r>
    </w:p>
    <w:p>
      <w:pPr>
        <w:pStyle w:val="ListBullet"/>
        <w:jc w:val="both"/>
      </w:pPr>
      <w:r>
        <w:rPr>
          <w:rFonts w:ascii="Times New Roman" w:hAnsi="Times New Roman"/>
          <w:sz w:val="24"/>
        </w:rPr>
        <w:t>High-resolution LiDAR/DEM processing</w:t>
      </w:r>
    </w:p>
    <w:p>
      <w:pPr>
        <w:pStyle w:val="ListBullet"/>
        <w:jc w:val="both"/>
      </w:pPr>
      <w:r>
        <w:rPr>
          <w:rFonts w:ascii="Times New Roman" w:hAnsi="Times New Roman"/>
          <w:sz w:val="24"/>
        </w:rPr>
        <w:t>Production-scale multi-tenant deployment</w:t>
      </w:r>
    </w:p>
    <w:p>
      <w:pPr>
        <w:pStyle w:val="ListBullet"/>
        <w:jc w:val="both"/>
      </w:pPr>
      <w:r>
        <w:rPr>
          <w:rFonts w:ascii="Times New Roman" w:hAnsi="Times New Roman"/>
          <w:sz w:val="24"/>
        </w:rPr>
        <w:t>Formal user study with statistical significance testing</w:t>
      </w:r>
    </w:p>
    <w:p>
      <w:pPr>
        <w:pStyle w:val="Heading1"/>
      </w:pPr>
      <w:r>
        <w:rPr>
          <w:rFonts w:ascii="Times New Roman" w:hAnsi="Times New Roman"/>
          <w:color w:val="000000"/>
        </w:rPr>
        <w:t>8. Literature Review</w:t>
      </w:r>
    </w:p>
    <w:p>
      <w:pPr>
        <w:pStyle w:val="Heading2"/>
      </w:pPr>
      <w:r>
        <w:rPr>
          <w:rFonts w:ascii="Times New Roman" w:hAnsi="Times New Roman"/>
          <w:color w:val="000000"/>
        </w:rPr>
        <w:t>8.1 GeoAI and Spatial Analytics</w:t>
      </w:r>
    </w:p>
    <w:p>
      <w:pPr>
        <w:jc w:val="both"/>
      </w:pPr>
      <w:r>
        <w:rPr>
          <w:rFonts w:ascii="Times New Roman" w:hAnsi="Times New Roman"/>
          <w:b w:val="0"/>
          <w:i w:val="0"/>
          <w:sz w:val="24"/>
        </w:rPr>
        <w:t>Li and Hsu (2022) established GeoAI as the intersection of artificial intelligence and geographic information science. Janowicz et al. (2020) proposed a research agenda for GeoAI emphasizing spatially explicit models. Mai et al. (2022) surveyed foundation models for geospatial applications, identifying limitations in spatial reasoning capabilities of general-purpose LLMs. While these works advance computational geography, they do not address conversational interaction paradigms for spatial databases.</w:t>
      </w:r>
    </w:p>
    <w:p>
      <w:pPr>
        <w:pStyle w:val="Heading2"/>
      </w:pPr>
      <w:r>
        <w:rPr>
          <w:rFonts w:ascii="Times New Roman" w:hAnsi="Times New Roman"/>
          <w:color w:val="000000"/>
        </w:rPr>
        <w:t>8.2 Digital Twins for Urban Systems</w:t>
      </w:r>
    </w:p>
    <w:p>
      <w:pPr>
        <w:jc w:val="both"/>
      </w:pPr>
      <w:r>
        <w:rPr>
          <w:rFonts w:ascii="Times New Roman" w:hAnsi="Times New Roman"/>
          <w:b w:val="0"/>
          <w:i w:val="0"/>
          <w:sz w:val="24"/>
        </w:rPr>
        <w:t>Batty (2018) conceptualized urban digital twins as dynamic computational models mirroring city-scale physical systems. Deng et al. (2021) reviewed digital twin implementations for smart city infrastructure, identifying data integration fragmentation as a primary challenge. Shahat et al. (2021) surveyed city-level applications spanning transportation, energy, and environmental monitoring. These implementations employ dashboard-based visualization without supporting natural language interrogation.</w:t>
      </w:r>
    </w:p>
    <w:p>
      <w:pPr>
        <w:pStyle w:val="Heading2"/>
      </w:pPr>
      <w:r>
        <w:rPr>
          <w:rFonts w:ascii="Times New Roman" w:hAnsi="Times New Roman"/>
          <w:color w:val="000000"/>
        </w:rPr>
        <w:t>8.3 Conversational AI and GIS Integration</w:t>
      </w:r>
    </w:p>
    <w:p>
      <w:pPr>
        <w:jc w:val="both"/>
      </w:pPr>
      <w:r>
        <w:rPr>
          <w:rFonts w:ascii="Times New Roman" w:hAnsi="Times New Roman"/>
          <w:b w:val="0"/>
          <w:i w:val="0"/>
          <w:sz w:val="24"/>
        </w:rPr>
        <w:t>Chen et al. (2023) explored natural language interfaces for geospatial databases, demonstrating text-to-SQL translation. Roberts et al. (2024) proposed GeoChat for remote sensing image analysis. Hu et al. (2023) investigated LLM-based geospatial question answering, identifying hallucination risks. These approaches address individual components but lack end-to-end integration with PostGIS engines and digital twin visualization.</w:t>
      </w:r>
    </w:p>
    <w:p>
      <w:pPr>
        <w:pStyle w:val="Heading2"/>
      </w:pPr>
      <w:r>
        <w:rPr>
          <w:rFonts w:ascii="Times New Roman" w:hAnsi="Times New Roman"/>
          <w:color w:val="000000"/>
        </w:rPr>
        <w:t>8.4 Generative AI in Spatial Analysis</w:t>
      </w:r>
    </w:p>
    <w:p>
      <w:pPr>
        <w:jc w:val="both"/>
      </w:pPr>
      <w:r>
        <w:rPr>
          <w:rFonts w:ascii="Times New Roman" w:hAnsi="Times New Roman"/>
          <w:b w:val="0"/>
          <w:i w:val="0"/>
          <w:sz w:val="24"/>
        </w:rPr>
        <w:t>Singh et al. (2024) examined GPT-4 for urban planning report generation, noting ungrounded models produce factually incorrect spatial statistics. Lewis et al. (2020) formalized Retrieval-Augmented Generation (RAG). Cai et al. (2024) extended RAG to structured database contexts. However, RAG for spatially-indexed PostGIS databases remains unexplored.</w:t>
      </w:r>
    </w:p>
    <w:p>
      <w:pPr>
        <w:pStyle w:val="Heading2"/>
      </w:pPr>
      <w:r>
        <w:rPr>
          <w:rFonts w:ascii="Times New Roman" w:hAnsi="Times New Roman"/>
          <w:color w:val="000000"/>
        </w:rPr>
        <w:t>8.5 Smart City Decision Support Systems</w:t>
      </w:r>
    </w:p>
    <w:p>
      <w:pPr>
        <w:jc w:val="both"/>
      </w:pPr>
      <w:r>
        <w:rPr>
          <w:rFonts w:ascii="Times New Roman" w:hAnsi="Times New Roman"/>
          <w:b w:val="0"/>
          <w:i w:val="0"/>
          <w:sz w:val="24"/>
        </w:rPr>
        <w:t>Petrova-Antonova and Ilieva (2021) surveyed smart city analytics platforms, identifying dominance of static dashboards. Lim et al. (2018) proposed multi-criteria decision frameworks for urban resilience. Rathore et al. (2016) reviewed IoT-integrated architectures. These systems do not incorporate conversational interfaces or generative narrative capabilities.</w:t>
      </w:r>
    </w:p>
    <w:p>
      <w:pPr>
        <w:pStyle w:val="Heading2"/>
      </w:pPr>
      <w:r>
        <w:rPr>
          <w:rFonts w:ascii="Times New Roman" w:hAnsi="Times New Roman"/>
          <w:color w:val="000000"/>
        </w:rPr>
        <w:t>8.6 Multi-Criteria Decision Analysis in Urban Planning</w:t>
      </w:r>
    </w:p>
    <w:p>
      <w:pPr>
        <w:jc w:val="both"/>
      </w:pPr>
      <w:r>
        <w:rPr>
          <w:rFonts w:ascii="Times New Roman" w:hAnsi="Times New Roman"/>
          <w:b w:val="0"/>
          <w:i w:val="0"/>
          <w:sz w:val="24"/>
        </w:rPr>
        <w:t>Malczewski and Rinner (2015) established MCDA for spatial decision support. Chen et al. (2021) applied weighted linear combination to flood vulnerability assessment. Yariyan et al. (2020) employed ensemble ML for flood susceptibility mapping. GeoNarrative AI synthesizes these MCDA approaches with conversational AI and digital twin visualization.</w:t>
      </w:r>
    </w:p>
    <w:p>
      <w:pPr>
        <w:pStyle w:val="Heading1"/>
      </w:pPr>
      <w:r>
        <w:rPr>
          <w:rFonts w:ascii="Times New Roman" w:hAnsi="Times New Roman"/>
          <w:color w:val="000000"/>
        </w:rPr>
        <w:t>9. Research Gap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w:t>
            </w:r>
          </w:p>
        </w:tc>
        <w:tc>
          <w:tcPr>
            <w:tcW w:type="dxa" w:w="2340"/>
          </w:tcPr>
          <w:p>
            <w:r>
              <w:rPr>
                <w:rFonts w:ascii="Times New Roman" w:hAnsi="Times New Roman"/>
                <w:b/>
                <w:sz w:val="20"/>
              </w:rPr>
              <w:t>Identified Gap</w:t>
            </w:r>
          </w:p>
        </w:tc>
        <w:tc>
          <w:tcPr>
            <w:tcW w:type="dxa" w:w="2340"/>
          </w:tcPr>
          <w:p>
            <w:r>
              <w:rPr>
                <w:rFonts w:ascii="Times New Roman" w:hAnsi="Times New Roman"/>
                <w:b/>
                <w:sz w:val="20"/>
              </w:rPr>
              <w:t>Existing Limitation</w:t>
            </w:r>
          </w:p>
        </w:tc>
        <w:tc>
          <w:tcPr>
            <w:tcW w:type="dxa" w:w="2340"/>
          </w:tcPr>
          <w:p>
            <w:r>
              <w:rPr>
                <w:rFonts w:ascii="Times New Roman" w:hAnsi="Times New Roman"/>
                <w:b/>
                <w:sz w:val="20"/>
              </w:rPr>
              <w:t>GeoNarrative AI Contribution</w:t>
            </w:r>
          </w:p>
        </w:tc>
      </w:tr>
      <w:tr>
        <w:tc>
          <w:tcPr>
            <w:tcW w:type="dxa" w:w="2340"/>
          </w:tcPr>
          <w:p>
            <w:r>
              <w:rPr>
                <w:rFonts w:ascii="Times New Roman" w:hAnsi="Times New Roman"/>
                <w:sz w:val="20"/>
              </w:rPr>
              <w:t>1</w:t>
            </w:r>
          </w:p>
        </w:tc>
        <w:tc>
          <w:tcPr>
            <w:tcW w:type="dxa" w:w="2340"/>
          </w:tcPr>
          <w:p>
            <w:r>
              <w:rPr>
                <w:rFonts w:ascii="Times New Roman" w:hAnsi="Times New Roman"/>
                <w:sz w:val="20"/>
              </w:rPr>
              <w:t>Static GIS Dashboards</w:t>
            </w:r>
          </w:p>
        </w:tc>
        <w:tc>
          <w:tcPr>
            <w:tcW w:type="dxa" w:w="2340"/>
          </w:tcPr>
          <w:p>
            <w:r>
              <w:rPr>
                <w:rFonts w:ascii="Times New Roman" w:hAnsi="Times New Roman"/>
                <w:sz w:val="20"/>
              </w:rPr>
              <w:t>Pre-computed layers; no dynamic querying</w:t>
            </w:r>
          </w:p>
        </w:tc>
        <w:tc>
          <w:tcPr>
            <w:tcW w:type="dxa" w:w="2340"/>
          </w:tcPr>
          <w:p>
            <w:r>
              <w:rPr>
                <w:rFonts w:ascii="Times New Roman" w:hAnsi="Times New Roman"/>
                <w:sz w:val="20"/>
              </w:rPr>
              <w:t>Intent-driven PostGIS spatial queries via NL</w:t>
            </w:r>
          </w:p>
        </w:tc>
      </w:tr>
      <w:tr>
        <w:tc>
          <w:tcPr>
            <w:tcW w:type="dxa" w:w="2340"/>
          </w:tcPr>
          <w:p>
            <w:r>
              <w:rPr>
                <w:rFonts w:ascii="Times New Roman" w:hAnsi="Times New Roman"/>
                <w:sz w:val="20"/>
              </w:rPr>
              <w:t>2</w:t>
            </w:r>
          </w:p>
        </w:tc>
        <w:tc>
          <w:tcPr>
            <w:tcW w:type="dxa" w:w="2340"/>
          </w:tcPr>
          <w:p>
            <w:r>
              <w:rPr>
                <w:rFonts w:ascii="Times New Roman" w:hAnsi="Times New Roman"/>
                <w:sz w:val="20"/>
              </w:rPr>
              <w:t>Expert-Only Interfaces</w:t>
            </w:r>
          </w:p>
        </w:tc>
        <w:tc>
          <w:tcPr>
            <w:tcW w:type="dxa" w:w="2340"/>
          </w:tcPr>
          <w:p>
            <w:r>
              <w:rPr>
                <w:rFonts w:ascii="Times New Roman" w:hAnsi="Times New Roman"/>
                <w:sz w:val="20"/>
              </w:rPr>
              <w:t>SQL/OGC proficiency required</w:t>
            </w:r>
          </w:p>
        </w:tc>
        <w:tc>
          <w:tcPr>
            <w:tcW w:type="dxa" w:w="2340"/>
          </w:tcPr>
          <w:p>
            <w:r>
              <w:rPr>
                <w:rFonts w:ascii="Times New Roman" w:hAnsi="Times New Roman"/>
                <w:sz w:val="20"/>
              </w:rPr>
              <w:t>Conversational NL interface with intent routing</w:t>
            </w:r>
          </w:p>
        </w:tc>
      </w:tr>
      <w:tr>
        <w:tc>
          <w:tcPr>
            <w:tcW w:type="dxa" w:w="2340"/>
          </w:tcPr>
          <w:p>
            <w:r>
              <w:rPr>
                <w:rFonts w:ascii="Times New Roman" w:hAnsi="Times New Roman"/>
                <w:sz w:val="20"/>
              </w:rPr>
              <w:t>3</w:t>
            </w:r>
          </w:p>
        </w:tc>
        <w:tc>
          <w:tcPr>
            <w:tcW w:type="dxa" w:w="2340"/>
          </w:tcPr>
          <w:p>
            <w:r>
              <w:rPr>
                <w:rFonts w:ascii="Times New Roman" w:hAnsi="Times New Roman"/>
                <w:sz w:val="20"/>
              </w:rPr>
              <w:t>Fragmented Urban Analytics</w:t>
            </w:r>
          </w:p>
        </w:tc>
        <w:tc>
          <w:tcPr>
            <w:tcW w:type="dxa" w:w="2340"/>
          </w:tcPr>
          <w:p>
            <w:r>
              <w:rPr>
                <w:rFonts w:ascii="Times New Roman" w:hAnsi="Times New Roman"/>
                <w:sz w:val="20"/>
              </w:rPr>
              <w:t>Domain-siloed tools</w:t>
            </w:r>
          </w:p>
        </w:tc>
        <w:tc>
          <w:tcPr>
            <w:tcW w:type="dxa" w:w="2340"/>
          </w:tcPr>
          <w:p>
            <w:r>
              <w:rPr>
                <w:rFonts w:ascii="Times New Roman" w:hAnsi="Times New Roman"/>
                <w:sz w:val="20"/>
              </w:rPr>
              <w:t>Unified four-domain MCDA framework</w:t>
            </w:r>
          </w:p>
        </w:tc>
      </w:tr>
      <w:tr>
        <w:tc>
          <w:tcPr>
            <w:tcW w:type="dxa" w:w="2340"/>
          </w:tcPr>
          <w:p>
            <w:r>
              <w:rPr>
                <w:rFonts w:ascii="Times New Roman" w:hAnsi="Times New Roman"/>
                <w:sz w:val="20"/>
              </w:rPr>
              <w:t>4</w:t>
            </w:r>
          </w:p>
        </w:tc>
        <w:tc>
          <w:tcPr>
            <w:tcW w:type="dxa" w:w="2340"/>
          </w:tcPr>
          <w:p>
            <w:r>
              <w:rPr>
                <w:rFonts w:ascii="Times New Roman" w:hAnsi="Times New Roman"/>
                <w:sz w:val="20"/>
              </w:rPr>
              <w:t>LLM Hallucination in GIS</w:t>
            </w:r>
          </w:p>
        </w:tc>
        <w:tc>
          <w:tcPr>
            <w:tcW w:type="dxa" w:w="2340"/>
          </w:tcPr>
          <w:p>
            <w:r>
              <w:rPr>
                <w:rFonts w:ascii="Times New Roman" w:hAnsi="Times New Roman"/>
                <w:sz w:val="20"/>
              </w:rPr>
              <w:t>Ungrounded spatial statistics</w:t>
            </w:r>
          </w:p>
        </w:tc>
        <w:tc>
          <w:tcPr>
            <w:tcW w:type="dxa" w:w="2340"/>
          </w:tcPr>
          <w:p>
            <w:r>
              <w:rPr>
                <w:rFonts w:ascii="Times New Roman" w:hAnsi="Times New Roman"/>
                <w:sz w:val="20"/>
              </w:rPr>
              <w:t>Spatial RAG with PostGIS evidence grounding</w:t>
            </w:r>
          </w:p>
        </w:tc>
      </w:tr>
      <w:tr>
        <w:tc>
          <w:tcPr>
            <w:tcW w:type="dxa" w:w="2340"/>
          </w:tcPr>
          <w:p>
            <w:r>
              <w:rPr>
                <w:rFonts w:ascii="Times New Roman" w:hAnsi="Times New Roman"/>
                <w:sz w:val="20"/>
              </w:rPr>
              <w:t>5</w:t>
            </w:r>
          </w:p>
        </w:tc>
        <w:tc>
          <w:tcPr>
            <w:tcW w:type="dxa" w:w="2340"/>
          </w:tcPr>
          <w:p>
            <w:r>
              <w:rPr>
                <w:rFonts w:ascii="Times New Roman" w:hAnsi="Times New Roman"/>
                <w:sz w:val="20"/>
              </w:rPr>
              <w:t>No Narrative Intelligence</w:t>
            </w:r>
          </w:p>
        </w:tc>
        <w:tc>
          <w:tcPr>
            <w:tcW w:type="dxa" w:w="2340"/>
          </w:tcPr>
          <w:p>
            <w:r>
              <w:rPr>
                <w:rFonts w:ascii="Times New Roman" w:hAnsi="Times New Roman"/>
                <w:sz w:val="20"/>
              </w:rPr>
              <w:t>Raw results without interpretation</w:t>
            </w:r>
          </w:p>
        </w:tc>
        <w:tc>
          <w:tcPr>
            <w:tcW w:type="dxa" w:w="2340"/>
          </w:tcPr>
          <w:p>
            <w:r>
              <w:rPr>
                <w:rFonts w:ascii="Times New Roman" w:hAnsi="Times New Roman"/>
                <w:sz w:val="20"/>
              </w:rPr>
              <w:t>GeoReasoning Engine + Gemini synthesis</w:t>
            </w:r>
          </w:p>
        </w:tc>
      </w:tr>
      <w:tr>
        <w:tc>
          <w:tcPr>
            <w:tcW w:type="dxa" w:w="2340"/>
          </w:tcPr>
          <w:p>
            <w:r>
              <w:rPr>
                <w:rFonts w:ascii="Times New Roman" w:hAnsi="Times New Roman"/>
                <w:sz w:val="20"/>
              </w:rPr>
              <w:t>6</w:t>
            </w:r>
          </w:p>
        </w:tc>
        <w:tc>
          <w:tcPr>
            <w:tcW w:type="dxa" w:w="2340"/>
          </w:tcPr>
          <w:p>
            <w:r>
              <w:rPr>
                <w:rFonts w:ascii="Times New Roman" w:hAnsi="Times New Roman"/>
                <w:sz w:val="20"/>
              </w:rPr>
              <w:t>Limited ML Explainability</w:t>
            </w:r>
          </w:p>
        </w:tc>
        <w:tc>
          <w:tcPr>
            <w:tcW w:type="dxa" w:w="2340"/>
          </w:tcPr>
          <w:p>
            <w:r>
              <w:rPr>
                <w:rFonts w:ascii="Times New Roman" w:hAnsi="Times New Roman"/>
                <w:sz w:val="20"/>
              </w:rPr>
              <w:t>Black-box risk predictions</w:t>
            </w:r>
          </w:p>
        </w:tc>
        <w:tc>
          <w:tcPr>
            <w:tcW w:type="dxa" w:w="2340"/>
          </w:tcPr>
          <w:p>
            <w:r>
              <w:rPr>
                <w:rFonts w:ascii="Times New Roman" w:hAnsi="Times New Roman"/>
                <w:sz w:val="20"/>
              </w:rPr>
              <w:t>Feature importance, R², RMSE, confusion metrics</w:t>
            </w:r>
          </w:p>
        </w:tc>
      </w:tr>
      <w:tr>
        <w:tc>
          <w:tcPr>
            <w:tcW w:type="dxa" w:w="2340"/>
          </w:tcPr>
          <w:p>
            <w:r>
              <w:rPr>
                <w:rFonts w:ascii="Times New Roman" w:hAnsi="Times New Roman"/>
                <w:sz w:val="20"/>
              </w:rPr>
              <w:t>7</w:t>
            </w:r>
          </w:p>
        </w:tc>
        <w:tc>
          <w:tcPr>
            <w:tcW w:type="dxa" w:w="2340"/>
          </w:tcPr>
          <w:p>
            <w:r>
              <w:rPr>
                <w:rFonts w:ascii="Times New Roman" w:hAnsi="Times New Roman"/>
                <w:sz w:val="20"/>
              </w:rPr>
              <w:t>No Conversational Digital Twin</w:t>
            </w:r>
          </w:p>
        </w:tc>
        <w:tc>
          <w:tcPr>
            <w:tcW w:type="dxa" w:w="2340"/>
          </w:tcPr>
          <w:p>
            <w:r>
              <w:rPr>
                <w:rFonts w:ascii="Times New Roman" w:hAnsi="Times New Roman"/>
                <w:sz w:val="20"/>
              </w:rPr>
              <w:t>Dashboard-only visualization</w:t>
            </w:r>
          </w:p>
        </w:tc>
        <w:tc>
          <w:tcPr>
            <w:tcW w:type="dxa" w:w="2340"/>
          </w:tcPr>
          <w:p>
            <w:r>
              <w:rPr>
                <w:rFonts w:ascii="Times New Roman" w:hAnsi="Times New Roman"/>
                <w:sz w:val="20"/>
              </w:rPr>
              <w:t>NL-driven map updates with agent trace</w:t>
            </w:r>
          </w:p>
        </w:tc>
      </w:tr>
      <w:tr>
        <w:tc>
          <w:tcPr>
            <w:tcW w:type="dxa" w:w="2340"/>
          </w:tcPr>
          <w:p>
            <w:r>
              <w:rPr>
                <w:rFonts w:ascii="Times New Roman" w:hAnsi="Times New Roman"/>
                <w:sz w:val="20"/>
              </w:rPr>
              <w:t>8</w:t>
            </w:r>
          </w:p>
        </w:tc>
        <w:tc>
          <w:tcPr>
            <w:tcW w:type="dxa" w:w="2340"/>
          </w:tcPr>
          <w:p>
            <w:r>
              <w:rPr>
                <w:rFonts w:ascii="Times New Roman" w:hAnsi="Times New Roman"/>
                <w:sz w:val="20"/>
              </w:rPr>
              <w:t>Missing Evidence Provenance</w:t>
            </w:r>
          </w:p>
        </w:tc>
        <w:tc>
          <w:tcPr>
            <w:tcW w:type="dxa" w:w="2340"/>
          </w:tcPr>
          <w:p>
            <w:r>
              <w:rPr>
                <w:rFonts w:ascii="Times New Roman" w:hAnsi="Times New Roman"/>
                <w:sz w:val="20"/>
              </w:rPr>
              <w:t>No audit trail</w:t>
            </w:r>
          </w:p>
        </w:tc>
        <w:tc>
          <w:tcPr>
            <w:tcW w:type="dxa" w:w="2340"/>
          </w:tcPr>
          <w:p>
            <w:r>
              <w:rPr>
                <w:rFonts w:ascii="Times New Roman" w:hAnsi="Times New Roman"/>
                <w:sz w:val="20"/>
              </w:rPr>
              <w:t>Confidence scoring, source attribution</w:t>
            </w:r>
          </w:p>
        </w:tc>
      </w:tr>
    </w:tbl>
    <w:p>
      <w:pPr>
        <w:pStyle w:val="Heading1"/>
      </w:pPr>
      <w:r>
        <w:rPr>
          <w:rFonts w:ascii="Times New Roman" w:hAnsi="Times New Roman"/>
          <w:color w:val="000000"/>
        </w:rPr>
        <w:t>10. Proposed Methodology</w:t>
      </w:r>
    </w:p>
    <w:p>
      <w:pPr>
        <w:pStyle w:val="Heading2"/>
      </w:pPr>
      <w:r>
        <w:rPr>
          <w:rFonts w:ascii="Times New Roman" w:hAnsi="Times New Roman"/>
          <w:color w:val="000000"/>
        </w:rPr>
        <w:t>10.1 System Overview</w:t>
      </w:r>
    </w:p>
    <w:p>
      <w:pPr>
        <w:jc w:val="both"/>
      </w:pPr>
      <w:r>
        <w:rPr>
          <w:rFonts w:ascii="Times New Roman" w:hAnsi="Times New Roman"/>
          <w:b w:val="0"/>
          <w:i w:val="0"/>
          <w:sz w:val="24"/>
        </w:rPr>
        <w:t>GeoNarrative AI implements a six-stage sequential processing pipeline that transforms natural language queries into evidence-grounded spatial intelligence:</w:t>
      </w:r>
    </w:p>
    <w:p>
      <w:pPr>
        <w:pStyle w:val="ListBullet"/>
        <w:jc w:val="both"/>
      </w:pPr>
      <w:r>
        <w:rPr>
          <w:rFonts w:ascii="Times New Roman" w:hAnsi="Times New Roman"/>
          <w:sz w:val="24"/>
        </w:rPr>
        <w:t>Stage 1 – Intent Router: Hybrid rule-based + LLM classification into 7 categories (GENERAL_KNOWLEDGE, PLATFORM_HELP, WEATHER, GEO_ANALYSIS, FORECASTING, DOCUMENT_ANALYSIS, REPORT_GENERATION).</w:t>
      </w:r>
    </w:p>
    <w:p>
      <w:pPr>
        <w:pStyle w:val="ListBullet"/>
        <w:jc w:val="both"/>
      </w:pPr>
      <w:r>
        <w:rPr>
          <w:rFonts w:ascii="Times New Roman" w:hAnsi="Times New Roman"/>
          <w:sz w:val="24"/>
        </w:rPr>
        <w:t>Stage 2 – Spatial Engine: Tool selection, OSM geocoding, city validation, and context retrieval.</w:t>
      </w:r>
    </w:p>
    <w:p>
      <w:pPr>
        <w:pStyle w:val="ListBullet"/>
        <w:jc w:val="both"/>
      </w:pPr>
      <w:r>
        <w:rPr>
          <w:rFonts w:ascii="Times New Roman" w:hAnsi="Times New Roman"/>
          <w:sz w:val="24"/>
        </w:rPr>
        <w:t>Stage 3 – PostGIS Query Executor: Executes spatial operations (ST_Contains, ST_DWithin, ST_Intersects, KNN) against the spatially-indexed database.</w:t>
      </w:r>
    </w:p>
    <w:p>
      <w:pPr>
        <w:pStyle w:val="ListBullet"/>
        <w:jc w:val="both"/>
      </w:pPr>
      <w:r>
        <w:rPr>
          <w:rFonts w:ascii="Times New Roman" w:hAnsi="Times New Roman"/>
          <w:sz w:val="24"/>
        </w:rPr>
        <w:t>Stage 4 – Geo-Reasoning Engine: Deterministic domain intelligence generation with confidence scoring.</w:t>
      </w:r>
    </w:p>
    <w:p>
      <w:pPr>
        <w:pStyle w:val="ListBullet"/>
        <w:jc w:val="both"/>
      </w:pPr>
      <w:r>
        <w:rPr>
          <w:rFonts w:ascii="Times New Roman" w:hAnsi="Times New Roman"/>
          <w:sz w:val="24"/>
        </w:rPr>
        <w:t>Stage 5 – Generative AI Layer: Gemini 2.0 Flash with Spatial RAG, persona assignment, and truthfulness constraints.</w:t>
      </w:r>
    </w:p>
    <w:p>
      <w:pPr>
        <w:pStyle w:val="ListBullet"/>
        <w:jc w:val="both"/>
      </w:pPr>
      <w:r>
        <w:rPr>
          <w:rFonts w:ascii="Times New Roman" w:hAnsi="Times New Roman"/>
          <w:sz w:val="24"/>
        </w:rPr>
        <w:t>Stage 6 – Digital Twin Dashboard: Mapbox GL JS visualization with Recharts analytics and KPI rendering.</w:t>
      </w:r>
    </w:p>
    <w:p>
      <w:pPr>
        <w:pStyle w:val="Heading2"/>
      </w:pPr>
      <w:r>
        <w:rPr>
          <w:rFonts w:ascii="Times New Roman" w:hAnsi="Times New Roman"/>
          <w:color w:val="000000"/>
        </w:rPr>
        <w:t>10.2 Spatial Query Execution Engine</w:t>
      </w:r>
    </w:p>
    <w:p>
      <w:pPr>
        <w:jc w:val="both"/>
      </w:pPr>
      <w:r>
        <w:rPr>
          <w:rFonts w:ascii="Times New Roman" w:hAnsi="Times New Roman"/>
          <w:b w:val="0"/>
          <w:i w:val="0"/>
          <w:sz w:val="24"/>
        </w:rPr>
        <w:t>The SpatialQueryService executes six categories of PostGIS spatial operations:</w:t>
      </w:r>
    </w:p>
    <w:p>
      <w:pPr>
        <w:pStyle w:val="ListBullet"/>
        <w:jc w:val="both"/>
      </w:pPr>
      <w:r>
        <w:rPr>
          <w:rFonts w:ascii="Times New Roman" w:hAnsi="Times New Roman"/>
          <w:sz w:val="24"/>
        </w:rPr>
        <w:t>Containment Analysis (ST_Contains): Identifies infrastructure nodes within flood inundation polygons.</w:t>
      </w:r>
    </w:p>
    <w:p>
      <w:pPr>
        <w:pStyle w:val="ListBullet"/>
        <w:jc w:val="both"/>
      </w:pPr>
      <w:r>
        <w:rPr>
          <w:rFonts w:ascii="Times New Roman" w:hAnsi="Times New Roman"/>
          <w:sz w:val="24"/>
        </w:rPr>
        <w:t>Proximity Analysis (ST_DWithin): Locates facilities within configurable buffer distances of hydrological features.</w:t>
      </w:r>
    </w:p>
    <w:p>
      <w:pPr>
        <w:pStyle w:val="ListBullet"/>
        <w:jc w:val="both"/>
      </w:pPr>
      <w:r>
        <w:rPr>
          <w:rFonts w:ascii="Times New Roman" w:hAnsi="Times New Roman"/>
          <w:sz w:val="24"/>
        </w:rPr>
        <w:t>K-Nearest Neighbor Search (&lt;-&gt; operator): O(log N) R-Tree spatial index search for nearest shelters.</w:t>
      </w:r>
    </w:p>
    <w:p>
      <w:pPr>
        <w:pStyle w:val="ListBullet"/>
        <w:jc w:val="both"/>
      </w:pPr>
      <w:r>
        <w:rPr>
          <w:rFonts w:ascii="Times New Roman" w:hAnsi="Times New Roman"/>
          <w:sz w:val="24"/>
        </w:rPr>
        <w:t>Intersection Analysis (ST_Intersects): Detects buildings and assets intersecting hazard zones.</w:t>
      </w:r>
    </w:p>
    <w:p>
      <w:pPr>
        <w:pStyle w:val="ListBullet"/>
        <w:jc w:val="both"/>
      </w:pPr>
      <w:r>
        <w:rPr>
          <w:rFonts w:ascii="Times New Roman" w:hAnsi="Times New Roman"/>
          <w:sz w:val="24"/>
        </w:rPr>
        <w:t>Corridor Vulnerability: Line-in-polygon intersection for flood-prone road identification.</w:t>
      </w:r>
    </w:p>
    <w:p>
      <w:pPr>
        <w:pStyle w:val="ListBullet"/>
        <w:jc w:val="both"/>
      </w:pPr>
      <w:r>
        <w:rPr>
          <w:rFonts w:ascii="Times New Roman" w:hAnsi="Times New Roman"/>
          <w:sz w:val="24"/>
        </w:rPr>
        <w:t>Multi-Domain Mode Analysis: Aggregates domain-specific queries into structured KPI payloads.</w:t>
      </w:r>
    </w:p>
    <w:p>
      <w:pPr>
        <w:pStyle w:val="Heading2"/>
      </w:pPr>
      <w:r>
        <w:rPr>
          <w:rFonts w:ascii="Times New Roman" w:hAnsi="Times New Roman"/>
          <w:color w:val="000000"/>
        </w:rPr>
        <w:t>10.3 Geo-Reasoning Engine</w:t>
      </w:r>
    </w:p>
    <w:p>
      <w:pPr>
        <w:jc w:val="both"/>
      </w:pPr>
      <w:r>
        <w:rPr>
          <w:rFonts w:ascii="Times New Roman" w:hAnsi="Times New Roman"/>
          <w:b w:val="0"/>
          <w:i w:val="0"/>
          <w:sz w:val="24"/>
        </w:rPr>
        <w:t>The GeoReasoningEngine implements deterministic, LLM-independent spatial intelligence generation. For each domain (Flood, Traffic, Urban, Utility), dedicated intelligence engines analyze raw PostGIS results and produce structured assessments. Confidence scoring: Confidence = Base(70%) + Σ(layer_bonuses) + data_availability_bonus. This deterministic layer provides fallback intelligence and enriches LLM context.</w:t>
      </w:r>
    </w:p>
    <w:p>
      <w:pPr>
        <w:pStyle w:val="Heading2"/>
      </w:pPr>
      <w:r>
        <w:rPr>
          <w:rFonts w:ascii="Times New Roman" w:hAnsi="Times New Roman"/>
          <w:color w:val="000000"/>
        </w:rPr>
        <w:t>10.4 Spatial RAG Architecture</w:t>
      </w:r>
    </w:p>
    <w:p>
      <w:pPr>
        <w:pStyle w:val="ListBullet"/>
        <w:jc w:val="both"/>
      </w:pPr>
      <w:r>
        <w:rPr>
          <w:rFonts w:ascii="Times New Roman" w:hAnsi="Times New Roman"/>
          <w:sz w:val="24"/>
        </w:rPr>
        <w:t>Context Injection: Raw PostGIS query results are injected into the LLM system prompt as ground-truth evidence.</w:t>
      </w:r>
    </w:p>
    <w:p>
      <w:pPr>
        <w:pStyle w:val="ListBullet"/>
        <w:jc w:val="both"/>
      </w:pPr>
      <w:r>
        <w:rPr>
          <w:rFonts w:ascii="Times New Roman" w:hAnsi="Times New Roman"/>
          <w:sz w:val="24"/>
        </w:rPr>
        <w:t>Persona Assignment: Domain-specific personas (Urban Planning Agent, Infrastructure Agent) are dynamically assigned.</w:t>
      </w:r>
    </w:p>
    <w:p>
      <w:pPr>
        <w:pStyle w:val="ListBullet"/>
        <w:jc w:val="both"/>
      </w:pPr>
      <w:r>
        <w:rPr>
          <w:rFonts w:ascii="Times New Roman" w:hAnsi="Times New Roman"/>
          <w:sz w:val="24"/>
        </w:rPr>
        <w:t>Truthfulness Constraints: Explicit instructions prohibit LLM from generating statistics not present in retrieved context.</w:t>
      </w:r>
    </w:p>
    <w:p>
      <w:pPr>
        <w:pStyle w:val="Heading2"/>
      </w:pPr>
      <w:r>
        <w:rPr>
          <w:rFonts w:ascii="Times New Roman" w:hAnsi="Times New Roman"/>
          <w:color w:val="000000"/>
        </w:rPr>
        <w:t>10.5 Ensemble Machine Learning Prediction</w:t>
      </w:r>
    </w:p>
    <w:p>
      <w:pPr>
        <w:jc w:val="both"/>
      </w:pPr>
      <w:r>
        <w:rPr>
          <w:rFonts w:ascii="Times New Roman" w:hAnsi="Times New Roman"/>
          <w:b w:val="0"/>
          <w:i w:val="0"/>
          <w:sz w:val="24"/>
        </w:rPr>
        <w:t>The PredictionService implements pure-Python Decision Tree, Random Forest, and XGBoost regressors. Feature engineering transforms five raw geospatial inputs into eight-dimensional vectors through domain-specific interaction terms. Model evaluation computes R² score, RMSE, accuracy, precision, recall, and F1 score.</w:t>
      </w:r>
    </w:p>
    <w:p>
      <w:pPr>
        <w:pStyle w:val="Heading2"/>
      </w:pPr>
      <w:r>
        <w:rPr>
          <w:rFonts w:ascii="Times New Roman" w:hAnsi="Times New Roman"/>
          <w:color w:val="000000"/>
        </w:rPr>
        <w:t>10.6 Dynamic Data Ingestion</w:t>
      </w:r>
    </w:p>
    <w:p>
      <w:pPr>
        <w:jc w:val="both"/>
      </w:pPr>
      <w:r>
        <w:rPr>
          <w:rFonts w:ascii="Times New Roman" w:hAnsi="Times New Roman"/>
          <w:b w:val="0"/>
          <w:i w:val="0"/>
          <w:sz w:val="24"/>
        </w:rPr>
        <w:t>The OSMService implements real-time OpenStreetMap data ingestion via the Overpass API. The system dynamically geocodes cities, fetches spatial features, converts OSM elements to GeoJSON (RFC 7946), and persists them to PostGIS tables.</w:t>
      </w:r>
    </w:p>
    <w:p>
      <w:pPr>
        <w:pStyle w:val="Heading1"/>
      </w:pPr>
      <w:r>
        <w:rPr>
          <w:rFonts w:ascii="Times New Roman" w:hAnsi="Times New Roman"/>
          <w:color w:val="000000"/>
        </w:rPr>
        <w:t>11. System Architecture</w:t>
      </w:r>
    </w:p>
    <w:p>
      <w:pPr>
        <w:jc w:val="both"/>
      </w:pPr>
      <w:r>
        <w:rPr>
          <w:rFonts w:ascii="Times New Roman" w:hAnsi="Times New Roman"/>
          <w:b w:val="0"/>
          <w:i w:val="0"/>
          <w:sz w:val="24"/>
        </w:rPr>
        <w:t>The system employs a decoupled client-server architecture following Separation of Concerns, Domain-Driven Design, and Repository Pattern principles:</w:t>
      </w:r>
    </w:p>
    <w:p>
      <w:pPr>
        <w:pStyle w:val="ListBullet"/>
        <w:jc w:val="both"/>
      </w:pPr>
      <w:r>
        <w:rPr>
          <w:rFonts w:ascii="Times New Roman" w:hAnsi="Times New Roman"/>
          <w:sz w:val="24"/>
        </w:rPr>
        <w:t>Frontend: Next.js 14, React 18, TypeScript, Mapbox GL JS, Recharts, Framer Motion. Custom hooks for state management.</w:t>
      </w:r>
    </w:p>
    <w:p>
      <w:pPr>
        <w:pStyle w:val="ListBullet"/>
        <w:jc w:val="both"/>
      </w:pPr>
      <w:r>
        <w:rPr>
          <w:rFonts w:ascii="Times New Roman" w:hAnsi="Times New Roman"/>
          <w:sz w:val="24"/>
        </w:rPr>
        <w:t>Backend: FastAPI (async ASGI), SQLAlchemy + GeoAlchemy2, Pydantic validation, custom latency tracing middleware.</w:t>
      </w:r>
    </w:p>
    <w:p>
      <w:pPr>
        <w:pStyle w:val="ListBullet"/>
        <w:jc w:val="both"/>
      </w:pPr>
      <w:r>
        <w:rPr>
          <w:rFonts w:ascii="Times New Roman" w:hAnsi="Times New Roman"/>
          <w:sz w:val="24"/>
        </w:rPr>
        <w:t>Database: PostgreSQL + PostGIS with GiST spatial indexing, WGS84 (EPSG:4326), GeoJSON RFC 7946 compliance.</w:t>
      </w:r>
    </w:p>
    <w:p>
      <w:pPr>
        <w:pStyle w:val="ListBullet"/>
        <w:jc w:val="both"/>
      </w:pPr>
      <w:r>
        <w:rPr>
          <w:rFonts w:ascii="Times New Roman" w:hAnsi="Times New Roman"/>
          <w:sz w:val="24"/>
        </w:rPr>
        <w:t>AI Layer: Gemini 2.0 Flash (primary), Gemini 1.5 Flash/Pro (fallback), automatic retry and model cascading.</w:t>
      </w:r>
    </w:p>
    <w:p>
      <w:pPr>
        <w:pStyle w:val="Heading1"/>
      </w:pPr>
      <w:r>
        <w:rPr>
          <w:rFonts w:ascii="Times New Roman" w:hAnsi="Times New Roman"/>
          <w:color w:val="000000"/>
        </w:rPr>
        <w:t>12. Expected Outcomes</w:t>
      </w:r>
    </w:p>
    <w:p>
      <w:pPr>
        <w:pStyle w:val="ListBullet"/>
        <w:jc w:val="both"/>
      </w:pPr>
      <w:r>
        <w:rPr>
          <w:rFonts w:ascii="Times New Roman" w:hAnsi="Times New Roman"/>
          <w:sz w:val="24"/>
        </w:rPr>
        <w:t>A functional conversational GeoAI platform enabling NL-driven spatial queries across four urban domains.</w:t>
      </w:r>
    </w:p>
    <w:p>
      <w:pPr>
        <w:pStyle w:val="ListBullet"/>
        <w:jc w:val="both"/>
      </w:pPr>
      <w:r>
        <w:rPr>
          <w:rFonts w:ascii="Times New Roman" w:hAnsi="Times New Roman"/>
          <w:sz w:val="24"/>
        </w:rPr>
        <w:t>Demonstrated reduction in steps-to-insight from multi-step GIS workflows to single-turn conversational interactions.</w:t>
      </w:r>
    </w:p>
    <w:p>
      <w:pPr>
        <w:pStyle w:val="ListBullet"/>
        <w:jc w:val="both"/>
      </w:pPr>
      <w:r>
        <w:rPr>
          <w:rFonts w:ascii="Times New Roman" w:hAnsi="Times New Roman"/>
          <w:sz w:val="24"/>
        </w:rPr>
        <w:t>Evidence-grounded intelligence reports with PostGIS provenance, confidence scoring, and source attribution.</w:t>
      </w:r>
    </w:p>
    <w:p>
      <w:pPr>
        <w:pStyle w:val="ListBullet"/>
        <w:jc w:val="both"/>
      </w:pPr>
      <w:r>
        <w:rPr>
          <w:rFonts w:ascii="Times New Roman" w:hAnsi="Times New Roman"/>
          <w:sz w:val="24"/>
        </w:rPr>
        <w:t>Ensemble ML predictions with full explainability metrics.</w:t>
      </w:r>
    </w:p>
    <w:p>
      <w:pPr>
        <w:pStyle w:val="ListBullet"/>
        <w:jc w:val="both"/>
      </w:pPr>
      <w:r>
        <w:rPr>
          <w:rFonts w:ascii="Times New Roman" w:hAnsi="Times New Roman"/>
          <w:sz w:val="24"/>
        </w:rPr>
        <w:t>Dynamic digital twin visualization with real-time OpenStreetMap data ingestion.</w:t>
      </w:r>
    </w:p>
    <w:p>
      <w:pPr>
        <w:pStyle w:val="ListBullet"/>
        <w:jc w:val="both"/>
      </w:pPr>
      <w:r>
        <w:rPr>
          <w:rFonts w:ascii="Times New Roman" w:hAnsi="Times New Roman"/>
          <w:sz w:val="24"/>
        </w:rPr>
        <w:t>PDF report generation with consulting-grade formatting and recommendation priority matrices.</w:t>
      </w:r>
    </w:p>
    <w:p>
      <w:pPr>
        <w:pStyle w:val="Heading1"/>
      </w:pPr>
      <w:r>
        <w:rPr>
          <w:rFonts w:ascii="Times New Roman" w:hAnsi="Times New Roman"/>
          <w:color w:val="000000"/>
        </w:rPr>
        <w:t>13. Innovation and Contribution</w:t>
      </w:r>
    </w:p>
    <w:p>
      <w:pPr>
        <w:pStyle w:val="Heading2"/>
      </w:pPr>
      <w:r>
        <w:rPr>
          <w:rFonts w:ascii="Times New Roman" w:hAnsi="Times New Roman"/>
          <w:color w:val="000000"/>
        </w:rPr>
        <w:t>13.1 Research Contributions</w:t>
      </w:r>
    </w:p>
    <w:p>
      <w:pPr>
        <w:pStyle w:val="ListBullet"/>
        <w:jc w:val="both"/>
      </w:pPr>
      <w:r>
        <w:rPr>
          <w:rFonts w:ascii="Times New Roman" w:hAnsi="Times New Roman"/>
          <w:sz w:val="24"/>
        </w:rPr>
        <w:t>Spatial RAG Architecture: First documented implementation of RAG for spatially-indexed PostGIS databases with truthfulness constraints.</w:t>
      </w:r>
    </w:p>
    <w:p>
      <w:pPr>
        <w:pStyle w:val="ListBullet"/>
        <w:jc w:val="both"/>
      </w:pPr>
      <w:r>
        <w:rPr>
          <w:rFonts w:ascii="Times New Roman" w:hAnsi="Times New Roman"/>
          <w:sz w:val="24"/>
        </w:rPr>
        <w:t>Deterministic Geo-Reasoning Fallback: Novel dual-path intelligence architecture with guaranteed analytical output independent of LLM availability.</w:t>
      </w:r>
    </w:p>
    <w:p>
      <w:pPr>
        <w:pStyle w:val="ListBullet"/>
        <w:jc w:val="both"/>
      </w:pPr>
      <w:r>
        <w:rPr>
          <w:rFonts w:ascii="Times New Roman" w:hAnsi="Times New Roman"/>
          <w:sz w:val="24"/>
        </w:rPr>
        <w:t>Conversational Digital Twin Interaction: Extension of the digital twin paradigm from passive visualization to active conversational interrogation.</w:t>
      </w:r>
    </w:p>
    <w:p>
      <w:pPr>
        <w:pStyle w:val="ListBullet"/>
        <w:jc w:val="both"/>
      </w:pPr>
      <w:r>
        <w:rPr>
          <w:rFonts w:ascii="Times New Roman" w:hAnsi="Times New Roman"/>
          <w:sz w:val="24"/>
        </w:rPr>
        <w:t>Unified Multi-Domain MCDA Framework: Integration of four urban domains within a single linear weighted MCDA scoring system.</w:t>
      </w:r>
    </w:p>
    <w:p>
      <w:pPr>
        <w:pStyle w:val="Heading2"/>
      </w:pPr>
      <w:r>
        <w:rPr>
          <w:rFonts w:ascii="Times New Roman" w:hAnsi="Times New Roman"/>
          <w:color w:val="000000"/>
        </w:rPr>
        <w:t>13.2 Academic Significance</w:t>
      </w:r>
    </w:p>
    <w:p>
      <w:pPr>
        <w:pStyle w:val="ListBullet"/>
        <w:jc w:val="both"/>
      </w:pPr>
      <w:r>
        <w:rPr>
          <w:rFonts w:ascii="Times New Roman" w:hAnsi="Times New Roman"/>
          <w:sz w:val="24"/>
        </w:rPr>
        <w:t>Advances the GeoAI research frontier by demonstrating feasible integration of LLMs with spatial databases.</w:t>
      </w:r>
    </w:p>
    <w:p>
      <w:pPr>
        <w:pStyle w:val="ListBullet"/>
        <w:jc w:val="both"/>
      </w:pPr>
      <w:r>
        <w:rPr>
          <w:rFonts w:ascii="Times New Roman" w:hAnsi="Times New Roman"/>
          <w:sz w:val="24"/>
        </w:rPr>
        <w:t>Contributes a replicable architectural pattern for Spatial RAG systems.</w:t>
      </w:r>
    </w:p>
    <w:p>
      <w:pPr>
        <w:pStyle w:val="ListBullet"/>
        <w:jc w:val="both"/>
      </w:pPr>
      <w:r>
        <w:rPr>
          <w:rFonts w:ascii="Times New Roman" w:hAnsi="Times New Roman"/>
          <w:sz w:val="24"/>
        </w:rPr>
        <w:t>Addresses the identified gap in conversational interfaces for geospatial data.</w:t>
      </w:r>
    </w:p>
    <w:p>
      <w:pPr>
        <w:pStyle w:val="Heading2"/>
      </w:pPr>
      <w:r>
        <w:rPr>
          <w:rFonts w:ascii="Times New Roman" w:hAnsi="Times New Roman"/>
          <w:color w:val="000000"/>
        </w:rPr>
        <w:t>13.3 Industry Significance</w:t>
      </w:r>
    </w:p>
    <w:p>
      <w:pPr>
        <w:pStyle w:val="ListBullet"/>
        <w:jc w:val="both"/>
      </w:pPr>
      <w:r>
        <w:rPr>
          <w:rFonts w:ascii="Times New Roman" w:hAnsi="Times New Roman"/>
          <w:sz w:val="24"/>
        </w:rPr>
        <w:t>Provides a blueprint for municipal decision-support systems accessible to non-technical stakeholders.</w:t>
      </w:r>
    </w:p>
    <w:p>
      <w:pPr>
        <w:pStyle w:val="ListBullet"/>
        <w:jc w:val="both"/>
      </w:pPr>
      <w:r>
        <w:rPr>
          <w:rFonts w:ascii="Times New Roman" w:hAnsi="Times New Roman"/>
          <w:sz w:val="24"/>
        </w:rPr>
        <w:t>Demonstrates SaaS-ready architecture with authentication, credit-based usage metering, and multi-tenant design.</w:t>
      </w:r>
    </w:p>
    <w:p>
      <w:pPr>
        <w:pStyle w:val="Heading1"/>
      </w:pPr>
      <w:r>
        <w:rPr>
          <w:rFonts w:ascii="Times New Roman" w:hAnsi="Times New Roman"/>
          <w:color w:val="000000"/>
        </w:rPr>
        <w:t>14. Limitations</w:t>
      </w:r>
    </w:p>
    <w:p>
      <w:pPr>
        <w:pStyle w:val="ListBullet"/>
        <w:jc w:val="both"/>
      </w:pPr>
      <w:r>
        <w:rPr>
          <w:rFonts w:ascii="Times New Roman" w:hAnsi="Times New Roman"/>
          <w:sz w:val="24"/>
        </w:rPr>
        <w:t>Data Dependency: Relies on OpenStreetMap crowdsourced data, which may contain inaccuracies.</w:t>
      </w:r>
    </w:p>
    <w:p>
      <w:pPr>
        <w:pStyle w:val="ListBullet"/>
        <w:jc w:val="both"/>
      </w:pPr>
      <w:r>
        <w:rPr>
          <w:rFonts w:ascii="Times New Roman" w:hAnsi="Times New Roman"/>
          <w:sz w:val="24"/>
        </w:rPr>
        <w:t>LLM Latency: Generative AI synthesis introduces 2–5 second latency per query.</w:t>
      </w:r>
    </w:p>
    <w:p>
      <w:pPr>
        <w:pStyle w:val="ListBullet"/>
        <w:jc w:val="both"/>
      </w:pPr>
      <w:r>
        <w:rPr>
          <w:rFonts w:ascii="Times New Roman" w:hAnsi="Times New Roman"/>
          <w:sz w:val="24"/>
        </w:rPr>
        <w:t>Simulated Training Data: ML models trained on synthetically generated feature distributions.</w:t>
      </w:r>
    </w:p>
    <w:p>
      <w:pPr>
        <w:pStyle w:val="ListBullet"/>
        <w:jc w:val="both"/>
      </w:pPr>
      <w:r>
        <w:rPr>
          <w:rFonts w:ascii="Times New Roman" w:hAnsi="Times New Roman"/>
          <w:sz w:val="24"/>
        </w:rPr>
        <w:t>Single-User Evaluation: No formal multi-user studies with statistical significance testing.</w:t>
      </w:r>
    </w:p>
    <w:p>
      <w:pPr>
        <w:pStyle w:val="ListBullet"/>
        <w:jc w:val="both"/>
      </w:pPr>
      <w:r>
        <w:rPr>
          <w:rFonts w:ascii="Times New Roman" w:hAnsi="Times New Roman"/>
          <w:sz w:val="24"/>
        </w:rPr>
        <w:t>Spatial Resolution: Operates on vector geometries without raster analysis (DEM, satellite imagery).</w:t>
      </w:r>
    </w:p>
    <w:p>
      <w:pPr>
        <w:pStyle w:val="ListBullet"/>
        <w:jc w:val="both"/>
      </w:pPr>
      <w:r>
        <w:rPr>
          <w:rFonts w:ascii="Times New Roman" w:hAnsi="Times New Roman"/>
          <w:sz w:val="24"/>
        </w:rPr>
        <w:t>Weather API Dependency: Live weather depends on third-party API availability.</w:t>
      </w:r>
    </w:p>
    <w:p>
      <w:pPr>
        <w:pStyle w:val="Heading1"/>
      </w:pPr>
      <w:r>
        <w:rPr>
          <w:rFonts w:ascii="Times New Roman" w:hAnsi="Times New Roman"/>
          <w:color w:val="000000"/>
        </w:rPr>
        <w:t>15. Future Scope</w:t>
      </w:r>
    </w:p>
    <w:p>
      <w:pPr>
        <w:pStyle w:val="ListBullet"/>
        <w:jc w:val="both"/>
      </w:pPr>
      <w:r>
        <w:rPr>
          <w:rFonts w:ascii="Times New Roman" w:hAnsi="Times New Roman"/>
          <w:sz w:val="24"/>
        </w:rPr>
        <w:t>IoT Sensor Integration: Incorporate real-time telemetry from flood gauges, traffic cameras, and smart grid meters.</w:t>
      </w:r>
    </w:p>
    <w:p>
      <w:pPr>
        <w:pStyle w:val="ListBullet"/>
        <w:jc w:val="both"/>
      </w:pPr>
      <w:r>
        <w:rPr>
          <w:rFonts w:ascii="Times New Roman" w:hAnsi="Times New Roman"/>
          <w:sz w:val="24"/>
        </w:rPr>
        <w:t>High-Resolution DEM Processing: Integrate LiDAR-derived Digital Elevation Models.</w:t>
      </w:r>
    </w:p>
    <w:p>
      <w:pPr>
        <w:pStyle w:val="ListBullet"/>
        <w:jc w:val="both"/>
      </w:pPr>
      <w:r>
        <w:rPr>
          <w:rFonts w:ascii="Times New Roman" w:hAnsi="Times New Roman"/>
          <w:sz w:val="24"/>
        </w:rPr>
        <w:t>Multi-Modal Interaction: Extend to voice input and satellite image analysis using vision-language models.</w:t>
      </w:r>
    </w:p>
    <w:p>
      <w:pPr>
        <w:pStyle w:val="ListBullet"/>
        <w:jc w:val="both"/>
      </w:pPr>
      <w:r>
        <w:rPr>
          <w:rFonts w:ascii="Times New Roman" w:hAnsi="Times New Roman"/>
          <w:sz w:val="24"/>
        </w:rPr>
        <w:t>Federated Learning: Privacy-preserving model training across multiple municipal jurisdictions.</w:t>
      </w:r>
    </w:p>
    <w:p>
      <w:pPr>
        <w:pStyle w:val="ListBullet"/>
        <w:jc w:val="both"/>
      </w:pPr>
      <w:r>
        <w:rPr>
          <w:rFonts w:ascii="Times New Roman" w:hAnsi="Times New Roman"/>
          <w:sz w:val="24"/>
        </w:rPr>
        <w:t>Formal User Studies: Controlled experiments comparing task completion times.</w:t>
      </w:r>
    </w:p>
    <w:p>
      <w:pPr>
        <w:pStyle w:val="ListBullet"/>
        <w:jc w:val="both"/>
      </w:pPr>
      <w:r>
        <w:rPr>
          <w:rFonts w:ascii="Times New Roman" w:hAnsi="Times New Roman"/>
          <w:sz w:val="24"/>
        </w:rPr>
        <w:t>Autonomous Agent Workflows: Multi-step autonomous spatial investigation via LangGraph/AutoGen.</w:t>
      </w:r>
    </w:p>
    <w:p>
      <w:pPr>
        <w:pStyle w:val="ListBullet"/>
        <w:jc w:val="both"/>
      </w:pPr>
      <w:r>
        <w:rPr>
          <w:rFonts w:ascii="Times New Roman" w:hAnsi="Times New Roman"/>
          <w:sz w:val="24"/>
        </w:rPr>
        <w:t>pgvector Integration: Hybrid geospatial-semantic search for document-level RAG over urban policy documents.</w:t>
      </w:r>
    </w:p>
    <w:p>
      <w:pPr>
        <w:pStyle w:val="Heading1"/>
      </w:pPr>
      <w:r>
        <w:rPr>
          <w:rFonts w:ascii="Times New Roman" w:hAnsi="Times New Roman"/>
          <w:color w:val="000000"/>
        </w:rPr>
        <w:t>16. References</w:t>
      </w:r>
    </w:p>
    <w:p>
      <w:pPr>
        <w:jc w:val="both"/>
      </w:pPr>
      <w:r>
        <w:rPr>
          <w:rFonts w:ascii="Times New Roman" w:hAnsi="Times New Roman"/>
          <w:sz w:val="22"/>
        </w:rPr>
        <w:t>[1] M. Batty, "Digital twins," Environment and Planning B: Urban Analytics and City Science, vol. 45, no. 5, pp. 817–820, 2018.</w:t>
      </w:r>
    </w:p>
    <w:p>
      <w:pPr>
        <w:jc w:val="both"/>
      </w:pPr>
      <w:r>
        <w:rPr>
          <w:rFonts w:ascii="Times New Roman" w:hAnsi="Times New Roman"/>
          <w:sz w:val="22"/>
        </w:rPr>
        <w:t>[2] W. Cai, J. Li, and Z. Zhang, "Retrieval-augmented generation for structured data contexts," in Proc. ACL, 2024, pp. 1142–1155.</w:t>
      </w:r>
    </w:p>
    <w:p>
      <w:pPr>
        <w:jc w:val="both"/>
      </w:pPr>
      <w:r>
        <w:rPr>
          <w:rFonts w:ascii="Times New Roman" w:hAnsi="Times New Roman"/>
          <w:sz w:val="22"/>
        </w:rPr>
        <w:t>[3] B. Chen, Y. Liu, and J. Wang, "Natural language interfaces for geospatial databases: A systematic review," ISPRS Int. J. Geo-Inf., vol. 12, no. 3, p. 112, 2023.</w:t>
      </w:r>
    </w:p>
    <w:p>
      <w:pPr>
        <w:jc w:val="both"/>
      </w:pPr>
      <w:r>
        <w:rPr>
          <w:rFonts w:ascii="Times New Roman" w:hAnsi="Times New Roman"/>
          <w:sz w:val="22"/>
        </w:rPr>
        <w:t>[4] Y. Chen, H. Liu, and S. Li, "Flood vulnerability assessment using weighted linear combination and GIS overlay analysis," Natural Hazards, vol. 108, pp. 2329–2348, 2021.</w:t>
      </w:r>
    </w:p>
    <w:p>
      <w:pPr>
        <w:jc w:val="both"/>
      </w:pPr>
      <w:r>
        <w:rPr>
          <w:rFonts w:ascii="Times New Roman" w:hAnsi="Times New Roman"/>
          <w:sz w:val="22"/>
        </w:rPr>
        <w:t>[5] T. Deng, K. Zhang, and Z. Shen, "A systematic review of a digital twin city," J. Manag. Sci. Eng., vol. 6, no. 2, pp. 125–134, 2021.</w:t>
      </w:r>
    </w:p>
    <w:p>
      <w:pPr>
        <w:jc w:val="both"/>
      </w:pPr>
      <w:r>
        <w:rPr>
          <w:rFonts w:ascii="Times New Roman" w:hAnsi="Times New Roman"/>
          <w:sz w:val="22"/>
        </w:rPr>
        <w:t>[6] M. Grieves, "Digital twin: Manufacturing excellence through virtual factory replication," White Paper, 2014.</w:t>
      </w:r>
    </w:p>
    <w:p>
      <w:pPr>
        <w:jc w:val="both"/>
      </w:pPr>
      <w:r>
        <w:rPr>
          <w:rFonts w:ascii="Times New Roman" w:hAnsi="Times New Roman"/>
          <w:sz w:val="22"/>
        </w:rPr>
        <w:t>[7] Y. Hu, J. Mai, and S. Gao, "Geo-knowledge-guided GPT models improve the extraction of location descriptions," Int. J. Geogr. Inf. Sci., vol. 37, no. 11, pp. 2289–2318, 2023.</w:t>
      </w:r>
    </w:p>
    <w:p>
      <w:pPr>
        <w:jc w:val="both"/>
      </w:pPr>
      <w:r>
        <w:rPr>
          <w:rFonts w:ascii="Times New Roman" w:hAnsi="Times New Roman"/>
          <w:sz w:val="22"/>
        </w:rPr>
        <w:t>[8] K. Janowicz et al., "GeoAI: Spatially explicit AI techniques for geographic knowledge discovery," Int. J. Geogr. Inf. Sci., vol. 34, no. 4, pp. 625–636, 2020.</w:t>
      </w:r>
    </w:p>
    <w:p>
      <w:pPr>
        <w:jc w:val="both"/>
      </w:pPr>
      <w:r>
        <w:rPr>
          <w:rFonts w:ascii="Times New Roman" w:hAnsi="Times New Roman"/>
          <w:sz w:val="22"/>
        </w:rPr>
        <w:t>[9] P. Lewis et al., "Retrieval-augmented generation for knowledge-intensive NLP tasks," in Proc. NeurIPS, vol. 33, 2020, pp. 9459–9474.</w:t>
      </w:r>
    </w:p>
    <w:p>
      <w:pPr>
        <w:jc w:val="both"/>
      </w:pPr>
      <w:r>
        <w:rPr>
          <w:rFonts w:ascii="Times New Roman" w:hAnsi="Times New Roman"/>
          <w:sz w:val="22"/>
        </w:rPr>
        <w:t>[10] W. Li and C. Hsu, "GeoAI for large-scale image analysis and machine vision," ISPRS Int. J. Geo-Inf., vol. 11, no. 7, p. 385, 2022.</w:t>
      </w:r>
    </w:p>
    <w:p>
      <w:pPr>
        <w:jc w:val="both"/>
      </w:pPr>
      <w:r>
        <w:rPr>
          <w:rFonts w:ascii="Times New Roman" w:hAnsi="Times New Roman"/>
          <w:sz w:val="22"/>
        </w:rPr>
        <w:t>[11] C. Lim, K. Kim, and P. Maglio, "Smart cities with big data: Reference models, challenges," Cities, vol. 82, pp. 86–99, 2018.</w:t>
      </w:r>
    </w:p>
    <w:p>
      <w:pPr>
        <w:jc w:val="both"/>
      </w:pPr>
      <w:r>
        <w:rPr>
          <w:rFonts w:ascii="Times New Roman" w:hAnsi="Times New Roman"/>
          <w:sz w:val="22"/>
        </w:rPr>
        <w:t>[12] J. Mai et al., "Towards a foundation model for geospatial AI," in Proc. ACM SIGSPATIAL, 2022, pp. 1–4.</w:t>
      </w:r>
    </w:p>
    <w:p>
      <w:pPr>
        <w:jc w:val="both"/>
      </w:pPr>
      <w:r>
        <w:rPr>
          <w:rFonts w:ascii="Times New Roman" w:hAnsi="Times New Roman"/>
          <w:sz w:val="22"/>
        </w:rPr>
        <w:t>[13] J. Malczewski and C. Rinner, Multicriteria Decision Analysis in Geographic Information Science. Berlin: Springer, 2015.</w:t>
      </w:r>
    </w:p>
    <w:p>
      <w:pPr>
        <w:jc w:val="both"/>
      </w:pPr>
      <w:r>
        <w:rPr>
          <w:rFonts w:ascii="Times New Roman" w:hAnsi="Times New Roman"/>
          <w:sz w:val="22"/>
        </w:rPr>
        <w:t>[14] D. Petrova-Antonova and S. Ilieva, "Smart city analytics: A review," Smart Cities, vol. 4, no. 1, pp. 137–159, 2021.</w:t>
      </w:r>
    </w:p>
    <w:p>
      <w:pPr>
        <w:jc w:val="both"/>
      </w:pPr>
      <w:r>
        <w:rPr>
          <w:rFonts w:ascii="Times New Roman" w:hAnsi="Times New Roman"/>
          <w:sz w:val="22"/>
        </w:rPr>
        <w:t>[15] M. M. Rathore et al., "Urban planning and building smart cities based on the IoT using big data analytics," Computer Networks, vol. 101, pp. 63–80, 2016.</w:t>
      </w:r>
    </w:p>
    <w:p>
      <w:pPr>
        <w:jc w:val="both"/>
      </w:pPr>
      <w:r>
        <w:rPr>
          <w:rFonts w:ascii="Times New Roman" w:hAnsi="Times New Roman"/>
          <w:sz w:val="22"/>
        </w:rPr>
        <w:t>[16] H. Roberts, M. Schmitt, and X. X. Zhu, "GeoChat: Grounded large language model for remote sensing," in Proc. CVPR, 2024, pp. 1–10.</w:t>
      </w:r>
    </w:p>
    <w:p>
      <w:pPr>
        <w:jc w:val="both"/>
      </w:pPr>
      <w:r>
        <w:rPr>
          <w:rFonts w:ascii="Times New Roman" w:hAnsi="Times New Roman"/>
          <w:sz w:val="22"/>
        </w:rPr>
        <w:t>[17] E. Shahat, C. T. Hyun, and C. Yeom, "City digital twin potentials: A review and research agenda," Sustainability, vol. 13, no. 6, p. 3386, 2021.</w:t>
      </w:r>
    </w:p>
    <w:p>
      <w:pPr>
        <w:jc w:val="both"/>
      </w:pPr>
      <w:r>
        <w:rPr>
          <w:rFonts w:ascii="Times New Roman" w:hAnsi="Times New Roman"/>
          <w:sz w:val="22"/>
        </w:rPr>
        <w:t>[18] A. Singh, R. Patel, and M. Kumar, "Evaluating GPT-4 for automated urban planning report generation," Computers, Environment and Urban Systems, vol. 109, p. 102078, 2024.</w:t>
      </w:r>
    </w:p>
    <w:p>
      <w:pPr>
        <w:jc w:val="both"/>
      </w:pPr>
      <w:r>
        <w:rPr>
          <w:rFonts w:ascii="Times New Roman" w:hAnsi="Times New Roman"/>
          <w:sz w:val="22"/>
        </w:rPr>
        <w:t>[19] United Nations, DESA, "World urbanization prospects: The 2018 revision," 2018.</w:t>
      </w:r>
    </w:p>
    <w:p>
      <w:pPr>
        <w:jc w:val="both"/>
      </w:pPr>
      <w:r>
        <w:rPr>
          <w:rFonts w:ascii="Times New Roman" w:hAnsi="Times New Roman"/>
          <w:sz w:val="22"/>
        </w:rPr>
        <w:t>[20] M. Yariyan, M. Avand, and F. Soltani, "Flood susceptibility mapping using MCDA and ensemble ML," J. Hydrol., vol. 590, p. 125249,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