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1FA7FF" w14:textId="6066D2B6" w:rsidR="005A3CAA" w:rsidRDefault="002247E4">
      <w:r>
        <w:t>LITERATURE SURVEY</w:t>
      </w:r>
    </w:p>
    <w:tbl>
      <w:tblPr>
        <w:tblStyle w:val="TableGrid"/>
        <w:tblW w:w="10088" w:type="dxa"/>
        <w:tblInd w:w="-454" w:type="dxa"/>
        <w:tblLook w:val="04A0" w:firstRow="1" w:lastRow="0" w:firstColumn="1" w:lastColumn="0" w:noHBand="0" w:noVBand="1"/>
      </w:tblPr>
      <w:tblGrid>
        <w:gridCol w:w="605"/>
        <w:gridCol w:w="2251"/>
        <w:gridCol w:w="1055"/>
        <w:gridCol w:w="2478"/>
        <w:gridCol w:w="1313"/>
        <w:gridCol w:w="1851"/>
        <w:gridCol w:w="2169"/>
      </w:tblGrid>
      <w:tr w:rsidR="005B341E" w14:paraId="7F1422C7" w14:textId="77777777" w:rsidTr="001721DF">
        <w:tc>
          <w:tcPr>
            <w:tcW w:w="630" w:type="dxa"/>
          </w:tcPr>
          <w:p w14:paraId="58186CF3" w14:textId="41470389" w:rsidR="002247E4" w:rsidRDefault="002247E4">
            <w:r>
              <w:t>SNO</w:t>
            </w:r>
          </w:p>
        </w:tc>
        <w:tc>
          <w:tcPr>
            <w:tcW w:w="1457" w:type="dxa"/>
          </w:tcPr>
          <w:p w14:paraId="3C189B17" w14:textId="2AEFA702" w:rsidR="002247E4" w:rsidRDefault="002247E4">
            <w:r>
              <w:t>TITLE OF THE PAPER</w:t>
            </w:r>
          </w:p>
        </w:tc>
        <w:tc>
          <w:tcPr>
            <w:tcW w:w="1055" w:type="dxa"/>
          </w:tcPr>
          <w:p w14:paraId="57DE9755" w14:textId="77777777" w:rsidR="002247E4" w:rsidRDefault="002247E4">
            <w:r>
              <w:t>NAME OF</w:t>
            </w:r>
          </w:p>
          <w:p w14:paraId="1702A204" w14:textId="0D8E1405" w:rsidR="002247E4" w:rsidRDefault="002247E4">
            <w:r>
              <w:t>THE JOURNAL</w:t>
            </w:r>
          </w:p>
        </w:tc>
        <w:tc>
          <w:tcPr>
            <w:tcW w:w="1735" w:type="dxa"/>
          </w:tcPr>
          <w:p w14:paraId="5B0E3311" w14:textId="22BD53C1" w:rsidR="002247E4" w:rsidRDefault="002247E4">
            <w:r>
              <w:t xml:space="preserve">AUTHOR        </w:t>
            </w:r>
          </w:p>
        </w:tc>
        <w:tc>
          <w:tcPr>
            <w:tcW w:w="1313" w:type="dxa"/>
          </w:tcPr>
          <w:p w14:paraId="465C802C" w14:textId="77777777" w:rsidR="002247E4" w:rsidRDefault="002247E4">
            <w:r>
              <w:t xml:space="preserve">YEAR </w:t>
            </w:r>
          </w:p>
          <w:p w14:paraId="11253E33" w14:textId="77777777" w:rsidR="002247E4" w:rsidRDefault="002247E4">
            <w:r>
              <w:t>OF</w:t>
            </w:r>
          </w:p>
          <w:p w14:paraId="4AC9F52F" w14:textId="04DF8C70" w:rsidR="002247E4" w:rsidRDefault="002247E4">
            <w:r>
              <w:t>PUBLISHING</w:t>
            </w:r>
          </w:p>
        </w:tc>
        <w:tc>
          <w:tcPr>
            <w:tcW w:w="1939" w:type="dxa"/>
          </w:tcPr>
          <w:p w14:paraId="40CFD607" w14:textId="59B50D16" w:rsidR="002247E4" w:rsidRDefault="002247E4">
            <w:r>
              <w:t>ACHIEVEMENTS</w:t>
            </w:r>
          </w:p>
        </w:tc>
        <w:tc>
          <w:tcPr>
            <w:tcW w:w="1959" w:type="dxa"/>
          </w:tcPr>
          <w:p w14:paraId="0052AF1A" w14:textId="03E9A176" w:rsidR="002247E4" w:rsidRDefault="002247E4">
            <w:r>
              <w:t>DRAWBACKS</w:t>
            </w:r>
          </w:p>
        </w:tc>
      </w:tr>
      <w:tr w:rsidR="005B341E" w14:paraId="6B201E2A" w14:textId="77777777" w:rsidTr="001721DF">
        <w:trPr>
          <w:trHeight w:val="2010"/>
        </w:trPr>
        <w:tc>
          <w:tcPr>
            <w:tcW w:w="630" w:type="dxa"/>
          </w:tcPr>
          <w:p w14:paraId="42871E30" w14:textId="059F0DA1" w:rsidR="002247E4" w:rsidRDefault="002247E4">
            <w:r>
              <w:t>1.</w:t>
            </w:r>
          </w:p>
        </w:tc>
        <w:tc>
          <w:tcPr>
            <w:tcW w:w="1457" w:type="dxa"/>
          </w:tcPr>
          <w:p w14:paraId="549DDCE5" w14:textId="3126F939" w:rsidR="002247E4" w:rsidRDefault="000C1E2C">
            <w:r w:rsidRPr="000C1E2C">
              <w:t>Construct Food Safety Traceability System for People’s Health Under the Internet of Things and Big Data</w:t>
            </w:r>
          </w:p>
        </w:tc>
        <w:tc>
          <w:tcPr>
            <w:tcW w:w="1055" w:type="dxa"/>
          </w:tcPr>
          <w:p w14:paraId="473025A4" w14:textId="41D1D12E" w:rsidR="002247E4" w:rsidRDefault="000C1E2C">
            <w:r>
              <w:t>IEEE</w:t>
            </w:r>
          </w:p>
        </w:tc>
        <w:tc>
          <w:tcPr>
            <w:tcW w:w="1735" w:type="dxa"/>
          </w:tcPr>
          <w:p w14:paraId="1D20E65D" w14:textId="1B82343A" w:rsidR="002247E4" w:rsidRDefault="000C1E2C">
            <w:proofErr w:type="spellStart"/>
            <w:r w:rsidRPr="000C1E2C">
              <w:t>Miaomiao</w:t>
            </w:r>
            <w:proofErr w:type="spellEnd"/>
            <w:r w:rsidRPr="000C1E2C">
              <w:t xml:space="preserve"> </w:t>
            </w:r>
            <w:proofErr w:type="spellStart"/>
            <w:r w:rsidRPr="000C1E2C">
              <w:t>Zheng;Shanshan</w:t>
            </w:r>
            <w:proofErr w:type="spellEnd"/>
            <w:r w:rsidRPr="000C1E2C">
              <w:t xml:space="preserve"> </w:t>
            </w:r>
            <w:proofErr w:type="spellStart"/>
            <w:r w:rsidRPr="000C1E2C">
              <w:t>Zhang;Yidan</w:t>
            </w:r>
            <w:proofErr w:type="spellEnd"/>
            <w:r w:rsidRPr="000C1E2C">
              <w:t xml:space="preserve"> </w:t>
            </w:r>
            <w:proofErr w:type="spellStart"/>
            <w:r w:rsidRPr="000C1E2C">
              <w:t>Zhang;Baozhong</w:t>
            </w:r>
            <w:proofErr w:type="spellEnd"/>
            <w:r w:rsidRPr="000C1E2C">
              <w:t xml:space="preserve"> Hu</w:t>
            </w:r>
          </w:p>
        </w:tc>
        <w:tc>
          <w:tcPr>
            <w:tcW w:w="1313" w:type="dxa"/>
          </w:tcPr>
          <w:p w14:paraId="123232D6" w14:textId="0FC40B1D" w:rsidR="002247E4" w:rsidRDefault="0037299B">
            <w:r>
              <w:t>2021</w:t>
            </w:r>
          </w:p>
        </w:tc>
        <w:tc>
          <w:tcPr>
            <w:tcW w:w="1939" w:type="dxa"/>
          </w:tcPr>
          <w:p w14:paraId="2AD5064C" w14:textId="1FB81B24" w:rsidR="002247E4" w:rsidRDefault="000C1E2C" w:rsidP="00FF2742">
            <w:r>
              <w:t>T</w:t>
            </w:r>
            <w:r w:rsidRPr="000C1E2C">
              <w:t>he whole process of food production information can be traced through the design of dynamic query platform and mo</w:t>
            </w:r>
            <w:r>
              <w:t>bile terminal.  T</w:t>
            </w:r>
            <w:r w:rsidRPr="000C1E2C">
              <w:t>he food safety traceability system based on big data and the Internet of Things guarantees the integrity, reliability and safety of traceability information from a technical level</w:t>
            </w:r>
            <w:proofErr w:type="gramStart"/>
            <w:r w:rsidRPr="000C1E2C">
              <w:t>.</w:t>
            </w:r>
            <w:r w:rsidR="00A81992">
              <w:t>.</w:t>
            </w:r>
            <w:proofErr w:type="gramEnd"/>
          </w:p>
        </w:tc>
        <w:tc>
          <w:tcPr>
            <w:tcW w:w="1959" w:type="dxa"/>
          </w:tcPr>
          <w:p w14:paraId="495F612F" w14:textId="663DE3B4" w:rsidR="002247E4" w:rsidRDefault="00851C0E">
            <w:proofErr w:type="gramStart"/>
            <w:r w:rsidRPr="00851C0E">
              <w:t>use</w:t>
            </w:r>
            <w:proofErr w:type="gramEnd"/>
            <w:r w:rsidRPr="00851C0E">
              <w:t xml:space="preserve"> of Internet of Things technology to regulate food safety can effectively curb the emergence of major food safety incidents.</w:t>
            </w:r>
          </w:p>
        </w:tc>
      </w:tr>
      <w:tr w:rsidR="005B341E" w14:paraId="40AE95B8" w14:textId="77777777" w:rsidTr="001721DF">
        <w:trPr>
          <w:trHeight w:val="3950"/>
        </w:trPr>
        <w:tc>
          <w:tcPr>
            <w:tcW w:w="630" w:type="dxa"/>
          </w:tcPr>
          <w:p w14:paraId="4A322625" w14:textId="013098AD" w:rsidR="002247E4" w:rsidRDefault="006C2CAE">
            <w:r>
              <w:t>2.</w:t>
            </w:r>
          </w:p>
        </w:tc>
        <w:tc>
          <w:tcPr>
            <w:tcW w:w="1457" w:type="dxa"/>
          </w:tcPr>
          <w:p w14:paraId="00EE4112" w14:textId="239988F2" w:rsidR="002247E4" w:rsidRDefault="00851C0E">
            <w:r w:rsidRPr="00851C0E">
              <w:t>Neuronal stress following exposure to 56Fe particles and the effects of antioxidant-rich diets</w:t>
            </w:r>
          </w:p>
        </w:tc>
        <w:tc>
          <w:tcPr>
            <w:tcW w:w="1055" w:type="dxa"/>
          </w:tcPr>
          <w:p w14:paraId="4F430B08" w14:textId="06974497" w:rsidR="002247E4" w:rsidRDefault="00851C0E">
            <w:r>
              <w:t>IEEE</w:t>
            </w:r>
          </w:p>
        </w:tc>
        <w:tc>
          <w:tcPr>
            <w:tcW w:w="1735" w:type="dxa"/>
          </w:tcPr>
          <w:p w14:paraId="5A0B1449" w14:textId="0F9CC500" w:rsidR="005B341E" w:rsidRDefault="00851C0E">
            <w:proofErr w:type="spellStart"/>
            <w:r w:rsidRPr="00851C0E">
              <w:t>Shibu</w:t>
            </w:r>
            <w:proofErr w:type="spellEnd"/>
            <w:r w:rsidRPr="00851C0E">
              <w:t xml:space="preserve"> M. </w:t>
            </w:r>
            <w:proofErr w:type="spellStart"/>
            <w:r w:rsidRPr="00851C0E">
              <w:t>Poulose;Donna</w:t>
            </w:r>
            <w:proofErr w:type="spellEnd"/>
            <w:r w:rsidRPr="00851C0E">
              <w:t xml:space="preserve"> </w:t>
            </w:r>
            <w:proofErr w:type="spellStart"/>
            <w:r w:rsidRPr="00851C0E">
              <w:t>Bielinski;Kirsty</w:t>
            </w:r>
            <w:proofErr w:type="spellEnd"/>
            <w:r w:rsidRPr="00851C0E">
              <w:t xml:space="preserve"> L. </w:t>
            </w:r>
            <w:proofErr w:type="spellStart"/>
            <w:r w:rsidRPr="00851C0E">
              <w:t>Carrihill-Knoll;Bernard</w:t>
            </w:r>
            <w:proofErr w:type="spellEnd"/>
            <w:r w:rsidRPr="00851C0E">
              <w:t xml:space="preserve"> M. </w:t>
            </w:r>
            <w:proofErr w:type="spellStart"/>
            <w:r w:rsidRPr="00851C0E">
              <w:t>Rabin;Barbara</w:t>
            </w:r>
            <w:proofErr w:type="spellEnd"/>
            <w:r w:rsidRPr="00851C0E">
              <w:t xml:space="preserve"> </w:t>
            </w:r>
            <w:proofErr w:type="spellStart"/>
            <w:r w:rsidRPr="00851C0E">
              <w:t>Shukitt</w:t>
            </w:r>
            <w:proofErr w:type="spellEnd"/>
            <w:r w:rsidRPr="00851C0E">
              <w:t>-Hale</w:t>
            </w:r>
          </w:p>
        </w:tc>
        <w:tc>
          <w:tcPr>
            <w:tcW w:w="1313" w:type="dxa"/>
          </w:tcPr>
          <w:p w14:paraId="76162CC7" w14:textId="4C5CE7EA" w:rsidR="002247E4" w:rsidRDefault="00851C0E">
            <w:r>
              <w:t>2014</w:t>
            </w:r>
          </w:p>
        </w:tc>
        <w:tc>
          <w:tcPr>
            <w:tcW w:w="1939" w:type="dxa"/>
          </w:tcPr>
          <w:p w14:paraId="4BC0BC96" w14:textId="07AE452C" w:rsidR="002247E4" w:rsidRDefault="00851C0E">
            <w:r w:rsidRPr="00851C0E">
              <w:t>56 Fe exposure caused significant differential, neurochemical changes in critical regions of the brain, such as hippocampus, striatum, frontal cortex and cerebel</w:t>
            </w:r>
            <w:r>
              <w:t xml:space="preserve">lum, particularly long term. </w:t>
            </w:r>
            <w:r w:rsidRPr="00851C0E">
              <w:t xml:space="preserve"> Neurochemical changes resulted in the disruption of autophagy, increased inflammation and increased oxidative stress protein markers.  Antioxidant-rich berry diets significantly </w:t>
            </w:r>
            <w:r w:rsidRPr="00851C0E">
              <w:lastRenderedPageBreak/>
              <w:t>reduced the accumulation of toxic cellular debris in critical regions of the brain, primarily at the 30 days post-</w:t>
            </w:r>
            <w:proofErr w:type="spellStart"/>
            <w:r w:rsidRPr="00851C0E">
              <w:t>irradia</w:t>
            </w:r>
            <w:proofErr w:type="spellEnd"/>
            <w:r w:rsidRPr="00851C0E">
              <w:t>...</w:t>
            </w:r>
          </w:p>
        </w:tc>
        <w:tc>
          <w:tcPr>
            <w:tcW w:w="1959" w:type="dxa"/>
          </w:tcPr>
          <w:p w14:paraId="3C0FAEB8" w14:textId="7BD3D7D8" w:rsidR="002247E4" w:rsidRDefault="00851C0E">
            <w:r>
              <w:lastRenderedPageBreak/>
              <w:t xml:space="preserve">No proper conclusion about the project and its </w:t>
            </w:r>
            <w:proofErr w:type="gramStart"/>
            <w:r>
              <w:t>purpose .</w:t>
            </w:r>
            <w:proofErr w:type="gramEnd"/>
          </w:p>
        </w:tc>
      </w:tr>
      <w:tr w:rsidR="005B341E" w14:paraId="3E327175" w14:textId="77777777" w:rsidTr="001721DF">
        <w:tc>
          <w:tcPr>
            <w:tcW w:w="630" w:type="dxa"/>
          </w:tcPr>
          <w:p w14:paraId="04B29BA0" w14:textId="70AA14F6" w:rsidR="002247E4" w:rsidRDefault="00793816">
            <w:r>
              <w:t>3</w:t>
            </w:r>
          </w:p>
        </w:tc>
        <w:tc>
          <w:tcPr>
            <w:tcW w:w="1457" w:type="dxa"/>
          </w:tcPr>
          <w:p w14:paraId="5308EC31" w14:textId="7DF42939" w:rsidR="002247E4" w:rsidRDefault="00851C0E" w:rsidP="00851C0E">
            <w:pPr>
              <w:shd w:val="clear" w:color="auto" w:fill="FFFFFF"/>
              <w:outlineLvl w:val="0"/>
            </w:pPr>
            <w:proofErr w:type="spellStart"/>
            <w:r w:rsidRPr="00851C0E">
              <w:t>DoFP</w:t>
            </w:r>
            <w:proofErr w:type="spellEnd"/>
            <w:r w:rsidRPr="00851C0E">
              <w:t xml:space="preserve">-ML: A Machine Learning Approach to Food Quality Monitoring Using a </w:t>
            </w:r>
            <w:proofErr w:type="spellStart"/>
            <w:r w:rsidRPr="00851C0E">
              <w:t>DoFP</w:t>
            </w:r>
            <w:proofErr w:type="spellEnd"/>
            <w:r w:rsidRPr="00851C0E">
              <w:t xml:space="preserve"> Polarization Image Sensor</w:t>
            </w:r>
          </w:p>
        </w:tc>
        <w:tc>
          <w:tcPr>
            <w:tcW w:w="1055" w:type="dxa"/>
          </w:tcPr>
          <w:p w14:paraId="1859EDF1" w14:textId="6221D345" w:rsidR="002247E4" w:rsidRDefault="00851C0E">
            <w:r>
              <w:t>IEEE</w:t>
            </w:r>
          </w:p>
        </w:tc>
        <w:tc>
          <w:tcPr>
            <w:tcW w:w="1735" w:type="dxa"/>
          </w:tcPr>
          <w:p w14:paraId="4D09FDBB" w14:textId="2A4E369C" w:rsidR="002247E4" w:rsidRDefault="00851C0E">
            <w:proofErr w:type="spellStart"/>
            <w:r w:rsidRPr="00851C0E">
              <w:t>Maen</w:t>
            </w:r>
            <w:proofErr w:type="spellEnd"/>
            <w:r w:rsidRPr="00851C0E">
              <w:t xml:space="preserve"> </w:t>
            </w:r>
            <w:proofErr w:type="spellStart"/>
            <w:r w:rsidRPr="00851C0E">
              <w:t>Takruri;Abubakar</w:t>
            </w:r>
            <w:proofErr w:type="spellEnd"/>
            <w:r w:rsidRPr="00851C0E">
              <w:t xml:space="preserve"> </w:t>
            </w:r>
            <w:proofErr w:type="spellStart"/>
            <w:r w:rsidRPr="00851C0E">
              <w:t>Abubakar;Noora</w:t>
            </w:r>
            <w:proofErr w:type="spellEnd"/>
            <w:r w:rsidRPr="00851C0E">
              <w:t xml:space="preserve"> </w:t>
            </w:r>
            <w:proofErr w:type="spellStart"/>
            <w:r w:rsidRPr="00851C0E">
              <w:t>Alnaqbi;Hessa</w:t>
            </w:r>
            <w:proofErr w:type="spellEnd"/>
            <w:r w:rsidRPr="00851C0E">
              <w:t xml:space="preserve"> Al </w:t>
            </w:r>
            <w:proofErr w:type="spellStart"/>
            <w:r w:rsidRPr="00851C0E">
              <w:t>Shehhi;Abdul-Halim</w:t>
            </w:r>
            <w:proofErr w:type="spellEnd"/>
            <w:r w:rsidRPr="00851C0E">
              <w:t xml:space="preserve"> M. </w:t>
            </w:r>
            <w:proofErr w:type="spellStart"/>
            <w:r w:rsidRPr="00851C0E">
              <w:t>Jallad;Amine</w:t>
            </w:r>
            <w:proofErr w:type="spellEnd"/>
            <w:r w:rsidRPr="00851C0E">
              <w:t xml:space="preserve"> </w:t>
            </w:r>
            <w:proofErr w:type="spellStart"/>
            <w:r w:rsidRPr="00851C0E">
              <w:t>Bermak</w:t>
            </w:r>
            <w:proofErr w:type="spellEnd"/>
          </w:p>
        </w:tc>
        <w:tc>
          <w:tcPr>
            <w:tcW w:w="1313" w:type="dxa"/>
          </w:tcPr>
          <w:p w14:paraId="1357DE35" w14:textId="585376F5" w:rsidR="002247E4" w:rsidRDefault="00851C0E">
            <w:r>
              <w:t>2020</w:t>
            </w:r>
          </w:p>
        </w:tc>
        <w:tc>
          <w:tcPr>
            <w:tcW w:w="1939" w:type="dxa"/>
          </w:tcPr>
          <w:p w14:paraId="2CF4409E" w14:textId="28D4823A" w:rsidR="002247E4" w:rsidRDefault="008D37B1" w:rsidP="008D37B1">
            <w:pPr>
              <w:shd w:val="clear" w:color="auto" w:fill="FFFFFF"/>
            </w:pPr>
            <w:r>
              <w:t xml:space="preserve">Reconstructed images are </w:t>
            </w:r>
            <w:r w:rsidRPr="008D37B1">
              <w:t xml:space="preserve">fed as input features to the Machine Learning Systems to ultimately estimate the age of the apples. Experiments on real data obtained from the </w:t>
            </w:r>
            <w:proofErr w:type="spellStart"/>
            <w:r w:rsidRPr="008D37B1">
              <w:t>DoFP</w:t>
            </w:r>
            <w:proofErr w:type="spellEnd"/>
            <w:r w:rsidRPr="008D37B1">
              <w:t xml:space="preserve"> camera show that the proposed system is non-destructive and capable of non-invasively estimating the age of the apple with an average accuracy of up to 92.57%.</w:t>
            </w:r>
          </w:p>
        </w:tc>
        <w:tc>
          <w:tcPr>
            <w:tcW w:w="1959" w:type="dxa"/>
          </w:tcPr>
          <w:p w14:paraId="315FAB11" w14:textId="4F701226" w:rsidR="002247E4" w:rsidRDefault="008D37B1" w:rsidP="008D37B1">
            <w:pPr>
              <w:shd w:val="clear" w:color="auto" w:fill="FFFFFF"/>
            </w:pPr>
            <w:proofErr w:type="gramStart"/>
            <w:r w:rsidRPr="008D37B1">
              <w:t>intend</w:t>
            </w:r>
            <w:proofErr w:type="gramEnd"/>
            <w:r w:rsidRPr="008D37B1">
              <w:t xml:space="preserve"> to study the possibility of using the proposed system on other fruits and vegetables, with the aim of generalizing it into a comprehensive non-invasive and non-destructive solution for determining the shelf life of food items. This will help big stores to properly manage their stored food items.</w:t>
            </w:r>
          </w:p>
        </w:tc>
      </w:tr>
      <w:tr w:rsidR="005B341E" w14:paraId="04988D02" w14:textId="77777777" w:rsidTr="001721DF">
        <w:tc>
          <w:tcPr>
            <w:tcW w:w="630" w:type="dxa"/>
          </w:tcPr>
          <w:p w14:paraId="30377DE1" w14:textId="4D470F2F" w:rsidR="002247E4" w:rsidRDefault="00793816">
            <w:r>
              <w:t>4</w:t>
            </w:r>
          </w:p>
        </w:tc>
        <w:tc>
          <w:tcPr>
            <w:tcW w:w="1457" w:type="dxa"/>
          </w:tcPr>
          <w:p w14:paraId="5BE4FB8D" w14:textId="33227C4E" w:rsidR="002247E4" w:rsidRDefault="004C0B1D">
            <w:r w:rsidRPr="004C0B1D">
              <w:t>Likelihood of Questioning AI-Based Recommendations Due to Perceived Racial/Gender Bias</w:t>
            </w:r>
          </w:p>
        </w:tc>
        <w:tc>
          <w:tcPr>
            <w:tcW w:w="1055" w:type="dxa"/>
          </w:tcPr>
          <w:p w14:paraId="7A932FC1" w14:textId="36F3AFB4" w:rsidR="002247E4" w:rsidRDefault="004C0B1D">
            <w:r>
              <w:t>IEEE</w:t>
            </w:r>
          </w:p>
        </w:tc>
        <w:tc>
          <w:tcPr>
            <w:tcW w:w="1735" w:type="dxa"/>
          </w:tcPr>
          <w:p w14:paraId="7B9BEFA7" w14:textId="5AAA516A" w:rsidR="002247E4" w:rsidRDefault="004C0B1D">
            <w:r w:rsidRPr="004C0B1D">
              <w:t xml:space="preserve">Carlos M. </w:t>
            </w:r>
            <w:proofErr w:type="spellStart"/>
            <w:r w:rsidRPr="004C0B1D">
              <w:t>Parra;Manjul</w:t>
            </w:r>
            <w:proofErr w:type="spellEnd"/>
            <w:r w:rsidRPr="004C0B1D">
              <w:t xml:space="preserve"> </w:t>
            </w:r>
            <w:proofErr w:type="spellStart"/>
            <w:r w:rsidRPr="004C0B1D">
              <w:t>Gupta;Denis</w:t>
            </w:r>
            <w:proofErr w:type="spellEnd"/>
            <w:r w:rsidRPr="004C0B1D">
              <w:t xml:space="preserve"> </w:t>
            </w:r>
            <w:proofErr w:type="spellStart"/>
            <w:r w:rsidRPr="004C0B1D">
              <w:t>Dennehy</w:t>
            </w:r>
            <w:proofErr w:type="spellEnd"/>
          </w:p>
        </w:tc>
        <w:tc>
          <w:tcPr>
            <w:tcW w:w="1313" w:type="dxa"/>
          </w:tcPr>
          <w:p w14:paraId="2845D347" w14:textId="1818290E" w:rsidR="002247E4" w:rsidRDefault="004C0B1D">
            <w:r>
              <w:t>2022</w:t>
            </w:r>
          </w:p>
        </w:tc>
        <w:tc>
          <w:tcPr>
            <w:tcW w:w="1939" w:type="dxa"/>
          </w:tcPr>
          <w:p w14:paraId="19C71D24" w14:textId="27C206FB" w:rsidR="002247E4" w:rsidRDefault="004C0B1D">
            <w:r w:rsidRPr="004C0B1D">
              <w:t xml:space="preserve">The findings suggest that considering perceived racial and gender bias, human resource (HR) recruitment and financial product/service procurement scenarios exhibit a higher questioning likelihood. Meanwhile, the </w:t>
            </w:r>
            <w:r w:rsidRPr="004C0B1D">
              <w:lastRenderedPageBreak/>
              <w:t>healthcare scenario presents the lowest questioning likelihood. Furthermore, in the context of this study, U.S. participants tend to be more susceptible to questioning AI-based recommendations due to perceived racial bias rather than gender bias.</w:t>
            </w:r>
          </w:p>
        </w:tc>
        <w:tc>
          <w:tcPr>
            <w:tcW w:w="1959" w:type="dxa"/>
          </w:tcPr>
          <w:p w14:paraId="06B5B976" w14:textId="46D8CF7C" w:rsidR="002247E4" w:rsidRDefault="004C0B1D">
            <w:proofErr w:type="gramStart"/>
            <w:r w:rsidRPr="004C0B1D">
              <w:lastRenderedPageBreak/>
              <w:t>challenging</w:t>
            </w:r>
            <w:proofErr w:type="gramEnd"/>
            <w:r w:rsidRPr="004C0B1D">
              <w:t xml:space="preserve"> to succinctly portray a situational outcome associated with an AI-related wage gap for co-workers of the same race, age, as well as practically identical educational and professional achievements but who have different gender.</w:t>
            </w:r>
          </w:p>
        </w:tc>
      </w:tr>
      <w:tr w:rsidR="005B341E" w14:paraId="7D9E9592" w14:textId="77777777" w:rsidTr="001721DF">
        <w:tc>
          <w:tcPr>
            <w:tcW w:w="630" w:type="dxa"/>
          </w:tcPr>
          <w:p w14:paraId="6B662E7C" w14:textId="7AF346E1" w:rsidR="002247E4" w:rsidRDefault="001721DF">
            <w:r>
              <w:t>5</w:t>
            </w:r>
          </w:p>
        </w:tc>
        <w:tc>
          <w:tcPr>
            <w:tcW w:w="1457" w:type="dxa"/>
          </w:tcPr>
          <w:p w14:paraId="4A12440E" w14:textId="3AA34C3F" w:rsidR="002247E4" w:rsidRDefault="004C0B1D">
            <w:r w:rsidRPr="004C0B1D">
              <w:t>Vision-Based Approaches for Automatic Food Recognition and Dietary Assessment: A Survey</w:t>
            </w:r>
          </w:p>
        </w:tc>
        <w:tc>
          <w:tcPr>
            <w:tcW w:w="1055" w:type="dxa"/>
          </w:tcPr>
          <w:p w14:paraId="39C9B46A" w14:textId="436DAE88" w:rsidR="002247E4" w:rsidRDefault="004C0B1D" w:rsidP="004C0B1D">
            <w:r>
              <w:t>IEEE</w:t>
            </w:r>
          </w:p>
        </w:tc>
        <w:tc>
          <w:tcPr>
            <w:tcW w:w="1735" w:type="dxa"/>
          </w:tcPr>
          <w:p w14:paraId="0A1B0C7F" w14:textId="3BE98DF1" w:rsidR="002247E4" w:rsidRDefault="004C0B1D">
            <w:r w:rsidRPr="004C0B1D">
              <w:t xml:space="preserve">Mohammed Ahmed </w:t>
            </w:r>
            <w:proofErr w:type="spellStart"/>
            <w:r w:rsidRPr="004C0B1D">
              <w:t>Subhi;Sawal</w:t>
            </w:r>
            <w:proofErr w:type="spellEnd"/>
            <w:r w:rsidRPr="004C0B1D">
              <w:t xml:space="preserve"> Hamid </w:t>
            </w:r>
            <w:proofErr w:type="spellStart"/>
            <w:r w:rsidRPr="004C0B1D">
              <w:t>Ali;Mohammed</w:t>
            </w:r>
            <w:proofErr w:type="spellEnd"/>
            <w:r w:rsidRPr="004C0B1D">
              <w:t xml:space="preserve"> </w:t>
            </w:r>
            <w:proofErr w:type="spellStart"/>
            <w:r w:rsidRPr="004C0B1D">
              <w:t>Abulameer</w:t>
            </w:r>
            <w:proofErr w:type="spellEnd"/>
            <w:r w:rsidRPr="004C0B1D">
              <w:t xml:space="preserve"> Mohammed</w:t>
            </w:r>
          </w:p>
        </w:tc>
        <w:tc>
          <w:tcPr>
            <w:tcW w:w="1313" w:type="dxa"/>
          </w:tcPr>
          <w:p w14:paraId="4ABB0A46" w14:textId="688A1AB5" w:rsidR="002247E4" w:rsidRDefault="004C0B1D">
            <w:r>
              <w:t>2019</w:t>
            </w:r>
          </w:p>
        </w:tc>
        <w:tc>
          <w:tcPr>
            <w:tcW w:w="1939" w:type="dxa"/>
          </w:tcPr>
          <w:p w14:paraId="04860ABB" w14:textId="21162207" w:rsidR="002247E4" w:rsidRDefault="004C0B1D" w:rsidP="001721DF">
            <w:r>
              <w:t>A</w:t>
            </w:r>
            <w:r w:rsidRPr="004C0B1D">
              <w:t>im</w:t>
            </w:r>
            <w:r>
              <w:t>s</w:t>
            </w:r>
            <w:r w:rsidRPr="004C0B1D">
              <w:t xml:space="preserve"> to address the issues found in the traditional dietary monitoring systems that suffer from imprecision, underreporting, time consumption, a</w:t>
            </w:r>
            <w:r>
              <w:t>nd low adherence.  T</w:t>
            </w:r>
            <w:r w:rsidRPr="004C0B1D">
              <w:t>he recent vision-based approaches and techniques have been widely explored to outline the current approaches and methodologies used for automatic dietary assessment, their performances, feasibility, and unaddressed challenges and issues.</w:t>
            </w:r>
          </w:p>
        </w:tc>
        <w:tc>
          <w:tcPr>
            <w:tcW w:w="1959" w:type="dxa"/>
          </w:tcPr>
          <w:p w14:paraId="25565F9B" w14:textId="0E437E22" w:rsidR="002247E4" w:rsidRDefault="004C0B1D">
            <w:r w:rsidRPr="004C0B1D">
              <w:t>Despite the advancements in food identification methods, many challenges still exist in each of the aforementioned steps. For instance, the performance of a classifier is highly dependent on the source of images found in the food datasets. Even though there is a growth in the number and volume of current food image datasets to incorporate more food categories</w:t>
            </w:r>
          </w:p>
        </w:tc>
      </w:tr>
      <w:tr w:rsidR="005B341E" w14:paraId="5FFBC9B9" w14:textId="77777777" w:rsidTr="001721DF">
        <w:tc>
          <w:tcPr>
            <w:tcW w:w="630" w:type="dxa"/>
          </w:tcPr>
          <w:p w14:paraId="47DD0131" w14:textId="7BA7EB3D" w:rsidR="002247E4" w:rsidRDefault="001721DF">
            <w:r>
              <w:t>6</w:t>
            </w:r>
          </w:p>
        </w:tc>
        <w:tc>
          <w:tcPr>
            <w:tcW w:w="1457" w:type="dxa"/>
          </w:tcPr>
          <w:p w14:paraId="1F0293ED" w14:textId="77777777" w:rsidR="00BF3616" w:rsidRPr="00BF3616" w:rsidRDefault="00BF3616" w:rsidP="00BF3616">
            <w:pPr>
              <w:pStyle w:val="Heading2"/>
              <w:shd w:val="clear" w:color="auto" w:fill="FFFFFF"/>
              <w:spacing w:before="0" w:after="24"/>
              <w:rPr>
                <w:rFonts w:ascii="Arial" w:hAnsi="Arial" w:cs="Arial"/>
                <w:color w:val="333333"/>
                <w:sz w:val="20"/>
                <w:szCs w:val="20"/>
              </w:rPr>
            </w:pPr>
            <w:hyperlink r:id="rId4" w:history="1">
              <w:r w:rsidRPr="00BF3616">
                <w:rPr>
                  <w:rStyle w:val="Hyperlink"/>
                  <w:rFonts w:ascii="Arial" w:hAnsi="Arial" w:cs="Arial"/>
                  <w:color w:val="000000" w:themeColor="text1"/>
                  <w:sz w:val="20"/>
                  <w:szCs w:val="20"/>
                </w:rPr>
                <w:t>Flexible Strain and Temperature Sensing NFC Tag for Smart </w:t>
              </w:r>
              <w:r w:rsidRPr="00BF3616">
                <w:rPr>
                  <w:rStyle w:val="highlight"/>
                  <w:rFonts w:ascii="Arial" w:hAnsi="Arial" w:cs="Arial"/>
                  <w:color w:val="000000" w:themeColor="text1"/>
                  <w:sz w:val="20"/>
                  <w:szCs w:val="20"/>
                  <w:shd w:val="clear" w:color="auto" w:fill="FEFFAC"/>
                </w:rPr>
                <w:t>Food</w:t>
              </w:r>
              <w:r w:rsidRPr="00BF3616">
                <w:rPr>
                  <w:rStyle w:val="Hyperlink"/>
                  <w:rFonts w:ascii="Arial" w:hAnsi="Arial" w:cs="Arial"/>
                  <w:color w:val="000000" w:themeColor="text1"/>
                  <w:sz w:val="20"/>
                  <w:szCs w:val="20"/>
                </w:rPr>
                <w:t> Packaging Applications</w:t>
              </w:r>
            </w:hyperlink>
          </w:p>
          <w:p w14:paraId="04839816" w14:textId="1216E799" w:rsidR="002247E4" w:rsidRDefault="002247E4"/>
        </w:tc>
        <w:tc>
          <w:tcPr>
            <w:tcW w:w="1055" w:type="dxa"/>
          </w:tcPr>
          <w:p w14:paraId="476E2AF4" w14:textId="1DB5B84D" w:rsidR="002247E4" w:rsidRDefault="00BF3616">
            <w:r>
              <w:t>IEEE</w:t>
            </w:r>
          </w:p>
        </w:tc>
        <w:tc>
          <w:tcPr>
            <w:tcW w:w="1735" w:type="dxa"/>
          </w:tcPr>
          <w:p w14:paraId="6872BDDC" w14:textId="63291F3F" w:rsidR="002247E4" w:rsidRPr="00BF3616" w:rsidRDefault="00BF3616" w:rsidP="00BF3616">
            <w:pPr>
              <w:pStyle w:val="Heading2"/>
              <w:shd w:val="clear" w:color="auto" w:fill="FFFFFF"/>
              <w:spacing w:before="0" w:after="24"/>
              <w:rPr>
                <w:sz w:val="20"/>
                <w:szCs w:val="20"/>
              </w:rPr>
            </w:pPr>
            <w:r w:rsidRPr="00BF3616">
              <w:rPr>
                <w:color w:val="auto"/>
                <w:sz w:val="20"/>
                <w:szCs w:val="20"/>
              </w:rPr>
              <w:t xml:space="preserve">Pablo </w:t>
            </w:r>
            <w:proofErr w:type="spellStart"/>
            <w:r w:rsidRPr="00BF3616">
              <w:rPr>
                <w:color w:val="auto"/>
                <w:sz w:val="20"/>
                <w:szCs w:val="20"/>
              </w:rPr>
              <w:t>Escobedo</w:t>
            </w:r>
            <w:proofErr w:type="gramStart"/>
            <w:r w:rsidRPr="00BF3616">
              <w:rPr>
                <w:color w:val="auto"/>
                <w:sz w:val="20"/>
                <w:szCs w:val="20"/>
              </w:rPr>
              <w:t>;Mitradip</w:t>
            </w:r>
            <w:proofErr w:type="spellEnd"/>
            <w:proofErr w:type="gramEnd"/>
            <w:r w:rsidRPr="00BF3616">
              <w:rPr>
                <w:color w:val="auto"/>
                <w:sz w:val="20"/>
                <w:szCs w:val="20"/>
              </w:rPr>
              <w:t xml:space="preserve"> </w:t>
            </w:r>
            <w:proofErr w:type="spellStart"/>
            <w:r w:rsidRPr="00BF3616">
              <w:rPr>
                <w:color w:val="auto"/>
                <w:sz w:val="20"/>
                <w:szCs w:val="20"/>
              </w:rPr>
              <w:t>Bhattacharjee;Fatemeh</w:t>
            </w:r>
            <w:proofErr w:type="spellEnd"/>
            <w:r w:rsidRPr="00BF3616">
              <w:rPr>
                <w:color w:val="auto"/>
                <w:sz w:val="20"/>
                <w:szCs w:val="20"/>
              </w:rPr>
              <w:t xml:space="preserve"> </w:t>
            </w:r>
            <w:proofErr w:type="spellStart"/>
            <w:r w:rsidRPr="00BF3616">
              <w:rPr>
                <w:color w:val="auto"/>
                <w:sz w:val="20"/>
                <w:szCs w:val="20"/>
              </w:rPr>
              <w:t>Nikbakhtnasrabadi;Ravinder</w:t>
            </w:r>
            <w:proofErr w:type="spellEnd"/>
            <w:r w:rsidRPr="00BF3616">
              <w:rPr>
                <w:color w:val="auto"/>
                <w:sz w:val="20"/>
                <w:szCs w:val="20"/>
              </w:rPr>
              <w:t xml:space="preserve"> </w:t>
            </w:r>
            <w:proofErr w:type="spellStart"/>
            <w:r w:rsidRPr="00BF3616">
              <w:rPr>
                <w:color w:val="auto"/>
                <w:sz w:val="20"/>
                <w:szCs w:val="20"/>
              </w:rPr>
              <w:t>Dahiya</w:t>
            </w:r>
            <w:proofErr w:type="spellEnd"/>
          </w:p>
        </w:tc>
        <w:tc>
          <w:tcPr>
            <w:tcW w:w="1313" w:type="dxa"/>
          </w:tcPr>
          <w:p w14:paraId="14EA9E5B" w14:textId="1D2FBECB" w:rsidR="002247E4" w:rsidRDefault="00BF3616">
            <w:r>
              <w:t>2021</w:t>
            </w:r>
          </w:p>
        </w:tc>
        <w:tc>
          <w:tcPr>
            <w:tcW w:w="1939" w:type="dxa"/>
          </w:tcPr>
          <w:p w14:paraId="07C9BF16" w14:textId="34BC45D1" w:rsidR="002247E4" w:rsidRDefault="00BF3616">
            <w:r w:rsidRPr="00BF3616">
              <w:t xml:space="preserve">The LED shows maximum brightness for relaxed or no strain condition, </w:t>
            </w:r>
            <w:r w:rsidRPr="00BF3616">
              <w:lastRenderedPageBreak/>
              <w:t>and also in the case of maximum temperature. In contrast, the LED is virtually off for the maximum strain condition and for room temperature. Both these could be related to food spoilage. Swollen food packages can be detected with the strain sensor, serving as beacons of microbial contamination. Temperature deviations can result in the growth or survival of food-spoilage bacteria.</w:t>
            </w:r>
          </w:p>
        </w:tc>
        <w:tc>
          <w:tcPr>
            <w:tcW w:w="1959" w:type="dxa"/>
          </w:tcPr>
          <w:p w14:paraId="61B4610B" w14:textId="0D34D080" w:rsidR="002247E4" w:rsidRDefault="00BF3616" w:rsidP="004B5199">
            <w:r>
              <w:lastRenderedPageBreak/>
              <w:t xml:space="preserve">It does not show how </w:t>
            </w:r>
            <w:r w:rsidRPr="00BF3616">
              <w:t xml:space="preserve">systems could lead to automated decision-making, where the best course of action </w:t>
            </w:r>
            <w:r w:rsidRPr="00BF3616">
              <w:lastRenderedPageBreak/>
              <w:t>is automatically implemented with smart labels triggering an internet-connected device; for example, a robot in a supermarket</w:t>
            </w:r>
            <w:r w:rsidR="001721DF">
              <w:t>.</w:t>
            </w:r>
          </w:p>
        </w:tc>
      </w:tr>
      <w:tr w:rsidR="005B341E" w14:paraId="21845C1C" w14:textId="77777777" w:rsidTr="001721DF">
        <w:trPr>
          <w:trHeight w:val="3553"/>
        </w:trPr>
        <w:tc>
          <w:tcPr>
            <w:tcW w:w="630" w:type="dxa"/>
          </w:tcPr>
          <w:p w14:paraId="5976992B" w14:textId="72BC179A" w:rsidR="002247E4" w:rsidRDefault="002813C7">
            <w:r>
              <w:lastRenderedPageBreak/>
              <w:t>7</w:t>
            </w:r>
          </w:p>
        </w:tc>
        <w:tc>
          <w:tcPr>
            <w:tcW w:w="1457" w:type="dxa"/>
          </w:tcPr>
          <w:p w14:paraId="35DEF418" w14:textId="49EA3A9F" w:rsidR="002247E4" w:rsidRDefault="00BF3616">
            <w:r w:rsidRPr="00BF3616">
              <w:t>A Food Recommender System Considering Nutritional Information and User Preferences</w:t>
            </w:r>
          </w:p>
        </w:tc>
        <w:tc>
          <w:tcPr>
            <w:tcW w:w="1055" w:type="dxa"/>
          </w:tcPr>
          <w:p w14:paraId="4546FEA8" w14:textId="2393B77E" w:rsidR="002247E4" w:rsidRDefault="00BF3616">
            <w:r>
              <w:t>IEEE</w:t>
            </w:r>
          </w:p>
        </w:tc>
        <w:tc>
          <w:tcPr>
            <w:tcW w:w="1735" w:type="dxa"/>
          </w:tcPr>
          <w:p w14:paraId="4FA446E0" w14:textId="42DB5929" w:rsidR="002247E4" w:rsidRDefault="001C3242">
            <w:proofErr w:type="spellStart"/>
            <w:r w:rsidRPr="00BF3616">
              <w:t>Raciel</w:t>
            </w:r>
            <w:proofErr w:type="spellEnd"/>
            <w:r w:rsidRPr="00BF3616">
              <w:t xml:space="preserve"> </w:t>
            </w:r>
            <w:proofErr w:type="spellStart"/>
            <w:r w:rsidRPr="00BF3616">
              <w:t>Yera</w:t>
            </w:r>
            <w:proofErr w:type="spellEnd"/>
            <w:r w:rsidRPr="00BF3616">
              <w:t xml:space="preserve"> </w:t>
            </w:r>
            <w:proofErr w:type="spellStart"/>
            <w:r w:rsidRPr="00BF3616">
              <w:t>Toledo;Ahmad</w:t>
            </w:r>
            <w:proofErr w:type="spellEnd"/>
            <w:r w:rsidRPr="00BF3616">
              <w:t xml:space="preserve"> A. </w:t>
            </w:r>
            <w:proofErr w:type="spellStart"/>
            <w:r w:rsidRPr="00BF3616">
              <w:t>Alzahrani;Luis</w:t>
            </w:r>
            <w:proofErr w:type="spellEnd"/>
            <w:r w:rsidRPr="00BF3616">
              <w:t xml:space="preserve"> </w:t>
            </w:r>
            <w:proofErr w:type="spellStart"/>
            <w:r w:rsidRPr="00BF3616">
              <w:t>Martínez</w:t>
            </w:r>
            <w:proofErr w:type="spellEnd"/>
          </w:p>
        </w:tc>
        <w:tc>
          <w:tcPr>
            <w:tcW w:w="1313" w:type="dxa"/>
          </w:tcPr>
          <w:p w14:paraId="6C3FE307" w14:textId="1AB3ADD2" w:rsidR="002247E4" w:rsidRDefault="001C3242">
            <w:r>
              <w:t>2019</w:t>
            </w:r>
            <w:bookmarkStart w:id="0" w:name="_GoBack"/>
            <w:bookmarkEnd w:id="0"/>
          </w:p>
        </w:tc>
        <w:tc>
          <w:tcPr>
            <w:tcW w:w="1939" w:type="dxa"/>
          </w:tcPr>
          <w:p w14:paraId="69F573B5" w14:textId="59BEF44C" w:rsidR="002247E4" w:rsidRDefault="00BF3616">
            <w:r>
              <w:t>In</w:t>
            </w:r>
            <w:r w:rsidRPr="00BF3616">
              <w:t>corporates an optimization-based stage for generating a daily meal plan whose goal is the recommendation of food highly preferred by the user, not consumed recently, and satisfying his/her daily nutritional requirements. A case study is developed for testing the performance of the recommender system.</w:t>
            </w:r>
          </w:p>
        </w:tc>
        <w:tc>
          <w:tcPr>
            <w:tcW w:w="1959" w:type="dxa"/>
          </w:tcPr>
          <w:p w14:paraId="0864E3D0" w14:textId="091753D7" w:rsidR="002247E4" w:rsidRPr="00E46F68" w:rsidRDefault="00E46F68">
            <w:pPr>
              <w:rPr>
                <w:sz w:val="20"/>
                <w:szCs w:val="20"/>
              </w:rPr>
            </w:pPr>
            <w:r w:rsidRPr="00E46F68">
              <w:rPr>
                <w:rFonts w:ascii="Georgia" w:hAnsi="Georgia"/>
                <w:color w:val="333333"/>
                <w:sz w:val="20"/>
                <w:szCs w:val="20"/>
                <w:shd w:val="clear" w:color="auto" w:fill="FFFFFF"/>
              </w:rPr>
              <w:t>The use of long-term information for the menu generation. Currently, the proposal only considers physical user information</w:t>
            </w:r>
            <w:r w:rsidRPr="00E46F68">
              <w:rPr>
                <w:rFonts w:ascii="Georgia" w:hAnsi="Georgia"/>
                <w:color w:val="333333"/>
                <w:sz w:val="20"/>
                <w:szCs w:val="20"/>
                <w:shd w:val="clear" w:color="auto" w:fill="FFFFFF"/>
              </w:rPr>
              <w:t xml:space="preserve"> is not explained</w:t>
            </w:r>
          </w:p>
        </w:tc>
      </w:tr>
    </w:tbl>
    <w:p w14:paraId="63AE6FB9" w14:textId="77777777" w:rsidR="002247E4" w:rsidRDefault="002247E4"/>
    <w:sectPr w:rsidR="002247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7E4"/>
    <w:rsid w:val="000B3C65"/>
    <w:rsid w:val="000C1E2C"/>
    <w:rsid w:val="00145FCE"/>
    <w:rsid w:val="001721DF"/>
    <w:rsid w:val="001B2640"/>
    <w:rsid w:val="001C3242"/>
    <w:rsid w:val="002247E4"/>
    <w:rsid w:val="00261BDF"/>
    <w:rsid w:val="002813C7"/>
    <w:rsid w:val="0037299B"/>
    <w:rsid w:val="003864B0"/>
    <w:rsid w:val="003C5E78"/>
    <w:rsid w:val="003E4EFE"/>
    <w:rsid w:val="00461306"/>
    <w:rsid w:val="004A6D37"/>
    <w:rsid w:val="004B5199"/>
    <w:rsid w:val="004C0B1D"/>
    <w:rsid w:val="00530F80"/>
    <w:rsid w:val="0053115C"/>
    <w:rsid w:val="00567B34"/>
    <w:rsid w:val="005A3CAA"/>
    <w:rsid w:val="005B341E"/>
    <w:rsid w:val="005F7644"/>
    <w:rsid w:val="006C2CAE"/>
    <w:rsid w:val="007871EA"/>
    <w:rsid w:val="00793816"/>
    <w:rsid w:val="00851C0E"/>
    <w:rsid w:val="008D37B1"/>
    <w:rsid w:val="00996BBC"/>
    <w:rsid w:val="009A20B7"/>
    <w:rsid w:val="009B1432"/>
    <w:rsid w:val="00A81992"/>
    <w:rsid w:val="00AC3029"/>
    <w:rsid w:val="00AF1364"/>
    <w:rsid w:val="00BC4083"/>
    <w:rsid w:val="00BD0470"/>
    <w:rsid w:val="00BD4DED"/>
    <w:rsid w:val="00BF3616"/>
    <w:rsid w:val="00C33984"/>
    <w:rsid w:val="00D75367"/>
    <w:rsid w:val="00D94B90"/>
    <w:rsid w:val="00DC2191"/>
    <w:rsid w:val="00E46F68"/>
    <w:rsid w:val="00E830C1"/>
    <w:rsid w:val="00F33AEC"/>
    <w:rsid w:val="00FF2742"/>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62700"/>
  <w15:docId w15:val="{46EC386E-A5B2-4759-A0B6-72DAE28A7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9381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semiHidden/>
    <w:unhideWhenUsed/>
    <w:qFormat/>
    <w:rsid w:val="000C1E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47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93816"/>
    <w:rPr>
      <w:rFonts w:ascii="Times New Roman" w:eastAsia="Times New Roman" w:hAnsi="Times New Roman" w:cs="Times New Roman"/>
      <w:b/>
      <w:bCs/>
      <w:kern w:val="36"/>
      <w:sz w:val="48"/>
      <w:szCs w:val="48"/>
      <w:lang w:val="en-US"/>
    </w:rPr>
  </w:style>
  <w:style w:type="character" w:styleId="Hyperlink">
    <w:name w:val="Hyperlink"/>
    <w:basedOn w:val="DefaultParagraphFont"/>
    <w:uiPriority w:val="99"/>
    <w:semiHidden/>
    <w:unhideWhenUsed/>
    <w:rsid w:val="00793816"/>
    <w:rPr>
      <w:color w:val="0000FF"/>
      <w:u w:val="single"/>
    </w:rPr>
  </w:style>
  <w:style w:type="character" w:customStyle="1" w:styleId="Heading2Char">
    <w:name w:val="Heading 2 Char"/>
    <w:basedOn w:val="DefaultParagraphFont"/>
    <w:link w:val="Heading2"/>
    <w:uiPriority w:val="9"/>
    <w:semiHidden/>
    <w:rsid w:val="000C1E2C"/>
    <w:rPr>
      <w:rFonts w:asciiTheme="majorHAnsi" w:eastAsiaTheme="majorEastAsia" w:hAnsiTheme="majorHAnsi" w:cstheme="majorBidi"/>
      <w:color w:val="2F5496" w:themeColor="accent1" w:themeShade="BF"/>
      <w:sz w:val="26"/>
      <w:szCs w:val="26"/>
    </w:rPr>
  </w:style>
  <w:style w:type="character" w:customStyle="1" w:styleId="highlight">
    <w:name w:val="highlight"/>
    <w:basedOn w:val="DefaultParagraphFont"/>
    <w:rsid w:val="00BF36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620289">
      <w:bodyDiv w:val="1"/>
      <w:marLeft w:val="0"/>
      <w:marRight w:val="0"/>
      <w:marTop w:val="0"/>
      <w:marBottom w:val="0"/>
      <w:divBdr>
        <w:top w:val="none" w:sz="0" w:space="0" w:color="auto"/>
        <w:left w:val="none" w:sz="0" w:space="0" w:color="auto"/>
        <w:bottom w:val="none" w:sz="0" w:space="0" w:color="auto"/>
        <w:right w:val="none" w:sz="0" w:space="0" w:color="auto"/>
      </w:divBdr>
    </w:div>
    <w:div w:id="503278178">
      <w:bodyDiv w:val="1"/>
      <w:marLeft w:val="0"/>
      <w:marRight w:val="0"/>
      <w:marTop w:val="0"/>
      <w:marBottom w:val="0"/>
      <w:divBdr>
        <w:top w:val="none" w:sz="0" w:space="0" w:color="auto"/>
        <w:left w:val="none" w:sz="0" w:space="0" w:color="auto"/>
        <w:bottom w:val="none" w:sz="0" w:space="0" w:color="auto"/>
        <w:right w:val="none" w:sz="0" w:space="0" w:color="auto"/>
      </w:divBdr>
    </w:div>
    <w:div w:id="516506303">
      <w:bodyDiv w:val="1"/>
      <w:marLeft w:val="0"/>
      <w:marRight w:val="0"/>
      <w:marTop w:val="0"/>
      <w:marBottom w:val="0"/>
      <w:divBdr>
        <w:top w:val="none" w:sz="0" w:space="0" w:color="auto"/>
        <w:left w:val="none" w:sz="0" w:space="0" w:color="auto"/>
        <w:bottom w:val="none" w:sz="0" w:space="0" w:color="auto"/>
        <w:right w:val="none" w:sz="0" w:space="0" w:color="auto"/>
      </w:divBdr>
    </w:div>
    <w:div w:id="920022761">
      <w:bodyDiv w:val="1"/>
      <w:marLeft w:val="0"/>
      <w:marRight w:val="0"/>
      <w:marTop w:val="0"/>
      <w:marBottom w:val="0"/>
      <w:divBdr>
        <w:top w:val="none" w:sz="0" w:space="0" w:color="auto"/>
        <w:left w:val="none" w:sz="0" w:space="0" w:color="auto"/>
        <w:bottom w:val="none" w:sz="0" w:space="0" w:color="auto"/>
        <w:right w:val="none" w:sz="0" w:space="0" w:color="auto"/>
      </w:divBdr>
    </w:div>
    <w:div w:id="1235049432">
      <w:bodyDiv w:val="1"/>
      <w:marLeft w:val="0"/>
      <w:marRight w:val="0"/>
      <w:marTop w:val="0"/>
      <w:marBottom w:val="0"/>
      <w:divBdr>
        <w:top w:val="none" w:sz="0" w:space="0" w:color="auto"/>
        <w:left w:val="none" w:sz="0" w:space="0" w:color="auto"/>
        <w:bottom w:val="none" w:sz="0" w:space="0" w:color="auto"/>
        <w:right w:val="none" w:sz="0" w:space="0" w:color="auto"/>
      </w:divBdr>
    </w:div>
    <w:div w:id="1505507612">
      <w:bodyDiv w:val="1"/>
      <w:marLeft w:val="0"/>
      <w:marRight w:val="0"/>
      <w:marTop w:val="0"/>
      <w:marBottom w:val="0"/>
      <w:divBdr>
        <w:top w:val="none" w:sz="0" w:space="0" w:color="auto"/>
        <w:left w:val="none" w:sz="0" w:space="0" w:color="auto"/>
        <w:bottom w:val="none" w:sz="0" w:space="0" w:color="auto"/>
        <w:right w:val="none" w:sz="0" w:space="0" w:color="auto"/>
      </w:divBdr>
    </w:div>
    <w:div w:id="1598371513">
      <w:bodyDiv w:val="1"/>
      <w:marLeft w:val="0"/>
      <w:marRight w:val="0"/>
      <w:marTop w:val="0"/>
      <w:marBottom w:val="0"/>
      <w:divBdr>
        <w:top w:val="none" w:sz="0" w:space="0" w:color="auto"/>
        <w:left w:val="none" w:sz="0" w:space="0" w:color="auto"/>
        <w:bottom w:val="none" w:sz="0" w:space="0" w:color="auto"/>
        <w:right w:val="none" w:sz="0" w:space="0" w:color="auto"/>
      </w:divBdr>
    </w:div>
    <w:div w:id="1809201715">
      <w:bodyDiv w:val="1"/>
      <w:marLeft w:val="0"/>
      <w:marRight w:val="0"/>
      <w:marTop w:val="0"/>
      <w:marBottom w:val="0"/>
      <w:divBdr>
        <w:top w:val="none" w:sz="0" w:space="0" w:color="auto"/>
        <w:left w:val="none" w:sz="0" w:space="0" w:color="auto"/>
        <w:bottom w:val="none" w:sz="0" w:space="0" w:color="auto"/>
        <w:right w:val="none" w:sz="0" w:space="0" w:color="auto"/>
      </w:divBdr>
    </w:div>
    <w:div w:id="1971746807">
      <w:bodyDiv w:val="1"/>
      <w:marLeft w:val="0"/>
      <w:marRight w:val="0"/>
      <w:marTop w:val="0"/>
      <w:marBottom w:val="0"/>
      <w:divBdr>
        <w:top w:val="none" w:sz="0" w:space="0" w:color="auto"/>
        <w:left w:val="none" w:sz="0" w:space="0" w:color="auto"/>
        <w:bottom w:val="none" w:sz="0" w:space="0" w:color="auto"/>
        <w:right w:val="none" w:sz="0" w:space="0" w:color="auto"/>
      </w:divBdr>
    </w:div>
    <w:div w:id="2024360804">
      <w:bodyDiv w:val="1"/>
      <w:marLeft w:val="0"/>
      <w:marRight w:val="0"/>
      <w:marTop w:val="0"/>
      <w:marBottom w:val="0"/>
      <w:divBdr>
        <w:top w:val="none" w:sz="0" w:space="0" w:color="auto"/>
        <w:left w:val="none" w:sz="0" w:space="0" w:color="auto"/>
        <w:bottom w:val="none" w:sz="0" w:space="0" w:color="auto"/>
        <w:right w:val="none" w:sz="0" w:space="0" w:color="auto"/>
      </w:divBdr>
    </w:div>
    <w:div w:id="2073384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ieeexplore.ieee.org/document/95020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4</Pages>
  <Words>839</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Anubama Gunasekaran</dc:creator>
  <cp:lastModifiedBy>achuakshay457@gmail.com</cp:lastModifiedBy>
  <cp:revision>5</cp:revision>
  <dcterms:created xsi:type="dcterms:W3CDTF">2022-09-13T14:39:00Z</dcterms:created>
  <dcterms:modified xsi:type="dcterms:W3CDTF">2022-09-27T10:00:00Z</dcterms:modified>
</cp:coreProperties>
</file>