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MEMBER 3 HANDBOOK</w:t>
      </w:r>
    </w:p>
    <w:p>
      <w:pPr>
        <w:jc w:val="center"/>
      </w:pPr>
      <w:r>
        <w:rPr>
          <w:i/>
          <w:color w:val="466E82"/>
          <w:sz w:val="24"/>
        </w:rPr>
        <w:t>ML Analysis • Integration • Quality Assurance • Deployment</w:t>
      </w:r>
    </w:p>
    <w:p>
      <w:r>
        <w:t>Version 3.0 — Kaggle dataset-aligned DA3 edition | 13 October 2026 | Team handoff and implementation guide</w:t>
      </w:r>
    </w:p>
    <w:p>
      <w:r>
        <w:br w:type="page"/>
      </w:r>
    </w:p>
    <w:p>
      <w:pPr>
        <w:pStyle w:val="Heading1"/>
      </w:pPr>
      <w:r>
        <w:t>1. Role mission</w:t>
      </w:r>
    </w:p>
    <w:p>
      <w:r>
        <w:t>Make the independently developed components operate as one repeatable system. Own the analysis package, contract coordination, Docker Compose/release configuration, end-to-end test suite, performance evidence and demonstration runbook. Do not redefine Member 1's schema or API without a coordinated contract change.</w:t>
      </w:r>
    </w:p>
    <w:p>
      <w:pPr>
        <w:pStyle w:val="Heading1"/>
      </w:pPr>
      <w:r>
        <w:t>2. ML purpose and limits</w:t>
      </w:r>
    </w:p>
    <w:p>
      <w:r>
        <w:t>The ML module identifies unusual patterns for review. It does not diagnose disease, prescribe treatment or replace a clinician. Configured rule checks and ML scores must remain separate signals. Thresholds used for the demo are test configuration, not clinical guidance.</w:t>
      </w:r>
    </w:p>
    <w:p>
      <w:pPr>
        <w:pStyle w:val="Heading1"/>
      </w:pPr>
      <w:r>
        <w:t>3. Analysis package interface</w:t>
      </w:r>
    </w:p>
    <w:p>
      <w:r>
        <w:t>Create an importable package under packages/health_analysis/. It should accept a validated patient/time-window feature record and return a versioned assessment object. Keep the model code independent of FastAPI route handlers and MySQL-specific code.</w:t>
      </w:r>
    </w:p>
    <w:p>
      <w:pPr>
        <w:ind w:left="360"/>
      </w:pPr>
      <w:r>
        <w:rPr>
          <w:rFonts w:ascii="Consolas" w:hAnsi="Consolas"/>
          <w:sz w:val="16"/>
        </w:rPr>
        <w:t>AssessmentResult(</w:t>
        <w:br/>
        <w:t xml:space="preserve">  model_version: str,</w:t>
        <w:br/>
        <w:t xml:space="preserve">  score: float,</w:t>
        <w:br/>
        <w:t xml:space="preserve">  result: "normal_like" | "anomalous" | "insufficient_data",</w:t>
        <w:br/>
        <w:t xml:space="preserve">  feature_summary: dict,</w:t>
        <w:br/>
        <w:t xml:space="preserve">  time_window_start: datetime,</w:t>
        <w:br/>
        <w:t xml:space="preserve">  time_window_end: datetime,</w:t>
        <w:br/>
        <w:t xml:space="preserve">  explanation: list[str]</w:t>
        <w:br/>
        <w:t>)</w:t>
      </w:r>
    </w:p>
    <w:p>
      <w:r>
        <w:t>This is a proposed internal interface. Coordinate exact field names with Member 1 before integration and persist the result using the agreed model_assessments schema.</w:t>
      </w:r>
    </w:p>
    <w:p>
      <w:pPr>
        <w:pStyle w:val="Heading1"/>
      </w:pPr>
      <w:r>
        <w:t>4. Feature engineering plan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Feature family</w:t>
            </w:r>
          </w:p>
        </w:tc>
        <w:tc>
          <w:tcPr>
            <w:tcW w:type="dxa" w:w="3331"/>
          </w:tcPr>
          <w:p>
            <w:r>
              <w:t>Examples</w:t>
            </w:r>
          </w:p>
        </w:tc>
        <w:tc>
          <w:tcPr>
            <w:tcW w:type="dxa" w:w="3331"/>
          </w:tcPr>
          <w:p>
            <w:r>
              <w:t>Purpose</w:t>
            </w:r>
          </w:p>
        </w:tc>
      </w:tr>
      <w:tr>
        <w:tc>
          <w:tcPr>
            <w:tcW w:type="dxa" w:w="3331"/>
          </w:tcPr>
          <w:p>
            <w:r>
              <w:t>Central tendency</w:t>
            </w:r>
          </w:p>
        </w:tc>
        <w:tc>
          <w:tcPr>
            <w:tcW w:type="dxa" w:w="3331"/>
          </w:tcPr>
          <w:p>
            <w:r>
              <w:t>Rolling mean/median per metric</w:t>
            </w:r>
          </w:p>
        </w:tc>
        <w:tc>
          <w:tcPr>
            <w:tcW w:type="dxa" w:w="3331"/>
          </w:tcPr>
          <w:p>
            <w:r>
              <w:t>Describe recent level</w:t>
            </w:r>
          </w:p>
        </w:tc>
      </w:tr>
      <w:tr>
        <w:tc>
          <w:tcPr>
            <w:tcW w:type="dxa" w:w="3331"/>
          </w:tcPr>
          <w:p>
            <w:r>
              <w:t>Variability</w:t>
            </w:r>
          </w:p>
        </w:tc>
        <w:tc>
          <w:tcPr>
            <w:tcW w:type="dxa" w:w="3331"/>
          </w:tcPr>
          <w:p>
            <w:r>
              <w:t>Standard deviation, MAD or robust spread</w:t>
            </w:r>
          </w:p>
        </w:tc>
        <w:tc>
          <w:tcPr>
            <w:tcW w:type="dxa" w:w="3331"/>
          </w:tcPr>
          <w:p>
            <w:r>
              <w:t>Detect unusual instability</w:t>
            </w:r>
          </w:p>
        </w:tc>
      </w:tr>
      <w:tr>
        <w:tc>
          <w:tcPr>
            <w:tcW w:type="dxa" w:w="3331"/>
          </w:tcPr>
          <w:p>
            <w:r>
              <w:t>Trend</w:t>
            </w:r>
          </w:p>
        </w:tc>
        <w:tc>
          <w:tcPr>
            <w:tcW w:type="dxa" w:w="3331"/>
          </w:tcPr>
          <w:p>
            <w:r>
              <w:t>Slope/rate of change across window</w:t>
            </w:r>
          </w:p>
        </w:tc>
        <w:tc>
          <w:tcPr>
            <w:tcW w:type="dxa" w:w="3331"/>
          </w:tcPr>
          <w:p>
            <w:r>
              <w:t>Detect abrupt direction/change</w:t>
            </w:r>
          </w:p>
        </w:tc>
      </w:tr>
      <w:tr>
        <w:tc>
          <w:tcPr>
            <w:tcW w:type="dxa" w:w="3331"/>
          </w:tcPr>
          <w:p>
            <w:r>
              <w:t>Baseline deviation</w:t>
            </w:r>
          </w:p>
        </w:tc>
        <w:tc>
          <w:tcPr>
            <w:tcW w:type="dxa" w:w="3331"/>
          </w:tcPr>
          <w:p>
            <w:r>
              <w:t>Current value minus patient baseline; robust z-like score if appropriate</w:t>
            </w:r>
          </w:p>
        </w:tc>
        <w:tc>
          <w:tcPr>
            <w:tcW w:type="dxa" w:w="3331"/>
          </w:tcPr>
          <w:p>
            <w:r>
              <w:t>Personalize pattern comparison</w:t>
            </w:r>
          </w:p>
        </w:tc>
      </w:tr>
      <w:tr>
        <w:tc>
          <w:tcPr>
            <w:tcW w:type="dxa" w:w="3331"/>
          </w:tcPr>
          <w:p>
            <w:r>
              <w:t>Missingness</w:t>
            </w:r>
          </w:p>
        </w:tc>
        <w:tc>
          <w:tcPr>
            <w:tcW w:type="dxa" w:w="3331"/>
          </w:tcPr>
          <w:p>
            <w:r>
              <w:t>Count/fraction of missing metrics</w:t>
            </w:r>
          </w:p>
        </w:tc>
        <w:tc>
          <w:tcPr>
            <w:tcW w:type="dxa" w:w="3331"/>
          </w:tcPr>
          <w:p>
            <w:r>
              <w:t>Represent data quality rather than silently imputing</w:t>
            </w:r>
          </w:p>
        </w:tc>
      </w:tr>
      <w:tr>
        <w:tc>
          <w:tcPr>
            <w:tcW w:type="dxa" w:w="3331"/>
          </w:tcPr>
          <w:p>
            <w:r>
              <w:t>Freshness</w:t>
            </w:r>
          </w:p>
        </w:tc>
        <w:tc>
          <w:tcPr>
            <w:tcW w:type="dxa" w:w="3331"/>
          </w:tcPr>
          <w:p>
            <w:r>
              <w:t>Time since last measurement, delay between measured_at and received_at</w:t>
            </w:r>
          </w:p>
        </w:tc>
        <w:tc>
          <w:tcPr>
            <w:tcW w:type="dxa" w:w="3331"/>
          </w:tcPr>
          <w:p>
            <w:r>
              <w:t>Detect stale source/feed</w:t>
            </w:r>
          </w:p>
        </w:tc>
      </w:tr>
      <w:tr>
        <w:tc>
          <w:tcPr>
            <w:tcW w:type="dxa" w:w="3331"/>
          </w:tcPr>
          <w:p>
            <w:r>
              <w:t>Cross-metric</w:t>
            </w:r>
          </w:p>
        </w:tc>
        <w:tc>
          <w:tcPr>
            <w:tcW w:type="dxa" w:w="3331"/>
          </w:tcPr>
          <w:p>
            <w:r>
              <w:t>Window features across Kaggle-backed heart rate, SpO₂ and temperature; optional simulator-only respiratory rate and BP</w:t>
            </w:r>
          </w:p>
        </w:tc>
        <w:tc>
          <w:tcPr>
            <w:tcW w:type="dxa" w:w="3331"/>
          </w:tcPr>
          <w:p>
            <w:r>
              <w:t>Support combined-anomaly scenarios</w:t>
            </w:r>
          </w:p>
        </w:tc>
      </w:tr>
    </w:tbl>
    <w:p>
      <w:pPr>
        <w:pStyle w:val="Heading1"/>
      </w:pPr>
      <w:r>
        <w:t>5. Baseline and model strategy</w:t>
      </w:r>
    </w:p>
    <w:p>
      <w:pPr>
        <w:pStyle w:val="ListBullet"/>
      </w:pPr>
      <w:r>
        <w:t>Start with a deterministic feature extractor and baseline summary per patient/metric/window.</w:t>
      </w:r>
    </w:p>
    <w:p>
      <w:pPr>
        <w:pStyle w:val="ListBullet"/>
      </w:pPr>
      <w:r>
        <w:t>Use Isolation Forest as the first anomaly detector because it is a practical unsupervised baseline for tabular feature windows.</w:t>
      </w:r>
    </w:p>
    <w:p>
      <w:pPr>
        <w:pStyle w:val="ListBullet"/>
      </w:pPr>
      <w:r>
        <w:t>Keep rule evaluation outside the model: configured single-metric thresholds must work even if ML is unavailable.</w:t>
      </w:r>
    </w:p>
    <w:p>
      <w:pPr>
        <w:pStyle w:val="ListBullet"/>
      </w:pPr>
      <w:r>
        <w:t>Train/evaluate using an appropriate reference dataset plus synthetic scenario data; document how labels are obtained and what the dataset can and cannot support.</w:t>
      </w:r>
    </w:p>
    <w:p>
      <w:pPr>
        <w:pStyle w:val="ListBullet"/>
      </w:pPr>
      <w:r>
        <w:t>Use a held-out test set when possible; avoid evaluating only on training examples.</w:t>
      </w:r>
    </w:p>
    <w:p>
      <w:pPr>
        <w:pStyle w:val="ListBullet"/>
      </w:pPr>
      <w:r>
        <w:t>Persist model_version, score, result, feature summary, time window and assessment timestamp.</w:t>
      </w:r>
    </w:p>
    <w:p>
      <w:pPr>
        <w:pStyle w:val="ListBullet"/>
      </w:pPr>
      <w:r>
        <w:t>Return insufficient_data when too few valid samples exist; do not manufacture a normal prediction.</w:t>
      </w:r>
    </w:p>
    <w:p>
      <w:pPr>
        <w:pStyle w:val="ListBullet"/>
      </w:pPr>
      <w:r>
        <w:t>Do not claim clinical validity or publish fabricated precision/recall/sensitivity. Report metrics only if measured on defensible labelled data.</w:t>
      </w:r>
    </w:p>
    <w:p>
      <w:pPr>
        <w:pStyle w:val="Heading1"/>
      </w:pPr>
      <w:r>
        <w:t>6. Rule + ML + alert policy integration</w:t>
      </w:r>
    </w:p>
    <w:p>
      <w:pPr>
        <w:ind w:left="360"/>
      </w:pPr>
      <w:r>
        <w:rPr>
          <w:rFonts w:ascii="Consolas" w:hAnsi="Consolas"/>
          <w:sz w:val="16"/>
        </w:rPr>
        <w:t>Validated event -&gt; persist -&gt; derive window features</w:t>
      </w:r>
    </w:p>
    <w:p>
      <w:pPr>
        <w:ind w:left="360"/>
      </w:pPr>
      <w:r>
        <w:rPr>
          <w:rFonts w:ascii="Consolas" w:hAnsi="Consolas"/>
          <w:sz w:val="16"/>
        </w:rPr>
        <w:t xml:space="preserve">                    |-&gt; configured rules -&gt; rule findings</w:t>
      </w:r>
    </w:p>
    <w:p>
      <w:pPr>
        <w:ind w:left="360"/>
      </w:pPr>
      <w:r>
        <w:rPr>
          <w:rFonts w:ascii="Consolas" w:hAnsi="Consolas"/>
          <w:sz w:val="16"/>
        </w:rPr>
        <w:t xml:space="preserve">                    +-&gt; ML module -&gt; versioned anomaly assessment</w:t>
      </w:r>
    </w:p>
    <w:p>
      <w:pPr>
        <w:ind w:left="360"/>
      </w:pPr>
      <w:r>
        <w:rPr>
          <w:rFonts w:ascii="Consolas" w:hAnsi="Consolas"/>
          <w:sz w:val="16"/>
        </w:rPr>
        <w:t>Rule findings + ML result + data quality -&gt; backend alert policy -&gt; persistent alert</w:t>
      </w:r>
    </w:p>
    <w:p>
      <w:r>
        <w:t>Member 1 owns alert persistence and state transitions. Member 3 supplies the ML package, tests, and integration support. A model score alone should not silently be presented as a diagnosis. Duplicate events/windows must not create alert floods.</w:t>
      </w:r>
    </w:p>
    <w:p>
      <w:pPr>
        <w:pStyle w:val="Heading1"/>
      </w:pPr>
      <w:r>
        <w:t>7. Integration strategy</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Gate</w:t>
            </w:r>
          </w:p>
        </w:tc>
        <w:tc>
          <w:tcPr>
            <w:tcW w:type="dxa" w:w="3331"/>
          </w:tcPr>
          <w:p>
            <w:r>
              <w:t>Work</w:t>
            </w:r>
          </w:p>
        </w:tc>
        <w:tc>
          <w:tcPr>
            <w:tcW w:type="dxa" w:w="3331"/>
          </w:tcPr>
          <w:p>
            <w:r>
              <w:t>Pass condition</w:t>
            </w:r>
          </w:p>
        </w:tc>
      </w:tr>
      <w:tr>
        <w:tc>
          <w:tcPr>
            <w:tcW w:type="dxa" w:w="3331"/>
          </w:tcPr>
          <w:p>
            <w:r>
              <w:t>G0 Contract freeze</w:t>
            </w:r>
          </w:p>
        </w:tc>
        <w:tc>
          <w:tcPr>
            <w:tcW w:type="dxa" w:w="3331"/>
          </w:tcPr>
          <w:p>
            <w:r>
              <w:t>Coordinate OpenAPI, canonical fixture, metric codes, scenario codes, errors and WebSocket event envelope</w:t>
            </w:r>
          </w:p>
        </w:tc>
        <w:tc>
          <w:tcPr>
            <w:tcW w:type="dxa" w:w="3331"/>
          </w:tcPr>
          <w:p>
            <w:r>
              <w:t>Members 1/2/3 sign off and fixtures committed</w:t>
            </w:r>
          </w:p>
        </w:tc>
      </w:tr>
      <w:tr>
        <w:tc>
          <w:tcPr>
            <w:tcW w:type="dxa" w:w="3331"/>
          </w:tcPr>
          <w:p>
            <w:r>
              <w:t>G1 Stack starts</w:t>
            </w:r>
          </w:p>
        </w:tc>
        <w:tc>
          <w:tcPr>
            <w:tcW w:type="dxa" w:w="3331"/>
          </w:tcPr>
          <w:p>
            <w:r>
              <w:t>Compose MySQL, backend, simulator and React dashboard; document Flutter backend URL</w:t>
            </w:r>
          </w:p>
        </w:tc>
        <w:tc>
          <w:tcPr>
            <w:tcW w:type="dxa" w:w="3331"/>
          </w:tcPr>
          <w:p>
            <w:r>
              <w:t>Clean checkout starts with README instructions</w:t>
            </w:r>
          </w:p>
        </w:tc>
      </w:tr>
      <w:tr>
        <w:tc>
          <w:tcPr>
            <w:tcW w:type="dxa" w:w="3331"/>
          </w:tcPr>
          <w:p>
            <w:r>
              <w:t>G2 Ingestion works</w:t>
            </w:r>
          </w:p>
        </w:tc>
        <w:tc>
          <w:tcPr>
            <w:tcW w:type="dxa" w:w="3331"/>
          </w:tcPr>
          <w:p>
            <w:r>
              <w:t>Run normal scenario and inspect API/database</w:t>
            </w:r>
          </w:p>
        </w:tc>
        <w:tc>
          <w:tcPr>
            <w:tcW w:type="dxa" w:w="3331"/>
          </w:tcPr>
          <w:p>
            <w:r>
              <w:t>One event persists once and latest/history return it</w:t>
            </w:r>
          </w:p>
        </w:tc>
      </w:tr>
      <w:tr>
        <w:tc>
          <w:tcPr>
            <w:tcW w:type="dxa" w:w="3331"/>
          </w:tcPr>
          <w:p>
            <w:r>
              <w:t>G3 UI vertical slice</w:t>
            </w:r>
          </w:p>
        </w:tc>
        <w:tc>
          <w:tcPr>
            <w:tcW w:type="dxa" w:w="3331"/>
          </w:tcPr>
          <w:p>
            <w:r>
              <w:t>Use actual backend responses in React and Flutter</w:t>
            </w:r>
          </w:p>
        </w:tc>
        <w:tc>
          <w:tcPr>
            <w:tcW w:type="dxa" w:w="3331"/>
          </w:tcPr>
          <w:p>
            <w:r>
              <w:t>Fresh values and timestamps shown; no live-mode mocks</w:t>
            </w:r>
          </w:p>
        </w:tc>
      </w:tr>
      <w:tr>
        <w:tc>
          <w:tcPr>
            <w:tcW w:type="dxa" w:w="3331"/>
          </w:tcPr>
          <w:p>
            <w:r>
              <w:t>G4 Abnormal path</w:t>
            </w:r>
          </w:p>
        </w:tc>
        <w:tc>
          <w:tcPr>
            <w:tcW w:type="dxa" w:w="3331"/>
          </w:tcPr>
          <w:p>
            <w:r>
              <w:t>Run controlled anomaly and inspect rule/ML/alert/live update</w:t>
            </w:r>
          </w:p>
        </w:tc>
        <w:tc>
          <w:tcPr>
            <w:tcW w:type="dxa" w:w="3331"/>
          </w:tcPr>
          <w:p>
            <w:r>
              <w:t>Assessment and alert persist; authorized UI updates</w:t>
            </w:r>
          </w:p>
        </w:tc>
      </w:tr>
      <w:tr>
        <w:tc>
          <w:tcPr>
            <w:tcW w:type="dxa" w:w="3331"/>
          </w:tcPr>
          <w:p>
            <w:r>
              <w:t>G5 Database evaluation</w:t>
            </w:r>
          </w:p>
        </w:tc>
        <w:tc>
          <w:tcPr>
            <w:tcW w:type="dxa" w:w="3331"/>
          </w:tcPr>
          <w:p>
            <w:r>
              <w:t>Verify SQL objects, indexes, query plan and restore</w:t>
            </w:r>
          </w:p>
        </w:tc>
        <w:tc>
          <w:tcPr>
            <w:tcW w:type="dxa" w:w="3331"/>
          </w:tcPr>
          <w:p>
            <w:r>
              <w:t>Actual scripts and evidence are available</w:t>
            </w:r>
          </w:p>
        </w:tc>
      </w:tr>
      <w:tr>
        <w:tc>
          <w:tcPr>
            <w:tcW w:type="dxa" w:w="3331"/>
          </w:tcPr>
          <w:p>
            <w:r>
              <w:t>G6 Release</w:t>
            </w:r>
          </w:p>
        </w:tc>
        <w:tc>
          <w:tcPr>
            <w:tcW w:type="dxa" w:w="3331"/>
          </w:tcPr>
          <w:p>
            <w:r>
              <w:t>Deploy/rehearse and test fallback</w:t>
            </w:r>
          </w:p>
        </w:tc>
        <w:tc>
          <w:tcPr>
            <w:tcW w:type="dxa" w:w="3331"/>
          </w:tcPr>
          <w:p>
            <w:r>
              <w:t>Complete scenario runs from a clean environment</w:t>
            </w:r>
          </w:p>
        </w:tc>
      </w:tr>
    </w:tbl>
    <w:p>
      <w:pPr>
        <w:pStyle w:val="Heading1"/>
      </w:pPr>
      <w:r>
        <w:t>8. Docker Compose and configuration</w:t>
      </w:r>
    </w:p>
    <w:p>
      <w:r>
        <w:t>Provide a reproducible local stack. At minimum define services for MySQL, backend, simulator and React dashboard; add supporting services only if the implementation truly requires them. Flutter may run on a device/emulator using a configured backend URL. Use health checks and dependency readiness rather than assuming that container startup means MySQL is ready.</w:t>
      </w:r>
    </w:p>
    <w:p>
      <w:pPr>
        <w:pStyle w:val="ListBullet"/>
      </w:pPr>
      <w:r>
        <w:t>Provide .env.example with placeholders for DB URL/password, JWT signing secret, simulator service key, CORS origins and optional FCM configuration.</w:t>
      </w:r>
    </w:p>
    <w:p>
      <w:pPr>
        <w:pStyle w:val="ListBullet"/>
      </w:pPr>
      <w:r>
        <w:t>Use persistent MySQL volume for local demo data; document how to reset only disposable demo data.</w:t>
      </w:r>
    </w:p>
    <w:p>
      <w:pPr>
        <w:pStyle w:val="ListBullet"/>
      </w:pPr>
      <w:r>
        <w:t>Do not bake secrets into images or frontend bundles.</w:t>
      </w:r>
    </w:p>
    <w:p>
      <w:pPr>
        <w:pStyle w:val="ListBullet"/>
      </w:pPr>
      <w:r>
        <w:t>Expose only necessary ports; do not publish MySQL publicly for the cloud deployment.</w:t>
      </w:r>
    </w:p>
    <w:p>
      <w:pPr>
        <w:pStyle w:val="ListBullet"/>
      </w:pPr>
      <w:r>
        <w:t>Provide /health or readiness endpoints and clear logs.</w:t>
      </w:r>
    </w:p>
    <w:p>
      <w:pPr>
        <w:pStyle w:val="ListBullet"/>
      </w:pPr>
      <w:r>
        <w:t>Pin versions where practical and document migrations/seeding commands.</w:t>
      </w:r>
    </w:p>
    <w:p>
      <w:pPr>
        <w:pStyle w:val="Heading1"/>
      </w:pPr>
      <w:r>
        <w:t>9. End-to-end test plan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ID</w:t>
            </w:r>
          </w:p>
        </w:tc>
        <w:tc>
          <w:tcPr>
            <w:tcW w:type="dxa" w:w="3331"/>
          </w:tcPr>
          <w:p>
            <w:r>
              <w:t>Scenario</w:t>
            </w:r>
          </w:p>
        </w:tc>
        <w:tc>
          <w:tcPr>
            <w:tcW w:type="dxa" w:w="3331"/>
          </w:tcPr>
          <w:p>
            <w:r>
              <w:t>Evidence</w:t>
            </w:r>
          </w:p>
        </w:tc>
      </w:tr>
      <w:tr>
        <w:tc>
          <w:tcPr>
            <w:tcW w:type="dxa" w:w="3331"/>
          </w:tcPr>
          <w:p>
            <w:r>
              <w:t>T01</w:t>
            </w:r>
          </w:p>
        </w:tc>
        <w:tc>
          <w:tcPr>
            <w:tcW w:type="dxa" w:w="3331"/>
          </w:tcPr>
          <w:p>
            <w:r>
              <w:t>Normal stream</w:t>
            </w:r>
          </w:p>
        </w:tc>
        <w:tc>
          <w:tcPr>
            <w:tcW w:type="dxa" w:w="3331"/>
          </w:tcPr>
          <w:p>
            <w:r>
              <w:t>Readings persist and charts update without duplicate events</w:t>
            </w:r>
          </w:p>
        </w:tc>
      </w:tr>
      <w:tr>
        <w:tc>
          <w:tcPr>
            <w:tcW w:type="dxa" w:w="3331"/>
          </w:tcPr>
          <w:p>
            <w:r>
              <w:t>T02</w:t>
            </w:r>
          </w:p>
        </w:tc>
        <w:tc>
          <w:tcPr>
            <w:tcW w:type="dxa" w:w="3331"/>
          </w:tcPr>
          <w:p>
            <w:r>
              <w:t>Replay same source event ID</w:t>
            </w:r>
          </w:p>
        </w:tc>
        <w:tc>
          <w:tcPr>
            <w:tcW w:type="dxa" w:w="3331"/>
          </w:tcPr>
          <w:p>
            <w:r>
              <w:t>Idempotent response; no duplicate rows</w:t>
            </w:r>
          </w:p>
        </w:tc>
      </w:tr>
      <w:tr>
        <w:tc>
          <w:tcPr>
            <w:tcW w:type="dxa" w:w="3331"/>
          </w:tcPr>
          <w:p>
            <w:r>
              <w:t>T03</w:t>
            </w:r>
          </w:p>
        </w:tc>
        <w:tc>
          <w:tcPr>
            <w:tcW w:type="dxa" w:w="3331"/>
          </w:tcPr>
          <w:p>
            <w:r>
              <w:t>Single anomaly</w:t>
            </w:r>
          </w:p>
        </w:tc>
        <w:tc>
          <w:tcPr>
            <w:tcW w:type="dxa" w:w="3331"/>
          </w:tcPr>
          <w:p>
            <w:r>
              <w:t>Rule assessment and alert visible to authorized doctor</w:t>
            </w:r>
          </w:p>
        </w:tc>
      </w:tr>
      <w:tr>
        <w:tc>
          <w:tcPr>
            <w:tcW w:type="dxa" w:w="3331"/>
          </w:tcPr>
          <w:p>
            <w:r>
              <w:t>T04</w:t>
            </w:r>
          </w:p>
        </w:tc>
        <w:tc>
          <w:tcPr>
            <w:tcW w:type="dxa" w:w="3331"/>
          </w:tcPr>
          <w:p>
            <w:r>
              <w:t>Combined anomaly</w:t>
            </w:r>
          </w:p>
        </w:tc>
        <w:tc>
          <w:tcPr>
            <w:tcW w:type="dxa" w:w="3331"/>
          </w:tcPr>
          <w:p>
            <w:r>
              <w:t>ML score/version/features persisted and explained</w:t>
            </w:r>
          </w:p>
        </w:tc>
      </w:tr>
      <w:tr>
        <w:tc>
          <w:tcPr>
            <w:tcW w:type="dxa" w:w="3331"/>
          </w:tcPr>
          <w:p>
            <w:r>
              <w:t>T05</w:t>
            </w:r>
          </w:p>
        </w:tc>
        <w:tc>
          <w:tcPr>
            <w:tcW w:type="dxa" w:w="3331"/>
          </w:tcPr>
          <w:p>
            <w:r>
              <w:t>Missing/stale metric</w:t>
            </w:r>
          </w:p>
        </w:tc>
        <w:tc>
          <w:tcPr>
            <w:tcW w:type="dxa" w:w="3331"/>
          </w:tcPr>
          <w:p>
            <w:r>
              <w:t>UI says unavailable/stale; not normal</w:t>
            </w:r>
          </w:p>
        </w:tc>
      </w:tr>
      <w:tr>
        <w:tc>
          <w:tcPr>
            <w:tcW w:type="dxa" w:w="3331"/>
          </w:tcPr>
          <w:p>
            <w:r>
              <w:t>T06</w:t>
            </w:r>
          </w:p>
        </w:tc>
        <w:tc>
          <w:tcPr>
            <w:tcW w:type="dxa" w:w="3331"/>
          </w:tcPr>
          <w:p>
            <w:r>
              <w:t>Unauthorized patient access</w:t>
            </w:r>
          </w:p>
        </w:tc>
        <w:tc>
          <w:tcPr>
            <w:tcW w:type="dxa" w:w="3331"/>
          </w:tcPr>
          <w:p>
            <w:r>
              <w:t>API rejects request and no protected data leaks</w:t>
            </w:r>
          </w:p>
        </w:tc>
      </w:tr>
      <w:tr>
        <w:tc>
          <w:tcPr>
            <w:tcW w:type="dxa" w:w="3331"/>
          </w:tcPr>
          <w:p>
            <w:r>
              <w:t>T07</w:t>
            </w:r>
          </w:p>
        </w:tc>
        <w:tc>
          <w:tcPr>
            <w:tcW w:type="dxa" w:w="3331"/>
          </w:tcPr>
          <w:p>
            <w:r>
              <w:t>Alert acknowledgement</w:t>
            </w:r>
          </w:p>
        </w:tc>
        <w:tc>
          <w:tcPr>
            <w:tcW w:type="dxa" w:w="3331"/>
          </w:tcPr>
          <w:p>
            <w:r>
              <w:t>Status/history/audit and UI update</w:t>
            </w:r>
          </w:p>
        </w:tc>
      </w:tr>
      <w:tr>
        <w:tc>
          <w:tcPr>
            <w:tcW w:type="dxa" w:w="3331"/>
          </w:tcPr>
          <w:p>
            <w:r>
              <w:t>T08</w:t>
            </w:r>
          </w:p>
        </w:tc>
        <w:tc>
          <w:tcPr>
            <w:tcW w:type="dxa" w:w="3331"/>
          </w:tcPr>
          <w:p>
            <w:r>
              <w:t>Invalid payload</w:t>
            </w:r>
          </w:p>
        </w:tc>
        <w:tc>
          <w:tcPr>
            <w:tcW w:type="dxa" w:w="3331"/>
          </w:tcPr>
          <w:p>
            <w:r>
              <w:t>Validation error; no malformed row persists</w:t>
            </w:r>
          </w:p>
        </w:tc>
      </w:tr>
      <w:tr>
        <w:tc>
          <w:tcPr>
            <w:tcW w:type="dxa" w:w="3331"/>
          </w:tcPr>
          <w:p>
            <w:r>
              <w:t>T09</w:t>
            </w:r>
          </w:p>
        </w:tc>
        <w:tc>
          <w:tcPr>
            <w:tcW w:type="dxa" w:w="3331"/>
          </w:tcPr>
          <w:p>
            <w:r>
              <w:t>Notification provider failure</w:t>
            </w:r>
          </w:p>
        </w:tc>
        <w:tc>
          <w:tcPr>
            <w:tcW w:type="dxa" w:w="3331"/>
          </w:tcPr>
          <w:p>
            <w:r>
              <w:t>Failure recorded; in-app alert remains</w:t>
            </w:r>
          </w:p>
        </w:tc>
      </w:tr>
      <w:tr>
        <w:tc>
          <w:tcPr>
            <w:tcW w:type="dxa" w:w="3331"/>
          </w:tcPr>
          <w:p>
            <w:r>
              <w:t>T10</w:t>
            </w:r>
          </w:p>
        </w:tc>
        <w:tc>
          <w:tcPr>
            <w:tcW w:type="dxa" w:w="3331"/>
          </w:tcPr>
          <w:p>
            <w:r>
              <w:t>Backup and restore</w:t>
            </w:r>
          </w:p>
        </w:tc>
        <w:tc>
          <w:tcPr>
            <w:tcW w:type="dxa" w:w="3331"/>
          </w:tcPr>
          <w:p>
            <w:r>
              <w:t>Restored to separate database; key rows and relations verified</w:t>
            </w:r>
          </w:p>
        </w:tc>
      </w:tr>
      <w:tr>
        <w:tc>
          <w:tcPr>
            <w:tcW w:type="dxa" w:w="3331"/>
          </w:tcPr>
          <w:p>
            <w:r>
              <w:t>T11</w:t>
            </w:r>
          </w:p>
        </w:tc>
        <w:tc>
          <w:tcPr>
            <w:tcW w:type="dxa" w:w="3331"/>
          </w:tcPr>
          <w:p>
            <w:r>
              <w:t>Performance query</w:t>
            </w:r>
          </w:p>
        </w:tc>
        <w:tc>
          <w:tcPr>
            <w:tcW w:type="dxa" w:w="3331"/>
          </w:tcPr>
          <w:p>
            <w:r>
              <w:t>Same data/query; plan and measured timing before/after index</w:t>
            </w:r>
          </w:p>
        </w:tc>
      </w:tr>
      <w:tr>
        <w:tc>
          <w:tcPr>
            <w:tcW w:type="dxa" w:w="3331"/>
          </w:tcPr>
          <w:p>
            <w:r>
              <w:t>T12</w:t>
            </w:r>
          </w:p>
        </w:tc>
        <w:tc>
          <w:tcPr>
            <w:tcW w:type="dxa" w:w="3331"/>
          </w:tcPr>
          <w:p>
            <w:r>
              <w:t>Cloud reconnect</w:t>
            </w:r>
          </w:p>
        </w:tc>
        <w:tc>
          <w:tcPr>
            <w:tcW w:type="dxa" w:w="3331"/>
          </w:tcPr>
          <w:p>
            <w:r>
              <w:t>UI reconnects; last event and stale state remain accurate</w:t>
            </w:r>
          </w:p>
        </w:tc>
      </w:tr>
    </w:tbl>
    <w:p>
      <w:pPr>
        <w:pStyle w:val="Heading1"/>
      </w:pPr>
      <w:r>
        <w:t>10. Performance evidence</w:t>
      </w:r>
    </w:p>
    <w:p>
      <w:pPr>
        <w:pStyle w:val="ListBullet"/>
      </w:pPr>
      <w:r>
        <w:t>Measure simulator-event creation to backend receipt, database persistence, analysis completion and dashboard render where feasible.</w:t>
      </w:r>
    </w:p>
    <w:p>
      <w:pPr>
        <w:pStyle w:val="ListBullet"/>
      </w:pPr>
      <w:r>
        <w:t>Report sample count, test environment, time interval, p50 and p95 latency, failures and limitations.</w:t>
      </w:r>
    </w:p>
    <w:p>
      <w:pPr>
        <w:pStyle w:val="ListBullet"/>
      </w:pPr>
      <w:r>
        <w:t>Do not state the target under three seconds was met unless measured.</w:t>
      </w:r>
    </w:p>
    <w:p>
      <w:pPr>
        <w:pStyle w:val="ListBullet"/>
      </w:pPr>
      <w:r>
        <w:t>Capture EXPLAIN ANALYZE and timing for the same representative query and data volume before/after the index.</w:t>
      </w:r>
    </w:p>
    <w:p>
      <w:pPr>
        <w:pStyle w:val="ListBullet"/>
      </w:pPr>
      <w:r>
        <w:t>Do not compare unlike datasets, query shapes or cache conditions without disclosing the difference.</w:t>
      </w:r>
    </w:p>
    <w:p>
      <w:pPr>
        <w:pStyle w:val="Heading1"/>
      </w:pPr>
      <w:r>
        <w:t>11. Deployment and recovery</w:t>
      </w:r>
    </w:p>
    <w:p>
      <w:pPr>
        <w:pStyle w:val="ListBullet"/>
      </w:pPr>
      <w:r>
        <w:t>Choose a deployment arrangement where the backend can reach MySQL securely; avoid exposing DB to the public internet.</w:t>
      </w:r>
    </w:p>
    <w:p>
      <w:pPr>
        <w:pStyle w:val="ListBullet"/>
      </w:pPr>
      <w:r>
        <w:t>Configure HTTPS, allowed CORS origins, secrets and environment-specific URLs.</w:t>
      </w:r>
    </w:p>
    <w:p>
      <w:pPr>
        <w:pStyle w:val="ListBullet"/>
      </w:pPr>
      <w:r>
        <w:t>Seed non-sensitive demo accounts and deterministic synthetic history.</w:t>
      </w:r>
    </w:p>
    <w:p>
      <w:pPr>
        <w:pStyle w:val="ListBullet"/>
      </w:pPr>
      <w:r>
        <w:t>Verify the deployed simulator can call the internal ingestion endpoint securely.</w:t>
      </w:r>
    </w:p>
    <w:p>
      <w:pPr>
        <w:pStyle w:val="ListBullet"/>
      </w:pPr>
      <w:r>
        <w:t>Test process restart and ensure database rows persist.</w:t>
      </w:r>
    </w:p>
    <w:p>
      <w:pPr>
        <w:pStyle w:val="ListBullet"/>
      </w:pPr>
      <w:r>
        <w:t>Perform backup/restore into a separate database; record commands and verification queries.</w:t>
      </w:r>
    </w:p>
    <w:p>
      <w:pPr>
        <w:pStyle w:val="ListBullet"/>
      </w:pPr>
      <w:r>
        <w:t>Prepare fallback: seeded historical readings, normal scenario, anomaly scenario, and in-app alert if FCM is unavailable.</w:t>
      </w:r>
    </w:p>
    <w:p>
      <w:pPr>
        <w:pStyle w:val="Heading1"/>
      </w:pPr>
      <w:r>
        <w:t>12. Test report template</w:t>
      </w:r>
    </w:p>
    <w:tbl>
      <w:tblPr>
        <w:tblStyle w:val="LightShading-Accent1"/>
        <w:tblW w:type="auto" w:w="0"/>
        <w:tblLook w:firstColumn="1" w:firstRow="1" w:lastColumn="0" w:lastRow="0" w:noHBand="0" w:noVBand="1" w:val="04A0"/>
      </w:tblPr>
      <w:tblGrid>
        <w:gridCol w:w="4997"/>
        <w:gridCol w:w="4997"/>
      </w:tblGrid>
      <w:tr>
        <w:tc>
          <w:tcPr>
            <w:tcW w:type="dxa" w:w="4997"/>
          </w:tcPr>
          <w:p>
            <w:r>
              <w:t>Field</w:t>
            </w:r>
          </w:p>
        </w:tc>
        <w:tc>
          <w:tcPr>
            <w:tcW w:type="dxa" w:w="4997"/>
          </w:tcPr>
          <w:p>
            <w:r>
              <w:t>Record</w:t>
            </w:r>
          </w:p>
        </w:tc>
      </w:tr>
      <w:tr>
        <w:tc>
          <w:tcPr>
            <w:tcW w:type="dxa" w:w="4997"/>
          </w:tcPr>
          <w:p>
            <w:r>
              <w:t>Test ID / name</w:t>
            </w:r>
          </w:p>
        </w:tc>
        <w:tc>
          <w:tcPr>
            <w:tcW w:type="dxa" w:w="4997"/>
          </w:tcPr>
          <w:p>
            <w:r>
              <w:t>Unique identifier and concise title</w:t>
            </w:r>
          </w:p>
        </w:tc>
      </w:tr>
      <w:tr>
        <w:tc>
          <w:tcPr>
            <w:tcW w:type="dxa" w:w="4997"/>
          </w:tcPr>
          <w:p>
            <w:r>
              <w:t>Build / commit</w:t>
            </w:r>
          </w:p>
        </w:tc>
        <w:tc>
          <w:tcPr>
            <w:tcW w:type="dxa" w:w="4997"/>
          </w:tcPr>
          <w:p>
            <w:r>
              <w:t>Exact commit or release under test</w:t>
            </w:r>
          </w:p>
        </w:tc>
      </w:tr>
      <w:tr>
        <w:tc>
          <w:tcPr>
            <w:tcW w:type="dxa" w:w="4997"/>
          </w:tcPr>
          <w:p>
            <w:r>
              <w:t>Environment</w:t>
            </w:r>
          </w:p>
        </w:tc>
        <w:tc>
          <w:tcPr>
            <w:tcW w:type="dxa" w:w="4997"/>
          </w:tcPr>
          <w:p>
            <w:r>
              <w:t>OS, runtime versions, DB version, deployment target</w:t>
            </w:r>
          </w:p>
        </w:tc>
      </w:tr>
      <w:tr>
        <w:tc>
          <w:tcPr>
            <w:tcW w:type="dxa" w:w="4997"/>
          </w:tcPr>
          <w:p>
            <w:r>
              <w:t>Preconditions</w:t>
            </w:r>
          </w:p>
        </w:tc>
        <w:tc>
          <w:tcPr>
            <w:tcW w:type="dxa" w:w="4997"/>
          </w:tcPr>
          <w:p>
            <w:r>
              <w:t>Seed data, role, scenario, services running</w:t>
            </w:r>
          </w:p>
        </w:tc>
      </w:tr>
      <w:tr>
        <w:tc>
          <w:tcPr>
            <w:tcW w:type="dxa" w:w="4997"/>
          </w:tcPr>
          <w:p>
            <w:r>
              <w:t>Steps</w:t>
            </w:r>
          </w:p>
        </w:tc>
        <w:tc>
          <w:tcPr>
            <w:tcW w:type="dxa" w:w="4997"/>
          </w:tcPr>
          <w:p>
            <w:r>
              <w:t>Reproducible steps</w:t>
            </w:r>
          </w:p>
        </w:tc>
      </w:tr>
      <w:tr>
        <w:tc>
          <w:tcPr>
            <w:tcW w:type="dxa" w:w="4997"/>
          </w:tcPr>
          <w:p>
            <w:r>
              <w:t>Expected result</w:t>
            </w:r>
          </w:p>
        </w:tc>
        <w:tc>
          <w:tcPr>
            <w:tcW w:type="dxa" w:w="4997"/>
          </w:tcPr>
          <w:p>
            <w:r>
              <w:t>Requirement-based result</w:t>
            </w:r>
          </w:p>
        </w:tc>
      </w:tr>
      <w:tr>
        <w:tc>
          <w:tcPr>
            <w:tcW w:type="dxa" w:w="4997"/>
          </w:tcPr>
          <w:p>
            <w:r>
              <w:t>Actual result</w:t>
            </w:r>
          </w:p>
        </w:tc>
        <w:tc>
          <w:tcPr>
            <w:tcW w:type="dxa" w:w="4997"/>
          </w:tcPr>
          <w:p>
            <w:r>
              <w:t>Observed output only</w:t>
            </w:r>
          </w:p>
        </w:tc>
      </w:tr>
      <w:tr>
        <w:tc>
          <w:tcPr>
            <w:tcW w:type="dxa" w:w="4997"/>
          </w:tcPr>
          <w:p>
            <w:r>
              <w:t>Pass/fail</w:t>
            </w:r>
          </w:p>
        </w:tc>
        <w:tc>
          <w:tcPr>
            <w:tcW w:type="dxa" w:w="4997"/>
          </w:tcPr>
          <w:p>
            <w:r>
              <w:t>Mark only after execution</w:t>
            </w:r>
          </w:p>
        </w:tc>
      </w:tr>
      <w:tr>
        <w:tc>
          <w:tcPr>
            <w:tcW w:type="dxa" w:w="4997"/>
          </w:tcPr>
          <w:p>
            <w:r>
              <w:t>Evidence</w:t>
            </w:r>
          </w:p>
        </w:tc>
        <w:tc>
          <w:tcPr>
            <w:tcW w:type="dxa" w:w="4997"/>
          </w:tcPr>
          <w:p>
            <w:r>
              <w:t>Log, query output, screenshot, trace or report</w:t>
            </w:r>
          </w:p>
        </w:tc>
      </w:tr>
      <w:tr>
        <w:tc>
          <w:tcPr>
            <w:tcW w:type="dxa" w:w="4997"/>
          </w:tcPr>
          <w:p>
            <w:r>
              <w:t>Defect and retest</w:t>
            </w:r>
          </w:p>
        </w:tc>
        <w:tc>
          <w:tcPr>
            <w:tcW w:type="dxa" w:w="4997"/>
          </w:tcPr>
          <w:p>
            <w:r>
              <w:t>Issue reference, fix commit, retest result</w:t>
            </w:r>
          </w:p>
        </w:tc>
      </w:tr>
    </w:tbl>
    <w:p>
      <w:pPr>
        <w:pStyle w:val="Heading1"/>
      </w:pPr>
      <w:r>
        <w:t>13. Viva preparation</w:t>
      </w:r>
    </w:p>
    <w:p>
      <w:r>
        <w:rPr>
          <w:b/>
        </w:rPr>
        <w:t>Q: What does Isolation Forest do?</w:t>
      </w:r>
    </w:p>
    <w:p>
      <w:r>
        <w:t>A: It isolates observations through random feature and split selection; observations isolated with shorter path lengths are treated as more anomalous relative to the fitted data.</w:t>
      </w:r>
    </w:p>
    <w:p>
      <w:r>
        <w:rPr>
          <w:b/>
        </w:rPr>
        <w:t>Q: Why combine rules and ML?</w:t>
      </w:r>
    </w:p>
    <w:p>
      <w:r>
        <w:t>A: Rules provide predictable configured checks; ML can surface multivariate patterns not captured by one threshold. They serve different purposes.</w:t>
      </w:r>
    </w:p>
    <w:p>
      <w:r>
        <w:rPr>
          <w:b/>
        </w:rPr>
        <w:t>Q: Why use rolling windows?</w:t>
      </w:r>
    </w:p>
    <w:p>
      <w:r>
        <w:t>A: A single sample gives little context. Window statistics describe trend, variability and deviations over time.</w:t>
      </w:r>
    </w:p>
    <w:p>
      <w:r>
        <w:rPr>
          <w:b/>
        </w:rPr>
        <w:t>Q: What is data leakage?</w:t>
      </w:r>
    </w:p>
    <w:p>
      <w:r>
        <w:t>A: Information from the evaluation/future period improperly influences training or feature calculation, making reported performance overly optimistic.</w:t>
      </w:r>
    </w:p>
    <w:p>
      <w:r>
        <w:rPr>
          <w:b/>
        </w:rPr>
        <w:t>Q: Why version the model?</w:t>
      </w:r>
    </w:p>
    <w:p>
      <w:r>
        <w:t>A: A saved score must be traceable to the exact model and feature logic that generated it.</w:t>
      </w:r>
    </w:p>
    <w:p>
      <w:r>
        <w:rPr>
          <w:b/>
        </w:rPr>
        <w:t>Q: How do you evaluate anomaly detection?</w:t>
      </w:r>
    </w:p>
    <w:p>
      <w:r>
        <w:t>A: Use held-out labelled data when available, inspect false alerts and detection delay, and report suitable precision/recall metrics only when labels justify them.</w:t>
      </w:r>
    </w:p>
    <w:p>
      <w:r>
        <w:rPr>
          <w:b/>
        </w:rPr>
        <w:t>Q: What happens when data is missing?</w:t>
      </w:r>
    </w:p>
    <w:p>
      <w:r>
        <w:t>A: Represent missingness and freshness explicitly; return insufficient-data when needed instead of treating missing values as normal.</w:t>
      </w:r>
    </w:p>
    <w:p>
      <w:r>
        <w:rPr>
          <w:b/>
        </w:rPr>
        <w:t>Q: Why is this not a diagnostic system?</w:t>
      </w:r>
    </w:p>
    <w:p>
      <w:r>
        <w:t>A: It uses simulated measurements and a demonstration model without clinical validation; it only flags unusual patterns for review.</w:t>
      </w:r>
    </w:p>
    <w:p>
      <w:pPr>
        <w:pStyle w:val="Heading1"/>
      </w:pPr>
      <w:r>
        <w:t>14. Definition of done</w:t>
      </w:r>
    </w:p>
    <w:p>
      <w:pPr>
        <w:pStyle w:val="ListBullet"/>
      </w:pPr>
      <w:r>
        <w:t>Analysis package has deterministic unit tests and documented feature schema</w:t>
      </w:r>
    </w:p>
    <w:p>
      <w:pPr>
        <w:pStyle w:val="ListBullet"/>
      </w:pPr>
      <w:r>
        <w:t>Rule and ML results are distinct and versioned</w:t>
      </w:r>
    </w:p>
    <w:p>
      <w:pPr>
        <w:pStyle w:val="ListBullet"/>
      </w:pPr>
      <w:r>
        <w:t>Full simulator-to-MySQL-to-alert-to-UI path passes</w:t>
      </w:r>
    </w:p>
    <w:p>
      <w:pPr>
        <w:pStyle w:val="ListBullet"/>
      </w:pPr>
      <w:r>
        <w:t>Compose/build/setup steps are reproducible</w:t>
      </w:r>
    </w:p>
    <w:p>
      <w:pPr>
        <w:pStyle w:val="ListBullet"/>
      </w:pPr>
      <w:r>
        <w:t>API, integration, access, stale-data and recovery tests are recorded</w:t>
      </w:r>
    </w:p>
    <w:p>
      <w:pPr>
        <w:pStyle w:val="ListBullet"/>
      </w:pPr>
      <w:r>
        <w:t>Measured latency and query-performance reports are honest</w:t>
      </w:r>
    </w:p>
    <w:p>
      <w:pPr>
        <w:pStyle w:val="ListBullet"/>
      </w:pPr>
      <w:r>
        <w:t>Backup restore is verified</w:t>
      </w:r>
    </w:p>
    <w:p>
      <w:pPr>
        <w:pStyle w:val="ListBullet"/>
      </w:pPr>
      <w:r>
        <w:t>Deployment, fallback and eight-minute runbook are rehearsed</w:t>
      </w:r>
    </w:p>
    <w:p>
      <w:r>
        <w:br w:type="page"/>
      </w:r>
    </w:p>
    <w:p>
      <w:pPr>
        <w:pStyle w:val="Heading1"/>
      </w:pPr>
      <w:r>
        <w:t>DA3 ANALYTICS, BENCHMARK, BACKUP AND RELEASE ADDENDUM — MEMBER 3</w:t>
      </w:r>
    </w:p>
    <w:p>
      <w:r>
        <w:t>Member 3 owns the analysis package plus DA3 evidence: MongoDB aggregation pipelines, controlled SQL-vs-NoSQL benchmark, cloud-performance notes, Streamlit visualization, end-to-end tests, backup/restore rehearsal and release runbook. Do not invent benchmark results; run the scripts and preserve raw output.</w:t>
      </w:r>
    </w:p>
    <w:p>
      <w:pPr>
        <w:pStyle w:val="Heading2"/>
      </w:pPr>
      <w:r>
        <w:t>1. MongoDB aggregation pipeline deliverable</w:t>
      </w:r>
    </w:p>
    <w:p>
      <w:r>
        <w:t>Implement at least one validated aggregation against health_events. Recommended pipeline: filter a patient and UTC time window, project the event measurements, unwind metric/value pairs if using a long-form array, group by metric and calculate count/average/min/max. If the chosen document schema stores measurements as an object (as specified by Member 1), either use $objectToArray + $unwind or use a simpler daily event-count pipeline and document the design decision.</w:t>
      </w:r>
    </w:p>
    <w:p>
      <w:pPr>
        <w:spacing w:after="120"/>
      </w:pPr>
      <w:r>
        <w:rPr>
          <w:rFonts w:ascii="Consolas" w:hAnsi="Consolas"/>
          <w:color w:val="232D3C"/>
          <w:sz w:val="17"/>
        </w:rPr>
        <w:t>// Example for an object-valued measurements field.</w:t>
        <w:br/>
        <w:t>// Adjust names to the actual committed document schema.</w:t>
        <w:br/>
        <w:t>db.health_events.aggregate([</w:t>
        <w:br/>
        <w:t xml:space="preserve">  { $match: {</w:t>
        <w:br/>
        <w:t xml:space="preserve">      patient_id: "patient_001",</w:t>
        <w:br/>
        <w:t xml:space="preserve">      measured_at: {</w:t>
        <w:br/>
        <w:t xml:space="preserve">        $gte: ISODate("2026-10-01T00:00:00Z"),</w:t>
        <w:br/>
        <w:t xml:space="preserve">        $lt: ISODate("2026-10-14T00:00:00Z")</w:t>
        <w:br/>
        <w:t xml:space="preserve">      },</w:t>
        <w:br/>
        <w:t xml:space="preserve">      is_simulated: true</w:t>
        <w:br/>
        <w:t xml:space="preserve">  }},</w:t>
        <w:br/>
        <w:t xml:space="preserve">  { $project: {</w:t>
        <w:br/>
        <w:t xml:space="preserve">      measured_at: 1,</w:t>
        <w:br/>
        <w:t xml:space="preserve">      metrics: { $objectToArray: "$measurements" }</w:t>
        <w:br/>
        <w:t xml:space="preserve">  }},</w:t>
        <w:br/>
        <w:t xml:space="preserve">  { $unwind: "$metrics" },</w:t>
        <w:br/>
        <w:t xml:space="preserve">  { $group: {</w:t>
        <w:br/>
        <w:t xml:space="preserve">      _id: "$metrics.k",</w:t>
        <w:br/>
        <w:t xml:space="preserve">      sample_count: { $sum: 1 },</w:t>
        <w:br/>
        <w:t xml:space="preserve">      average_value: { $avg: "$metrics.v" },</w:t>
        <w:br/>
        <w:t xml:space="preserve">      minimum_value: { $min: "$metrics.v" },</w:t>
        <w:br/>
        <w:t xml:space="preserve">      maximum_value: { $max: "$metrics.v" }</w:t>
        <w:br/>
        <w:t xml:space="preserve">  }},</w:t>
        <w:br/>
        <w:t xml:space="preserve">  { $sort: { _id: 1 } }</w:t>
        <w:br/>
        <w:t>])</w:t>
      </w:r>
    </w:p>
    <w:p>
      <w:r>
        <w:t>Because this pipeline aggregates values with different units, label the metric name and unit in the dashboard. Do not compare a temperature average numerically with a heart-rate average. Validate the pipeline against a tiny hand-calculated fixture before running it on the full dataset.</w:t>
      </w:r>
    </w:p>
    <w:p>
      <w:pPr>
        <w:pStyle w:val="Heading2"/>
      </w:pPr>
      <w:r>
        <w:t>2. SQL vs NoSQL comparison: fair experiment design</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r>
              <w:rPr>
                <w:b/>
              </w:rPr>
              <w:t>Workload</w:t>
            </w:r>
          </w:p>
        </w:tc>
        <w:tc>
          <w:tcPr>
            <w:tcW w:type="dxa" w:w="2498"/>
          </w:tcPr>
          <w:p>
            <w:r>
              <w:rPr>
                <w:b/>
              </w:rPr>
              <w:t>MySQL equivalent</w:t>
            </w:r>
          </w:p>
        </w:tc>
        <w:tc>
          <w:tcPr>
            <w:tcW w:type="dxa" w:w="2498"/>
          </w:tcPr>
          <w:p>
            <w:r>
              <w:rPr>
                <w:b/>
              </w:rPr>
              <w:t>MongoDB equivalent</w:t>
            </w:r>
          </w:p>
        </w:tc>
        <w:tc>
          <w:tcPr>
            <w:tcW w:type="dxa" w:w="2498"/>
          </w:tcPr>
          <w:p>
            <w:r>
              <w:rPr>
                <w:b/>
              </w:rPr>
              <w:t>Correctness check</w:t>
            </w:r>
          </w:p>
        </w:tc>
      </w:tr>
      <w:tr>
        <w:tc>
          <w:tcPr>
            <w:tcW w:type="dxa" w:w="2498"/>
            <w:vAlign w:val="center"/>
          </w:tcPr>
          <w:p>
            <w:r>
              <w:t>Latest history</w:t>
            </w:r>
          </w:p>
        </w:tc>
        <w:tc>
          <w:tcPr>
            <w:tcW w:type="dxa" w:w="2498"/>
            <w:vAlign w:val="center"/>
          </w:tcPr>
          <w:p>
            <w:r>
              <w:t>Filter patient/time, ORDER BY measured_at DESC, LIMIT N.</w:t>
            </w:r>
          </w:p>
        </w:tc>
        <w:tc>
          <w:tcPr>
            <w:tcW w:type="dxa" w:w="2498"/>
            <w:vAlign w:val="center"/>
          </w:tcPr>
          <w:p>
            <w:r>
              <w:t>find patient/time, sort measured_at descending, limit N.</w:t>
            </w:r>
          </w:p>
        </w:tc>
        <w:tc>
          <w:tcPr>
            <w:tcW w:type="dxa" w:w="2498"/>
            <w:vAlign w:val="center"/>
          </w:tcPr>
          <w:p>
            <w:r>
              <w:t>Same event IDs and ordering; same limit.</w:t>
            </w:r>
          </w:p>
        </w:tc>
      </w:tr>
      <w:tr>
        <w:tc>
          <w:tcPr>
            <w:tcW w:type="dxa" w:w="2498"/>
            <w:vAlign w:val="center"/>
          </w:tcPr>
          <w:p>
            <w:r>
              <w:t>Metric summary</w:t>
            </w:r>
          </w:p>
        </w:tc>
        <w:tc>
          <w:tcPr>
            <w:tcW w:type="dxa" w:w="2498"/>
            <w:vAlign w:val="center"/>
          </w:tcPr>
          <w:p>
            <w:r>
              <w:t>GROUP BY metric_code with COUNT/AVG/MIN/MAX.</w:t>
            </w:r>
          </w:p>
        </w:tc>
        <w:tc>
          <w:tcPr>
            <w:tcW w:type="dxa" w:w="2498"/>
            <w:vAlign w:val="center"/>
          </w:tcPr>
          <w:p>
            <w:r>
              <w:t>Aggregation using $match/$unwind or object conversion/$group.</w:t>
            </w:r>
          </w:p>
        </w:tc>
        <w:tc>
          <w:tcPr>
            <w:tcW w:type="dxa" w:w="2498"/>
            <w:vAlign w:val="center"/>
          </w:tcPr>
          <w:p>
            <w:r>
              <w:t>Compare count and aggregate values within a defined numeric tolerance.</w:t>
            </w:r>
          </w:p>
        </w:tc>
      </w:tr>
      <w:tr>
        <w:tc>
          <w:tcPr>
            <w:tcW w:type="dxa" w:w="2498"/>
            <w:vAlign w:val="center"/>
          </w:tcPr>
          <w:p>
            <w:r>
              <w:t>Time bucket counts</w:t>
            </w:r>
          </w:p>
        </w:tc>
        <w:tc>
          <w:tcPr>
            <w:tcW w:type="dxa" w:w="2498"/>
            <w:vAlign w:val="center"/>
          </w:tcPr>
          <w:p>
            <w:r>
              <w:t>GROUP BY date/hour bucket.</w:t>
            </w:r>
          </w:p>
        </w:tc>
        <w:tc>
          <w:tcPr>
            <w:tcW w:type="dxa" w:w="2498"/>
            <w:vAlign w:val="center"/>
          </w:tcPr>
          <w:p>
            <w:r>
              <w:t>$dateTrunc + $group where supported, or explicit date bucket.</w:t>
            </w:r>
          </w:p>
        </w:tc>
        <w:tc>
          <w:tcPr>
            <w:tcW w:type="dxa" w:w="2498"/>
            <w:vAlign w:val="center"/>
          </w:tcPr>
          <w:p>
            <w:r>
              <w:t>Same UTC bucket boundaries and count total.</w:t>
            </w:r>
          </w:p>
        </w:tc>
      </w:tr>
    </w:tbl>
    <w:p>
      <w:pPr>
        <w:pStyle w:val="Heading2"/>
      </w:pPr>
      <w:r>
        <w:t>3. Benchmark implementation requirements</w:t>
      </w:r>
    </w:p>
    <w:p>
      <w:pPr>
        <w:pStyle w:val="ListNumber"/>
      </w:pPr>
      <w:r>
        <w:t>Create a reproducible generator with a fixed random seed and explicit is_simulated flag. Begin with the actual 1,500-row Kaggle dataset; run a separate 10,000-event scaled synthetic benchmark only if time allows, and label it separately.</w:t>
      </w:r>
    </w:p>
    <w:p>
      <w:pPr>
        <w:pStyle w:val="ListNumber"/>
      </w:pPr>
      <w:r>
        <w:t>Load the same logical event set into both stores and record exact counts. Make sure both query paths use equivalent filters, projection, sorting and limits.</w:t>
      </w:r>
    </w:p>
    <w:p>
      <w:pPr>
        <w:pStyle w:val="ListNumber"/>
      </w:pPr>
      <w:r>
        <w:t>Implement a benchmark script that uses monotonic timing, one warm-up run, then 20–30 measured runs per query per store. Save raw rows to CSV/JSON.</w:t>
      </w:r>
    </w:p>
    <w:p>
      <w:pPr>
        <w:pStyle w:val="ListNumber"/>
      </w:pPr>
      <w:r>
        <w:t>Record query latency, returned record count, failures/timeouts and environment details. Separate network round-trip time from server execution time when the available explain tools permit it.</w:t>
      </w:r>
    </w:p>
    <w:p>
      <w:pPr>
        <w:pStyle w:val="ListNumber"/>
      </w:pPr>
      <w:r>
        <w:t>Compute p50, p95 and mean from actual raw values. Keep raw measurements committed so the table can be regenerated.</w:t>
      </w:r>
    </w:p>
    <w:p>
      <w:pPr>
        <w:pStyle w:val="ListNumber"/>
      </w:pPr>
      <w:r>
        <w:t>Run indexed and unindexed comparisons separately if measuring the effect of indexing. Do not compare indexed MySQL against unindexed MongoDB as a general SQL/NoSQL verdict.</w:t>
      </w:r>
    </w:p>
    <w:p>
      <w:pPr>
        <w:pStyle w:val="ListNumber"/>
      </w:pPr>
      <w:r>
        <w:t>Write an interpretation paragraph describing observed outcomes, likely reasons, limitations (small synthetic data, tier/network variance, cache warm-up, shared resources), and what cannot be concluded.</w:t>
      </w:r>
    </w:p>
    <w:p>
      <w:pPr>
        <w:spacing w:after="120"/>
      </w:pPr>
      <w:r>
        <w:rPr>
          <w:rFonts w:ascii="Consolas" w:hAnsi="Consolas"/>
          <w:color w:val="232D3C"/>
          <w:sz w:val="17"/>
        </w:rPr>
        <w:t># Benchmark result CSV columns</w:t>
        <w:br/>
        <w:t>run_id, timestamp_utc, database, workload, dataset_size, indexed,</w:t>
        <w:br/>
        <w:t>iteration, latency_ms, success, returned_count, error_type,</w:t>
        <w:br/>
        <w:t>client_region, db_region, db_tier, notes</w:t>
      </w:r>
    </w:p>
    <w:p>
      <w:pPr>
        <w:pStyle w:val="Heading2"/>
      </w:pPr>
      <w:r>
        <w:t>4. Streamlit analytics dashboard</w:t>
      </w:r>
    </w:p>
    <w:p>
      <w:r>
        <w:t>Build apps/analytics_streamlit/ as a read-only DA3 dashboard. It is separate from the React doctor dashboard: React serves product workflow, while Streamlit presents database evaluation evidence.</w:t>
      </w:r>
    </w:p>
    <w:p>
      <w:pPr>
        <w:pStyle w:val="ListBullet"/>
      </w:pPr>
      <w:r>
        <w:t>Tab 1 — Dataset/environment: dataset size, generation seed, MySQL version/location, Atlas region/tier, indexes and run timestamp.</w:t>
      </w:r>
    </w:p>
    <w:p>
      <w:pPr>
        <w:pStyle w:val="ListBullet"/>
      </w:pPr>
      <w:r>
        <w:t>Tab 2 — Query comparison: selectable workload, SQL and MongoDB p50/p95/mean latency, success rate, result-count agreement, and a bar/line chart from the measured CSV.</w:t>
      </w:r>
    </w:p>
    <w:p>
      <w:pPr>
        <w:pStyle w:val="ListBullet"/>
      </w:pPr>
      <w:r>
        <w:t>Tab 3 — Aggregation analytics: event count by day and per-metric count/average/min/max; label units and UTC/local display timezone.</w:t>
      </w:r>
    </w:p>
    <w:p>
      <w:pPr>
        <w:pStyle w:val="ListBullet"/>
      </w:pPr>
      <w:r>
        <w:t>Tab 4 — Explain plans: display saved sanitized summaries of MySQL EXPLAIN ANALYZE and MongoDB executionStats, including rows/docs examined and index usage.</w:t>
      </w:r>
    </w:p>
    <w:p>
      <w:pPr>
        <w:pStyle w:val="ListBullet"/>
      </w:pPr>
      <w:r>
        <w:t>Tab 5 — Data quality/limitations: percentage of invalid synthetic events, missing fields, failed mirror events, simulated-data disclaimer, and experimental caveats.</w:t>
      </w:r>
    </w:p>
    <w:p>
      <w:pPr>
        <w:pStyle w:val="ListBullet"/>
      </w:pPr>
      <w:r>
        <w:t>Load connection credentials from environment variables or Streamlit secrets; never hard-code credentials. Prefer a read-only MongoDB account and read-only SQL account.</w:t>
      </w:r>
    </w:p>
    <w:p>
      <w:pPr>
        <w:pStyle w:val="Heading2"/>
      </w:pPr>
      <w:r>
        <w:t>5. Backup and restore rehearsal</w:t>
      </w:r>
    </w:p>
    <w:p>
      <w:r>
        <w:t>The DA3 plan explicitly requires backup and recovery. A backup is not evidence of recovery until it has been restored and verified. Available Atlas backup features depend on the selected tier; document the actual method supported by the cluster.</w:t>
      </w:r>
    </w:p>
    <w:p>
      <w:pPr>
        <w:pStyle w:val="ListNumber"/>
      </w:pPr>
      <w:r>
        <w:t>Create a consistent MySQL logical backup using mysqldump or the selected supported mechanism; record database/version and timestamp. For transactional consistency, use the appropriate InnoDB transaction option.</w:t>
      </w:r>
    </w:p>
    <w:p>
      <w:pPr>
        <w:pStyle w:val="ListNumber"/>
      </w:pPr>
      <w:r>
        <w:t>Export the MongoDB health_events and model_assessments collections using mongodump or the mechanism supported by the selected Atlas tier. Protect the backup files as sensitive operational artifacts even though project data is synthetic.</w:t>
      </w:r>
    </w:p>
    <w:p>
      <w:pPr>
        <w:pStyle w:val="ListNumber"/>
      </w:pPr>
      <w:r>
        <w:t>Store backups outside the live database volume and exclude them from Git. Record checksum, file size and event/document counts.</w:t>
      </w:r>
    </w:p>
    <w:p>
      <w:pPr>
        <w:pStyle w:val="ListNumber"/>
      </w:pPr>
      <w:r>
        <w:t>Restore MySQL into an isolated database and MongoDB into a separate test database/namespace. Never test recovery by overwriting the working demo database.</w:t>
      </w:r>
    </w:p>
    <w:p>
      <w:pPr>
        <w:pStyle w:val="ListNumber"/>
      </w:pPr>
      <w:r>
        <w:t>Verify schema/index presence, row/document counts, a known source_event_id, time-range query results, and at least one aggregate result.</w:t>
      </w:r>
    </w:p>
    <w:p>
      <w:pPr>
        <w:pStyle w:val="ListNumber"/>
      </w:pPr>
      <w:r>
        <w:t>Write a recovery runbook: prerequisites, backup commands/method, restore commands/method, verification steps, failure handling, and how to switch the demo back to the original environment.</w:t>
      </w:r>
    </w:p>
    <w:p>
      <w:pPr>
        <w:pStyle w:val="ListNumber"/>
      </w:pPr>
      <w:r>
        <w:t>If using Atlas automated snapshots, record the actual configured schedule/retention and prove a restore is available under the chosen tier; do not claim a feature that the tier does not provide.</w:t>
      </w:r>
    </w:p>
    <w:p>
      <w:pPr>
        <w:pStyle w:val="Heading2"/>
      </w:pPr>
      <w:r>
        <w:t>6. Integration and resilience tests</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rPr>
                <w:b/>
              </w:rPr>
              <w:t>Test</w:t>
            </w:r>
          </w:p>
        </w:tc>
        <w:tc>
          <w:tcPr>
            <w:tcW w:type="dxa" w:w="4997"/>
          </w:tcPr>
          <w:p>
            <w:r>
              <w:rPr>
                <w:b/>
              </w:rPr>
              <w:t>Expected result</w:t>
            </w:r>
          </w:p>
        </w:tc>
      </w:tr>
      <w:tr>
        <w:tc>
          <w:tcPr>
            <w:tcW w:type="dxa" w:w="4997"/>
            <w:vAlign w:val="center"/>
          </w:tcPr>
          <w:p>
            <w:r>
              <w:t>Duplicate simulator event</w:t>
            </w:r>
          </w:p>
        </w:tc>
        <w:tc>
          <w:tcPr>
            <w:tcW w:type="dxa" w:w="4997"/>
            <w:vAlign w:val="center"/>
          </w:tcPr>
          <w:p>
            <w:r>
              <w:t>One canonical MySQL event and one Mongo document per source_event_id; duplicate response is safe.</w:t>
            </w:r>
          </w:p>
        </w:tc>
      </w:tr>
      <w:tr>
        <w:tc>
          <w:tcPr>
            <w:tcW w:type="dxa" w:w="4997"/>
            <w:vAlign w:val="center"/>
          </w:tcPr>
          <w:p>
            <w:r>
              <w:t>Mongo unavailable during ingestion</w:t>
            </w:r>
          </w:p>
        </w:tc>
        <w:tc>
          <w:tcPr>
            <w:tcW w:type="dxa" w:w="4997"/>
            <w:vAlign w:val="center"/>
          </w:tcPr>
          <w:p>
            <w:r>
              <w:t>MySQL canonical write remains consistent; mirror status remains pending and retry eventually upserts.</w:t>
            </w:r>
          </w:p>
        </w:tc>
      </w:tr>
      <w:tr>
        <w:tc>
          <w:tcPr>
            <w:tcW w:type="dxa" w:w="4997"/>
            <w:vAlign w:val="center"/>
          </w:tcPr>
          <w:p>
            <w:r>
              <w:t>MySQL unavailable</w:t>
            </w:r>
          </w:p>
        </w:tc>
        <w:tc>
          <w:tcPr>
            <w:tcW w:type="dxa" w:w="4997"/>
            <w:vAlign w:val="center"/>
          </w:tcPr>
          <w:p>
            <w:r>
              <w:t>Ingestion fails clearly; no false success response or alert.</w:t>
            </w:r>
          </w:p>
        </w:tc>
      </w:tr>
      <w:tr>
        <w:tc>
          <w:tcPr>
            <w:tcW w:type="dxa" w:w="4997"/>
            <w:vAlign w:val="center"/>
          </w:tcPr>
          <w:p>
            <w:r>
              <w:t>Invalid/out-of-range payload</w:t>
            </w:r>
          </w:p>
        </w:tc>
        <w:tc>
          <w:tcPr>
            <w:tcW w:type="dxa" w:w="4997"/>
            <w:vAlign w:val="center"/>
          </w:tcPr>
          <w:p>
            <w:r>
              <w:t>Validation error; no canonical row or Mongo document written.</w:t>
            </w:r>
          </w:p>
        </w:tc>
      </w:tr>
      <w:tr>
        <w:tc>
          <w:tcPr>
            <w:tcW w:type="dxa" w:w="4997"/>
            <w:vAlign w:val="center"/>
          </w:tcPr>
          <w:p>
            <w:r>
              <w:t>Unauthorized patient query</w:t>
            </w:r>
          </w:p>
        </w:tc>
        <w:tc>
          <w:tcPr>
            <w:tcW w:type="dxa" w:w="4997"/>
            <w:vAlign w:val="center"/>
          </w:tcPr>
          <w:p>
            <w:r>
              <w:t>403/404 according to contract; no protected data leaked.</w:t>
            </w:r>
          </w:p>
        </w:tc>
      </w:tr>
      <w:tr>
        <w:tc>
          <w:tcPr>
            <w:tcW w:type="dxa" w:w="4997"/>
            <w:vAlign w:val="center"/>
          </w:tcPr>
          <w:p>
            <w:r>
              <w:t>WebSocket drops</w:t>
            </w:r>
          </w:p>
        </w:tc>
        <w:tc>
          <w:tcPr>
            <w:tcW w:type="dxa" w:w="4997"/>
            <w:vAlign w:val="center"/>
          </w:tcPr>
          <w:p>
            <w:r>
              <w:t>Clients mark disconnected, reconnect, then refetch canonical state.</w:t>
            </w:r>
          </w:p>
        </w:tc>
      </w:tr>
      <w:tr>
        <w:tc>
          <w:tcPr>
            <w:tcW w:type="dxa" w:w="4997"/>
            <w:vAlign w:val="center"/>
          </w:tcPr>
          <w:p>
            <w:r>
              <w:t>Restore exercise</w:t>
            </w:r>
          </w:p>
        </w:tc>
        <w:tc>
          <w:tcPr>
            <w:tcW w:type="dxa" w:w="4997"/>
            <w:vAlign w:val="center"/>
          </w:tcPr>
          <w:p>
            <w:r>
              <w:t>Restored test DBs pass count and known-record checks.</w:t>
            </w:r>
          </w:p>
        </w:tc>
      </w:tr>
      <w:tr>
        <w:tc>
          <w:tcPr>
            <w:tcW w:type="dxa" w:w="4997"/>
            <w:vAlign w:val="center"/>
          </w:tcPr>
          <w:p>
            <w:r>
              <w:t>Benchmark equivalence</w:t>
            </w:r>
          </w:p>
        </w:tc>
        <w:tc>
          <w:tcPr>
            <w:tcW w:type="dxa" w:w="4997"/>
            <w:vAlign w:val="center"/>
          </w:tcPr>
          <w:p>
            <w:r>
              <w:t>Same logical filters/results; mismatched results block publication of performance conclusions.</w:t>
            </w:r>
          </w:p>
        </w:tc>
      </w:tr>
    </w:tbl>
    <w:p>
      <w:pPr>
        <w:pStyle w:val="Heading2"/>
      </w:pPr>
      <w:r>
        <w:t>7. Release and evidence checklist</w:t>
      </w:r>
    </w:p>
    <w:p>
      <w:pPr>
        <w:pStyle w:val="ListBullet"/>
      </w:pPr>
      <w:r>
        <w:t>Fresh-clone test: setup works using only README and .env.example.</w:t>
      </w:r>
    </w:p>
    <w:p>
      <w:pPr>
        <w:pStyle w:val="ListBullet"/>
      </w:pPr>
      <w:r>
        <w:t>Run formatting/linting and unit tests; run integration tests against configured test databases.</w:t>
      </w:r>
    </w:p>
    <w:p>
      <w:pPr>
        <w:pStyle w:val="ListBullet"/>
      </w:pPr>
      <w:r>
        <w:t>Verify no real .env, secret, backup dump or private connection string is tracked by Git.</w:t>
      </w:r>
    </w:p>
    <w:p>
      <w:pPr>
        <w:pStyle w:val="ListBullet"/>
      </w:pPr>
      <w:r>
        <w:t>Run the end-to-end path: deterministic simulator → FastAPI → MySQL → Mongo mirror → rules/ML → persisted alert → WebSocket update → doctor dashboard.</w:t>
      </w:r>
    </w:p>
    <w:p>
      <w:pPr>
        <w:pStyle w:val="ListBullet"/>
      </w:pPr>
      <w:r>
        <w:t>Save raw benchmark CSV, query text, explain output, aggregation validation, backup/restore logs, security tests and dashboard screenshots.</w:t>
      </w:r>
    </w:p>
    <w:p>
      <w:pPr>
        <w:pStyle w:val="ListBullet"/>
      </w:pPr>
      <w:r>
        <w:t>Write limitations honestly: synthetic data, non-clinical rules/model, small experiment, cloud-tier and network variability.</w:t>
      </w:r>
    </w:p>
    <w:p>
      <w:pPr>
        <w:pStyle w:val="ListBullet"/>
      </w:pPr>
      <w:r>
        <w:t>Tag a release/commit and prepare a 3–5 minute demo sequence plus fallback screenshots/data in case cloud connectivity fails.</w:t>
      </w:r>
    </w:p>
    <w:p>
      <w:pPr>
        <w:pStyle w:val="Heading1"/>
      </w:pPr>
      <w:r>
        <w:t>DATASET ALIGNMENT ADDENDUM — PRESERVE THE EXISTING PROJECT</w:t>
      </w:r>
    </w:p>
    <w:p>
      <w:r>
        <w:t>This addendum aligns implementation with the uploaded Kaggle CSV while preserving the earlier architecture, features, responsibilities, DA3 requirements and technical decisions. Where the original plan describes a richer live simulator, that capability remains optional and separate from the three-metric historical dataset. Do not delete the earlier requirements; apply the distinctions below.</w:t>
      </w:r>
    </w:p>
    <w:p>
      <w:pPr>
        <w:pStyle w:val="Heading2"/>
      </w:pPr>
      <w:r>
        <w:t>Dataset facts confirmed from the uploaded CSV</w:t>
      </w:r>
    </w:p>
    <w:p>
      <w:pPr>
        <w:pStyle w:val="ListBullet"/>
      </w:pPr>
      <w:r>
        <w:t>The team-provided CSV has 1,500 rows and five columns: patient_id, heart_rate, spo2, temperature_f, timestamp. It has no missing values in those five columns and no duplicate full rows or duplicate (patient_id, timestamp) pairs.</w:t>
      </w:r>
    </w:p>
    <w:p>
      <w:pPr>
        <w:pStyle w:val="ListBullet"/>
      </w:pPr>
      <w:r>
        <w:t>The file contains five patient IDs: P101 (293 rows), P102 (302), P103 (296), P104 (325), and P105 (284).</w:t>
      </w:r>
    </w:p>
    <w:p>
      <w:pPr>
        <w:pStyle w:val="ListBullet"/>
      </w:pPr>
      <w:r>
        <w:t>The timestamps range from 2023-10-01 08:13:00 through 2023-10-11 13:35:00. The CSV timestamp strings do not state a timezone; do not silently assume UTC or a local timezone.</w:t>
      </w:r>
    </w:p>
    <w:p>
      <w:pPr>
        <w:pStyle w:val="ListBullet"/>
      </w:pPr>
      <w:r>
        <w:t>Observed ranges in this file: heart_rate 60–135 bpm (median 82.0, mean 82.9); SpO₂ 88.1–99.9% (median 96.6, mean 96.49); temperature_f 97.5–103.0 °F (median 98.6, mean 98.69). These are descriptive dataset statistics, not clinical thresholds.</w:t>
      </w:r>
    </w:p>
    <w:p>
      <w:pPr>
        <w:pStyle w:val="ListBullet"/>
      </w:pPr>
      <w:r>
        <w:t>The CSV provides three vital-sign measures only: heart rate, SpO₂ and temperature in Fahrenheit. It does not contain respiratory rate, systolic/diastolic blood pressure, alert labels, diagnoses, model labels, user accounts, doctor assignments or messages.</w:t>
      </w:r>
    </w:p>
    <w:p>
      <w:pPr>
        <w:pStyle w:val="ListBullet"/>
      </w:pPr>
      <w:r>
        <w:t>Treat the uploaded file as a historical dataset whose provenance/clinical status has not been established by the CSV itself. Do not call it real patient data, a validated medical dataset, or a clinically labelled dataset unless the Kaggle source page and license establish that.</w:t>
      </w:r>
    </w:p>
    <w:p>
      <w:pPr>
        <w:pStyle w:val="Heading2"/>
      </w:pPr>
      <w:r>
        <w:t>Dataset boundary and non-destructive rule</w:t>
      </w:r>
    </w:p>
    <w:p>
      <w:pPr>
        <w:pStyle w:val="ListBullet"/>
      </w:pPr>
      <w:r>
        <w:t>This edition aligns the existing project to the uploaded CSV without replacing the established product architecture, DA3 requirements, team ownership, authentication/RBAC, alerts/messages, WebSockets, Flutter/React clients, MySQL source-of-truth policy, MongoDB Atlas analytics mirror, ML module, or Streamlit dashboard.</w:t>
      </w:r>
    </w:p>
    <w:p>
      <w:pPr>
        <w:pStyle w:val="ListBullet"/>
      </w:pPr>
      <w:r>
        <w:t>The dataset is the source for historical seed records. Existing live-demo simulator features may remain, but any respiratory-rate and blood-pressure fields are optional simulator extensions and must be visibly distinguished from values present in the Kaggle CSV. Never backfill or fabricate those fields into historical rows.</w:t>
      </w:r>
    </w:p>
    <w:p>
      <w:pPr>
        <w:pStyle w:val="ListBullet"/>
      </w:pPr>
      <w:r>
        <w:t>Keep a copy of the original CSV unchanged. Create a reproducible import/cleaning script and record a file checksum, import time, source filename and schema version.</w:t>
      </w:r>
    </w:p>
    <w:p>
      <w:pPr>
        <w:pStyle w:val="Heading2"/>
      </w:pPr>
      <w:r>
        <w:t>Verified dataset profile</w:t>
      </w:r>
    </w:p>
    <w:p>
      <w:pPr>
        <w:pStyle w:val="ListBullet"/>
      </w:pPr>
      <w:r>
        <w:t>The team-provided CSV has 1,500 rows and five columns: patient_id, heart_rate, spo2, temperature_f, timestamp. It has no missing values in those five columns and no duplicate full rows or duplicate (patient_id, timestamp) pairs.</w:t>
      </w:r>
    </w:p>
    <w:p>
      <w:pPr>
        <w:pStyle w:val="ListBullet"/>
      </w:pPr>
      <w:r>
        <w:t>The file contains five patient IDs: P101 (293 rows), P102 (302), P103 (296), P104 (325), and P105 (284).</w:t>
      </w:r>
    </w:p>
    <w:p>
      <w:pPr>
        <w:pStyle w:val="ListBullet"/>
      </w:pPr>
      <w:r>
        <w:t>The timestamps range from 2023-10-01 08:13:00 through 2023-10-11 13:35:00. The CSV timestamp strings do not state a timezone; do not silently assume UTC or a local timezone.</w:t>
      </w:r>
    </w:p>
    <w:p>
      <w:pPr>
        <w:pStyle w:val="ListBullet"/>
      </w:pPr>
      <w:r>
        <w:t>Observed ranges in this file: heart_rate 60–135 bpm (median 82.0, mean 82.9); SpO₂ 88.1–99.9% (median 96.6, mean 96.49); temperature_f 97.5–103.0 °F (median 98.6, mean 98.69). These are descriptive dataset statistics, not clinical thresholds.</w:t>
      </w:r>
    </w:p>
    <w:p>
      <w:pPr>
        <w:pStyle w:val="ListBullet"/>
      </w:pPr>
      <w:r>
        <w:t>The CSV provides three vital-sign measures only: heart rate, SpO₂ and temperature in Fahrenheit. It does not contain respiratory rate, systolic/diastolic blood pressure, alert labels, diagnoses, model labels, user accounts, doctor assignments or messages.</w:t>
      </w:r>
    </w:p>
    <w:p>
      <w:pPr>
        <w:pStyle w:val="ListBullet"/>
      </w:pPr>
      <w:r>
        <w:t>Treat the uploaded file as a historical dataset whose provenance/clinical status has not been established by the CSV itself. Do not call it real patient data, a validated medical dataset, or a clinically labelled dataset unless the Kaggle source page and license establish that.</w:t>
      </w:r>
    </w:p>
    <w:p>
      <w:pPr>
        <w:pStyle w:val="Heading2"/>
      </w:pPr>
      <w:r>
        <w:t>Canonical metric mapping and units</w:t>
      </w:r>
    </w:p>
    <w:p>
      <w:pPr>
        <w:pStyle w:val="ListBullet"/>
      </w:pPr>
      <w:r>
        <w:t>patient_id → patient identifier (source IDs P101–P105); preserve the source identifier exactly for imported history. If product authentication uses internal patient UUIDs, create an explicit mapping table instead of rewriting source IDs invisibly.</w:t>
      </w:r>
    </w:p>
    <w:p>
      <w:pPr>
        <w:pStyle w:val="ListBullet"/>
      </w:pPr>
      <w:r>
        <w:t>heart_rate → metric_code='heart_rate', value numeric, unit='bpm'.</w:t>
      </w:r>
    </w:p>
    <w:p>
      <w:pPr>
        <w:pStyle w:val="ListBullet"/>
      </w:pPr>
      <w:r>
        <w:t>spo2 → metric_code='spo2', value numeric, unit='%'.</w:t>
      </w:r>
    </w:p>
    <w:p>
      <w:pPr>
        <w:pStyle w:val="ListBullet"/>
      </w:pPr>
      <w:r>
        <w:t>temperature_f → metric_code='temperature', raw_value preserved in °F, canonical_value optionally converted to °C using (°F − 32) × 5/9. Store raw_value/raw_unit and normalized_value/normalized_unit, or preserve source °F in the canonical record if the team chooses not to normalize. Pick one approach and use it consistently in APIs, charts, SQL and MongoDB.</w:t>
      </w:r>
    </w:p>
    <w:p>
      <w:pPr>
        <w:pStyle w:val="ListBullet"/>
      </w:pPr>
      <w:r>
        <w:t>timestamp → source timestamp. The CSV does not declare a timezone. Preserve timestamp_source_text and configure an explicit DATASET_SOURCE_TIMEZONE or store a documented timezone-unknown marker. Convert to UTC only after the team chooses and documents the source timezone assumption. Do not label the source timestamps UTC just because the application uses UTC for new events.</w:t>
      </w:r>
    </w:p>
    <w:p>
      <w:pPr>
        <w:pStyle w:val="ListBullet"/>
      </w:pPr>
      <w:r>
        <w:t>The three dataset-backed metrics are distinct from optional simulator-only metrics. Mark imported rows with source='kaggle_csv' (or the verified dataset short name), data_origin='kaggle_csv' and provenance_status='unverified'; set is_simulated only if the Kaggle source explicitly identifies the data as synthetic, and import_batch_id. Confirm licensing/provenance from the Kaggle page before public redistribution.</w:t>
      </w:r>
    </w:p>
    <w:p>
      <w:pPr>
        <w:pStyle w:val="Heading2"/>
      </w:pPr>
      <w:r>
        <w:t>Recommended ingestion/data model additions</w:t>
      </w:r>
    </w:p>
    <w:p>
      <w:pPr>
        <w:pStyle w:val="ListBullet"/>
      </w:pPr>
      <w:r>
        <w:t>Add an import_batches table or equivalent record with import_batch_id, original_filename, SHA-256 checksum, imported_at, source_description, row_count, rejected_count, schema_version and timezone handling decision.</w:t>
      </w:r>
    </w:p>
    <w:p>
      <w:pPr>
        <w:pStyle w:val="ListBullet"/>
      </w:pPr>
      <w:r>
        <w:t>Add source_record_id or a deterministic source_event_id derived from source filename/version + patient_id + original timestamp + row identity. Enforce uniqueness so re-running the importer is idempotent. Do not use a random ID on every import.</w:t>
      </w:r>
    </w:p>
    <w:p>
      <w:pPr>
        <w:pStyle w:val="ListBullet"/>
      </w:pPr>
      <w:r>
        <w:t>Keep the existing normalized relational model. A canonical ingestion event can have one metric row each for heart_rate, spo2 and temperature. The source row has three measurements, so a fully normalized `vitals_readings` table should receive three metric rows per valid source row (4,500 metric rows for 1,500 complete source rows), while the event/reading grouping retains one shared source event ID.</w:t>
      </w:r>
    </w:p>
    <w:p>
      <w:pPr>
        <w:pStyle w:val="ListBullet"/>
      </w:pPr>
      <w:r>
        <w:t>MongoDB health_events can store one document per original source row with patient_id, source_event_id, measured_at/source timestamp metadata, the three available measurements, import_batch_id, source and is_simulated. Do not create fake respiratory_rate or blood-pressure keys for imported rows.</w:t>
      </w:r>
    </w:p>
    <w:p>
      <w:pPr>
        <w:pStyle w:val="ListBullet"/>
      </w:pPr>
      <w:r>
        <w:t>Model-assessment documents must record feature_schema_version and which metrics were available. If optional simulator events contain more metrics, do not silently feed them to a model trained on the three-column Kaggle feature schema.</w:t>
      </w:r>
    </w:p>
    <w:p>
      <w:pPr>
        <w:pStyle w:val="Heading2"/>
      </w:pPr>
      <w:r>
        <w:t>Import validation and quality rules</w:t>
      </w:r>
    </w:p>
    <w:p>
      <w:pPr>
        <w:pStyle w:val="ListBullet"/>
      </w:pPr>
      <w:r>
        <w:t>Validate exact required columns and numeric parsing; reject or quarantine rows that lack patient_id, timestamp, or one of the three metrics. The supplied file currently has zero missing values, but the importer must still handle future files safely.</w:t>
      </w:r>
    </w:p>
    <w:p>
      <w:pPr>
        <w:pStyle w:val="ListBullet"/>
      </w:pPr>
      <w:r>
        <w:t>Check timestamp parsing, numeric finiteness, duplicate (patient_id, timestamp) pairs, and domain-independent sanity constraints. Record invalid rows and reasons; do not silently drop them.</w:t>
      </w:r>
    </w:p>
    <w:p>
      <w:pPr>
        <w:pStyle w:val="ListBullet"/>
      </w:pPr>
      <w:r>
        <w:t>Do not label observations as anomalous solely because they are outside the observed min/max. Outlier review is a separate analysis task, and values must not be changed to make charts look normal.</w:t>
      </w:r>
    </w:p>
    <w:p>
      <w:pPr>
        <w:pStyle w:val="ListBullet"/>
      </w:pPr>
      <w:r>
        <w:t>Keep a raw import table or raw-row JSON/CSV archive for traceability. Transformations must be reproducible and tested.</w:t>
      </w:r>
    </w:p>
    <w:p>
      <w:pPr>
        <w:pStyle w:val="ListBullet"/>
      </w:pPr>
      <w:r>
        <w:t>Use deterministic patient-based time splits for model evaluation, or chronological splits within patient, to reduce leakage. Never randomly split adjacent readings from the same time series without explaining the leakage risk.</w:t>
      </w:r>
    </w:p>
    <w:p>
      <w:pPr>
        <w:pStyle w:val="Heading2"/>
      </w:pPr>
      <w:r>
        <w:t>Dataset-aware analytics and ML boundaries</w:t>
      </w:r>
    </w:p>
    <w:p>
      <w:pPr>
        <w:pStyle w:val="ListBullet"/>
      </w:pPr>
      <w:r>
        <w:t>The available columns support descriptive history/trends and unsupervised anomaly detection over heart_rate, spo2 and temperature only. The CSV contains no ground-truth alert/diagnosis labels, so supervised clinical classification metrics such as accuracy, precision/recall against diagnoses are not supported by this file alone.</w:t>
      </w:r>
    </w:p>
    <w:p>
      <w:pPr>
        <w:pStyle w:val="ListBullet"/>
      </w:pPr>
      <w:r>
        <w:t>Isolation Forest may be used as a demonstrative unsupervised detector, with documented preprocessing and feature schema. Fit scaler/model only on training history; persist model version, training date, feature names/order, thresholds and dataset checksum.</w:t>
      </w:r>
    </w:p>
    <w:p>
      <w:pPr>
        <w:pStyle w:val="ListBullet"/>
      </w:pPr>
      <w:r>
        <w:t>Rules-based alerts and model anomaly scores are separate outputs. Any thresholds must be identified as configurable demonstration thresholds, not clinical guidance. The UI must say the dataset and alerts are for software demonstration and are not medical advice.</w:t>
      </w:r>
    </w:p>
    <w:p>
      <w:pPr>
        <w:pStyle w:val="ListBullet"/>
      </w:pPr>
      <w:r>
        <w:t>Temperature is in Fahrenheit in the source. If converted to Celsius for UI or ML, document the formula and test round-trip/tolerance. Avoid mixing °F and °C within the same feature column.</w:t>
      </w:r>
    </w:p>
    <w:p>
      <w:pPr>
        <w:pStyle w:val="ListBullet"/>
      </w:pPr>
      <w:r>
        <w:t>Do not treat patient IDs P101–P105 as demographic/real identities. They are dataset identifiers unless the source page proves otherwise.</w:t>
      </w:r>
    </w:p>
    <w:p>
      <w:pPr>
        <w:pStyle w:val="Heading2"/>
      </w:pPr>
      <w:r>
        <w:t>Dataset-aware DA3 benchmark protocol</w:t>
      </w:r>
    </w:p>
    <w:p>
      <w:pPr>
        <w:pStyle w:val="ListBullet"/>
      </w:pPr>
      <w:r>
        <w:t>Primary benchmark dataset: the actual 1,500-row CSV. Load the same logical records into MySQL and MongoDB, confirm identical record/event counts and matching query outputs, and measure the equivalent workloads against this fixed dataset first.</w:t>
      </w:r>
    </w:p>
    <w:p>
      <w:pPr>
        <w:pStyle w:val="ListBullet"/>
      </w:pPr>
      <w:r>
        <w:t>For the normalized MySQL design, 1,500 source events may produce 4,500 metric rows if each event is expanded into three normalized readings. For MongoDB, store 1,500 event documents if using one document per source row. Report both logical event count and physical row/document count so the comparison is not misleading.</w:t>
      </w:r>
    </w:p>
    <w:p>
      <w:pPr>
        <w:pStyle w:val="ListBullet"/>
      </w:pPr>
      <w:r>
        <w:t>Benchmark latest readings by patient/time, metric summaries by patient/time/metric, and daily event counts. Ensure equivalent filtering, sorting, result limits, timezone boundaries and metric units.</w:t>
      </w:r>
    </w:p>
    <w:p>
      <w:pPr>
        <w:pStyle w:val="ListBullet"/>
      </w:pPr>
      <w:r>
        <w:t>If the team also wants to test 10,000+ records, label that as a separate scaled synthetic benchmark generated from the original data distribution, not as the Kaggle dataset itself. Document the generation method and seed, and do not duplicate records while pretending they are original observations.</w:t>
      </w:r>
    </w:p>
    <w:p>
      <w:pPr>
        <w:pStyle w:val="ListBullet"/>
      </w:pPr>
      <w:r>
        <w:t>Report actual p50/p95/mean latency, results correctness, indexes, explain plans, database versions, Atlas region/tier, client network and raw CSV. No expected or fabricated timing values belong in the report.</w:t>
      </w:r>
    </w:p>
    <w:p>
      <w:pPr>
        <w:pStyle w:val="Heading2"/>
      </w:pPr>
      <w:r>
        <w:t>Historical dataset vs live simulator</w:t>
      </w:r>
    </w:p>
    <w:p>
      <w:pPr>
        <w:pStyle w:val="ListBullet"/>
      </w:pPr>
      <w:r>
        <w:t>Historical import: one-time/repeatable CSV loader populates the five patient histories and the corresponding MySQL/Mongo analytics records.</w:t>
      </w:r>
    </w:p>
    <w:p>
      <w:pPr>
        <w:pStyle w:val="ListBullet"/>
      </w:pPr>
      <w:r>
        <w:t>Live demo: simulator may emit new events for one of the seeded patients. Every live event gets a new stable source_event_id, source='demo-simulator', is_simulated=true, and application-generated UTC timestamp.</w:t>
      </w:r>
    </w:p>
    <w:p>
      <w:pPr>
        <w:pStyle w:val="ListBullet"/>
      </w:pPr>
      <w:r>
        <w:t>Historical timestamps must retain their original provenance and timezone caveat. Live simulator timestamps can be UTC because the application generates them.</w:t>
      </w:r>
    </w:p>
    <w:p>
      <w:pPr>
        <w:pStyle w:val="ListBullet"/>
      </w:pPr>
      <w:r>
        <w:t>Frontend charts may show historical and live events on the same timeline only after timestamp policy is defined and the UI labels the data source. Use a source filter or legend to distinguish Kaggle-imported history from live simulator events.</w:t>
      </w:r>
    </w:p>
    <w:p>
      <w:pPr>
        <w:pStyle w:val="ListBullet"/>
      </w:pPr>
      <w:r>
        <w:t>The DA3 retry/mirror flow remains unchanged: MySQL is authoritative, MongoDB is an analytics mirror, and failed mirrors are retried idempotently.</w:t>
      </w:r>
    </w:p>
    <w:p>
      <w:pPr>
        <w:pStyle w:val="Heading2"/>
      </w:pPr>
      <w:r>
        <w:t>Dataset-aware ML protocol</w:t>
      </w:r>
    </w:p>
    <w:p>
      <w:pPr>
        <w:pStyle w:val="ListBullet"/>
      </w:pPr>
      <w:r>
        <w:t>Use only the feature columns present in the CSV for the dataset-backed baseline: heart_rate, spo2 and temperature_f or its consistently converted Celsius equivalent. Do not include respiratory rate or blood pressure in the historical-model feature vector because those columns do not exist in the file.</w:t>
      </w:r>
    </w:p>
    <w:p>
      <w:pPr>
        <w:pStyle w:val="ListBullet"/>
      </w:pPr>
      <w:r>
        <w:t>The CSV has no ground-truth labels. Use Isolation Forest/unsupervised anomaly scoring as a demonstration only, and do not report supervised accuracy or diagnostic performance unless an independent labelled dataset is introduced and documented.</w:t>
      </w:r>
    </w:p>
    <w:p>
      <w:pPr>
        <w:pStyle w:val="ListBullet"/>
      </w:pPr>
      <w:r>
        <w:t>Use chronological or patient-aware evaluation splits. Fit preprocessing and Isolation Forest on training history only. Record the model artifact's feature order, unit convention, version, training split, random seed and source file checksum.</w:t>
      </w:r>
    </w:p>
    <w:p>
      <w:pPr>
        <w:pStyle w:val="ListBullet"/>
      </w:pPr>
      <w:r>
        <w:t>Check for leakage: do not randomly distribute adjacent timestamps from the same patient across train/test and then present that as independent generalization.</w:t>
      </w:r>
    </w:p>
    <w:p>
      <w:pPr>
        <w:pStyle w:val="ListBullet"/>
      </w:pPr>
      <w:r>
        <w:t>Document the small cohort (five IDs, 1,500 records), short date span, unknown timezone, lack of labels, and unknown clinical provenance as limitations.</w:t>
      </w:r>
    </w:p>
    <w:p>
      <w:pPr>
        <w:pStyle w:val="Heading2"/>
      </w:pPr>
      <w:r>
        <w:t>Dataset-aware Mongo aggregation and benchmark</w:t>
      </w:r>
    </w:p>
    <w:p>
      <w:pPr>
        <w:pStyle w:val="ListBullet"/>
      </w:pPr>
      <w:r>
        <w:t>MongoDB event collection should contain 1,500 documents after a clean import of the supplied CSV, one per source row, unless the agreed schema intentionally uses another granularity. Verify the actual count rather than assume it.</w:t>
      </w:r>
    </w:p>
    <w:p>
      <w:pPr>
        <w:pStyle w:val="ListBullet"/>
      </w:pPr>
      <w:r>
        <w:t>Benchmark the actual CSV first. Equivalent queries must use the same five patient IDs, same date bounds, same unit conventions and same result semantics. Record both 1,500 logical events and 4,500 normalized MySQL metric rows if applicable.</w:t>
      </w:r>
    </w:p>
    <w:p>
      <w:pPr>
        <w:pStyle w:val="ListBullet"/>
      </w:pPr>
      <w:r>
        <w:t>Do not describe a 10,000-event synthetic benchmark as the Kaggle dataset. Keep scaled synthetic results in a separate table and label them clearly.</w:t>
      </w:r>
    </w:p>
    <w:p>
      <w:pPr>
        <w:pStyle w:val="ListBullet"/>
      </w:pPr>
      <w:r>
        <w:t>The Streamlit dashboard should show dataset profile, per-patient counts, metric distributions, import validation, SQL-vs-NoSQL timings, explain-plan summaries, and model limitations. Display units and the simulated/demo disclaimer.</w:t>
      </w:r>
    </w:p>
    <w:p>
      <w:pPr>
        <w:pStyle w:val="Heading2"/>
      </w:pPr>
      <w:r>
        <w:t>Dataset-aware deployment/evidence</w:t>
      </w:r>
    </w:p>
    <w:p>
      <w:pPr>
        <w:pStyle w:val="ListBullet"/>
      </w:pPr>
      <w:r>
        <w:t>Include the CSV import command, schema/headers, data dictionary, import report, checksum, timestamp policy, and rerun/idempotency test in the README.</w:t>
      </w:r>
    </w:p>
    <w:p>
      <w:pPr>
        <w:pStyle w:val="ListBullet"/>
      </w:pPr>
      <w:r>
        <w:t>Use only the uploaded dataset in committed fixtures if its Kaggle license permits redistribution. Otherwise document acquisition instructions and ignore the raw file in Git; keep a tiny synthetic fixture for automated tests.</w:t>
      </w:r>
    </w:p>
    <w:p>
      <w:pPr>
        <w:pStyle w:val="ListBullet"/>
      </w:pPr>
      <w:r>
        <w:t>Do not commit full database dumps or connection credentials. A restored database should include the import batch metadata and a verified sample of the original source rows.</w:t>
      </w:r>
    </w:p>
    <w:p>
      <w:pPr>
        <w:pStyle w:val="Heading2"/>
      </w:pPr>
      <w:r>
        <w:t>Suggested dataset profile dashboard values</w:t>
      </w:r>
    </w:p>
    <w:tbl>
      <w:tblPr>
        <w:tblStyle w:val="LightShading-Accent1"/>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tcPr>
          <w:p>
            <w:r>
              <w:rPr>
                <w:b/>
              </w:rPr>
              <w:t>Metric</w:t>
            </w:r>
          </w:p>
        </w:tc>
        <w:tc>
          <w:tcPr>
            <w:tcW w:type="dxa" w:w="1428"/>
          </w:tcPr>
          <w:p>
            <w:r>
              <w:rPr>
                <w:b/>
              </w:rPr>
              <w:t>Rows</w:t>
            </w:r>
          </w:p>
        </w:tc>
        <w:tc>
          <w:tcPr>
            <w:tcW w:type="dxa" w:w="1428"/>
          </w:tcPr>
          <w:p>
            <w:r>
              <w:rPr>
                <w:b/>
              </w:rPr>
              <w:t>Minimum</w:t>
            </w:r>
          </w:p>
        </w:tc>
        <w:tc>
          <w:tcPr>
            <w:tcW w:type="dxa" w:w="1428"/>
          </w:tcPr>
          <w:p>
            <w:r>
              <w:rPr>
                <w:b/>
              </w:rPr>
              <w:t>Median</w:t>
            </w:r>
          </w:p>
        </w:tc>
        <w:tc>
          <w:tcPr>
            <w:tcW w:type="dxa" w:w="1428"/>
          </w:tcPr>
          <w:p>
            <w:r>
              <w:rPr>
                <w:b/>
              </w:rPr>
              <w:t>Mean</w:t>
            </w:r>
          </w:p>
        </w:tc>
        <w:tc>
          <w:tcPr>
            <w:tcW w:type="dxa" w:w="1428"/>
          </w:tcPr>
          <w:p>
            <w:r>
              <w:rPr>
                <w:b/>
              </w:rPr>
              <w:t>Maximum</w:t>
            </w:r>
          </w:p>
        </w:tc>
        <w:tc>
          <w:tcPr>
            <w:tcW w:type="dxa" w:w="1428"/>
          </w:tcPr>
          <w:p>
            <w:r>
              <w:rPr>
                <w:b/>
              </w:rPr>
              <w:t>Source unit</w:t>
            </w:r>
          </w:p>
        </w:tc>
      </w:tr>
      <w:tr>
        <w:tc>
          <w:tcPr>
            <w:tcW w:type="dxa" w:w="1428"/>
            <w:vAlign w:val="center"/>
          </w:tcPr>
          <w:p>
            <w:r>
              <w:t>Heart rate</w:t>
            </w:r>
          </w:p>
        </w:tc>
        <w:tc>
          <w:tcPr>
            <w:tcW w:type="dxa" w:w="1428"/>
            <w:vAlign w:val="center"/>
          </w:tcPr>
          <w:p>
            <w:r>
              <w:t>1500</w:t>
            </w:r>
          </w:p>
        </w:tc>
        <w:tc>
          <w:tcPr>
            <w:tcW w:type="dxa" w:w="1428"/>
            <w:vAlign w:val="center"/>
          </w:tcPr>
          <w:p>
            <w:r>
              <w:t>60</w:t>
            </w:r>
          </w:p>
        </w:tc>
        <w:tc>
          <w:tcPr>
            <w:tcW w:type="dxa" w:w="1428"/>
            <w:vAlign w:val="center"/>
          </w:tcPr>
          <w:p>
            <w:r>
              <w:t>82.0</w:t>
            </w:r>
          </w:p>
        </w:tc>
        <w:tc>
          <w:tcPr>
            <w:tcW w:type="dxa" w:w="1428"/>
            <w:vAlign w:val="center"/>
          </w:tcPr>
          <w:p>
            <w:r>
              <w:t>82.9</w:t>
            </w:r>
          </w:p>
        </w:tc>
        <w:tc>
          <w:tcPr>
            <w:tcW w:type="dxa" w:w="1428"/>
            <w:vAlign w:val="center"/>
          </w:tcPr>
          <w:p>
            <w:r>
              <w:t>135</w:t>
            </w:r>
          </w:p>
        </w:tc>
        <w:tc>
          <w:tcPr>
            <w:tcW w:type="dxa" w:w="1428"/>
            <w:vAlign w:val="center"/>
          </w:tcPr>
          <w:p>
            <w:r>
              <w:t>bpm</w:t>
            </w:r>
          </w:p>
        </w:tc>
      </w:tr>
      <w:tr>
        <w:tc>
          <w:tcPr>
            <w:tcW w:type="dxa" w:w="1428"/>
            <w:vAlign w:val="center"/>
          </w:tcPr>
          <w:p>
            <w:r>
              <w:t>SpO₂</w:t>
            </w:r>
          </w:p>
        </w:tc>
        <w:tc>
          <w:tcPr>
            <w:tcW w:type="dxa" w:w="1428"/>
            <w:vAlign w:val="center"/>
          </w:tcPr>
          <w:p>
            <w:r>
              <w:t>1500</w:t>
            </w:r>
          </w:p>
        </w:tc>
        <w:tc>
          <w:tcPr>
            <w:tcW w:type="dxa" w:w="1428"/>
            <w:vAlign w:val="center"/>
          </w:tcPr>
          <w:p>
            <w:r>
              <w:t>88.1</w:t>
            </w:r>
          </w:p>
        </w:tc>
        <w:tc>
          <w:tcPr>
            <w:tcW w:type="dxa" w:w="1428"/>
            <w:vAlign w:val="center"/>
          </w:tcPr>
          <w:p>
            <w:r>
              <w:t>96.6</w:t>
            </w:r>
          </w:p>
        </w:tc>
        <w:tc>
          <w:tcPr>
            <w:tcW w:type="dxa" w:w="1428"/>
            <w:vAlign w:val="center"/>
          </w:tcPr>
          <w:p>
            <w:r>
              <w:t>96.49</w:t>
            </w:r>
          </w:p>
        </w:tc>
        <w:tc>
          <w:tcPr>
            <w:tcW w:type="dxa" w:w="1428"/>
            <w:vAlign w:val="center"/>
          </w:tcPr>
          <w:p>
            <w:r>
              <w:t>99.9</w:t>
            </w:r>
          </w:p>
        </w:tc>
        <w:tc>
          <w:tcPr>
            <w:tcW w:type="dxa" w:w="1428"/>
            <w:vAlign w:val="center"/>
          </w:tcPr>
          <w:p>
            <w:r>
              <w:t>%</w:t>
            </w:r>
          </w:p>
        </w:tc>
      </w:tr>
      <w:tr>
        <w:tc>
          <w:tcPr>
            <w:tcW w:type="dxa" w:w="1428"/>
            <w:vAlign w:val="center"/>
          </w:tcPr>
          <w:p>
            <w:r>
              <w:t>Temperature</w:t>
            </w:r>
          </w:p>
        </w:tc>
        <w:tc>
          <w:tcPr>
            <w:tcW w:type="dxa" w:w="1428"/>
            <w:vAlign w:val="center"/>
          </w:tcPr>
          <w:p>
            <w:r>
              <w:t>1500</w:t>
            </w:r>
          </w:p>
        </w:tc>
        <w:tc>
          <w:tcPr>
            <w:tcW w:type="dxa" w:w="1428"/>
            <w:vAlign w:val="center"/>
          </w:tcPr>
          <w:p>
            <w:r>
              <w:t>97.5</w:t>
            </w:r>
          </w:p>
        </w:tc>
        <w:tc>
          <w:tcPr>
            <w:tcW w:type="dxa" w:w="1428"/>
            <w:vAlign w:val="center"/>
          </w:tcPr>
          <w:p>
            <w:r>
              <w:t>98.6</w:t>
            </w:r>
          </w:p>
        </w:tc>
        <w:tc>
          <w:tcPr>
            <w:tcW w:type="dxa" w:w="1428"/>
            <w:vAlign w:val="center"/>
          </w:tcPr>
          <w:p>
            <w:r>
              <w:t>98.69</w:t>
            </w:r>
          </w:p>
        </w:tc>
        <w:tc>
          <w:tcPr>
            <w:tcW w:type="dxa" w:w="1428"/>
            <w:vAlign w:val="center"/>
          </w:tcPr>
          <w:p>
            <w:r>
              <w:t>103.0</w:t>
            </w:r>
          </w:p>
        </w:tc>
        <w:tc>
          <w:tcPr>
            <w:tcW w:type="dxa" w:w="1428"/>
            <w:vAlign w:val="center"/>
          </w:tcPr>
          <w:p>
            <w:r>
              <w:t>°F</w:t>
            </w:r>
          </w:p>
        </w:tc>
      </w:tr>
    </w:tbl>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4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