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thanh toán và công nợ khách hàng</w:t>
      </w:r>
    </w:p>
    <w:p>
      <w:pPr>
        <w:pStyle w:val="Heading2"/>
      </w:pPr>
      <w:r>
        <w:t>Điều 1 — Hình thức thanh toán</w:t>
      </w:r>
    </w:p>
    <w:p>
      <w:r>
        <w:t>Khách hàng có thể thanh toán bằng tiền mặt, chuyển khoản ngân hàng hoặc theo hình thức công nợ đã được duyệt. Đơn hàng thanh toán bằng công nợ chỉ được xử lý khi khách hàng nằm trong danh sách được cấp hạn mức. Mọi giao dịch thanh toán phải có chứng từ hợp lệ (hóa đơn, phiếu thu, hoặc xác nhận chuyển khoản).</w:t>
      </w:r>
    </w:p>
    <w:p>
      <w:pPr>
        <w:pStyle w:val="Heading2"/>
      </w:pPr>
      <w:r>
        <w:t>Điều 2 — Hạn mức công nợ</w:t>
      </w:r>
    </w:p>
    <w:p>
      <w:r>
        <w:t>Hạn mức công nợ được bộ phận kế toán xét duyệt dựa trên lịch sử giao dịch và quy mô của khách hàng. Đơn hàng mới vượt hạn mức công nợ còn lại phải được lãnh đạo phê duyệt trước khi xử lý. Hạn mức được rà soát lại mỗi 6 tháng hoặc khi có thay đổi lớn về tình hình thanh toán của khách.</w:t>
      </w:r>
    </w:p>
    <w:p>
      <w:pPr>
        <w:pStyle w:val="Heading2"/>
      </w:pPr>
      <w:r>
        <w:t>Điều 3 — Thời hạn thanh toán</w:t>
      </w:r>
    </w:p>
    <w:p>
      <w:r>
        <w:t>Thời hạn thanh toán mặc định là 30 ngày kể từ ngày xuất hóa đơn, trừ khi có thỏa thuận riêng. Khách hàng thanh toán trong vòng 10 ngày được hưởng chiết khấu thanh toán sớm 1%. Hóa đơn phải ghi đúng mã đơn hàng để đối chiếu công nợ chính xác.</w:t>
      </w:r>
    </w:p>
    <w:p>
      <w:pPr>
        <w:pStyle w:val="Heading2"/>
      </w:pPr>
      <w:r>
        <w:t>Điều 4 — Xử lý chậm thanh toán</w:t>
      </w:r>
    </w:p>
    <w:p>
      <w:r>
        <w:t>Quá hạn thanh toán 15 ngày, bộ phận kế toán gửi thông báo nhắc nợ lần đầu cho khách hàng. Quá hạn 30 ngày, đơn hàng mới của khách hàng đó bị tạm dừng xử lý cho đến khi thanh toán công nợ cũ. Trường hợp nợ quá hạn trên 60 ngày được chuyển cho bộ phận quản lý công nợ xử lý theo quy trình riêng.</w:t>
      </w:r>
    </w:p>
    <w:p>
      <w:pPr>
        <w:pStyle w:val="Heading2"/>
      </w:pPr>
      <w:r>
        <w:t>Điều 5 — Đối chiếu công nợ</w:t>
      </w:r>
    </w:p>
    <w:p>
      <w:r>
        <w:t>Bộ phận kế toán gửi bảng đối chiếu công nợ cho khách hàng vào đầu mỗi tháng. Khách hàng có 5 ngày làm việc để phản hồi nếu có sai lệch; quá thời hạn, số liệu công nợ được xem là đã xác nhận. Mọi điều chỉnh công nợ phải có văn bản xác nhận từ cả hai bên.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