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Thỏa thuận mức dịch vụ nhà cung cấp</w:t>
      </w:r>
    </w:p>
    <w:p>
      <w:pPr>
        <w:pStyle w:val="Heading2"/>
      </w:pPr>
      <w:r>
        <w:t>Điều 1 — Phạm vi áp dụng</w:t>
      </w:r>
    </w:p>
    <w:p>
      <w:r>
        <w:t>Thỏa thuận này áp dụng cho tất cả nhà cung cấp cấp 1 của công ty. Các điều khoản có hiệu lực từ ngày ký hợp đồng và được xem xét hàng năm. Nhà cung cấp phải đạt tất cả các tiêu chí để duy trì trạng thái đối tác ưu tiên.</w:t>
      </w:r>
    </w:p>
    <w:p>
      <w:pPr>
        <w:pStyle w:val="Heading2"/>
      </w:pPr>
      <w:r>
        <w:t>Điều 2 — Chất lượng sản phẩm</w:t>
      </w:r>
    </w:p>
    <w:p>
      <w:r>
        <w:t>Tỷ lệ sản phẩm lỗi không vượt quá 2% mỗi lô hàng. Nhà cung cấp phải có chứng nhận ISO 9001 hoặc tương đương. Kiểm định chất lượng bởi bên thứ ba được thực hiện mỗi 6 tháng.</w:t>
      </w:r>
    </w:p>
    <w:p>
      <w:pPr>
        <w:pStyle w:val="Heading2"/>
      </w:pPr>
      <w:r>
        <w:t>Điều 3 — Thời gian giao hàng</w:t>
      </w:r>
    </w:p>
    <w:p>
      <w:r>
        <w:t>Nhà cung cấp giao hàng trong 7 ngày làm việc kể từ ngày xác nhận đơn hàng. Đơn hàng khẩn cấp được xử lý trong 3 ngày làm việc với phụ phí 15%. Nhà cung cấp phải thông báo trước 48 giờ nếu không thể đảm bảo thời hạn giao.</w:t>
      </w:r>
    </w:p>
    <w:p>
      <w:pPr>
        <w:pStyle w:val="Heading2"/>
      </w:pPr>
      <w:r>
        <w:t>Điều 4 — Đóng gói và vận chuyển</w:t>
      </w:r>
    </w:p>
    <w:p>
      <w:r>
        <w:t>Hàng hóa phải được đóng gói theo tiêu chuẩn của công ty. Nhà cung cấp chịu trách nhiệm bảo hiểm hàng hóa trong quá trình vận chuyển. Mỗi kiện hàng phải có nhãn mã vạch theo định dạng GS1-128.</w:t>
      </w:r>
    </w:p>
    <w:p>
      <w:pPr>
        <w:pStyle w:val="Heading2"/>
      </w:pPr>
      <w:r>
        <w:t>Điều 5 — Phạt chậm trễ giao hàng</w:t>
      </w:r>
    </w:p>
    <w:p>
      <w:r>
        <w:t>Chậm mỗi ngày phạt 0,5% giá trị đơn hàng, tối đa 10% tổng giá trị. Phạt được khấu trừ trực tiếp vào hóa đơn thanh toán tiếp theo. Trường hợp bất khả kháng phải có văn bản xác nhận từ cơ quan có thẩm quyền.</w:t>
      </w:r>
    </w:p>
    <w:p>
      <w:pPr>
        <w:pStyle w:val="Heading2"/>
      </w:pPr>
      <w:r>
        <w:t>Điều 6 — Thanh toán</w:t>
      </w:r>
    </w:p>
    <w:p>
      <w:r>
        <w:t>Điều khoản thanh toán net 30 ngày sau khi nhận hóa đơn hợp lệ. Chiết khấu 2% áp dụng nếu thanh toán trong vòng 10 ngày. Hóa đơn phải ghi đúng mã đơn hàng và mã nhà cung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