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Chính sách hoàn hàng</w:t>
      </w:r>
    </w:p>
    <w:p>
      <w:pPr>
        <w:pStyle w:val="Heading2"/>
      </w:pPr>
      <w:r>
        <w:t>Mục 1 — Điều kiện</w:t>
      </w:r>
    </w:p>
    <w:p>
      <w:r>
        <w:t>Khách hàng có thể hoàn hàng trong vòng 30 ngày kể từ ngày mua. Sản phẩm phải còn nguyên vẹn và có hóa đơn.</w:t>
      </w:r>
    </w:p>
    <w:p>
      <w:pPr>
        <w:pStyle w:val="Heading2"/>
      </w:pPr>
      <w:r>
        <w:t>Mục 2 — Ngoại lệ</w:t>
      </w:r>
    </w:p>
    <w:p>
      <w:r>
        <w:t>Hàng giảm giá không được hoàn trả. Hàng điện tử áp dụng bảo hành riêng.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