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1000"/>
        <w:jc w:val="center"/>
      </w:pPr>
      <w:r>
        <w:rPr>
          <w:rFonts w:ascii="Arial" w:cs="Arial" w:eastAsia="Arial" w:hAnsi="Arial"/>
          <w:b/>
          <w:bCs/>
          <w:color w:val="1F497D"/>
          <w:sz w:val="52"/>
          <w:szCs w:val="52"/>
        </w:rPr>
        <w:t xml:space="preserve">Research Companion</w:t>
      </w:r>
    </w:p>
    <w:p>
      <w:pPr>
        <w:spacing w:after="80"/>
        <w:jc w:val="center"/>
      </w:pPr>
      <w:r>
        <w:rPr>
          <w:rFonts w:ascii="Arial" w:cs="Arial" w:eastAsia="Arial" w:hAnsi="Arial"/>
          <w:color w:val="444444"/>
          <w:sz w:val="36"/>
          <w:szCs w:val="36"/>
        </w:rPr>
        <w:t xml:space="preserve">Propositions de solutions</w:t>
      </w:r>
    </w:p>
    <w:p>
      <w:pPr>
        <w:spacing w:after="200"/>
        <w:jc w:val="center"/>
      </w:pPr>
      <w:r>
        <w:rPr>
          <w:rFonts w:ascii="Arial" w:cs="Arial" w:eastAsia="Arial" w:hAnsi="Arial"/>
          <w:i/>
          <w:iCs/>
          <w:color w:val="777777"/>
          <w:sz w:val="22"/>
          <w:szCs w:val="22"/>
        </w:rPr>
        <w:t xml:space="preserve">Basées sur les pratiques des outils de référence du domaine</w:t>
      </w:r>
    </w:p>
    <w:p>
      <w:pPr>
        <w:pBdr>
          <w:bottom w:val="single" w:color="1F497D" w:sz="6" w:space="2"/>
        </w:pBdr>
        <w:spacing w:after="600"/>
        <w:jc w:val="center"/>
      </w:pPr>
      <w:r>
        <w:rPr>
          <w:rFonts w:ascii="Arial" w:cs="Arial" w:eastAsia="Arial" w:hAnsi="Arial"/>
          <w:sz w:val="22"/>
          <w:szCs w:val="22"/>
        </w:rPr>
        <w:t xml:space="preserve"/>
      </w:r>
    </w:p>
    <w:p>
      <w:pPr>
        <w:spacing w:after="80"/>
        <w:jc w:val="center"/>
      </w:pPr>
      <w:r>
        <w:rPr>
          <w:rFonts w:ascii="Arial" w:cs="Arial" w:eastAsia="Arial" w:hAnsi="Arial"/>
          <w:color w:val="888888"/>
          <w:sz w:val="22"/>
          <w:szCs w:val="22"/>
        </w:rPr>
        <w:t xml:space="preserve">Mars 2026 — Suite de l’audit bibliothécaire</w:t>
      </w:r>
    </w:p>
    <w:p>
      <w:pPr>
        <w:pageBreakBefore/>
      </w:pPr>
      <w:r>
        <w:t xml:space="preserve"/>
      </w:r>
    </w:p>
    <w:p>
      <w:pPr>
        <w:pStyle w:val="Heading1"/>
        <w:spacing w:after="180" w:before="360"/>
      </w:pPr>
      <w:r>
        <w:rPr>
          <w:rFonts w:ascii="Arial" w:cs="Arial" w:eastAsia="Arial" w:hAnsi="Arial"/>
          <w:b/>
          <w:bCs/>
          <w:color w:val="1F497D"/>
          <w:sz w:val="32"/>
          <w:szCs w:val="32"/>
        </w:rPr>
        <w:t xml:space="preserve">Table des matières</w:t>
      </w:r>
    </w:p>
    <w:sdt>
      <w:sdtPr>
        <w:alias w:val="Table des matières"/>
      </w:sdtPr>
      <w:sdtContent>
        <w:p>
          <w:r>
            <w:fldChar w:fldCharType="begin" w:dirty="true"/>
            <w:instrText xml:space="preserve">TOC \h \o "1-3"</w:instrText>
            <w:fldChar w:fldCharType="separate"/>
          </w:r>
        </w:p>
        <w:p>
          <w:r>
            <w:fldChar w:fldCharType="end"/>
          </w:r>
        </w:p>
      </w:sdtContent>
    </w:sdt>
    <w:p>
      <w:pPr>
        <w:pageBreakBefore/>
      </w:pPr>
      <w:r>
        <w:t xml:space="preserve"/>
      </w:r>
    </w:p>
    <w:p>
      <w:pPr>
        <w:pStyle w:val="Heading1"/>
        <w:spacing w:after="180" w:before="360"/>
      </w:pPr>
      <w:r>
        <w:rPr>
          <w:rFonts w:ascii="Arial" w:cs="Arial" w:eastAsia="Arial" w:hAnsi="Arial"/>
          <w:b/>
          <w:bCs/>
          <w:color w:val="1F497D"/>
          <w:sz w:val="32"/>
          <w:szCs w:val="32"/>
        </w:rPr>
        <w:t xml:space="preserve">1. Benchmark rapide des outils de référence</w:t>
      </w:r>
    </w:p>
    <w:p>
      <w:pPr>
        <w:spacing w:after="120"/>
      </w:pPr>
      <w:r>
        <w:rPr>
          <w:rFonts w:ascii="Arial" w:cs="Arial" w:eastAsia="Arial" w:hAnsi="Arial"/>
          <w:sz w:val="22"/>
          <w:szCs w:val="22"/>
        </w:rPr>
        <w:t xml:space="preserve">Avant de proposer des solutions, il est utile de situer Research Companion dans le paysage existant. Le tableau ci-dessous résume les forces de chaque outil et ce que Research Companion peut en retenir.</w:t>
      </w:r>
    </w:p>
    <w:p>
      <w:pPr>
        <w:spacing w:after="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3200"/>
        <w:gridCol w:w="2200"/>
        <w:gridCol w:w="2160"/>
      </w:tblGrid>
      <w:tr>
        <w:trPr>
          <w:tblHeader/>
        </w:trPr>
        <w:tc>
          <w:tcPr>
            <w:tcW w:type="dxa" w:w="1800"/>
            <w:tcBorders>
              <w:top w:val="single" w:color="CCCCCC" w:sz="1"/>
              <w:left w:val="single" w:color="CCCCCC" w:sz="1"/>
              <w:bottom w:val="single" w:color="CCCCCC" w:sz="1"/>
              <w:right w:val="single" w:color="CCCCCC" w:sz="1"/>
            </w:tcBorders>
            <w:shd w:fill="D6E4F0" w:val="clear"/>
            <w:tcMar>
              <w:top w:type="dxa" w:w="100"/>
              <w:left w:type="dxa" w:w="160"/>
              <w:bottom w:type="dxa" w:w="100"/>
              <w:right w:type="dxa" w:w="160"/>
            </w:tcMar>
          </w:tcPr>
          <w:p>
            <w:r>
              <w:rPr>
                <w:rFonts w:ascii="Arial" w:cs="Arial" w:eastAsia="Arial" w:hAnsi="Arial"/>
                <w:b/>
                <w:bCs/>
                <w:color w:val="1F497D"/>
                <w:sz w:val="20"/>
                <w:szCs w:val="20"/>
              </w:rPr>
              <w:t xml:space="preserve">Outil</w:t>
            </w:r>
          </w:p>
        </w:tc>
        <w:tc>
          <w:tcPr>
            <w:tcW w:type="dxa" w:w="3200"/>
            <w:tcBorders>
              <w:top w:val="single" w:color="CCCCCC" w:sz="1"/>
              <w:left w:val="single" w:color="CCCCCC" w:sz="1"/>
              <w:bottom w:val="single" w:color="CCCCCC" w:sz="1"/>
              <w:right w:val="single" w:color="CCCCCC" w:sz="1"/>
            </w:tcBorders>
            <w:shd w:fill="D6E4F0" w:val="clear"/>
            <w:tcMar>
              <w:top w:type="dxa" w:w="100"/>
              <w:left w:type="dxa" w:w="160"/>
              <w:bottom w:type="dxa" w:w="100"/>
              <w:right w:type="dxa" w:w="160"/>
            </w:tcMar>
          </w:tcPr>
          <w:p>
            <w:r>
              <w:rPr>
                <w:rFonts w:ascii="Arial" w:cs="Arial" w:eastAsia="Arial" w:hAnsi="Arial"/>
                <w:b/>
                <w:bCs/>
                <w:color w:val="1F497D"/>
                <w:sz w:val="20"/>
                <w:szCs w:val="20"/>
              </w:rPr>
              <w:t xml:space="preserve">Approche clé</w:t>
            </w:r>
          </w:p>
        </w:tc>
        <w:tc>
          <w:tcPr>
            <w:tcW w:type="dxa" w:w="2200"/>
            <w:tcBorders>
              <w:top w:val="single" w:color="CCCCCC" w:sz="1"/>
              <w:left w:val="single" w:color="CCCCCC" w:sz="1"/>
              <w:bottom w:val="single" w:color="CCCCCC" w:sz="1"/>
              <w:right w:val="single" w:color="CCCCCC" w:sz="1"/>
            </w:tcBorders>
            <w:shd w:fill="D6E4F0" w:val="clear"/>
            <w:tcMar>
              <w:top w:type="dxa" w:w="100"/>
              <w:left w:type="dxa" w:w="160"/>
              <w:bottom w:type="dxa" w:w="100"/>
              <w:right w:type="dxa" w:w="160"/>
            </w:tcMar>
          </w:tcPr>
          <w:p>
            <w:r>
              <w:rPr>
                <w:rFonts w:ascii="Arial" w:cs="Arial" w:eastAsia="Arial" w:hAnsi="Arial"/>
                <w:b/>
                <w:bCs/>
                <w:color w:val="1F497D"/>
                <w:sz w:val="20"/>
                <w:szCs w:val="20"/>
              </w:rPr>
              <w:t xml:space="preserve">Public cible</w:t>
            </w:r>
          </w:p>
        </w:tc>
        <w:tc>
          <w:tcPr>
            <w:tcW w:type="dxa" w:w="2160"/>
            <w:tcBorders>
              <w:top w:val="single" w:color="CCCCCC" w:sz="1"/>
              <w:left w:val="single" w:color="CCCCCC" w:sz="1"/>
              <w:bottom w:val="single" w:color="CCCCCC" w:sz="1"/>
              <w:right w:val="single" w:color="CCCCCC" w:sz="1"/>
            </w:tcBorders>
            <w:shd w:fill="D6E4F0" w:val="clear"/>
            <w:tcMar>
              <w:top w:type="dxa" w:w="100"/>
              <w:left w:type="dxa" w:w="160"/>
              <w:bottom w:type="dxa" w:w="100"/>
              <w:right w:type="dxa" w:w="160"/>
            </w:tcMar>
          </w:tcPr>
          <w:p>
            <w:r>
              <w:rPr>
                <w:rFonts w:ascii="Arial" w:cs="Arial" w:eastAsia="Arial" w:hAnsi="Arial"/>
                <w:b/>
                <w:bCs/>
                <w:color w:val="1F497D"/>
                <w:sz w:val="20"/>
                <w:szCs w:val="20"/>
              </w:rPr>
              <w:t xml:space="preserve">Ce qu’on peut retenir</w:t>
            </w:r>
          </w:p>
        </w:tc>
      </w:tr>
      <w:tr>
        <w:tc>
          <w:tcPr>
            <w:tcW w:type="dxa" w:w="1800"/>
            <w:tcBorders>
              <w:top w:val="single" w:color="CCCCCC" w:sz="1"/>
              <w:left w:val="single" w:color="CCCCCC" w:sz="1"/>
              <w:bottom w:val="single" w:color="CCCCCC" w:sz="1"/>
              <w:right w:val="single" w:color="CCCCCC" w:sz="1"/>
            </w:tcBorders>
            <w:tcMar>
              <w:top w:type="dxa" w:w="80"/>
              <w:left w:type="dxa" w:w="140"/>
              <w:bottom w:type="dxa" w:w="80"/>
              <w:right w:type="dxa" w:w="140"/>
            </w:tcMar>
          </w:tcPr>
          <w:p>
            <w:pPr>
              <w:spacing w:after="40"/>
            </w:pPr>
            <w:r>
              <w:rPr>
                <w:rFonts w:ascii="Arial" w:cs="Arial" w:eastAsia="Arial" w:hAnsi="Arial"/>
                <w:b/>
                <w:bCs/>
                <w:color w:val="1F497D"/>
                <w:sz w:val="22"/>
                <w:szCs w:val="22"/>
              </w:rPr>
              <w:t xml:space="preserve">Elicit</w:t>
            </w:r>
          </w:p>
        </w:tc>
        <w:tc>
          <w:tcPr>
            <w:tcW w:type="dxa" w:w="3200"/>
            <w:tcBorders>
              <w:top w:val="single" w:color="CCCCCC" w:sz="1"/>
              <w:left w:val="single" w:color="CCCCCC" w:sz="1"/>
              <w:bottom w:val="single" w:color="CCCCCC" w:sz="1"/>
              <w:right w:val="single" w:color="CCCCCC" w:sz="1"/>
            </w:tcBorders>
            <w:tcMar>
              <w:top w:type="dxa" w:w="80"/>
              <w:left w:type="dxa" w:w="140"/>
              <w:bottom w:type="dxa" w:w="80"/>
              <w:right w:type="dxa" w:w="140"/>
            </w:tcMar>
          </w:tcPr>
          <w:p>
            <w:pPr>
              <w:spacing w:after="40"/>
            </w:pPr>
            <w:r>
              <w:rPr>
                <w:rFonts w:ascii="Arial" w:cs="Arial" w:eastAsia="Arial" w:hAnsi="Arial"/>
                <w:sz w:val="22"/>
                <w:szCs w:val="22"/>
              </w:rPr>
              <w:t xml:space="preserve">Recherche sémantique en langage naturel. L’utilisateur pose une question, l’IA trouve des articles par proximité sémantique, pas juste par mots-clés. Supporte la combinaison de requêtes multiples en parallèle.</w:t>
            </w:r>
          </w:p>
        </w:tc>
        <w:tc>
          <w:tcPr>
            <w:tcW w:type="dxa" w:w="2200"/>
            <w:tcBorders>
              <w:top w:val="single" w:color="CCCCCC" w:sz="1"/>
              <w:left w:val="single" w:color="CCCCCC" w:sz="1"/>
              <w:bottom w:val="single" w:color="CCCCCC" w:sz="1"/>
              <w:right w:val="single" w:color="CCCCCC" w:sz="1"/>
            </w:tcBorders>
            <w:tcMar>
              <w:top w:type="dxa" w:w="80"/>
              <w:left w:type="dxa" w:w="140"/>
              <w:bottom w:type="dxa" w:w="80"/>
              <w:right w:type="dxa" w:w="140"/>
            </w:tcMar>
          </w:tcPr>
          <w:p>
            <w:pPr>
              <w:spacing w:after="40"/>
            </w:pPr>
            <w:r>
              <w:rPr>
                <w:rFonts w:ascii="Arial" w:cs="Arial" w:eastAsia="Arial" w:hAnsi="Arial"/>
                <w:sz w:val="20"/>
                <w:szCs w:val="20"/>
              </w:rPr>
              <w:t xml:space="preserve">Chercheurs tous niveaux</w:t>
            </w:r>
          </w:p>
        </w:tc>
        <w:tc>
          <w:tcPr>
            <w:tcW w:type="dxa" w:w="2160"/>
            <w:tcBorders>
              <w:top w:val="single" w:color="CCCCCC" w:sz="1"/>
              <w:left w:val="single" w:color="CCCCCC" w:sz="1"/>
              <w:bottom w:val="single" w:color="CCCCCC" w:sz="1"/>
              <w:right w:val="single" w:color="CCCCCC" w:sz="1"/>
            </w:tcBorders>
            <w:shd w:fill="E2EFDA" w:val="clear"/>
            <w:tcMar>
              <w:top w:type="dxa" w:w="80"/>
              <w:left w:type="dxa" w:w="140"/>
              <w:bottom w:type="dxa" w:w="80"/>
              <w:right w:type="dxa" w:w="140"/>
            </w:tcMar>
          </w:tcPr>
          <w:p>
            <w:pPr>
              <w:spacing w:after="40"/>
            </w:pPr>
            <w:r>
              <w:rPr>
                <w:rFonts w:ascii="Arial" w:cs="Arial" w:eastAsia="Arial" w:hAnsi="Arial"/>
                <w:b/>
                <w:bCs/>
                <w:color w:val="375623"/>
                <w:sz w:val="22"/>
                <w:szCs w:val="22"/>
              </w:rPr>
              <w:t xml:space="preserve">La recherche sémantique comme filet de sécurité quand la requête booléenne passe à côté d’articles.</w:t>
            </w:r>
          </w:p>
        </w:tc>
      </w:tr>
      <w:tr>
        <w:tc>
          <w:tcPr>
            <w:tcW w:type="dxa" w:w="1800"/>
            <w:tcBorders>
              <w:top w:val="single" w:color="CCCCCC" w:sz="1"/>
              <w:left w:val="single" w:color="CCCCCC" w:sz="1"/>
              <w:bottom w:val="single" w:color="CCCCCC" w:sz="1"/>
              <w:right w:val="single" w:color="CCCCCC" w:sz="1"/>
            </w:tcBorders>
            <w:tcMar>
              <w:top w:type="dxa" w:w="80"/>
              <w:left w:type="dxa" w:w="140"/>
              <w:bottom w:type="dxa" w:w="80"/>
              <w:right w:type="dxa" w:w="140"/>
            </w:tcMar>
          </w:tcPr>
          <w:p>
            <w:pPr>
              <w:spacing w:after="40"/>
            </w:pPr>
            <w:r>
              <w:rPr>
                <w:rFonts w:ascii="Arial" w:cs="Arial" w:eastAsia="Arial" w:hAnsi="Arial"/>
                <w:b/>
                <w:bCs/>
                <w:color w:val="1F497D"/>
                <w:sz w:val="22"/>
                <w:szCs w:val="22"/>
              </w:rPr>
              <w:t xml:space="preserve">litsearchr</w:t>
            </w:r>
          </w:p>
        </w:tc>
        <w:tc>
          <w:tcPr>
            <w:tcW w:type="dxa" w:w="3200"/>
            <w:tcBorders>
              <w:top w:val="single" w:color="CCCCCC" w:sz="1"/>
              <w:left w:val="single" w:color="CCCCCC" w:sz="1"/>
              <w:bottom w:val="single" w:color="CCCCCC" w:sz="1"/>
              <w:right w:val="single" w:color="CCCCCC" w:sz="1"/>
            </w:tcBorders>
            <w:tcMar>
              <w:top w:type="dxa" w:w="80"/>
              <w:left w:type="dxa" w:w="140"/>
              <w:bottom w:type="dxa" w:w="80"/>
              <w:right w:type="dxa" w:w="140"/>
            </w:tcMar>
          </w:tcPr>
          <w:p>
            <w:pPr>
              <w:spacing w:after="40"/>
            </w:pPr>
            <w:r>
              <w:rPr>
                <w:rFonts w:ascii="Arial" w:cs="Arial" w:eastAsia="Arial" w:hAnsi="Arial"/>
                <w:sz w:val="22"/>
                <w:szCs w:val="22"/>
              </w:rPr>
              <w:t xml:space="preserve">Co-occurrence de mots-clés dans un corpus « naïf ». Part d’une recherche initiale large, analyse les termes par réseau de co-occurrence, et suggère les termes importants manquants.</w:t>
            </w:r>
          </w:p>
        </w:tc>
        <w:tc>
          <w:tcPr>
            <w:tcW w:type="dxa" w:w="2200"/>
            <w:tcBorders>
              <w:top w:val="single" w:color="CCCCCC" w:sz="1"/>
              <w:left w:val="single" w:color="CCCCCC" w:sz="1"/>
              <w:bottom w:val="single" w:color="CCCCCC" w:sz="1"/>
              <w:right w:val="single" w:color="CCCCCC" w:sz="1"/>
            </w:tcBorders>
            <w:tcMar>
              <w:top w:type="dxa" w:w="80"/>
              <w:left w:type="dxa" w:w="140"/>
              <w:bottom w:type="dxa" w:w="80"/>
              <w:right w:type="dxa" w:w="140"/>
            </w:tcMar>
          </w:tcPr>
          <w:p>
            <w:pPr>
              <w:spacing w:after="40"/>
            </w:pPr>
            <w:r>
              <w:rPr>
                <w:rFonts w:ascii="Arial" w:cs="Arial" w:eastAsia="Arial" w:hAnsi="Arial"/>
                <w:sz w:val="20"/>
                <w:szCs w:val="20"/>
              </w:rPr>
              <w:t xml:space="preserve">Chercheurs en écologie, domaines sans vocabulaire contrôlé</w:t>
            </w:r>
          </w:p>
        </w:tc>
        <w:tc>
          <w:tcPr>
            <w:tcW w:type="dxa" w:w="2160"/>
            <w:tcBorders>
              <w:top w:val="single" w:color="CCCCCC" w:sz="1"/>
              <w:left w:val="single" w:color="CCCCCC" w:sz="1"/>
              <w:bottom w:val="single" w:color="CCCCCC" w:sz="1"/>
              <w:right w:val="single" w:color="CCCCCC" w:sz="1"/>
            </w:tcBorders>
            <w:shd w:fill="E2EFDA" w:val="clear"/>
            <w:tcMar>
              <w:top w:type="dxa" w:w="80"/>
              <w:left w:type="dxa" w:w="140"/>
              <w:bottom w:type="dxa" w:w="80"/>
              <w:right w:type="dxa" w:w="140"/>
            </w:tcMar>
          </w:tcPr>
          <w:p>
            <w:pPr>
              <w:spacing w:after="40"/>
            </w:pPr>
            <w:r>
              <w:rPr>
                <w:rFonts w:ascii="Arial" w:cs="Arial" w:eastAsia="Arial" w:hAnsi="Arial"/>
                <w:b/>
                <w:bCs/>
                <w:color w:val="375623"/>
                <w:sz w:val="22"/>
                <w:szCs w:val="22"/>
              </w:rPr>
              <w:t xml:space="preserve">L’idée d’une « recherche naïve puis enrichissement » est exactement le flow iterate de Research Companion.</w:t>
            </w:r>
          </w:p>
        </w:tc>
      </w:tr>
      <w:tr>
        <w:tc>
          <w:tcPr>
            <w:tcW w:type="dxa" w:w="1800"/>
            <w:tcBorders>
              <w:top w:val="single" w:color="CCCCCC" w:sz="1"/>
              <w:left w:val="single" w:color="CCCCCC" w:sz="1"/>
              <w:bottom w:val="single" w:color="CCCCCC" w:sz="1"/>
              <w:right w:val="single" w:color="CCCCCC" w:sz="1"/>
            </w:tcBorders>
            <w:tcMar>
              <w:top w:type="dxa" w:w="80"/>
              <w:left w:type="dxa" w:w="140"/>
              <w:bottom w:type="dxa" w:w="80"/>
              <w:right w:type="dxa" w:w="140"/>
            </w:tcMar>
          </w:tcPr>
          <w:p>
            <w:pPr>
              <w:spacing w:after="40"/>
            </w:pPr>
            <w:r>
              <w:rPr>
                <w:rFonts w:ascii="Arial" w:cs="Arial" w:eastAsia="Arial" w:hAnsi="Arial"/>
                <w:b/>
                <w:bCs/>
                <w:color w:val="1F497D"/>
                <w:sz w:val="22"/>
                <w:szCs w:val="22"/>
              </w:rPr>
              <w:t xml:space="preserve">2Dsearch</w:t>
            </w:r>
          </w:p>
        </w:tc>
        <w:tc>
          <w:tcPr>
            <w:tcW w:type="dxa" w:w="3200"/>
            <w:tcBorders>
              <w:top w:val="single" w:color="CCCCCC" w:sz="1"/>
              <w:left w:val="single" w:color="CCCCCC" w:sz="1"/>
              <w:bottom w:val="single" w:color="CCCCCC" w:sz="1"/>
              <w:right w:val="single" w:color="CCCCCC" w:sz="1"/>
            </w:tcBorders>
            <w:tcMar>
              <w:top w:type="dxa" w:w="80"/>
              <w:left w:type="dxa" w:w="140"/>
              <w:bottom w:type="dxa" w:w="80"/>
              <w:right w:type="dxa" w:w="140"/>
            </w:tcMar>
          </w:tcPr>
          <w:p>
            <w:pPr>
              <w:spacing w:after="40"/>
            </w:pPr>
            <w:r>
              <w:rPr>
                <w:rFonts w:ascii="Arial" w:cs="Arial" w:eastAsia="Arial" w:hAnsi="Arial"/>
                <w:sz w:val="22"/>
                <w:szCs w:val="22"/>
              </w:rPr>
              <w:t xml:space="preserve">Canvas visuel 2D où chaque concept est un bloc que l’utilisateur peut activer/désactiver pour voir son impact sur les résultats en temps réel.</w:t>
            </w:r>
          </w:p>
        </w:tc>
        <w:tc>
          <w:tcPr>
            <w:tcW w:type="dxa" w:w="2200"/>
            <w:tcBorders>
              <w:top w:val="single" w:color="CCCCCC" w:sz="1"/>
              <w:left w:val="single" w:color="CCCCCC" w:sz="1"/>
              <w:bottom w:val="single" w:color="CCCCCC" w:sz="1"/>
              <w:right w:val="single" w:color="CCCCCC" w:sz="1"/>
            </w:tcBorders>
            <w:tcMar>
              <w:top w:type="dxa" w:w="80"/>
              <w:left w:type="dxa" w:w="140"/>
              <w:bottom w:type="dxa" w:w="80"/>
              <w:right w:type="dxa" w:w="140"/>
            </w:tcMar>
          </w:tcPr>
          <w:p>
            <w:pPr>
              <w:spacing w:after="40"/>
            </w:pPr>
            <w:r>
              <w:rPr>
                <w:rFonts w:ascii="Arial" w:cs="Arial" w:eastAsia="Arial" w:hAnsi="Arial"/>
                <w:sz w:val="20"/>
                <w:szCs w:val="20"/>
              </w:rPr>
              <w:t xml:space="preserve">Bibliothécaires, juristes, étudiants</w:t>
            </w:r>
          </w:p>
        </w:tc>
        <w:tc>
          <w:tcPr>
            <w:tcW w:type="dxa" w:w="2160"/>
            <w:tcBorders>
              <w:top w:val="single" w:color="CCCCCC" w:sz="1"/>
              <w:left w:val="single" w:color="CCCCCC" w:sz="1"/>
              <w:bottom w:val="single" w:color="CCCCCC" w:sz="1"/>
              <w:right w:val="single" w:color="CCCCCC" w:sz="1"/>
            </w:tcBorders>
            <w:shd w:fill="E2EFDA" w:val="clear"/>
            <w:tcMar>
              <w:top w:type="dxa" w:w="80"/>
              <w:left w:type="dxa" w:w="140"/>
              <w:bottom w:type="dxa" w:w="80"/>
              <w:right w:type="dxa" w:w="140"/>
            </w:tcMar>
          </w:tcPr>
          <w:p>
            <w:pPr>
              <w:spacing w:after="40"/>
            </w:pPr>
            <w:r>
              <w:rPr>
                <w:rFonts w:ascii="Arial" w:cs="Arial" w:eastAsia="Arial" w:hAnsi="Arial"/>
                <w:b/>
                <w:bCs/>
                <w:color w:val="375623"/>
                <w:sz w:val="22"/>
                <w:szCs w:val="22"/>
              </w:rPr>
              <w:t xml:space="preserve">Le toggle bloc-par-bloc est ce que votre page Affiner/Stratégie fait déjà. Ajouter le comptage live PubMed par bloc.</w:t>
            </w:r>
          </w:p>
        </w:tc>
      </w:tr>
      <w:tr>
        <w:tc>
          <w:tcPr>
            <w:tcW w:type="dxa" w:w="1800"/>
            <w:tcBorders>
              <w:top w:val="single" w:color="CCCCCC" w:sz="1"/>
              <w:left w:val="single" w:color="CCCCCC" w:sz="1"/>
              <w:bottom w:val="single" w:color="CCCCCC" w:sz="1"/>
              <w:right w:val="single" w:color="CCCCCC" w:sz="1"/>
            </w:tcBorders>
            <w:tcMar>
              <w:top w:type="dxa" w:w="80"/>
              <w:left w:type="dxa" w:w="140"/>
              <w:bottom w:type="dxa" w:w="80"/>
              <w:right w:type="dxa" w:w="140"/>
            </w:tcMar>
          </w:tcPr>
          <w:p>
            <w:pPr>
              <w:spacing w:after="40"/>
            </w:pPr>
            <w:r>
              <w:rPr>
                <w:rFonts w:ascii="Arial" w:cs="Arial" w:eastAsia="Arial" w:hAnsi="Arial"/>
                <w:b/>
                <w:bCs/>
                <w:color w:val="1F497D"/>
                <w:sz w:val="22"/>
                <w:szCs w:val="22"/>
              </w:rPr>
              <w:t xml:space="preserve">Polyglot Search Translator</w:t>
            </w:r>
          </w:p>
        </w:tc>
        <w:tc>
          <w:tcPr>
            <w:tcW w:type="dxa" w:w="3200"/>
            <w:tcBorders>
              <w:top w:val="single" w:color="CCCCCC" w:sz="1"/>
              <w:left w:val="single" w:color="CCCCCC" w:sz="1"/>
              <w:bottom w:val="single" w:color="CCCCCC" w:sz="1"/>
              <w:right w:val="single" w:color="CCCCCC" w:sz="1"/>
            </w:tcBorders>
            <w:tcMar>
              <w:top w:type="dxa" w:w="80"/>
              <w:left w:type="dxa" w:w="140"/>
              <w:bottom w:type="dxa" w:w="80"/>
              <w:right w:type="dxa" w:w="140"/>
            </w:tcMar>
          </w:tcPr>
          <w:p>
            <w:pPr>
              <w:spacing w:after="40"/>
            </w:pPr>
            <w:r>
              <w:rPr>
                <w:rFonts w:ascii="Arial" w:cs="Arial" w:eastAsia="Arial" w:hAnsi="Arial"/>
                <w:sz w:val="22"/>
                <w:szCs w:val="22"/>
              </w:rPr>
              <w:t xml:space="preserve">Traduction automatique d’une requête PubMed vers Scopus, Web of Science, Embase, CINAHL, etc. Réduit les erreurs de syntaxe inter-bases de 40%.</w:t>
            </w:r>
          </w:p>
        </w:tc>
        <w:tc>
          <w:tcPr>
            <w:tcW w:type="dxa" w:w="2200"/>
            <w:tcBorders>
              <w:top w:val="single" w:color="CCCCCC" w:sz="1"/>
              <w:left w:val="single" w:color="CCCCCC" w:sz="1"/>
              <w:bottom w:val="single" w:color="CCCCCC" w:sz="1"/>
              <w:right w:val="single" w:color="CCCCCC" w:sz="1"/>
            </w:tcBorders>
            <w:tcMar>
              <w:top w:type="dxa" w:w="80"/>
              <w:left w:type="dxa" w:w="140"/>
              <w:bottom w:type="dxa" w:w="80"/>
              <w:right w:type="dxa" w:w="140"/>
            </w:tcMar>
          </w:tcPr>
          <w:p>
            <w:pPr>
              <w:spacing w:after="40"/>
            </w:pPr>
            <w:r>
              <w:rPr>
                <w:rFonts w:ascii="Arial" w:cs="Arial" w:eastAsia="Arial" w:hAnsi="Arial"/>
                <w:sz w:val="20"/>
                <w:szCs w:val="20"/>
              </w:rPr>
              <w:t xml:space="preserve">Bibliothécaires systémiques</w:t>
            </w:r>
          </w:p>
        </w:tc>
        <w:tc>
          <w:tcPr>
            <w:tcW w:type="dxa" w:w="2160"/>
            <w:tcBorders>
              <w:top w:val="single" w:color="CCCCCC" w:sz="1"/>
              <w:left w:val="single" w:color="CCCCCC" w:sz="1"/>
              <w:bottom w:val="single" w:color="CCCCCC" w:sz="1"/>
              <w:right w:val="single" w:color="CCCCCC" w:sz="1"/>
            </w:tcBorders>
            <w:shd w:fill="E2EFDA" w:val="clear"/>
            <w:tcMar>
              <w:top w:type="dxa" w:w="80"/>
              <w:left w:type="dxa" w:w="140"/>
              <w:bottom w:type="dxa" w:w="80"/>
              <w:right w:type="dxa" w:w="140"/>
            </w:tcMar>
          </w:tcPr>
          <w:p>
            <w:pPr>
              <w:spacing w:after="40"/>
            </w:pPr>
            <w:r>
              <w:rPr>
                <w:rFonts w:ascii="Arial" w:cs="Arial" w:eastAsia="Arial" w:hAnsi="Arial"/>
                <w:b/>
                <w:bCs/>
                <w:color w:val="375623"/>
                <w:sz w:val="22"/>
                <w:szCs w:val="22"/>
              </w:rPr>
              <w:t xml:space="preserve">C’est exactement l’objectif multi-plateforme de votre SPEC. Polyglot peut servir de référence pour les backends Scopus/WoS/Embase.</w:t>
            </w:r>
          </w:p>
        </w:tc>
      </w:tr>
      <w:tr>
        <w:tc>
          <w:tcPr>
            <w:tcW w:type="dxa" w:w="1800"/>
            <w:tcBorders>
              <w:top w:val="single" w:color="CCCCCC" w:sz="1"/>
              <w:left w:val="single" w:color="CCCCCC" w:sz="1"/>
              <w:bottom w:val="single" w:color="CCCCCC" w:sz="1"/>
              <w:right w:val="single" w:color="CCCCCC" w:sz="1"/>
            </w:tcBorders>
            <w:tcMar>
              <w:top w:type="dxa" w:w="80"/>
              <w:left w:type="dxa" w:w="140"/>
              <w:bottom w:type="dxa" w:w="80"/>
              <w:right w:type="dxa" w:w="140"/>
            </w:tcMar>
          </w:tcPr>
          <w:p>
            <w:pPr>
              <w:spacing w:after="40"/>
            </w:pPr>
            <w:r>
              <w:rPr>
                <w:rFonts w:ascii="Arial" w:cs="Arial" w:eastAsia="Arial" w:hAnsi="Arial"/>
                <w:b/>
                <w:bCs/>
                <w:color w:val="1F497D"/>
                <w:sz w:val="22"/>
                <w:szCs w:val="22"/>
              </w:rPr>
              <w:t xml:space="preserve">PICO Portal</w:t>
            </w:r>
          </w:p>
        </w:tc>
        <w:tc>
          <w:tcPr>
            <w:tcW w:type="dxa" w:w="3200"/>
            <w:tcBorders>
              <w:top w:val="single" w:color="CCCCCC" w:sz="1"/>
              <w:left w:val="single" w:color="CCCCCC" w:sz="1"/>
              <w:bottom w:val="single" w:color="CCCCCC" w:sz="1"/>
              <w:right w:val="single" w:color="CCCCCC" w:sz="1"/>
            </w:tcBorders>
            <w:tcMar>
              <w:top w:type="dxa" w:w="80"/>
              <w:left w:type="dxa" w:w="140"/>
              <w:bottom w:type="dxa" w:w="80"/>
              <w:right w:type="dxa" w:w="140"/>
            </w:tcMar>
          </w:tcPr>
          <w:p>
            <w:pPr>
              <w:spacing w:after="40"/>
            </w:pPr>
            <w:r>
              <w:rPr>
                <w:rFonts w:ascii="Arial" w:cs="Arial" w:eastAsia="Arial" w:hAnsi="Arial"/>
                <w:sz w:val="22"/>
                <w:szCs w:val="22"/>
              </w:rPr>
              <w:t xml:space="preserve">Extraction PICO automatique + screening AI avec prédiction de pertinence. Interface très simple pour débutants.</w:t>
            </w:r>
          </w:p>
        </w:tc>
        <w:tc>
          <w:tcPr>
            <w:tcW w:type="dxa" w:w="2200"/>
            <w:tcBorders>
              <w:top w:val="single" w:color="CCCCCC" w:sz="1"/>
              <w:left w:val="single" w:color="CCCCCC" w:sz="1"/>
              <w:bottom w:val="single" w:color="CCCCCC" w:sz="1"/>
              <w:right w:val="single" w:color="CCCCCC" w:sz="1"/>
            </w:tcBorders>
            <w:tcMar>
              <w:top w:type="dxa" w:w="80"/>
              <w:left w:type="dxa" w:w="140"/>
              <w:bottom w:type="dxa" w:w="80"/>
              <w:right w:type="dxa" w:w="140"/>
            </w:tcMar>
          </w:tcPr>
          <w:p>
            <w:pPr>
              <w:spacing w:after="40"/>
            </w:pPr>
            <w:r>
              <w:rPr>
                <w:rFonts w:ascii="Arial" w:cs="Arial" w:eastAsia="Arial" w:hAnsi="Arial"/>
                <w:sz w:val="20"/>
                <w:szCs w:val="20"/>
              </w:rPr>
              <w:t xml:space="preserve">Étudiants santé, cliniciens</w:t>
            </w:r>
          </w:p>
        </w:tc>
        <w:tc>
          <w:tcPr>
            <w:tcW w:type="dxa" w:w="2160"/>
            <w:tcBorders>
              <w:top w:val="single" w:color="CCCCCC" w:sz="1"/>
              <w:left w:val="single" w:color="CCCCCC" w:sz="1"/>
              <w:bottom w:val="single" w:color="CCCCCC" w:sz="1"/>
              <w:right w:val="single" w:color="CCCCCC" w:sz="1"/>
            </w:tcBorders>
            <w:shd w:fill="E2EFDA" w:val="clear"/>
            <w:tcMar>
              <w:top w:type="dxa" w:w="80"/>
              <w:left w:type="dxa" w:w="140"/>
              <w:bottom w:type="dxa" w:w="80"/>
              <w:right w:type="dxa" w:w="140"/>
            </w:tcMar>
          </w:tcPr>
          <w:p>
            <w:pPr>
              <w:spacing w:after="40"/>
            </w:pPr>
            <w:r>
              <w:rPr>
                <w:rFonts w:ascii="Arial" w:cs="Arial" w:eastAsia="Arial" w:hAnsi="Arial"/>
                <w:b/>
                <w:bCs/>
                <w:color w:val="375623"/>
                <w:sz w:val="22"/>
                <w:szCs w:val="22"/>
              </w:rPr>
              <w:t xml:space="preserve">Le scoring de pertinence par bandes (votre centrality bands) est bien aligné avec cette approche.</w:t>
            </w:r>
          </w:p>
        </w:tc>
      </w:tr>
      <w:tr>
        <w:tc>
          <w:tcPr>
            <w:tcW w:type="dxa" w:w="1800"/>
            <w:tcBorders>
              <w:top w:val="single" w:color="CCCCCC" w:sz="1"/>
              <w:left w:val="single" w:color="CCCCCC" w:sz="1"/>
              <w:bottom w:val="single" w:color="CCCCCC" w:sz="1"/>
              <w:right w:val="single" w:color="CCCCCC" w:sz="1"/>
            </w:tcBorders>
            <w:tcMar>
              <w:top w:type="dxa" w:w="80"/>
              <w:left w:type="dxa" w:w="140"/>
              <w:bottom w:type="dxa" w:w="80"/>
              <w:right w:type="dxa" w:w="140"/>
            </w:tcMar>
          </w:tcPr>
          <w:p>
            <w:pPr>
              <w:spacing w:after="40"/>
            </w:pPr>
            <w:r>
              <w:rPr>
                <w:rFonts w:ascii="Arial" w:cs="Arial" w:eastAsia="Arial" w:hAnsi="Arial"/>
                <w:b/>
                <w:bCs/>
                <w:color w:val="1F497D"/>
                <w:sz w:val="22"/>
                <w:szCs w:val="22"/>
              </w:rPr>
              <w:t xml:space="preserve">ASReview</w:t>
            </w:r>
          </w:p>
        </w:tc>
        <w:tc>
          <w:tcPr>
            <w:tcW w:type="dxa" w:w="3200"/>
            <w:tcBorders>
              <w:top w:val="single" w:color="CCCCCC" w:sz="1"/>
              <w:left w:val="single" w:color="CCCCCC" w:sz="1"/>
              <w:bottom w:val="single" w:color="CCCCCC" w:sz="1"/>
              <w:right w:val="single" w:color="CCCCCC" w:sz="1"/>
            </w:tcBorders>
            <w:tcMar>
              <w:top w:type="dxa" w:w="80"/>
              <w:left w:type="dxa" w:w="140"/>
              <w:bottom w:type="dxa" w:w="80"/>
              <w:right w:type="dxa" w:w="140"/>
            </w:tcMar>
          </w:tcPr>
          <w:p>
            <w:pPr>
              <w:spacing w:after="40"/>
            </w:pPr>
            <w:r>
              <w:rPr>
                <w:rFonts w:ascii="Arial" w:cs="Arial" w:eastAsia="Arial" w:hAnsi="Arial"/>
                <w:sz w:val="22"/>
                <w:szCs w:val="22"/>
              </w:rPr>
              <w:t xml:space="preserve">Active learning : l’utilisateur étiquette quelques articles, l’IA priorise le reste. Réduit le screening de 80-95%.</w:t>
            </w:r>
          </w:p>
        </w:tc>
        <w:tc>
          <w:tcPr>
            <w:tcW w:type="dxa" w:w="2200"/>
            <w:tcBorders>
              <w:top w:val="single" w:color="CCCCCC" w:sz="1"/>
              <w:left w:val="single" w:color="CCCCCC" w:sz="1"/>
              <w:bottom w:val="single" w:color="CCCCCC" w:sz="1"/>
              <w:right w:val="single" w:color="CCCCCC" w:sz="1"/>
            </w:tcBorders>
            <w:tcMar>
              <w:top w:type="dxa" w:w="80"/>
              <w:left w:type="dxa" w:w="140"/>
              <w:bottom w:type="dxa" w:w="80"/>
              <w:right w:type="dxa" w:w="140"/>
            </w:tcMar>
          </w:tcPr>
          <w:p>
            <w:pPr>
              <w:spacing w:after="40"/>
            </w:pPr>
            <w:r>
              <w:rPr>
                <w:rFonts w:ascii="Arial" w:cs="Arial" w:eastAsia="Arial" w:hAnsi="Arial"/>
                <w:sz w:val="20"/>
                <w:szCs w:val="20"/>
              </w:rPr>
              <w:t xml:space="preserve">Chercheurs en revue systématique</w:t>
            </w:r>
          </w:p>
        </w:tc>
        <w:tc>
          <w:tcPr>
            <w:tcW w:type="dxa" w:w="2160"/>
            <w:tcBorders>
              <w:top w:val="single" w:color="CCCCCC" w:sz="1"/>
              <w:left w:val="single" w:color="CCCCCC" w:sz="1"/>
              <w:bottom w:val="single" w:color="CCCCCC" w:sz="1"/>
              <w:right w:val="single" w:color="CCCCCC" w:sz="1"/>
            </w:tcBorders>
            <w:shd w:fill="E2EFDA" w:val="clear"/>
            <w:tcMar>
              <w:top w:type="dxa" w:w="80"/>
              <w:left w:type="dxa" w:w="140"/>
              <w:bottom w:type="dxa" w:w="80"/>
              <w:right w:type="dxa" w:w="140"/>
            </w:tcMar>
          </w:tcPr>
          <w:p>
            <w:pPr>
              <w:spacing w:after="40"/>
            </w:pPr>
            <w:r>
              <w:rPr>
                <w:rFonts w:ascii="Arial" w:cs="Arial" w:eastAsia="Arial" w:hAnsi="Arial"/>
                <w:b/>
                <w:bCs/>
                <w:color w:val="375623"/>
                <w:sz w:val="22"/>
                <w:szCs w:val="22"/>
              </w:rPr>
              <w:t xml:space="preserve">Utilisable comme couche post-recherche pour aider l’étudiant à trier ses résultats après le lancement de la requête.</w:t>
            </w:r>
          </w:p>
        </w:tc>
      </w:tr>
      <w:tr>
        <w:tc>
          <w:tcPr>
            <w:tcW w:type="dxa" w:w="1800"/>
            <w:tcBorders>
              <w:top w:val="single" w:color="CCCCCC" w:sz="1"/>
              <w:left w:val="single" w:color="CCCCCC" w:sz="1"/>
              <w:bottom w:val="single" w:color="CCCCCC" w:sz="1"/>
              <w:right w:val="single" w:color="CCCCCC" w:sz="1"/>
            </w:tcBorders>
            <w:tcMar>
              <w:top w:type="dxa" w:w="80"/>
              <w:left w:type="dxa" w:w="140"/>
              <w:bottom w:type="dxa" w:w="80"/>
              <w:right w:type="dxa" w:w="140"/>
            </w:tcMar>
          </w:tcPr>
          <w:p>
            <w:pPr>
              <w:spacing w:after="40"/>
            </w:pPr>
            <w:r>
              <w:rPr>
                <w:rFonts w:ascii="Arial" w:cs="Arial" w:eastAsia="Arial" w:hAnsi="Arial"/>
                <w:b/>
                <w:bCs/>
                <w:color w:val="1F497D"/>
                <w:sz w:val="22"/>
                <w:szCs w:val="22"/>
              </w:rPr>
              <w:t xml:space="preserve">Cochrane RAISE 2026</w:t>
            </w:r>
          </w:p>
        </w:tc>
        <w:tc>
          <w:tcPr>
            <w:tcW w:type="dxa" w:w="3200"/>
            <w:tcBorders>
              <w:top w:val="single" w:color="CCCCCC" w:sz="1"/>
              <w:left w:val="single" w:color="CCCCCC" w:sz="1"/>
              <w:bottom w:val="single" w:color="CCCCCC" w:sz="1"/>
              <w:right w:val="single" w:color="CCCCCC" w:sz="1"/>
            </w:tcBorders>
            <w:tcMar>
              <w:top w:type="dxa" w:w="80"/>
              <w:left w:type="dxa" w:w="140"/>
              <w:bottom w:type="dxa" w:w="80"/>
              <w:right w:type="dxa" w:w="140"/>
            </w:tcMar>
          </w:tcPr>
          <w:p>
            <w:pPr>
              <w:spacing w:after="40"/>
            </w:pPr>
            <w:r>
              <w:rPr>
                <w:rFonts w:ascii="Arial" w:cs="Arial" w:eastAsia="Arial" w:hAnsi="Arial"/>
                <w:sz w:val="22"/>
                <w:szCs w:val="22"/>
              </w:rPr>
              <w:t xml:space="preserve">Framework de principes pour l’utilisation responsable de l’IA en synthèse des preuves. Ne remplace pas l’humain, l’assiste.</w:t>
            </w:r>
          </w:p>
        </w:tc>
        <w:tc>
          <w:tcPr>
            <w:tcW w:type="dxa" w:w="2200"/>
            <w:tcBorders>
              <w:top w:val="single" w:color="CCCCCC" w:sz="1"/>
              <w:left w:val="single" w:color="CCCCCC" w:sz="1"/>
              <w:bottom w:val="single" w:color="CCCCCC" w:sz="1"/>
              <w:right w:val="single" w:color="CCCCCC" w:sz="1"/>
            </w:tcBorders>
            <w:tcMar>
              <w:top w:type="dxa" w:w="80"/>
              <w:left w:type="dxa" w:w="140"/>
              <w:bottom w:type="dxa" w:w="80"/>
              <w:right w:type="dxa" w:w="140"/>
            </w:tcMar>
          </w:tcPr>
          <w:p>
            <w:pPr>
              <w:spacing w:after="40"/>
            </w:pPr>
            <w:r>
              <w:rPr>
                <w:rFonts w:ascii="Arial" w:cs="Arial" w:eastAsia="Arial" w:hAnsi="Arial"/>
                <w:sz w:val="20"/>
                <w:szCs w:val="20"/>
              </w:rPr>
              <w:t xml:space="preserve">Communauté Cochrane, tous</w:t>
            </w:r>
          </w:p>
        </w:tc>
        <w:tc>
          <w:tcPr>
            <w:tcW w:type="dxa" w:w="2160"/>
            <w:tcBorders>
              <w:top w:val="single" w:color="CCCCCC" w:sz="1"/>
              <w:left w:val="single" w:color="CCCCCC" w:sz="1"/>
              <w:bottom w:val="single" w:color="CCCCCC" w:sz="1"/>
              <w:right w:val="single" w:color="CCCCCC" w:sz="1"/>
            </w:tcBorders>
            <w:shd w:fill="E2EFDA" w:val="clear"/>
            <w:tcMar>
              <w:top w:type="dxa" w:w="80"/>
              <w:left w:type="dxa" w:w="140"/>
              <w:bottom w:type="dxa" w:w="80"/>
              <w:right w:type="dxa" w:w="140"/>
            </w:tcMar>
          </w:tcPr>
          <w:p>
            <w:pPr>
              <w:spacing w:after="40"/>
            </w:pPr>
            <w:r>
              <w:rPr>
                <w:rFonts w:ascii="Arial" w:cs="Arial" w:eastAsia="Arial" w:hAnsi="Arial"/>
                <w:b/>
                <w:bCs/>
                <w:color w:val="375623"/>
                <w:sz w:val="22"/>
                <w:szCs w:val="22"/>
              </w:rPr>
              <w:t xml:space="preserve">La philosophie « l’IA aide, l’étudiant décide » que vous appliquez déjà est parfaitement alignée.</w:t>
            </w:r>
          </w:p>
        </w:tc>
      </w:tr>
    </w:tbl>
    <w:p>
      <w:pPr>
        <w:spacing w:after="100"/>
      </w:pPr>
      <w:r>
        <w:t xml:space="preserve"/>
      </w:r>
    </w:p>
    <w:p>
      <w:pPr>
        <w:spacing w:after="120"/>
      </w:pPr>
      <w:r>
        <w:rPr>
          <w:rFonts w:ascii="Arial" w:cs="Arial" w:eastAsia="Arial" w:hAnsi="Arial"/>
          <w:b/>
          <w:bCs/>
          <w:sz w:val="22"/>
          <w:szCs w:val="22"/>
        </w:rPr>
        <w:t xml:space="preserve">Positionnement de Research Companion. </w:t>
      </w:r>
      <w:r>
        <w:rPr>
          <w:rFonts w:ascii="Arial" w:cs="Arial" w:eastAsia="Arial" w:hAnsi="Arial"/>
          <w:sz w:val="22"/>
          <w:szCs w:val="22"/>
        </w:rPr>
        <w:t xml:space="preserve">Il n’existe aucun outil open source qui combine : (1) la transformation d’une question en langage libre vers une stratégie booléenne, (2) la logique Bramer de hiérarchisation des concepts, (3) la transparence pédagogique pour un débutant. C’est un espace unique. Les outils existants font soit la partie amont (Elicit : recherche sémantique), soit la partie aval (ASReview : screening), soit la traduction (Polyglot). Research Companion est le seul à couvrir le chaînon manquant : la construction de la stratégie elle-même.</w:t>
      </w:r>
    </w:p>
    <w:p>
      <w:pPr>
        <w:pageBreakBefore/>
      </w:pPr>
      <w:r>
        <w:t xml:space="preserve"/>
      </w:r>
    </w:p>
    <w:p>
      <w:pPr>
        <w:pStyle w:val="Heading1"/>
        <w:spacing w:after="180" w:before="360"/>
      </w:pPr>
      <w:r>
        <w:rPr>
          <w:rFonts w:ascii="Arial" w:cs="Arial" w:eastAsia="Arial" w:hAnsi="Arial"/>
          <w:b/>
          <w:bCs/>
          <w:color w:val="1F497D"/>
          <w:sz w:val="32"/>
          <w:szCs w:val="32"/>
        </w:rPr>
        <w:t xml:space="preserve">2. Solutions concrètes — bugs prioritaires</w:t>
      </w:r>
    </w:p>
    <w:p>
      <w:pPr>
        <w:pStyle w:val="Heading2"/>
        <w:spacing w:after="120" w:before="280"/>
      </w:pPr>
      <w:r>
        <w:rPr>
          <w:rFonts w:ascii="Arial" w:cs="Arial" w:eastAsia="Arial" w:hAnsi="Arial"/>
          <w:b/>
          <w:bCs/>
          <w:color w:val="1F497D"/>
          <w:sz w:val="26"/>
          <w:szCs w:val="26"/>
        </w:rPr>
        <w:t xml:space="preserve">2.1 Fix critique : la stratégie wide qui exclut des concepts priority 1</w:t>
      </w:r>
    </w:p>
    <w:p>
      <w:pPr>
        <w:spacing w:after="120"/>
      </w:pPr>
      <w:r>
        <w:rPr>
          <w:rFonts w:ascii="Arial" w:cs="Arial" w:eastAsia="Arial" w:hAnsi="Arial"/>
          <w:b/>
          <w:bCs/>
          <w:sz w:val="22"/>
          <w:szCs w:val="22"/>
        </w:rPr>
        <w:t xml:space="preserve">Le problème diagnostiqué. </w:t>
      </w:r>
      <w:r>
        <w:rPr>
          <w:rFonts w:ascii="Arial" w:cs="Arial" w:eastAsia="Arial" w:hAnsi="Arial"/>
          <w:sz w:val="22"/>
          <w:szCs w:val="22"/>
        </w:rPr>
        <w:t xml:space="preserve">Dans search_strategy.py, la fonction _should_keep_in_wide appelle classify_concept_role puis ne garde que les éléments dont le rôle est "core". Or, le concept_classifier classe « Population » comme "refinement" (le mot « child » matche refinement_patterns) et « Adhérence » est exclue par _is_outcome_like_in_wide (qui liste explicitement « adherence » et « compliance » dans ses markers). Résultat : des concepts priority 1 sont éjectés du wide.</w:t>
      </w:r>
    </w:p>
    <w:p>
      <w:pPr>
        <w:spacing w:after="100"/>
      </w:pPr>
      <w:r>
        <w:t xml:space="preserve"/>
      </w:r>
    </w:p>
    <w:p>
      <w:pPr>
        <w:spacing w:after="120"/>
      </w:pPr>
      <w:r>
        <w:rPr>
          <w:rFonts w:ascii="Arial" w:cs="Arial" w:eastAsia="Arial" w:hAnsi="Arial"/>
          <w:b/>
          <w:bCs/>
          <w:sz w:val="22"/>
          <w:szCs w:val="22"/>
        </w:rPr>
        <w:t xml:space="preserve">Ce que font les autres. </w:t>
      </w:r>
      <w:r>
        <w:rPr>
          <w:rFonts w:ascii="Arial" w:cs="Arial" w:eastAsia="Arial" w:hAnsi="Arial"/>
          <w:sz w:val="22"/>
          <w:szCs w:val="22"/>
        </w:rPr>
        <w:t xml:space="preserve">2Dsearch et Polyglot n’ont pas cette notion de double classification. Si l’auteur de la stratégie marque un concept comme actif avec la priorité la plus haute, il est dans toutes les variantes. Bramer lui-même ne propose pas de filtrer les concepts priority 1 selon un rôle secondaire.</w:t>
      </w:r>
    </w:p>
    <w:p>
      <w:pPr>
        <w:spacing w:after="100"/>
      </w:pPr>
      <w:r>
        <w:t xml:space="preserve"/>
      </w:r>
    </w:p>
    <w:p>
      <w:pPr>
        <w:pStyle w:val="Heading3"/>
        <w:spacing w:after="100" w:before="200"/>
      </w:pPr>
      <w:r>
        <w:rPr>
          <w:rFonts w:ascii="Arial" w:cs="Arial" w:eastAsia="Arial" w:hAnsi="Arial"/>
          <w:b/>
          <w:bCs/>
          <w:color w:val="2E4057"/>
          <w:sz w:val="24"/>
          <w:szCs w:val="24"/>
        </w:rPr>
        <w:t xml:space="preserve">Solution proposée (option A — recommandée)</w:t>
      </w:r>
    </w:p>
    <w:p>
      <w:pPr>
        <w:spacing w:after="120"/>
      </w:pPr>
      <w:r>
        <w:rPr>
          <w:rFonts w:ascii="Arial" w:cs="Arial" w:eastAsia="Arial" w:hAnsi="Arial"/>
          <w:sz w:val="22"/>
          <w:szCs w:val="22"/>
        </w:rPr>
        <w:t xml:space="preserve">Supprimer le filtre de rôle dans le wide pour le mode structure. Le wide doit correspondre strictement à la SPEC : tous les search_elements actifs avec priority = 1.</w:t>
      </w:r>
    </w:p>
    <w:p>
      <w:pPr>
        <w:spacing w:after="100"/>
      </w:pPr>
      <w:r>
        <w:t xml:space="preserve"/>
      </w:r>
    </w:p>
    <w:p>
      <w:pPr>
        <w:spacing w:after="120"/>
      </w:pPr>
      <w:r>
        <w:rPr>
          <w:rFonts w:ascii="Arial" w:cs="Arial" w:eastAsia="Arial" w:hAnsi="Arial"/>
          <w:b/>
          <w:bCs/>
          <w:sz w:val="22"/>
          <w:szCs w:val="22"/>
        </w:rPr>
        <w:t xml:space="preserve">Fichier : </w:t>
      </w:r>
      <w:r>
        <w:rPr>
          <w:rFonts w:ascii="Arial" w:cs="Arial" w:eastAsia="Arial" w:hAnsi="Arial"/>
          <w:sz w:val="22"/>
          <w:szCs w:val="22"/>
        </w:rPr>
        <w:t xml:space="preserve">search_strategy.py, fonction build_search_strategy</w:t>
      </w:r>
    </w:p>
    <w:p>
      <w:pPr>
        <w:spacing w:after="100"/>
      </w:pPr>
      <w:r>
        <w:t xml:space="preserve"/>
      </w:r>
    </w:p>
    <w:p>
      <w:pPr>
        <w:spacing w:after="120"/>
      </w:pPr>
      <w:r>
        <w:rPr>
          <w:rFonts w:ascii="Arial" w:cs="Arial" w:eastAsia="Arial" w:hAnsi="Arial"/>
          <w:b/>
          <w:bCs/>
          <w:sz w:val="22"/>
          <w:szCs w:val="22"/>
        </w:rPr>
        <w:t xml:space="preserve">Code actuel :</w:t>
      </w:r>
    </w:p>
    <w:p>
      <w:pPr>
        <w:shd w:fill="F2F2F2" w:val="clear"/>
        <w:spacing w:after="60" w:before="60"/>
        <w:ind w:left="360"/>
      </w:pPr>
      <w:r>
        <w:rPr>
          <w:rFonts w:ascii="Courier New" w:cs="Courier New" w:eastAsia="Courier New" w:hAnsi="Courier New"/>
          <w:color w:val="333333"/>
          <w:sz w:val="19"/>
          <w:szCs w:val="19"/>
        </w:rPr>
        <w:t xml:space="preserve">wide_elements = [</w:t>
      </w:r>
    </w:p>
    <w:p>
      <w:pPr>
        <w:shd w:fill="F2F2F2" w:val="clear"/>
        <w:spacing w:after="60" w:before="60"/>
        <w:ind w:left="360"/>
      </w:pPr>
      <w:r>
        <w:rPr>
          <w:rFonts w:ascii="Courier New" w:cs="Courier New" w:eastAsia="Courier New" w:hAnsi="Courier New"/>
          <w:color w:val="333333"/>
          <w:sz w:val="19"/>
          <w:szCs w:val="19"/>
        </w:rPr>
        <w:t xml:space="preserve">    e for e in priority_1</w:t>
      </w:r>
    </w:p>
    <w:p>
      <w:pPr>
        <w:shd w:fill="F2F2F2" w:val="clear"/>
        <w:spacing w:after="60" w:before="60"/>
        <w:ind w:left="360"/>
      </w:pPr>
      <w:r>
        <w:rPr>
          <w:rFonts w:ascii="Courier New" w:cs="Courier New" w:eastAsia="Courier New" w:hAnsi="Courier New"/>
          <w:color w:val="333333"/>
          <w:sz w:val="19"/>
          <w:szCs w:val="19"/>
        </w:rPr>
        <w:t xml:space="preserve">    if _should_keep_in_wide(e, role_map) and not _is_outcome_like_in_wide(e, json_result)</w:t>
      </w:r>
    </w:p>
    <w:p>
      <w:pPr>
        <w:shd w:fill="F2F2F2" w:val="clear"/>
        <w:spacing w:after="60" w:before="60"/>
        <w:ind w:left="360"/>
      </w:pPr>
      <w:r>
        <w:rPr>
          <w:rFonts w:ascii="Courier New" w:cs="Courier New" w:eastAsia="Courier New" w:hAnsi="Courier New"/>
          <w:color w:val="333333"/>
          <w:sz w:val="19"/>
          <w:szCs w:val="19"/>
        </w:rPr>
        <w:t xml:space="preserve">]</w:t>
      </w:r>
    </w:p>
    <w:p>
      <w:pPr>
        <w:spacing w:after="100"/>
      </w:pPr>
      <w:r>
        <w:t xml:space="preserve"/>
      </w:r>
    </w:p>
    <w:p>
      <w:pPr>
        <w:spacing w:after="120"/>
      </w:pPr>
      <w:r>
        <w:rPr>
          <w:rFonts w:ascii="Arial" w:cs="Arial" w:eastAsia="Arial" w:hAnsi="Arial"/>
          <w:b/>
          <w:bCs/>
          <w:sz w:val="22"/>
          <w:szCs w:val="22"/>
        </w:rPr>
        <w:t xml:space="preserve">Code proposé :</w:t>
      </w:r>
    </w:p>
    <w:p>
      <w:pPr>
        <w:shd w:fill="F2F2F2" w:val="clear"/>
        <w:spacing w:after="60" w:before="60"/>
        <w:ind w:left="360"/>
      </w:pPr>
      <w:r>
        <w:rPr>
          <w:rFonts w:ascii="Courier New" w:cs="Courier New" w:eastAsia="Courier New" w:hAnsi="Courier New"/>
          <w:color w:val="333333"/>
          <w:sz w:val="19"/>
          <w:szCs w:val="19"/>
        </w:rPr>
        <w:t xml:space="preserve">wide_elements = list(priority_1)  # SPEC: wide = tous les priority 1</w:t>
      </w:r>
    </w:p>
    <w:p>
      <w:pPr>
        <w:spacing w:after="100"/>
      </w:pPr>
      <w:r>
        <w:t xml:space="preserve"/>
      </w:r>
    </w:p>
    <w:p>
      <w:pPr>
        <w:spacing w:after="120"/>
      </w:pPr>
      <w:r>
        <w:rPr>
          <w:rFonts w:ascii="Arial" w:cs="Arial" w:eastAsia="Arial" w:hAnsi="Arial"/>
          <w:b/>
          <w:bCs/>
          <w:sz w:val="22"/>
          <w:szCs w:val="22"/>
        </w:rPr>
        <w:t xml:space="preserve">Effet immédiat :</w:t>
      </w:r>
    </w:p>
    <w:p>
      <w:pPr>
        <w:pStyle w:val="ListParagraph"/>
        <w:numPr>
          <w:ilvl w:val="0"/>
          <w:numId w:val="2"/>
        </w:numPr>
        <w:spacing w:after="80"/>
      </w:pPr>
      <w:r>
        <w:rPr>
          <w:rFonts w:ascii="Arial" w:cs="Arial" w:eastAsia="Arial" w:hAnsi="Arial"/>
          <w:b/>
          <w:bCs/>
          <w:sz w:val="22"/>
          <w:szCs w:val="22"/>
        </w:rPr>
        <w:t xml:space="preserve">Q1 </w:t>
      </w:r>
      <w:r>
        <w:rPr>
          <w:rFonts w:ascii="Arial" w:cs="Arial" w:eastAsia="Arial" w:hAnsi="Arial"/>
          <w:sz w:val="22"/>
          <w:szCs w:val="22"/>
        </w:rPr>
        <w:t xml:space="preserve">(explore) : wide = Population + Condition au lieu de Condition seule</w:t>
      </w:r>
    </w:p>
    <w:p>
      <w:pPr>
        <w:pStyle w:val="ListParagraph"/>
        <w:numPr>
          <w:ilvl w:val="0"/>
          <w:numId w:val="2"/>
        </w:numPr>
        <w:spacing w:after="80"/>
      </w:pPr>
      <w:r>
        <w:rPr>
          <w:rFonts w:ascii="Arial" w:cs="Arial" w:eastAsia="Arial" w:hAnsi="Arial"/>
          <w:b/>
          <w:bCs/>
          <w:sz w:val="22"/>
          <w:szCs w:val="22"/>
        </w:rPr>
        <w:t xml:space="preserve">Q3 </w:t>
      </w:r>
      <w:r>
        <w:rPr>
          <w:rFonts w:ascii="Arial" w:cs="Arial" w:eastAsia="Arial" w:hAnsi="Arial"/>
          <w:sz w:val="22"/>
          <w:szCs w:val="22"/>
        </w:rPr>
        <w:t xml:space="preserve">(prévalence) : wide = Population + Condition au lieu de Condition seule</w:t>
      </w:r>
    </w:p>
    <w:p>
      <w:pPr>
        <w:pStyle w:val="ListParagraph"/>
        <w:numPr>
          <w:ilvl w:val="0"/>
          <w:numId w:val="2"/>
        </w:numPr>
        <w:spacing w:after="80"/>
      </w:pPr>
      <w:r>
        <w:rPr>
          <w:rFonts w:ascii="Arial" w:cs="Arial" w:eastAsia="Arial" w:hAnsi="Arial"/>
          <w:b/>
          <w:bCs/>
          <w:sz w:val="22"/>
          <w:szCs w:val="22"/>
        </w:rPr>
        <w:t xml:space="preserve">Q5 </w:t>
      </w:r>
      <w:r>
        <w:rPr>
          <w:rFonts w:ascii="Arial" w:cs="Arial" w:eastAsia="Arial" w:hAnsi="Arial"/>
          <w:sz w:val="22"/>
          <w:szCs w:val="22"/>
        </w:rPr>
        <w:t xml:space="preserve">(adhérence) : wide = Population + Exposition ARV + Adhérence au lieu de Exposition ARV seule</w:t>
      </w:r>
    </w:p>
    <w:p>
      <w:pPr>
        <w:spacing w:after="100"/>
      </w:pPr>
      <w:r>
        <w:t xml:space="preserve"/>
      </w:r>
    </w:p>
    <w:p>
      <w:pPr>
        <w:pStyle w:val="Heading3"/>
        <w:spacing w:after="100" w:before="200"/>
      </w:pPr>
      <w:r>
        <w:rPr>
          <w:rFonts w:ascii="Arial" w:cs="Arial" w:eastAsia="Arial" w:hAnsi="Arial"/>
          <w:b/>
          <w:bCs/>
          <w:color w:val="2E4057"/>
          <w:sz w:val="24"/>
          <w:szCs w:val="24"/>
        </w:rPr>
        <w:t xml:space="preserve">Solution proposée (option B — conservative)</w:t>
      </w:r>
    </w:p>
    <w:p>
      <w:pPr>
        <w:spacing w:after="120"/>
      </w:pPr>
      <w:r>
        <w:rPr>
          <w:rFonts w:ascii="Arial" w:cs="Arial" w:eastAsia="Arial" w:hAnsi="Arial"/>
          <w:sz w:val="22"/>
          <w:szCs w:val="22"/>
        </w:rPr>
        <w:t xml:space="preserve">Si tu veux garder un filtrage intelligent du wide pour certains cas, utilise la logique litsearchr : ne retirer un concept du wide que s’il a une co-occurrence très faible avec les autres concepts actifs (c’est-à-dire qu’il ne contribue pas au sujet central). Cela nécessite de calculer un score de centralité par élément, mais c’est une amélioration de phase 2.</w:t>
      </w:r>
    </w:p>
    <w:p>
      <w:pPr>
        <w:spacing w:after="100"/>
      </w:pPr>
      <w:r>
        <w:t xml:space="preserve"/>
      </w:r>
    </w:p>
    <w:p>
      <w:pPr>
        <w:spacing w:after="120"/>
      </w:pPr>
      <w:r>
        <w:rPr>
          <w:rFonts w:ascii="Arial" w:cs="Arial" w:eastAsia="Arial" w:hAnsi="Arial"/>
          <w:b/>
          <w:bCs/>
          <w:sz w:val="22"/>
          <w:szCs w:val="22"/>
        </w:rPr>
        <w:t xml:space="preserve">Recommandation : </w:t>
      </w:r>
      <w:r>
        <w:rPr>
          <w:rFonts w:ascii="Arial" w:cs="Arial" w:eastAsia="Arial" w:hAnsi="Arial"/>
          <w:sz w:val="22"/>
          <w:szCs w:val="22"/>
        </w:rPr>
        <w:t xml:space="preserve">Commencer par l’option A (1 ligne de code), tester sur les 6 questions de l’audit, et itérer vers B si nécessaire.</w:t>
      </w:r>
    </w:p>
    <w:p>
      <w:pPr>
        <w:spacing w:after="100"/>
      </w:pPr>
      <w:r>
        <w:t xml:space="preserve"/>
      </w:r>
    </w:p>
    <w:p>
      <w:pPr>
        <w:pStyle w:val="Heading2"/>
        <w:spacing w:after="120" w:before="280"/>
      </w:pPr>
      <w:r>
        <w:rPr>
          <w:rFonts w:ascii="Arial" w:cs="Arial" w:eastAsia="Arial" w:hAnsi="Arial"/>
          <w:b/>
          <w:bCs/>
          <w:color w:val="1F497D"/>
          <w:sz w:val="26"/>
          <w:szCs w:val="26"/>
        </w:rPr>
        <w:t xml:space="preserve">2.2 Fix rapide : détection KAP sur les verbes conjugués</w:t>
      </w:r>
    </w:p>
    <w:p>
      <w:pPr>
        <w:spacing w:after="120"/>
      </w:pPr>
      <w:r>
        <w:rPr>
          <w:rFonts w:ascii="Arial" w:cs="Arial" w:eastAsia="Arial" w:hAnsi="Arial"/>
          <w:b/>
          <w:bCs/>
          <w:sz w:val="22"/>
          <w:szCs w:val="22"/>
        </w:rPr>
        <w:t xml:space="preserve">Le problème. </w:t>
      </w:r>
      <w:r>
        <w:rPr>
          <w:rFonts w:ascii="Arial" w:cs="Arial" w:eastAsia="Arial" w:hAnsi="Arial"/>
          <w:sz w:val="22"/>
          <w:szCs w:val="22"/>
        </w:rPr>
        <w:t xml:space="preserve">KEYWORD_TO_TAGS ne contient que les tokens exacts « savoir », « connaissance », « pratique ». Les formes conjuguées courantes (« savent », « connaissent ») ne déclenchent pas le pathway PEO/KAP.</w:t>
      </w:r>
    </w:p>
    <w:p>
      <w:pPr>
        <w:spacing w:after="100"/>
      </w:pPr>
      <w:r>
        <w:t xml:space="preserve"/>
      </w:r>
    </w:p>
    <w:p>
      <w:pPr>
        <w:spacing w:after="120"/>
      </w:pPr>
      <w:r>
        <w:rPr>
          <w:rFonts w:ascii="Arial" w:cs="Arial" w:eastAsia="Arial" w:hAnsi="Arial"/>
          <w:b/>
          <w:bCs/>
          <w:sz w:val="22"/>
          <w:szCs w:val="22"/>
        </w:rPr>
        <w:t xml:space="preserve">Ce que font les autres. </w:t>
      </w:r>
      <w:r>
        <w:rPr>
          <w:rFonts w:ascii="Arial" w:cs="Arial" w:eastAsia="Arial" w:hAnsi="Arial"/>
          <w:sz w:val="22"/>
          <w:szCs w:val="22"/>
        </w:rPr>
        <w:t xml:space="preserve">Elicit utilise la recherche sémantique pour interpréter « est-ce que les infirmiers savent... » comme une question de connaissance sans avoir besoin de tokens exacts. litsearchr utilise la lemmatisation (ramener « savent » à « savoir »). PICO Portal traite les composantes PICO par analyse sémantique LLM.</w:t>
      </w:r>
    </w:p>
    <w:p>
      <w:pPr>
        <w:spacing w:after="100"/>
      </w:pPr>
      <w:r>
        <w:t xml:space="preserve"/>
      </w:r>
    </w:p>
    <w:p>
      <w:pPr>
        <w:pStyle w:val="Heading3"/>
        <w:spacing w:after="100" w:before="200"/>
      </w:pPr>
      <w:r>
        <w:rPr>
          <w:rFonts w:ascii="Arial" w:cs="Arial" w:eastAsia="Arial" w:hAnsi="Arial"/>
          <w:b/>
          <w:bCs/>
          <w:color w:val="2E4057"/>
          <w:sz w:val="24"/>
          <w:szCs w:val="24"/>
        </w:rPr>
        <w:t xml:space="preserve">Solution proposée (2 niveaux)</w:t>
      </w:r>
    </w:p>
    <w:p>
      <w:pPr>
        <w:spacing w:after="120"/>
      </w:pPr>
      <w:r>
        <w:rPr>
          <w:rFonts w:ascii="Arial" w:cs="Arial" w:eastAsia="Arial" w:hAnsi="Arial"/>
          <w:b/>
          <w:bCs/>
          <w:sz w:val="22"/>
          <w:szCs w:val="22"/>
        </w:rPr>
        <w:t xml:space="preserve">Niveau 1 — immédiat (5 minutes). </w:t>
      </w:r>
      <w:r>
        <w:rPr>
          <w:rFonts w:ascii="Arial" w:cs="Arial" w:eastAsia="Arial" w:hAnsi="Arial"/>
          <w:sz w:val="22"/>
          <w:szCs w:val="22"/>
        </w:rPr>
        <w:t xml:space="preserve">Ajouter les formes conjuguées courantes à KEYWORD_TO_TAGS :</w:t>
      </w:r>
    </w:p>
    <w:p>
      <w:pPr>
        <w:spacing w:after="100"/>
      </w:pPr>
      <w:r>
        <w:t xml:space="preserve"/>
      </w:r>
    </w:p>
    <w:p>
      <w:pPr>
        <w:shd w:fill="F2F2F2" w:val="clear"/>
        <w:spacing w:after="60" w:before="60"/>
        <w:ind w:left="360"/>
      </w:pPr>
      <w:r>
        <w:rPr>
          <w:rFonts w:ascii="Courier New" w:cs="Courier New" w:eastAsia="Courier New" w:hAnsi="Courier New"/>
          <w:color w:val="333333"/>
          <w:sz w:val="19"/>
          <w:szCs w:val="19"/>
        </w:rPr>
        <w:t xml:space="preserve"># Formes conjuguées KAP à ajouter dans KEYWORD_TO_TAGS</w:t>
      </w:r>
    </w:p>
    <w:p>
      <w:pPr>
        <w:shd w:fill="F2F2F2" w:val="clear"/>
        <w:spacing w:after="60" w:before="60"/>
        <w:ind w:left="360"/>
      </w:pPr>
      <w:r>
        <w:rPr>
          <w:rFonts w:ascii="Courier New" w:cs="Courier New" w:eastAsia="Courier New" w:hAnsi="Courier New"/>
          <w:color w:val="333333"/>
          <w:sz w:val="19"/>
          <w:szCs w:val="19"/>
        </w:rPr>
        <w:t xml:space="preserve">"savent": ["M-KAP", "PEO"],</w:t>
      </w:r>
    </w:p>
    <w:p>
      <w:pPr>
        <w:shd w:fill="F2F2F2" w:val="clear"/>
        <w:spacing w:after="60" w:before="60"/>
        <w:ind w:left="360"/>
      </w:pPr>
      <w:r>
        <w:rPr>
          <w:rFonts w:ascii="Courier New" w:cs="Courier New" w:eastAsia="Courier New" w:hAnsi="Courier New"/>
          <w:color w:val="333333"/>
          <w:sz w:val="19"/>
          <w:szCs w:val="19"/>
        </w:rPr>
        <w:t xml:space="preserve">"connaissent": ["M-KAP", "PEO"],</w:t>
      </w:r>
    </w:p>
    <w:p>
      <w:pPr>
        <w:shd w:fill="F2F2F2" w:val="clear"/>
        <w:spacing w:after="60" w:before="60"/>
        <w:ind w:left="360"/>
      </w:pPr>
      <w:r>
        <w:rPr>
          <w:rFonts w:ascii="Courier New" w:cs="Courier New" w:eastAsia="Courier New" w:hAnsi="Courier New"/>
          <w:color w:val="333333"/>
          <w:sz w:val="19"/>
          <w:szCs w:val="19"/>
        </w:rPr>
        <w:t xml:space="preserve">"connaissances": ["M-KAP", "PEO"],</w:t>
      </w:r>
    </w:p>
    <w:p>
      <w:pPr>
        <w:shd w:fill="F2F2F2" w:val="clear"/>
        <w:spacing w:after="60" w:before="60"/>
        <w:ind w:left="360"/>
      </w:pPr>
      <w:r>
        <w:rPr>
          <w:rFonts w:ascii="Courier New" w:cs="Courier New" w:eastAsia="Courier New" w:hAnsi="Courier New"/>
          <w:color w:val="333333"/>
          <w:sz w:val="19"/>
          <w:szCs w:val="19"/>
        </w:rPr>
        <w:t xml:space="preserve">"pratiquent": ["M-KAP", "PEO"],</w:t>
      </w:r>
    </w:p>
    <w:p>
      <w:pPr>
        <w:shd w:fill="F2F2F2" w:val="clear"/>
        <w:spacing w:after="60" w:before="60"/>
        <w:ind w:left="360"/>
      </w:pPr>
      <w:r>
        <w:rPr>
          <w:rFonts w:ascii="Courier New" w:cs="Courier New" w:eastAsia="Courier New" w:hAnsi="Courier New"/>
          <w:color w:val="333333"/>
          <w:sz w:val="19"/>
          <w:szCs w:val="19"/>
        </w:rPr>
        <w:t xml:space="preserve">"maîtrisent": ["M-KAP", "PEO"],</w:t>
      </w:r>
    </w:p>
    <w:p>
      <w:pPr>
        <w:shd w:fill="F2F2F2" w:val="clear"/>
        <w:spacing w:after="60" w:before="60"/>
        <w:ind w:left="360"/>
      </w:pPr>
      <w:r>
        <w:rPr>
          <w:rFonts w:ascii="Courier New" w:cs="Courier New" w:eastAsia="Courier New" w:hAnsi="Courier New"/>
          <w:color w:val="333333"/>
          <w:sz w:val="19"/>
          <w:szCs w:val="19"/>
        </w:rPr>
        <w:t xml:space="preserve">"comprennent": ["M-KAP", "PEO"],</w:t>
      </w:r>
    </w:p>
    <w:p>
      <w:pPr>
        <w:shd w:fill="F2F2F2" w:val="clear"/>
        <w:spacing w:after="60" w:before="60"/>
        <w:ind w:left="360"/>
      </w:pPr>
      <w:r>
        <w:rPr>
          <w:rFonts w:ascii="Courier New" w:cs="Courier New" w:eastAsia="Courier New" w:hAnsi="Courier New"/>
          <w:color w:val="333333"/>
          <w:sz w:val="19"/>
          <w:szCs w:val="19"/>
        </w:rPr>
        <w:t xml:space="preserve">"gèrent": ["M-KAP", "PEO"],</w:t>
      </w:r>
    </w:p>
    <w:p>
      <w:pPr>
        <w:shd w:fill="F2F2F2" w:val="clear"/>
        <w:spacing w:after="60" w:before="60"/>
        <w:ind w:left="360"/>
      </w:pPr>
      <w:r>
        <w:rPr>
          <w:rFonts w:ascii="Courier New" w:cs="Courier New" w:eastAsia="Courier New" w:hAnsi="Courier New"/>
          <w:color w:val="333333"/>
          <w:sz w:val="19"/>
          <w:szCs w:val="19"/>
        </w:rPr>
        <w:t xml:space="preserve">"appliquent": ["M-KAP", "PEO"],</w:t>
      </w:r>
    </w:p>
    <w:p>
      <w:pPr>
        <w:shd w:fill="F2F2F2" w:val="clear"/>
        <w:spacing w:after="60" w:before="60"/>
        <w:ind w:left="360"/>
      </w:pPr>
      <w:r>
        <w:rPr>
          <w:rFonts w:ascii="Courier New" w:cs="Courier New" w:eastAsia="Courier New" w:hAnsi="Courier New"/>
          <w:color w:val="333333"/>
          <w:sz w:val="19"/>
          <w:szCs w:val="19"/>
        </w:rPr>
        <w:t xml:space="preserve">"respectent": ["M-KAP", "PEO"],</w:t>
      </w:r>
    </w:p>
    <w:p>
      <w:pPr>
        <w:shd w:fill="F2F2F2" w:val="clear"/>
        <w:spacing w:after="60" w:before="60"/>
        <w:ind w:left="360"/>
      </w:pPr>
      <w:r>
        <w:rPr>
          <w:rFonts w:ascii="Courier New" w:cs="Courier New" w:eastAsia="Courier New" w:hAnsi="Courier New"/>
          <w:color w:val="333333"/>
          <w:sz w:val="19"/>
          <w:szCs w:val="19"/>
        </w:rPr>
        <w:t xml:space="preserve">"suivent": ["M-KAP", "PEO"],  # ex: suivent le protocole</w:t>
      </w:r>
    </w:p>
    <w:p>
      <w:pPr>
        <w:spacing w:after="100"/>
      </w:pPr>
      <w:r>
        <w:t xml:space="preserve"/>
      </w:r>
    </w:p>
    <w:p>
      <w:pPr>
        <w:spacing w:after="120"/>
      </w:pPr>
      <w:r>
        <w:rPr>
          <w:rFonts w:ascii="Arial" w:cs="Arial" w:eastAsia="Arial" w:hAnsi="Arial"/>
          <w:b/>
          <w:bCs/>
          <w:sz w:val="22"/>
          <w:szCs w:val="22"/>
        </w:rPr>
        <w:t xml:space="preserve">Niveau 2 — structurel (sprint suivant). </w:t>
      </w:r>
      <w:r>
        <w:rPr>
          <w:rFonts w:ascii="Arial" w:cs="Arial" w:eastAsia="Arial" w:hAnsi="Arial"/>
          <w:sz w:val="22"/>
          <w:szCs w:val="22"/>
        </w:rPr>
        <w:t xml:space="preserve">Remplacer la détection par tokens par une détection par racinisation (stemming). La librairie Python snowball-stemmer peut ramener les verbes français à leur racine :</w:t>
      </w:r>
    </w:p>
    <w:p>
      <w:pPr>
        <w:spacing w:after="100"/>
      </w:pPr>
      <w:r>
        <w:t xml:space="preserve"/>
      </w:r>
    </w:p>
    <w:p>
      <w:pPr>
        <w:shd w:fill="F2F2F2" w:val="clear"/>
        <w:spacing w:after="60" w:before="60"/>
        <w:ind w:left="360"/>
      </w:pPr>
      <w:r>
        <w:rPr>
          <w:rFonts w:ascii="Courier New" w:cs="Courier New" w:eastAsia="Courier New" w:hAnsi="Courier New"/>
          <w:color w:val="333333"/>
          <w:sz w:val="19"/>
          <w:szCs w:val="19"/>
        </w:rPr>
        <w:t xml:space="preserve"># Exemple avec stemming</w:t>
      </w:r>
    </w:p>
    <w:p>
      <w:pPr>
        <w:shd w:fill="F2F2F2" w:val="clear"/>
        <w:spacing w:after="60" w:before="60"/>
        <w:ind w:left="360"/>
      </w:pPr>
      <w:r>
        <w:rPr>
          <w:rFonts w:ascii="Courier New" w:cs="Courier New" w:eastAsia="Courier New" w:hAnsi="Courier New"/>
          <w:color w:val="333333"/>
          <w:sz w:val="19"/>
          <w:szCs w:val="19"/>
        </w:rPr>
        <w:t xml:space="preserve">from nltk.stem.snowball import FrenchStemmer</w:t>
      </w:r>
    </w:p>
    <w:p>
      <w:pPr>
        <w:shd w:fill="F2F2F2" w:val="clear"/>
        <w:spacing w:after="60" w:before="60"/>
        <w:ind w:left="360"/>
      </w:pPr>
      <w:r>
        <w:rPr>
          <w:rFonts w:ascii="Courier New" w:cs="Courier New" w:eastAsia="Courier New" w:hAnsi="Courier New"/>
          <w:color w:val="333333"/>
          <w:sz w:val="19"/>
          <w:szCs w:val="19"/>
        </w:rPr>
        <w:t xml:space="preserve">stemmer = FrenchStemmer()</w:t>
      </w:r>
    </w:p>
    <w:p>
      <w:pPr>
        <w:shd w:fill="F2F2F2" w:val="clear"/>
        <w:spacing w:after="60" w:before="60"/>
        <w:ind w:left="360"/>
      </w:pPr>
      <w:r>
        <w:rPr>
          <w:rFonts w:ascii="Courier New" w:cs="Courier New" w:eastAsia="Courier New" w:hAnsi="Courier New"/>
          <w:color w:val="333333"/>
          <w:sz w:val="19"/>
          <w:szCs w:val="19"/>
        </w:rPr>
        <w:t xml:space="preserve"># stemmer.stem("savent") → "sav"</w:t>
      </w:r>
    </w:p>
    <w:p>
      <w:pPr>
        <w:shd w:fill="F2F2F2" w:val="clear"/>
        <w:spacing w:after="60" w:before="60"/>
        <w:ind w:left="360"/>
      </w:pPr>
      <w:r>
        <w:rPr>
          <w:rFonts w:ascii="Courier New" w:cs="Courier New" w:eastAsia="Courier New" w:hAnsi="Courier New"/>
          <w:color w:val="333333"/>
          <w:sz w:val="19"/>
          <w:szCs w:val="19"/>
        </w:rPr>
        <w:t xml:space="preserve"># stemmer.stem("savoir") → "sav"  → match !</w:t>
      </w:r>
    </w:p>
    <w:p>
      <w:pPr>
        <w:spacing w:after="100"/>
      </w:pPr>
      <w:r>
        <w:t xml:space="preserve"/>
      </w:r>
    </w:p>
    <w:p>
      <w:pPr>
        <w:spacing w:after="120"/>
      </w:pPr>
      <w:r>
        <w:rPr>
          <w:rFonts w:ascii="Arial" w:cs="Arial" w:eastAsia="Arial" w:hAnsi="Arial"/>
          <w:sz w:val="22"/>
          <w:szCs w:val="22"/>
        </w:rPr>
        <w:t xml:space="preserve">Cette approche est celle de litsearchr pour l’anglais. L’adapter au français couvrirait automatiquement toutes les conjugaisons sans liste manuelle.</w:t>
      </w:r>
    </w:p>
    <w:p>
      <w:pPr>
        <w:pageBreakBefore/>
      </w:pPr>
      <w:r>
        <w:t xml:space="preserve"/>
      </w:r>
    </w:p>
    <w:p>
      <w:pPr>
        <w:pStyle w:val="Heading1"/>
        <w:spacing w:after="180" w:before="360"/>
      </w:pPr>
      <w:r>
        <w:rPr>
          <w:rFonts w:ascii="Arial" w:cs="Arial" w:eastAsia="Arial" w:hAnsi="Arial"/>
          <w:b/>
          <w:bCs/>
          <w:color w:val="1F497D"/>
          <w:sz w:val="32"/>
          <w:szCs w:val="32"/>
        </w:rPr>
        <w:t xml:space="preserve">3. Améliorations inspirées des outils existants</w:t>
      </w:r>
    </w:p>
    <w:p>
      <w:pPr>
        <w:pStyle w:val="Heading2"/>
        <w:spacing w:after="120" w:before="280"/>
      </w:pPr>
      <w:r>
        <w:rPr>
          <w:rFonts w:ascii="Arial" w:cs="Arial" w:eastAsia="Arial" w:hAnsi="Arial"/>
          <w:b/>
          <w:bCs/>
          <w:color w:val="1F497D"/>
          <w:sz w:val="26"/>
          <w:szCs w:val="26"/>
        </w:rPr>
        <w:t xml:space="preserve">3.1 Boucle « recherche naïve puis enrichissement » (inspiré litsearchr)</w:t>
      </w:r>
    </w:p>
    <w:p>
      <w:pPr>
        <w:spacing w:after="100"/>
      </w:pPr>
      <w:r>
        <w:t xml:space="preserve"/>
      </w:r>
    </w:p>
    <w:p>
      <w:pPr>
        <w:spacing w:after="120"/>
      </w:pPr>
      <w:r>
        <w:rPr>
          <w:rFonts w:ascii="Arial" w:cs="Arial" w:eastAsia="Arial" w:hAnsi="Arial"/>
          <w:b/>
          <w:bCs/>
          <w:sz w:val="22"/>
          <w:szCs w:val="22"/>
        </w:rPr>
        <w:t xml:space="preserve">Le concept. </w:t>
      </w:r>
      <w:r>
        <w:rPr>
          <w:rFonts w:ascii="Arial" w:cs="Arial" w:eastAsia="Arial" w:hAnsi="Arial"/>
          <w:sz w:val="22"/>
          <w:szCs w:val="22"/>
        </w:rPr>
        <w:t xml:space="preserve">litsearchr part d’une recherche « naïve » (quelques termes simples), récupère un petit corpus, analyse les mots-clés co-occurrents et suggère des termes manquants. C’est exactement la boucle que votre page « Affiner Stratégie » pourrait offrir.</w:t>
      </w:r>
    </w:p>
    <w:p>
      <w:pPr>
        <w:spacing w:after="100"/>
      </w:pPr>
      <w:r>
        <w:t xml:space="preserve"/>
      </w:r>
    </w:p>
    <w:p>
      <w:pPr>
        <w:spacing w:after="120"/>
      </w:pPr>
      <w:r>
        <w:rPr>
          <w:rFonts w:ascii="Arial" w:cs="Arial" w:eastAsia="Arial" w:hAnsi="Arial"/>
          <w:b/>
          <w:bCs/>
          <w:sz w:val="22"/>
          <w:szCs w:val="22"/>
        </w:rPr>
        <w:t xml:space="preserve">Application concrète pour Research Companion :</w:t>
      </w:r>
    </w:p>
    <w:p>
      <w:pPr>
        <w:pStyle w:val="ListParagraph"/>
        <w:numPr>
          <w:ilvl w:val="0"/>
          <w:numId w:val="3"/>
        </w:numPr>
        <w:spacing w:after="80"/>
      </w:pPr>
      <w:r>
        <w:rPr>
          <w:rFonts w:ascii="Arial" w:cs="Arial" w:eastAsia="Arial" w:hAnsi="Arial"/>
          <w:sz w:val="22"/>
          <w:szCs w:val="22"/>
        </w:rPr>
        <w:t xml:space="preserve">L’étudiant entre sa question floue.</w:t>
      </w:r>
    </w:p>
    <w:p>
      <w:pPr>
        <w:pStyle w:val="ListParagraph"/>
        <w:numPr>
          <w:ilvl w:val="0"/>
          <w:numId w:val="3"/>
        </w:numPr>
        <w:spacing w:after="80"/>
      </w:pPr>
      <w:r>
        <w:rPr>
          <w:rFonts w:ascii="Arial" w:cs="Arial" w:eastAsia="Arial" w:hAnsi="Arial"/>
          <w:sz w:val="22"/>
          <w:szCs w:val="22"/>
        </w:rPr>
        <w:t xml:space="preserve">Le moteur génère une requête large (wide) et lance la recherche PubMed.</w:t>
      </w:r>
    </w:p>
    <w:p>
      <w:pPr>
        <w:pStyle w:val="ListParagraph"/>
        <w:numPr>
          <w:ilvl w:val="0"/>
          <w:numId w:val="3"/>
        </w:numPr>
        <w:spacing w:after="80"/>
      </w:pPr>
      <w:r>
        <w:rPr>
          <w:rFonts w:ascii="Arial" w:cs="Arial" w:eastAsia="Arial" w:hAnsi="Arial"/>
          <w:b/>
          <w:bCs/>
          <w:sz w:val="22"/>
          <w:szCs w:val="22"/>
        </w:rPr>
        <w:t xml:space="preserve">Nouveau : </w:t>
      </w:r>
      <w:r>
        <w:rPr>
          <w:rFonts w:ascii="Arial" w:cs="Arial" w:eastAsia="Arial" w:hAnsi="Arial"/>
          <w:sz w:val="22"/>
          <w:szCs w:val="22"/>
        </w:rPr>
        <w:t xml:space="preserve">le moteur analyse les MeSH terms et keywords des 20 premiers résultats.</w:t>
      </w:r>
    </w:p>
    <w:p>
      <w:pPr>
        <w:pStyle w:val="ListParagraph"/>
        <w:numPr>
          <w:ilvl w:val="0"/>
          <w:numId w:val="3"/>
        </w:numPr>
        <w:spacing w:after="80"/>
      </w:pPr>
      <w:r>
        <w:rPr>
          <w:rFonts w:ascii="Arial" w:cs="Arial" w:eastAsia="Arial" w:hAnsi="Arial"/>
          <w:b/>
          <w:bCs/>
          <w:sz w:val="22"/>
          <w:szCs w:val="22"/>
        </w:rPr>
        <w:t xml:space="preserve">Nouveau : </w:t>
      </w:r>
      <w:r>
        <w:rPr>
          <w:rFonts w:ascii="Arial" w:cs="Arial" w:eastAsia="Arial" w:hAnsi="Arial"/>
          <w:sz w:val="22"/>
          <w:szCs w:val="22"/>
        </w:rPr>
        <w:t xml:space="preserve">il propose 3-5 termes enrichissants que l’étudiant peut activer ou ignorer.</w:t>
      </w:r>
    </w:p>
    <w:p>
      <w:pPr>
        <w:pStyle w:val="ListParagraph"/>
        <w:numPr>
          <w:ilvl w:val="0"/>
          <w:numId w:val="3"/>
        </w:numPr>
        <w:spacing w:after="80"/>
      </w:pPr>
      <w:r>
        <w:rPr>
          <w:rFonts w:ascii="Arial" w:cs="Arial" w:eastAsia="Arial" w:hAnsi="Arial"/>
          <w:sz w:val="22"/>
          <w:szCs w:val="22"/>
        </w:rPr>
        <w:t xml:space="preserve">L’étudiant itère avec les termes enrichis.</w:t>
      </w:r>
    </w:p>
    <w:p>
      <w:pPr>
        <w:spacing w:after="100"/>
      </w:pPr>
      <w:r>
        <w:t xml:space="preserve"/>
      </w:r>
    </w:p>
    <w:p>
      <w:pPr>
        <w:spacing w:after="120"/>
      </w:pPr>
      <w:r>
        <w:rPr>
          <w:rFonts w:ascii="Arial" w:cs="Arial" w:eastAsia="Arial" w:hAnsi="Arial"/>
          <w:b/>
          <w:bCs/>
          <w:sz w:val="22"/>
          <w:szCs w:val="22"/>
        </w:rPr>
        <w:t xml:space="preserve">Valeur pour le junior. </w:t>
      </w:r>
      <w:r>
        <w:rPr>
          <w:rFonts w:ascii="Arial" w:cs="Arial" w:eastAsia="Arial" w:hAnsi="Arial"/>
          <w:sz w:val="22"/>
          <w:szCs w:val="22"/>
        </w:rPr>
        <w:t xml:space="preserve">L’étudiant apprend que sa requête initiale ne couvre pas tout. Le système lui montre quels termes MeSH apparaissent dans les articles retrouvés mais pas dans sa requête. C’est un apprentissage actif de la terminologie bibliographique.</w:t>
      </w:r>
    </w:p>
    <w:p>
      <w:pPr>
        <w:spacing w:after="100"/>
      </w:pPr>
      <w:r>
        <w:t xml:space="preserve"/>
      </w:r>
    </w:p>
    <w:p>
      <w:pPr>
        <w:spacing w:after="120"/>
      </w:pPr>
      <w:r>
        <w:rPr>
          <w:rFonts w:ascii="Arial" w:cs="Arial" w:eastAsia="Arial" w:hAnsi="Arial"/>
          <w:b/>
          <w:bCs/>
          <w:sz w:val="22"/>
          <w:szCs w:val="22"/>
        </w:rPr>
        <w:t xml:space="preserve">Complexité : </w:t>
      </w:r>
      <w:r>
        <w:rPr>
          <w:rFonts w:ascii="Arial" w:cs="Arial" w:eastAsia="Arial" w:hAnsi="Arial"/>
          <w:sz w:val="22"/>
          <w:szCs w:val="22"/>
        </w:rPr>
        <w:t xml:space="preserve">Moyenne. Le code pour extraire les MeSH des résultats PubMed est déjà dans pubmed_backend.py (_extract_mesh_terms). Il suffit d’agréger les MeSH des résultats et de comparer avec ceux de la requête.</w:t>
      </w:r>
    </w:p>
    <w:p>
      <w:pPr>
        <w:spacing w:after="100"/>
      </w:pPr>
      <w:r>
        <w:t xml:space="preserve"/>
      </w:r>
    </w:p>
    <w:p>
      <w:pPr>
        <w:pStyle w:val="Heading2"/>
        <w:spacing w:after="120" w:before="280"/>
      </w:pPr>
      <w:r>
        <w:rPr>
          <w:rFonts w:ascii="Arial" w:cs="Arial" w:eastAsia="Arial" w:hAnsi="Arial"/>
          <w:b/>
          <w:bCs/>
          <w:color w:val="1F497D"/>
          <w:sz w:val="26"/>
          <w:szCs w:val="26"/>
        </w:rPr>
        <w:t xml:space="preserve">3.2 Comptage en temps réel par bloc (inspiré 2Dsearch)</w:t>
      </w:r>
    </w:p>
    <w:p>
      <w:pPr>
        <w:spacing w:after="100"/>
      </w:pPr>
      <w:r>
        <w:t xml:space="preserve"/>
      </w:r>
    </w:p>
    <w:p>
      <w:pPr>
        <w:spacing w:after="120"/>
      </w:pPr>
      <w:r>
        <w:rPr>
          <w:rFonts w:ascii="Arial" w:cs="Arial" w:eastAsia="Arial" w:hAnsi="Arial"/>
          <w:b/>
          <w:bCs/>
          <w:sz w:val="22"/>
          <w:szCs w:val="22"/>
        </w:rPr>
        <w:t xml:space="preserve">Le concept. </w:t>
      </w:r>
      <w:r>
        <w:rPr>
          <w:rFonts w:ascii="Arial" w:cs="Arial" w:eastAsia="Arial" w:hAnsi="Arial"/>
          <w:sz w:val="22"/>
          <w:szCs w:val="22"/>
        </w:rPr>
        <w:t xml:space="preserve">2Dsearch permet de désactiver un bloc de la requête et de voir immédiatement l’impact sur le nombre de résultats. C’est un outil de compréhension puissant.</w:t>
      </w:r>
    </w:p>
    <w:p>
      <w:pPr>
        <w:spacing w:after="100"/>
      </w:pPr>
      <w:r>
        <w:t xml:space="preserve"/>
      </w:r>
    </w:p>
    <w:p>
      <w:pPr>
        <w:spacing w:after="120"/>
      </w:pPr>
      <w:r>
        <w:rPr>
          <w:rFonts w:ascii="Arial" w:cs="Arial" w:eastAsia="Arial" w:hAnsi="Arial"/>
          <w:b/>
          <w:bCs/>
          <w:sz w:val="22"/>
          <w:szCs w:val="22"/>
        </w:rPr>
        <w:t xml:space="preserve">Application concrète :</w:t>
      </w:r>
    </w:p>
    <w:p>
      <w:pPr>
        <w:pStyle w:val="ListParagraph"/>
        <w:numPr>
          <w:ilvl w:val="0"/>
          <w:numId w:val="2"/>
        </w:numPr>
        <w:spacing w:after="80"/>
      </w:pPr>
      <w:r>
        <w:rPr>
          <w:rFonts w:ascii="Arial" w:cs="Arial" w:eastAsia="Arial" w:hAnsi="Arial"/>
          <w:sz w:val="22"/>
          <w:szCs w:val="22"/>
        </w:rPr>
        <w:t xml:space="preserve">Sur la page Affiner Stratégie, chaque concept montre un compteur : nombre de résultats PubMed si ce concept était retiré de la requête.</w:t>
      </w:r>
    </w:p>
    <w:p>
      <w:pPr>
        <w:pStyle w:val="ListParagraph"/>
        <w:numPr>
          <w:ilvl w:val="0"/>
          <w:numId w:val="2"/>
        </w:numPr>
        <w:spacing w:after="80"/>
      </w:pPr>
      <w:r>
        <w:rPr>
          <w:rFonts w:ascii="Arial" w:cs="Arial" w:eastAsia="Arial" w:hAnsi="Arial"/>
          <w:sz w:val="22"/>
          <w:szCs w:val="22"/>
        </w:rPr>
        <w:t xml:space="preserve">L’étudiant voit que retirer « Population » fait passer de 120 à 4 500 résultats → il comprend intuitivement l’effet de chaque filtre.</w:t>
      </w:r>
    </w:p>
    <w:p>
      <w:pPr>
        <w:pStyle w:val="ListParagraph"/>
        <w:numPr>
          <w:ilvl w:val="0"/>
          <w:numId w:val="2"/>
        </w:numPr>
        <w:spacing w:after="80"/>
      </w:pPr>
      <w:r>
        <w:rPr>
          <w:rFonts w:ascii="Arial" w:cs="Arial" w:eastAsia="Arial" w:hAnsi="Arial"/>
          <w:sz w:val="22"/>
          <w:szCs w:val="22"/>
        </w:rPr>
        <w:t xml:space="preserve">Retirer « Géographie » fait passer de 120 à 300 → impact modéré, il peut décider de l’élargir.</w:t>
      </w:r>
    </w:p>
    <w:p>
      <w:pPr>
        <w:spacing w:after="100"/>
      </w:pPr>
      <w:r>
        <w:t xml:space="preserve"/>
      </w:r>
    </w:p>
    <w:p>
      <w:pPr>
        <w:spacing w:after="120"/>
      </w:pPr>
      <w:r>
        <w:rPr>
          <w:rFonts w:ascii="Arial" w:cs="Arial" w:eastAsia="Arial" w:hAnsi="Arial"/>
          <w:b/>
          <w:bCs/>
          <w:sz w:val="22"/>
          <w:szCs w:val="22"/>
        </w:rPr>
        <w:t xml:space="preserve">Complexité : </w:t>
      </w:r>
      <w:r>
        <w:rPr>
          <w:rFonts w:ascii="Arial" w:cs="Arial" w:eastAsia="Arial" w:hAnsi="Arial"/>
          <w:sz w:val="22"/>
          <w:szCs w:val="22"/>
        </w:rPr>
        <w:t xml:space="preserve">Faible-moyenne. L’API PubMed ESearch retourne un compteur gratuit et rapide. Il suffit de lancer N requêtes (une par variante « sans ce bloc »). Votre pubmed_backend.py semble déjà avoir les fonctions de comptage.</w:t>
      </w:r>
    </w:p>
    <w:p>
      <w:pPr>
        <w:spacing w:after="100"/>
      </w:pPr>
      <w:r>
        <w:t xml:space="preserve"/>
      </w:r>
    </w:p>
    <w:p>
      <w:pPr>
        <w:pStyle w:val="Heading2"/>
        <w:spacing w:after="120" w:before="280"/>
      </w:pPr>
      <w:r>
        <w:rPr>
          <w:rFonts w:ascii="Arial" w:cs="Arial" w:eastAsia="Arial" w:hAnsi="Arial"/>
          <w:b/>
          <w:bCs/>
          <w:color w:val="1F497D"/>
          <w:sz w:val="26"/>
          <w:szCs w:val="26"/>
        </w:rPr>
        <w:t xml:space="preserve">3.3 Filet de sécurité sémantique (inspiré Elicit)</w:t>
      </w:r>
    </w:p>
    <w:p>
      <w:pPr>
        <w:spacing w:after="100"/>
      </w:pPr>
      <w:r>
        <w:t xml:space="preserve"/>
      </w:r>
    </w:p>
    <w:p>
      <w:pPr>
        <w:spacing w:after="120"/>
      </w:pPr>
      <w:r>
        <w:rPr>
          <w:rFonts w:ascii="Arial" w:cs="Arial" w:eastAsia="Arial" w:hAnsi="Arial"/>
          <w:b/>
          <w:bCs/>
          <w:sz w:val="22"/>
          <w:szCs w:val="22"/>
        </w:rPr>
        <w:t xml:space="preserve">Le concept. </w:t>
      </w:r>
      <w:r>
        <w:rPr>
          <w:rFonts w:ascii="Arial" w:cs="Arial" w:eastAsia="Arial" w:hAnsi="Arial"/>
          <w:sz w:val="22"/>
          <w:szCs w:val="22"/>
        </w:rPr>
        <w:t xml:space="preserve">Elicit ne se limite pas à la recherche booléenne. Il utilise aussi la recherche sémantique (embeddings) pour trouver des articles pertinents qui ne matchent pas la syntaxe exacte.</w:t>
      </w:r>
    </w:p>
    <w:p>
      <w:pPr>
        <w:spacing w:after="100"/>
      </w:pPr>
      <w:r>
        <w:t xml:space="preserve"/>
      </w:r>
    </w:p>
    <w:p>
      <w:pPr>
        <w:spacing w:after="120"/>
      </w:pPr>
      <w:r>
        <w:rPr>
          <w:rFonts w:ascii="Arial" w:cs="Arial" w:eastAsia="Arial" w:hAnsi="Arial"/>
          <w:b/>
          <w:bCs/>
          <w:sz w:val="22"/>
          <w:szCs w:val="22"/>
        </w:rPr>
        <w:t xml:space="preserve">Application concrète :</w:t>
      </w:r>
    </w:p>
    <w:p>
      <w:pPr>
        <w:pStyle w:val="ListParagraph"/>
        <w:numPr>
          <w:ilvl w:val="0"/>
          <w:numId w:val="3"/>
        </w:numPr>
        <w:spacing w:after="80"/>
      </w:pPr>
      <w:r>
        <w:rPr>
          <w:rFonts w:ascii="Arial" w:cs="Arial" w:eastAsia="Arial" w:hAnsi="Arial"/>
          <w:b/>
          <w:bCs/>
          <w:sz w:val="22"/>
          <w:szCs w:val="22"/>
        </w:rPr>
        <w:t xml:space="preserve">Après la requête booléenne. </w:t>
      </w:r>
      <w:r>
        <w:rPr>
          <w:rFonts w:ascii="Arial" w:cs="Arial" w:eastAsia="Arial" w:hAnsi="Arial"/>
          <w:sz w:val="22"/>
          <w:szCs w:val="22"/>
        </w:rPr>
        <w:t xml:space="preserve">Le moteur lance une recherche sémantique sur Semantic Scholar ou PubMed PMC en parallèle avec le texte de la question en langage naturel.</w:t>
      </w:r>
    </w:p>
    <w:p>
      <w:pPr>
        <w:pStyle w:val="ListParagraph"/>
        <w:numPr>
          <w:ilvl w:val="0"/>
          <w:numId w:val="3"/>
        </w:numPr>
        <w:spacing w:after="80"/>
      </w:pPr>
      <w:r>
        <w:rPr>
          <w:rFonts w:ascii="Arial" w:cs="Arial" w:eastAsia="Arial" w:hAnsi="Arial"/>
          <w:b/>
          <w:bCs/>
          <w:sz w:val="22"/>
          <w:szCs w:val="22"/>
        </w:rPr>
        <w:t xml:space="preserve">Comparaison des résultats. </w:t>
      </w:r>
      <w:r>
        <w:rPr>
          <w:rFonts w:ascii="Arial" w:cs="Arial" w:eastAsia="Arial" w:hAnsi="Arial"/>
          <w:sz w:val="22"/>
          <w:szCs w:val="22"/>
        </w:rPr>
        <w:t xml:space="preserve">Les articles trouvés par la recherche sémantique mais PAS par la requête booléenne sont signalés à l’étudiant : « Ces articles semblent pertinents mais ne matchent pas votre requête. Voulez-vous explorer pourquoi ? »</w:t>
      </w:r>
    </w:p>
    <w:p>
      <w:pPr>
        <w:pStyle w:val="ListParagraph"/>
        <w:numPr>
          <w:ilvl w:val="0"/>
          <w:numId w:val="3"/>
        </w:numPr>
        <w:spacing w:after="80"/>
      </w:pPr>
      <w:r>
        <w:rPr>
          <w:rFonts w:ascii="Arial" w:cs="Arial" w:eastAsia="Arial" w:hAnsi="Arial"/>
          <w:b/>
          <w:bCs/>
          <w:sz w:val="22"/>
          <w:szCs w:val="22"/>
        </w:rPr>
        <w:t xml:space="preserve">Enrichissement de la requête. </w:t>
      </w:r>
      <w:r>
        <w:rPr>
          <w:rFonts w:ascii="Arial" w:cs="Arial" w:eastAsia="Arial" w:hAnsi="Arial"/>
          <w:sz w:val="22"/>
          <w:szCs w:val="22"/>
        </w:rPr>
        <w:t xml:space="preserve">Les termes des articles « manqués » sont proposés comme candidats à ajouter à la stratégie.</w:t>
      </w:r>
    </w:p>
    <w:p>
      <w:pPr>
        <w:spacing w:after="100"/>
      </w:pPr>
      <w:r>
        <w:t xml:space="preserve"/>
      </w:r>
    </w:p>
    <w:p>
      <w:pPr>
        <w:spacing w:after="120"/>
      </w:pPr>
      <w:r>
        <w:rPr>
          <w:rFonts w:ascii="Arial" w:cs="Arial" w:eastAsia="Arial" w:hAnsi="Arial"/>
          <w:b/>
          <w:bCs/>
          <w:sz w:val="22"/>
          <w:szCs w:val="22"/>
        </w:rPr>
        <w:t xml:space="preserve">Valeur pour le junior. </w:t>
      </w:r>
      <w:r>
        <w:rPr>
          <w:rFonts w:ascii="Arial" w:cs="Arial" w:eastAsia="Arial" w:hAnsi="Arial"/>
          <w:sz w:val="22"/>
          <w:szCs w:val="22"/>
        </w:rPr>
        <w:t xml:space="preserve">C’est le filet de sécurité dont un débutant a besoin. Il ne sait pas ce qu’il ne sait pas. La recherche sémantique couvre ses angles morts.</w:t>
      </w:r>
    </w:p>
    <w:p>
      <w:pPr>
        <w:spacing w:after="100"/>
      </w:pPr>
      <w:r>
        <w:t xml:space="preserve"/>
      </w:r>
    </w:p>
    <w:p>
      <w:pPr>
        <w:spacing w:after="120"/>
      </w:pPr>
      <w:r>
        <w:rPr>
          <w:rFonts w:ascii="Arial" w:cs="Arial" w:eastAsia="Arial" w:hAnsi="Arial"/>
          <w:b/>
          <w:bCs/>
          <w:sz w:val="22"/>
          <w:szCs w:val="22"/>
        </w:rPr>
        <w:t xml:space="preserve">Complexité : </w:t>
      </w:r>
      <w:r>
        <w:rPr>
          <w:rFonts w:ascii="Arial" w:cs="Arial" w:eastAsia="Arial" w:hAnsi="Arial"/>
          <w:sz w:val="22"/>
          <w:szCs w:val="22"/>
        </w:rPr>
        <w:t xml:space="preserve">Élevée. Nécessite une API de recherche sémantique (Semantic Scholar API est gratuite). Mais c’est un différenciateur fort par rapport aux outils purement booléens.</w:t>
      </w:r>
    </w:p>
    <w:p>
      <w:pPr>
        <w:spacing w:after="100"/>
      </w:pPr>
      <w:r>
        <w:t xml:space="preserve"/>
      </w:r>
    </w:p>
    <w:p>
      <w:pPr>
        <w:pStyle w:val="Heading2"/>
        <w:spacing w:after="120" w:before="280"/>
      </w:pPr>
      <w:r>
        <w:rPr>
          <w:rFonts w:ascii="Arial" w:cs="Arial" w:eastAsia="Arial" w:hAnsi="Arial"/>
          <w:b/>
          <w:bCs/>
          <w:color w:val="1F497D"/>
          <w:sz w:val="26"/>
          <w:szCs w:val="26"/>
        </w:rPr>
        <w:t xml:space="preserve">3.4 Traduction multi-plateforme (inspiré Polyglot)</w:t>
      </w:r>
    </w:p>
    <w:p>
      <w:pPr>
        <w:spacing w:after="100"/>
      </w:pPr>
      <w:r>
        <w:t xml:space="preserve"/>
      </w:r>
    </w:p>
    <w:p>
      <w:pPr>
        <w:spacing w:after="120"/>
      </w:pPr>
      <w:r>
        <w:rPr>
          <w:rFonts w:ascii="Arial" w:cs="Arial" w:eastAsia="Arial" w:hAnsi="Arial"/>
          <w:b/>
          <w:bCs/>
          <w:sz w:val="22"/>
          <w:szCs w:val="22"/>
        </w:rPr>
        <w:t xml:space="preserve">Le concept. </w:t>
      </w:r>
      <w:r>
        <w:rPr>
          <w:rFonts w:ascii="Arial" w:cs="Arial" w:eastAsia="Arial" w:hAnsi="Arial"/>
          <w:sz w:val="22"/>
          <w:szCs w:val="22"/>
        </w:rPr>
        <w:t xml:space="preserve">Polyglot traduit une requête PubMed vers 10+ bases de données. Votre SPEC prévoit déjà un backend Scopus, Web of Science, Embase. Polyglot montre que la difficulté n’est pas dans le code mais dans la gestion des cas limites de syntaxe.</w:t>
      </w:r>
    </w:p>
    <w:p>
      <w:pPr>
        <w:spacing w:after="100"/>
      </w:pPr>
      <w:r>
        <w:t xml:space="preserve"/>
      </w:r>
    </w:p>
    <w:p>
      <w:pPr>
        <w:spacing w:after="120"/>
      </w:pPr>
      <w:r>
        <w:rPr>
          <w:rFonts w:ascii="Arial" w:cs="Arial" w:eastAsia="Arial" w:hAnsi="Arial"/>
          <w:b/>
          <w:bCs/>
          <w:sz w:val="22"/>
          <w:szCs w:val="22"/>
        </w:rPr>
        <w:t xml:space="preserve">Approche recommandée. </w:t>
      </w:r>
      <w:r>
        <w:rPr>
          <w:rFonts w:ascii="Arial" w:cs="Arial" w:eastAsia="Arial" w:hAnsi="Arial"/>
          <w:sz w:val="22"/>
          <w:szCs w:val="22"/>
        </w:rPr>
        <w:t xml:space="preserve">Plutôt que de réécrire la logique de traduction, encapsuler Polyglot comme bibliothèque de référence pour les règles de syntaxe. Le repo GitHub IEBH/sra-polyglot est open source et peut servir de documentation exhaustive des différences syntaxiques entre bases.</w:t>
      </w:r>
    </w:p>
    <w:p>
      <w:pPr>
        <w:spacing w:after="100"/>
      </w:pPr>
      <w:r>
        <w:t xml:space="preserve"/>
      </w:r>
    </w:p>
    <w:p>
      <w:pPr>
        <w:spacing w:after="120"/>
      </w:pPr>
      <w:r>
        <w:rPr>
          <w:rFonts w:ascii="Arial" w:cs="Arial" w:eastAsia="Arial" w:hAnsi="Arial"/>
          <w:b/>
          <w:bCs/>
          <w:sz w:val="22"/>
          <w:szCs w:val="22"/>
        </w:rPr>
        <w:t xml:space="preserve">Planning suggéré :</w:t>
      </w:r>
    </w:p>
    <w:p>
      <w:pPr>
        <w:pStyle w:val="ListParagraph"/>
        <w:numPr>
          <w:ilvl w:val="0"/>
          <w:numId w:val="3"/>
        </w:numPr>
        <w:spacing w:after="80"/>
      </w:pPr>
      <w:r>
        <w:rPr>
          <w:rFonts w:ascii="Arial" w:cs="Arial" w:eastAsia="Arial" w:hAnsi="Arial"/>
          <w:sz w:val="22"/>
          <w:szCs w:val="22"/>
        </w:rPr>
        <w:t xml:space="preserve">PubMed : déjà implémenté (backend opérationnel).</w:t>
      </w:r>
    </w:p>
    <w:p>
      <w:pPr>
        <w:pStyle w:val="ListParagraph"/>
        <w:numPr>
          <w:ilvl w:val="0"/>
          <w:numId w:val="3"/>
        </w:numPr>
        <w:spacing w:after="80"/>
      </w:pPr>
      <w:r>
        <w:rPr>
          <w:rFonts w:ascii="Arial" w:cs="Arial" w:eastAsia="Arial" w:hAnsi="Arial"/>
          <w:sz w:val="22"/>
          <w:szCs w:val="22"/>
        </w:rPr>
        <w:t xml:space="preserve">Scopus : le plus demandé après PubMed en santé publique. Syntaxe TITLE-ABS-KEY().</w:t>
      </w:r>
    </w:p>
    <w:p>
      <w:pPr>
        <w:pStyle w:val="ListParagraph"/>
        <w:numPr>
          <w:ilvl w:val="0"/>
          <w:numId w:val="3"/>
        </w:numPr>
        <w:spacing w:after="80"/>
      </w:pPr>
      <w:r>
        <w:rPr>
          <w:rFonts w:ascii="Arial" w:cs="Arial" w:eastAsia="Arial" w:hAnsi="Arial"/>
          <w:sz w:val="22"/>
          <w:szCs w:val="22"/>
        </w:rPr>
        <w:t xml:space="preserve">Web of Science : TS= syntax. Utile pour les revues systématiques complètes.</w:t>
      </w:r>
    </w:p>
    <w:p>
      <w:pPr>
        <w:pStyle w:val="ListParagraph"/>
        <w:numPr>
          <w:ilvl w:val="0"/>
          <w:numId w:val="3"/>
        </w:numPr>
        <w:spacing w:after="80"/>
      </w:pPr>
      <w:r>
        <w:rPr>
          <w:rFonts w:ascii="Arial" w:cs="Arial" w:eastAsia="Arial" w:hAnsi="Arial"/>
          <w:sz w:val="22"/>
          <w:szCs w:val="22"/>
        </w:rPr>
        <w:t xml:space="preserve">Embase : essentiel pour la pharmacologie et les essais cliniques. Emtree en plus du MeSH.</w:t>
      </w:r>
    </w:p>
    <w:p>
      <w:pPr>
        <w:spacing w:after="100"/>
      </w:pPr>
      <w:r>
        <w:t xml:space="preserve"/>
      </w:r>
    </w:p>
    <w:p>
      <w:pPr>
        <w:spacing w:after="120"/>
      </w:pPr>
      <w:r>
        <w:rPr>
          <w:rFonts w:ascii="Arial" w:cs="Arial" w:eastAsia="Arial" w:hAnsi="Arial"/>
          <w:b/>
          <w:bCs/>
          <w:sz w:val="22"/>
          <w:szCs w:val="22"/>
        </w:rPr>
        <w:t xml:space="preserve">Complexité par backend : </w:t>
      </w:r>
      <w:r>
        <w:rPr>
          <w:rFonts w:ascii="Arial" w:cs="Arial" w:eastAsia="Arial" w:hAnsi="Arial"/>
          <w:sz w:val="22"/>
          <w:szCs w:val="22"/>
        </w:rPr>
        <w:t xml:space="preserve">Faible individuellement (chaque backend est un traducteur de la stratégie canonique). Mais la qualité dépend du soin apporté aux détails syntaxiques. Polyglot a documenté des centaines de cas limites.</w:t>
      </w:r>
    </w:p>
    <w:p>
      <w:pPr>
        <w:spacing w:after="100"/>
      </w:pPr>
      <w:r>
        <w:t xml:space="preserve"/>
      </w:r>
    </w:p>
    <w:p>
      <w:pPr>
        <w:pStyle w:val="Heading2"/>
        <w:spacing w:after="120" w:before="280"/>
      </w:pPr>
      <w:r>
        <w:rPr>
          <w:rFonts w:ascii="Arial" w:cs="Arial" w:eastAsia="Arial" w:hAnsi="Arial"/>
          <w:b/>
          <w:bCs/>
          <w:color w:val="1F497D"/>
          <w:sz w:val="26"/>
          <w:szCs w:val="26"/>
        </w:rPr>
        <w:t xml:space="preserve">3.5 Priorisation post-recherche (inspiré ASReview)</w:t>
      </w:r>
    </w:p>
    <w:p>
      <w:pPr>
        <w:spacing w:after="100"/>
      </w:pPr>
      <w:r>
        <w:t xml:space="preserve"/>
      </w:r>
    </w:p>
    <w:p>
      <w:pPr>
        <w:spacing w:after="120"/>
      </w:pPr>
      <w:r>
        <w:rPr>
          <w:rFonts w:ascii="Arial" w:cs="Arial" w:eastAsia="Arial" w:hAnsi="Arial"/>
          <w:b/>
          <w:bCs/>
          <w:sz w:val="22"/>
          <w:szCs w:val="22"/>
        </w:rPr>
        <w:t xml:space="preserve">Le concept. </w:t>
      </w:r>
      <w:r>
        <w:rPr>
          <w:rFonts w:ascii="Arial" w:cs="Arial" w:eastAsia="Arial" w:hAnsi="Arial"/>
          <w:sz w:val="22"/>
          <w:szCs w:val="22"/>
        </w:rPr>
        <w:t xml:space="preserve">ASReview utilise l’active learning : l’utilisateur classe quelques articles comme pertinents/non pertinents, et l’algorithme réordonne les suivants par probabilité de pertinence. C’est un tri assisté, pas automatique.</w:t>
      </w:r>
    </w:p>
    <w:p>
      <w:pPr>
        <w:spacing w:after="100"/>
      </w:pPr>
      <w:r>
        <w:t xml:space="preserve"/>
      </w:r>
    </w:p>
    <w:p>
      <w:pPr>
        <w:spacing w:after="120"/>
      </w:pPr>
      <w:r>
        <w:rPr>
          <w:rFonts w:ascii="Arial" w:cs="Arial" w:eastAsia="Arial" w:hAnsi="Arial"/>
          <w:b/>
          <w:bCs/>
          <w:sz w:val="22"/>
          <w:szCs w:val="22"/>
        </w:rPr>
        <w:t xml:space="preserve">Application concrète. </w:t>
      </w:r>
      <w:r>
        <w:rPr>
          <w:rFonts w:ascii="Arial" w:cs="Arial" w:eastAsia="Arial" w:hAnsi="Arial"/>
          <w:sz w:val="22"/>
          <w:szCs w:val="22"/>
        </w:rPr>
        <w:t xml:space="preserve">Votre reading_prioritization.py et hybrid_reranker.py font déjà une forme de cela avec le scoring par bandes (Très pertinent / Pertinent / À vérifier). L’amélioration serait :</w:t>
      </w:r>
    </w:p>
    <w:p>
      <w:pPr>
        <w:pStyle w:val="ListParagraph"/>
        <w:numPr>
          <w:ilvl w:val="0"/>
          <w:numId w:val="2"/>
        </w:numPr>
        <w:spacing w:after="80"/>
      </w:pPr>
      <w:r>
        <w:rPr>
          <w:rFonts w:ascii="Arial" w:cs="Arial" w:eastAsia="Arial" w:hAnsi="Arial"/>
          <w:b/>
          <w:bCs/>
          <w:sz w:val="22"/>
          <w:szCs w:val="22"/>
        </w:rPr>
        <w:t xml:space="preserve">Feedback loop. </w:t>
      </w:r>
      <w:r>
        <w:rPr>
          <w:rFonts w:ascii="Arial" w:cs="Arial" w:eastAsia="Arial" w:hAnsi="Arial"/>
          <w:sz w:val="22"/>
          <w:szCs w:val="22"/>
        </w:rPr>
        <w:t xml:space="preserve">L’étudiant peut marquer un article comme « pertinent » ou « hors sujet ». Le moteur ajuste le classement des articles restants en conséquence.</w:t>
      </w:r>
    </w:p>
    <w:p>
      <w:pPr>
        <w:pStyle w:val="ListParagraph"/>
        <w:numPr>
          <w:ilvl w:val="0"/>
          <w:numId w:val="2"/>
        </w:numPr>
        <w:spacing w:after="80"/>
      </w:pPr>
      <w:r>
        <w:rPr>
          <w:rFonts w:ascii="Arial" w:cs="Arial" w:eastAsia="Arial" w:hAnsi="Arial"/>
          <w:b/>
          <w:bCs/>
          <w:sz w:val="22"/>
          <w:szCs w:val="22"/>
        </w:rPr>
        <w:t xml:space="preserve">Scoring explicable. </w:t>
      </w:r>
      <w:r>
        <w:rPr>
          <w:rFonts w:ascii="Arial" w:cs="Arial" w:eastAsia="Arial" w:hAnsi="Arial"/>
          <w:sz w:val="22"/>
          <w:szCs w:val="22"/>
        </w:rPr>
        <w:t xml:space="preserve">Montrer pourquoi un article est classé « Très pertinent » : « Contient vos 3 concepts centraux dans le titre et l’abstract ».</w:t>
      </w:r>
    </w:p>
    <w:p>
      <w:pPr>
        <w:spacing w:after="100"/>
      </w:pPr>
      <w:r>
        <w:t xml:space="preserve"/>
      </w:r>
    </w:p>
    <w:p>
      <w:pPr>
        <w:spacing w:after="120"/>
      </w:pPr>
      <w:r>
        <w:rPr>
          <w:rFonts w:ascii="Arial" w:cs="Arial" w:eastAsia="Arial" w:hAnsi="Arial"/>
          <w:b/>
          <w:bCs/>
          <w:sz w:val="22"/>
          <w:szCs w:val="22"/>
        </w:rPr>
        <w:t xml:space="preserve">Complexité : </w:t>
      </w:r>
      <w:r>
        <w:rPr>
          <w:rFonts w:ascii="Arial" w:cs="Arial" w:eastAsia="Arial" w:hAnsi="Arial"/>
          <w:sz w:val="22"/>
          <w:szCs w:val="22"/>
        </w:rPr>
        <w:t xml:space="preserve">Moyenne. La boucle de feedback est simple (pondérer les termes selon les articles marqués). L’explicabilité du scoring ajoute de la valeur pédagogique sans grand coût.</w:t>
      </w:r>
    </w:p>
    <w:p>
      <w:pPr>
        <w:pageBreakBefore/>
      </w:pPr>
      <w:r>
        <w:t xml:space="preserve"/>
      </w:r>
    </w:p>
    <w:p>
      <w:pPr>
        <w:pStyle w:val="Heading1"/>
        <w:spacing w:after="180" w:before="360"/>
      </w:pPr>
      <w:r>
        <w:rPr>
          <w:rFonts w:ascii="Arial" w:cs="Arial" w:eastAsia="Arial" w:hAnsi="Arial"/>
          <w:b/>
          <w:bCs/>
          <w:color w:val="1F497D"/>
          <w:sz w:val="32"/>
          <w:szCs w:val="32"/>
        </w:rPr>
        <w:t xml:space="preserve">4. Roadmap suggérée</w:t>
      </w:r>
    </w:p>
    <w:p>
      <w:pPr>
        <w:spacing w:after="100"/>
      </w:pPr>
      <w:r>
        <w:t xml:space="preserve"/>
      </w:r>
    </w:p>
    <w:p>
      <w:pPr>
        <w:spacing w:after="120"/>
      </w:pPr>
      <w:r>
        <w:rPr>
          <w:rFonts w:ascii="Arial" w:cs="Arial" w:eastAsia="Arial" w:hAnsi="Arial"/>
          <w:sz w:val="22"/>
          <w:szCs w:val="22"/>
        </w:rPr>
        <w:t xml:space="preserve">Organisation des solutions en 3 phases, de la plus urgente à la plus ambitieuse.</w:t>
      </w:r>
    </w:p>
    <w:p>
      <w:pPr>
        <w:spacing w:after="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3500"/>
        <w:gridCol w:w="2400"/>
        <w:gridCol w:w="2260"/>
      </w:tblGrid>
      <w:tr>
        <w:trPr>
          <w:tblHeader/>
        </w:trPr>
        <w:tc>
          <w:tcPr>
            <w:tcW w:type="dxa" w:w="1200"/>
            <w:tcBorders>
              <w:top w:val="single" w:color="CCCCCC" w:sz="1"/>
              <w:left w:val="single" w:color="CCCCCC" w:sz="1"/>
              <w:bottom w:val="single" w:color="CCCCCC" w:sz="1"/>
              <w:right w:val="single" w:color="CCCCCC" w:sz="1"/>
            </w:tcBorders>
            <w:shd w:fill="D6E4F0" w:val="clear"/>
            <w:tcMar>
              <w:top w:type="dxa" w:w="100"/>
              <w:left w:type="dxa" w:w="160"/>
              <w:bottom w:type="dxa" w:w="100"/>
              <w:right w:type="dxa" w:w="160"/>
            </w:tcMar>
          </w:tcPr>
          <w:p>
            <w:r>
              <w:rPr>
                <w:rFonts w:ascii="Arial" w:cs="Arial" w:eastAsia="Arial" w:hAnsi="Arial"/>
                <w:b/>
                <w:bCs/>
                <w:color w:val="1F497D"/>
                <w:sz w:val="20"/>
                <w:szCs w:val="20"/>
              </w:rPr>
              <w:t xml:space="preserve">Phase</w:t>
            </w:r>
          </w:p>
        </w:tc>
        <w:tc>
          <w:tcPr>
            <w:tcW w:type="dxa" w:w="3500"/>
            <w:tcBorders>
              <w:top w:val="single" w:color="CCCCCC" w:sz="1"/>
              <w:left w:val="single" w:color="CCCCCC" w:sz="1"/>
              <w:bottom w:val="single" w:color="CCCCCC" w:sz="1"/>
              <w:right w:val="single" w:color="CCCCCC" w:sz="1"/>
            </w:tcBorders>
            <w:shd w:fill="D6E4F0" w:val="clear"/>
            <w:tcMar>
              <w:top w:type="dxa" w:w="100"/>
              <w:left w:type="dxa" w:w="160"/>
              <w:bottom w:type="dxa" w:w="100"/>
              <w:right w:type="dxa" w:w="160"/>
            </w:tcMar>
          </w:tcPr>
          <w:p>
            <w:r>
              <w:rPr>
                <w:rFonts w:ascii="Arial" w:cs="Arial" w:eastAsia="Arial" w:hAnsi="Arial"/>
                <w:b/>
                <w:bCs/>
                <w:color w:val="1F497D"/>
                <w:sz w:val="20"/>
                <w:szCs w:val="20"/>
              </w:rPr>
              <w:t xml:space="preserve">Actions</w:t>
            </w:r>
          </w:p>
        </w:tc>
        <w:tc>
          <w:tcPr>
            <w:tcW w:type="dxa" w:w="2400"/>
            <w:tcBorders>
              <w:top w:val="single" w:color="CCCCCC" w:sz="1"/>
              <w:left w:val="single" w:color="CCCCCC" w:sz="1"/>
              <w:bottom w:val="single" w:color="CCCCCC" w:sz="1"/>
              <w:right w:val="single" w:color="CCCCCC" w:sz="1"/>
            </w:tcBorders>
            <w:shd w:fill="D6E4F0" w:val="clear"/>
            <w:tcMar>
              <w:top w:type="dxa" w:w="100"/>
              <w:left w:type="dxa" w:w="160"/>
              <w:bottom w:type="dxa" w:w="100"/>
              <w:right w:type="dxa" w:w="160"/>
            </w:tcMar>
          </w:tcPr>
          <w:p>
            <w:r>
              <w:rPr>
                <w:rFonts w:ascii="Arial" w:cs="Arial" w:eastAsia="Arial" w:hAnsi="Arial"/>
                <w:b/>
                <w:bCs/>
                <w:color w:val="1F497D"/>
                <w:sz w:val="20"/>
                <w:szCs w:val="20"/>
              </w:rPr>
              <w:t xml:space="preserve">Effort</w:t>
            </w:r>
          </w:p>
        </w:tc>
        <w:tc>
          <w:tcPr>
            <w:tcW w:type="dxa" w:w="2260"/>
            <w:tcBorders>
              <w:top w:val="single" w:color="CCCCCC" w:sz="1"/>
              <w:left w:val="single" w:color="CCCCCC" w:sz="1"/>
              <w:bottom w:val="single" w:color="CCCCCC" w:sz="1"/>
              <w:right w:val="single" w:color="CCCCCC" w:sz="1"/>
            </w:tcBorders>
            <w:shd w:fill="D6E4F0" w:val="clear"/>
            <w:tcMar>
              <w:top w:type="dxa" w:w="100"/>
              <w:left w:type="dxa" w:w="160"/>
              <w:bottom w:type="dxa" w:w="100"/>
              <w:right w:type="dxa" w:w="160"/>
            </w:tcMar>
          </w:tcPr>
          <w:p>
            <w:r>
              <w:rPr>
                <w:rFonts w:ascii="Arial" w:cs="Arial" w:eastAsia="Arial" w:hAnsi="Arial"/>
                <w:b/>
                <w:bCs/>
                <w:color w:val="1F497D"/>
                <w:sz w:val="20"/>
                <w:szCs w:val="20"/>
              </w:rPr>
              <w:t xml:space="preserve">Impact</w:t>
            </w:r>
          </w:p>
        </w:tc>
      </w:tr>
      <w:tr>
        <w:tc>
          <w:tcPr>
            <w:tcW w:type="dxa" w:w="120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40"/>
            </w:tcMar>
          </w:tcPr>
          <w:p>
            <w:pPr>
              <w:spacing w:after="40"/>
            </w:pPr>
            <w:r>
              <w:rPr>
                <w:rFonts w:ascii="Arial" w:cs="Arial" w:eastAsia="Arial" w:hAnsi="Arial"/>
                <w:b/>
                <w:bCs/>
                <w:color w:val="1F497D"/>
                <w:sz w:val="22"/>
                <w:szCs w:val="22"/>
              </w:rPr>
              <w:t xml:space="preserve">Phase 1
Hotfixes
(1-2 jours)</w:t>
            </w:r>
          </w:p>
        </w:tc>
        <w:tc>
          <w:tcPr>
            <w:tcW w:type="dxa" w:w="3500"/>
            <w:tcBorders>
              <w:top w:val="single" w:color="CCCCCC" w:sz="1"/>
              <w:left w:val="single" w:color="CCCCCC" w:sz="1"/>
              <w:bottom w:val="single" w:color="CCCCCC" w:sz="1"/>
              <w:right w:val="single" w:color="CCCCCC" w:sz="1"/>
            </w:tcBorders>
            <w:tcMar>
              <w:top w:type="dxa" w:w="80"/>
              <w:left w:type="dxa" w:w="140"/>
              <w:bottom w:type="dxa" w:w="80"/>
              <w:right w:type="dxa" w:w="140"/>
            </w:tcMar>
          </w:tcPr>
          <w:p>
            <w:pPr>
              <w:spacing w:after="30"/>
            </w:pPr>
            <w:r>
              <w:rPr>
                <w:rFonts w:ascii="Arial" w:cs="Arial" w:eastAsia="Arial" w:hAnsi="Arial"/>
                <w:sz w:val="22"/>
                <w:szCs w:val="22"/>
              </w:rPr>
              <w:t xml:space="preserve">1. Corriger la wide strategy (1 ligne)</w:t>
            </w:r>
          </w:p>
          <w:p>
            <w:pPr>
              <w:spacing w:after="30"/>
            </w:pPr>
            <w:r>
              <w:rPr>
                <w:rFonts w:ascii="Arial" w:cs="Arial" w:eastAsia="Arial" w:hAnsi="Arial"/>
                <w:sz w:val="22"/>
                <w:szCs w:val="22"/>
              </w:rPr>
              <w:t xml:space="preserve">2. Ajouter 10 verbes conjugués à KEYWORD_TO_TAGS</w:t>
            </w:r>
          </w:p>
          <w:p>
            <w:pPr>
              <w:spacing w:after="30"/>
            </w:pPr>
            <w:r>
              <w:rPr>
                <w:rFonts w:ascii="Arial" w:cs="Arial" w:eastAsia="Arial" w:hAnsi="Arial"/>
                <w:sz w:val="22"/>
                <w:szCs w:val="22"/>
              </w:rPr>
              <w:t xml:space="preserve">3. Documenter la fusion multi-traitement dans l’UI</w:t>
            </w:r>
          </w:p>
          <w:p>
            <w:pPr>
              <w:spacing w:after="30"/>
            </w:pPr>
            <w:r>
              <w:rPr>
                <w:rFonts w:ascii="Arial" w:cs="Arial" w:eastAsia="Arial" w:hAnsi="Arial"/>
                <w:sz w:val="22"/>
                <w:szCs w:val="22"/>
              </w:rPr>
              <w:t xml:space="preserve">4. Ajouter un cas test KAP dans examples.json</w:t>
            </w:r>
          </w:p>
        </w:tc>
        <w:tc>
          <w:tcPr>
            <w:tcW w:type="dxa" w:w="2400"/>
            <w:tcBorders>
              <w:top w:val="single" w:color="CCCCCC" w:sz="1"/>
              <w:left w:val="single" w:color="CCCCCC" w:sz="1"/>
              <w:bottom w:val="single" w:color="CCCCCC" w:sz="1"/>
              <w:right w:val="single" w:color="CCCCCC" w:sz="1"/>
            </w:tcBorders>
            <w:tcMar>
              <w:top w:type="dxa" w:w="80"/>
              <w:left w:type="dxa" w:w="140"/>
              <w:bottom w:type="dxa" w:w="80"/>
              <w:right w:type="dxa" w:w="140"/>
            </w:tcMar>
          </w:tcPr>
          <w:p>
            <w:pPr>
              <w:spacing w:after="30"/>
            </w:pPr>
            <w:r>
              <w:rPr>
                <w:rFonts w:ascii="Arial" w:cs="Arial" w:eastAsia="Arial" w:hAnsi="Arial"/>
                <w:sz w:val="22"/>
                <w:szCs w:val="22"/>
              </w:rPr>
              <w:t xml:space="preserve">Très faible</w:t>
            </w:r>
          </w:p>
          <w:p>
            <w:pPr>
              <w:spacing w:after="30"/>
            </w:pPr>
            <w:r>
              <w:rPr>
                <w:rFonts w:ascii="Arial" w:cs="Arial" w:eastAsia="Arial" w:hAnsi="Arial"/>
                <w:sz w:val="22"/>
                <w:szCs w:val="22"/>
              </w:rPr>
              <w:t xml:space="preserve">&lt; 1 jour de dev</w:t>
            </w:r>
          </w:p>
        </w:tc>
        <w:tc>
          <w:tcPr>
            <w:tcW w:type="dxa" w:w="2260"/>
            <w:tcBorders>
              <w:top w:val="single" w:color="CCCCCC" w:sz="1"/>
              <w:left w:val="single" w:color="CCCCCC" w:sz="1"/>
              <w:bottom w:val="single" w:color="CCCCCC" w:sz="1"/>
              <w:right w:val="single" w:color="CCCCCC" w:sz="1"/>
            </w:tcBorders>
            <w:shd w:fill="E2EFDA" w:val="clear"/>
            <w:tcMar>
              <w:top w:type="dxa" w:w="80"/>
              <w:left w:type="dxa" w:w="140"/>
              <w:bottom w:type="dxa" w:w="80"/>
              <w:right w:type="dxa" w:w="140"/>
            </w:tcMar>
          </w:tcPr>
          <w:p>
            <w:pPr>
              <w:spacing w:after="30"/>
            </w:pPr>
            <w:r>
              <w:rPr>
                <w:rFonts w:ascii="Arial" w:cs="Arial" w:eastAsia="Arial" w:hAnsi="Arial"/>
                <w:b/>
                <w:bCs/>
                <w:color w:val="375623"/>
                <w:sz w:val="22"/>
                <w:szCs w:val="22"/>
              </w:rPr>
              <w:t xml:space="preserve">Critique</w:t>
            </w:r>
          </w:p>
          <w:p>
            <w:pPr>
              <w:spacing w:after="30"/>
            </w:pPr>
            <w:r>
              <w:rPr>
                <w:rFonts w:ascii="Arial" w:cs="Arial" w:eastAsia="Arial" w:hAnsi="Arial"/>
                <w:b/>
                <w:bCs/>
                <w:color w:val="375623"/>
                <w:sz w:val="22"/>
                <w:szCs w:val="22"/>
              </w:rPr>
              <w:t xml:space="preserve">Corrige 2 bugs </w:t>
            </w:r>
          </w:p>
          <w:p>
            <w:pPr>
              <w:spacing w:after="30"/>
            </w:pPr>
            <w:r>
              <w:rPr>
                <w:rFonts w:ascii="Arial" w:cs="Arial" w:eastAsia="Arial" w:hAnsi="Arial"/>
                <w:b/>
                <w:bCs/>
                <w:color w:val="375623"/>
                <w:sz w:val="22"/>
                <w:szCs w:val="22"/>
              </w:rPr>
              <w:t xml:space="preserve">bloquants pour </w:t>
            </w:r>
          </w:p>
          <w:p>
            <w:pPr>
              <w:spacing w:after="30"/>
            </w:pPr>
            <w:r>
              <w:rPr>
                <w:rFonts w:ascii="Arial" w:cs="Arial" w:eastAsia="Arial" w:hAnsi="Arial"/>
                <w:b/>
                <w:bCs/>
                <w:color w:val="375623"/>
                <w:sz w:val="22"/>
                <w:szCs w:val="22"/>
              </w:rPr>
              <w:t xml:space="preserve">le junior</w:t>
            </w:r>
          </w:p>
        </w:tc>
      </w:tr>
      <w:tr>
        <w:tc>
          <w:tcPr>
            <w:tcW w:type="dxa" w:w="120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40"/>
            </w:tcMar>
          </w:tcPr>
          <w:p>
            <w:pPr>
              <w:spacing w:after="40"/>
            </w:pPr>
            <w:r>
              <w:rPr>
                <w:rFonts w:ascii="Arial" w:cs="Arial" w:eastAsia="Arial" w:hAnsi="Arial"/>
                <w:b/>
                <w:bCs/>
                <w:color w:val="1F497D"/>
                <w:sz w:val="22"/>
                <w:szCs w:val="22"/>
              </w:rPr>
              <w:t xml:space="preserve">Phase 2
Enrichissement
(1-2 sprints)</w:t>
            </w:r>
          </w:p>
        </w:tc>
        <w:tc>
          <w:tcPr>
            <w:tcW w:type="dxa" w:w="3500"/>
            <w:tcBorders>
              <w:top w:val="single" w:color="CCCCCC" w:sz="1"/>
              <w:left w:val="single" w:color="CCCCCC" w:sz="1"/>
              <w:bottom w:val="single" w:color="CCCCCC" w:sz="1"/>
              <w:right w:val="single" w:color="CCCCCC" w:sz="1"/>
            </w:tcBorders>
            <w:tcMar>
              <w:top w:type="dxa" w:w="80"/>
              <w:left w:type="dxa" w:w="140"/>
              <w:bottom w:type="dxa" w:w="80"/>
              <w:right w:type="dxa" w:w="140"/>
            </w:tcMar>
          </w:tcPr>
          <w:p>
            <w:pPr>
              <w:spacing w:after="30"/>
            </w:pPr>
            <w:r>
              <w:rPr>
                <w:rFonts w:ascii="Arial" w:cs="Arial" w:eastAsia="Arial" w:hAnsi="Arial"/>
                <w:sz w:val="22"/>
                <w:szCs w:val="22"/>
              </w:rPr>
              <w:t xml:space="preserve">5. Comptage live PubMed par bloc (2Dsearch)</w:t>
            </w:r>
          </w:p>
          <w:p>
            <w:pPr>
              <w:spacing w:after="30"/>
            </w:pPr>
            <w:r>
              <w:rPr>
                <w:rFonts w:ascii="Arial" w:cs="Arial" w:eastAsia="Arial" w:hAnsi="Arial"/>
                <w:sz w:val="22"/>
                <w:szCs w:val="22"/>
              </w:rPr>
              <w:t xml:space="preserve">6. Boucle enrichissement MeSH (litsearchr)</w:t>
            </w:r>
          </w:p>
          <w:p>
            <w:pPr>
              <w:spacing w:after="30"/>
            </w:pPr>
            <w:r>
              <w:rPr>
                <w:rFonts w:ascii="Arial" w:cs="Arial" w:eastAsia="Arial" w:hAnsi="Arial"/>
                <w:sz w:val="22"/>
                <w:szCs w:val="22"/>
              </w:rPr>
              <w:t xml:space="preserve">7. Stemming français pour KEYWORD_TO_TAGS</w:t>
            </w:r>
          </w:p>
          <w:p>
            <w:pPr>
              <w:spacing w:after="30"/>
            </w:pPr>
            <w:r>
              <w:rPr>
                <w:rFonts w:ascii="Arial" w:cs="Arial" w:eastAsia="Arial" w:hAnsi="Arial"/>
                <w:sz w:val="22"/>
                <w:szCs w:val="22"/>
              </w:rPr>
              <w:t xml:space="preserve">8. Backend Scopus (premier après PubMed)</w:t>
            </w:r>
          </w:p>
        </w:tc>
        <w:tc>
          <w:tcPr>
            <w:tcW w:type="dxa" w:w="2400"/>
            <w:tcBorders>
              <w:top w:val="single" w:color="CCCCCC" w:sz="1"/>
              <w:left w:val="single" w:color="CCCCCC" w:sz="1"/>
              <w:bottom w:val="single" w:color="CCCCCC" w:sz="1"/>
              <w:right w:val="single" w:color="CCCCCC" w:sz="1"/>
            </w:tcBorders>
            <w:tcMar>
              <w:top w:type="dxa" w:w="80"/>
              <w:left w:type="dxa" w:w="140"/>
              <w:bottom w:type="dxa" w:w="80"/>
              <w:right w:type="dxa" w:w="140"/>
            </w:tcMar>
          </w:tcPr>
          <w:p>
            <w:pPr>
              <w:spacing w:after="30"/>
            </w:pPr>
            <w:r>
              <w:rPr>
                <w:rFonts w:ascii="Arial" w:cs="Arial" w:eastAsia="Arial" w:hAnsi="Arial"/>
                <w:sz w:val="22"/>
                <w:szCs w:val="22"/>
              </w:rPr>
              <w:t xml:space="preserve">Modéré</w:t>
            </w:r>
          </w:p>
          <w:p>
            <w:pPr>
              <w:spacing w:after="30"/>
            </w:pPr>
            <w:r>
              <w:rPr>
                <w:rFonts w:ascii="Arial" w:cs="Arial" w:eastAsia="Arial" w:hAnsi="Arial"/>
                <w:sz w:val="22"/>
                <w:szCs w:val="22"/>
              </w:rPr>
              <w:t xml:space="preserve">3-5 jours de dev</w:t>
            </w:r>
          </w:p>
          <w:p>
            <w:pPr>
              <w:spacing w:after="30"/>
            </w:pPr>
            <w:r>
              <w:rPr>
                <w:rFonts w:ascii="Arial" w:cs="Arial" w:eastAsia="Arial" w:hAnsi="Arial"/>
                <w:sz w:val="22"/>
                <w:szCs w:val="22"/>
              </w:rPr>
              <w:t xml:space="preserve">par feature</w:t>
            </w:r>
          </w:p>
        </w:tc>
        <w:tc>
          <w:tcPr>
            <w:tcW w:type="dxa" w:w="2260"/>
            <w:tcBorders>
              <w:top w:val="single" w:color="CCCCCC" w:sz="1"/>
              <w:left w:val="single" w:color="CCCCCC" w:sz="1"/>
              <w:bottom w:val="single" w:color="CCCCCC" w:sz="1"/>
              <w:right w:val="single" w:color="CCCCCC" w:sz="1"/>
            </w:tcBorders>
            <w:shd w:fill="E2EFDA" w:val="clear"/>
            <w:tcMar>
              <w:top w:type="dxa" w:w="80"/>
              <w:left w:type="dxa" w:w="140"/>
              <w:bottom w:type="dxa" w:w="80"/>
              <w:right w:type="dxa" w:w="140"/>
            </w:tcMar>
          </w:tcPr>
          <w:p>
            <w:pPr>
              <w:spacing w:after="30"/>
            </w:pPr>
            <w:r>
              <w:rPr>
                <w:rFonts w:ascii="Arial" w:cs="Arial" w:eastAsia="Arial" w:hAnsi="Arial"/>
                <w:b/>
                <w:bCs/>
                <w:color w:val="375623"/>
                <w:sz w:val="22"/>
                <w:szCs w:val="22"/>
              </w:rPr>
              <w:t xml:space="preserve">Fort</w:t>
            </w:r>
          </w:p>
          <w:p>
            <w:pPr>
              <w:spacing w:after="30"/>
            </w:pPr>
            <w:r>
              <w:rPr>
                <w:rFonts w:ascii="Arial" w:cs="Arial" w:eastAsia="Arial" w:hAnsi="Arial"/>
                <w:b/>
                <w:bCs/>
                <w:color w:val="375623"/>
                <w:sz w:val="22"/>
                <w:szCs w:val="22"/>
              </w:rPr>
              <w:t xml:space="preserve">Différenciation</w:t>
            </w:r>
          </w:p>
          <w:p>
            <w:pPr>
              <w:spacing w:after="30"/>
            </w:pPr>
            <w:r>
              <w:rPr>
                <w:rFonts w:ascii="Arial" w:cs="Arial" w:eastAsia="Arial" w:hAnsi="Arial"/>
                <w:b/>
                <w:bCs/>
                <w:color w:val="375623"/>
                <w:sz w:val="22"/>
                <w:szCs w:val="22"/>
              </w:rPr>
              <w:t xml:space="preserve">produit + valeur</w:t>
            </w:r>
          </w:p>
          <w:p>
            <w:pPr>
              <w:spacing w:after="30"/>
            </w:pPr>
            <w:r>
              <w:rPr>
                <w:rFonts w:ascii="Arial" w:cs="Arial" w:eastAsia="Arial" w:hAnsi="Arial"/>
                <w:b/>
                <w:bCs/>
                <w:color w:val="375623"/>
                <w:sz w:val="22"/>
                <w:szCs w:val="22"/>
              </w:rPr>
              <w:t xml:space="preserve">pédagogique</w:t>
            </w:r>
          </w:p>
        </w:tc>
      </w:tr>
      <w:tr>
        <w:tc>
          <w:tcPr>
            <w:tcW w:type="dxa" w:w="120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40"/>
            </w:tcMar>
          </w:tcPr>
          <w:p>
            <w:pPr>
              <w:spacing w:after="40"/>
            </w:pPr>
            <w:r>
              <w:rPr>
                <w:rFonts w:ascii="Arial" w:cs="Arial" w:eastAsia="Arial" w:hAnsi="Arial"/>
                <w:b/>
                <w:bCs/>
                <w:color w:val="1F497D"/>
                <w:sz w:val="22"/>
                <w:szCs w:val="22"/>
              </w:rPr>
              <w:t xml:space="preserve">Phase 3
Différenciation
(2-3 sprints)</w:t>
            </w:r>
          </w:p>
        </w:tc>
        <w:tc>
          <w:tcPr>
            <w:tcW w:type="dxa" w:w="3500"/>
            <w:tcBorders>
              <w:top w:val="single" w:color="CCCCCC" w:sz="1"/>
              <w:left w:val="single" w:color="CCCCCC" w:sz="1"/>
              <w:bottom w:val="single" w:color="CCCCCC" w:sz="1"/>
              <w:right w:val="single" w:color="CCCCCC" w:sz="1"/>
            </w:tcBorders>
            <w:tcMar>
              <w:top w:type="dxa" w:w="80"/>
              <w:left w:type="dxa" w:w="140"/>
              <w:bottom w:type="dxa" w:w="80"/>
              <w:right w:type="dxa" w:w="140"/>
            </w:tcMar>
          </w:tcPr>
          <w:p>
            <w:pPr>
              <w:spacing w:after="30"/>
            </w:pPr>
            <w:r>
              <w:rPr>
                <w:rFonts w:ascii="Arial" w:cs="Arial" w:eastAsia="Arial" w:hAnsi="Arial"/>
                <w:sz w:val="22"/>
                <w:szCs w:val="22"/>
              </w:rPr>
              <w:t xml:space="preserve">9. Filet sémantique (Semantic Scholar API)</w:t>
            </w:r>
          </w:p>
          <w:p>
            <w:pPr>
              <w:spacing w:after="30"/>
            </w:pPr>
            <w:r>
              <w:rPr>
                <w:rFonts w:ascii="Arial" w:cs="Arial" w:eastAsia="Arial" w:hAnsi="Arial"/>
                <w:sz w:val="22"/>
                <w:szCs w:val="22"/>
              </w:rPr>
              <w:t xml:space="preserve">10. Feedback loop ASReview-style</w:t>
            </w:r>
          </w:p>
          <w:p>
            <w:pPr>
              <w:spacing w:after="30"/>
            </w:pPr>
            <w:r>
              <w:rPr>
                <w:rFonts w:ascii="Arial" w:cs="Arial" w:eastAsia="Arial" w:hAnsi="Arial"/>
                <w:sz w:val="22"/>
                <w:szCs w:val="22"/>
              </w:rPr>
              <w:t xml:space="preserve">11. Backends WoS + Embase</w:t>
            </w:r>
          </w:p>
          <w:p>
            <w:pPr>
              <w:spacing w:after="30"/>
            </w:pPr>
            <w:r>
              <w:rPr>
                <w:rFonts w:ascii="Arial" w:cs="Arial" w:eastAsia="Arial" w:hAnsi="Arial"/>
                <w:sz w:val="22"/>
                <w:szCs w:val="22"/>
              </w:rPr>
              <w:t xml:space="preserve">12. Tests utilisateurs avec 2 étudiants master</w:t>
            </w:r>
          </w:p>
        </w:tc>
        <w:tc>
          <w:tcPr>
            <w:tcW w:type="dxa" w:w="2400"/>
            <w:tcBorders>
              <w:top w:val="single" w:color="CCCCCC" w:sz="1"/>
              <w:left w:val="single" w:color="CCCCCC" w:sz="1"/>
              <w:bottom w:val="single" w:color="CCCCCC" w:sz="1"/>
              <w:right w:val="single" w:color="CCCCCC" w:sz="1"/>
            </w:tcBorders>
            <w:tcMar>
              <w:top w:type="dxa" w:w="80"/>
              <w:left w:type="dxa" w:w="140"/>
              <w:bottom w:type="dxa" w:w="80"/>
              <w:right w:type="dxa" w:w="140"/>
            </w:tcMar>
          </w:tcPr>
          <w:p>
            <w:pPr>
              <w:spacing w:after="30"/>
            </w:pPr>
            <w:r>
              <w:rPr>
                <w:rFonts w:ascii="Arial" w:cs="Arial" w:eastAsia="Arial" w:hAnsi="Arial"/>
                <w:sz w:val="22"/>
                <w:szCs w:val="22"/>
              </w:rPr>
              <w:t xml:space="preserve">Élevé</w:t>
            </w:r>
          </w:p>
          <w:p>
            <w:pPr>
              <w:spacing w:after="30"/>
            </w:pPr>
            <w:r>
              <w:rPr>
                <w:rFonts w:ascii="Arial" w:cs="Arial" w:eastAsia="Arial" w:hAnsi="Arial"/>
                <w:sz w:val="22"/>
                <w:szCs w:val="22"/>
              </w:rPr>
              <w:t xml:space="preserve">Architecture</w:t>
            </w:r>
          </w:p>
          <w:p>
            <w:pPr>
              <w:spacing w:after="30"/>
            </w:pPr>
            <w:r>
              <w:rPr>
                <w:rFonts w:ascii="Arial" w:cs="Arial" w:eastAsia="Arial" w:hAnsi="Arial"/>
                <w:sz w:val="22"/>
                <w:szCs w:val="22"/>
              </w:rPr>
              <w:t xml:space="preserve">nouvelle</w:t>
            </w:r>
          </w:p>
        </w:tc>
        <w:tc>
          <w:tcPr>
            <w:tcW w:type="dxa" w:w="2260"/>
            <w:tcBorders>
              <w:top w:val="single" w:color="CCCCCC" w:sz="1"/>
              <w:left w:val="single" w:color="CCCCCC" w:sz="1"/>
              <w:bottom w:val="single" w:color="CCCCCC" w:sz="1"/>
              <w:right w:val="single" w:color="CCCCCC" w:sz="1"/>
            </w:tcBorders>
            <w:shd w:fill="E2EFDA" w:val="clear"/>
            <w:tcMar>
              <w:top w:type="dxa" w:w="80"/>
              <w:left w:type="dxa" w:w="140"/>
              <w:bottom w:type="dxa" w:w="80"/>
              <w:right w:type="dxa" w:w="140"/>
            </w:tcMar>
          </w:tcPr>
          <w:p>
            <w:pPr>
              <w:spacing w:after="30"/>
            </w:pPr>
            <w:r>
              <w:rPr>
                <w:rFonts w:ascii="Arial" w:cs="Arial" w:eastAsia="Arial" w:hAnsi="Arial"/>
                <w:b/>
                <w:bCs/>
                <w:color w:val="375623"/>
                <w:sz w:val="22"/>
                <w:szCs w:val="22"/>
              </w:rPr>
              <w:t xml:space="preserve">Transformatif</w:t>
            </w:r>
          </w:p>
          <w:p>
            <w:pPr>
              <w:spacing w:after="30"/>
            </w:pPr>
            <w:r>
              <w:rPr>
                <w:rFonts w:ascii="Arial" w:cs="Arial" w:eastAsia="Arial" w:hAnsi="Arial"/>
                <w:b/>
                <w:bCs/>
                <w:color w:val="375623"/>
                <w:sz w:val="22"/>
                <w:szCs w:val="22"/>
              </w:rPr>
              <w:t xml:space="preserve">Research Comp.</w:t>
            </w:r>
          </w:p>
          <w:p>
            <w:pPr>
              <w:spacing w:after="30"/>
            </w:pPr>
            <w:r>
              <w:rPr>
                <w:rFonts w:ascii="Arial" w:cs="Arial" w:eastAsia="Arial" w:hAnsi="Arial"/>
                <w:b/>
                <w:bCs/>
                <w:color w:val="375623"/>
                <w:sz w:val="22"/>
                <w:szCs w:val="22"/>
              </w:rPr>
              <w:t xml:space="preserve">devient unique</w:t>
            </w:r>
          </w:p>
          <w:p>
            <w:pPr>
              <w:spacing w:after="30"/>
            </w:pPr>
            <w:r>
              <w:rPr>
                <w:rFonts w:ascii="Arial" w:cs="Arial" w:eastAsia="Arial" w:hAnsi="Arial"/>
                <w:b/>
                <w:bCs/>
                <w:color w:val="375623"/>
                <w:sz w:val="22"/>
                <w:szCs w:val="22"/>
              </w:rPr>
              <w:t xml:space="preserve">sur le marché</w:t>
            </w:r>
          </w:p>
        </w:tc>
      </w:tr>
    </w:tbl>
    <w:p>
      <w:pPr>
        <w:pageBreakBefore/>
      </w:pPr>
      <w:r>
        <w:t xml:space="preserve"/>
      </w:r>
    </w:p>
    <w:p>
      <w:pPr>
        <w:pStyle w:val="Heading1"/>
        <w:spacing w:after="180" w:before="360"/>
      </w:pPr>
      <w:r>
        <w:rPr>
          <w:rFonts w:ascii="Arial" w:cs="Arial" w:eastAsia="Arial" w:hAnsi="Arial"/>
          <w:b/>
          <w:bCs/>
          <w:color w:val="1F497D"/>
          <w:sz w:val="32"/>
          <w:szCs w:val="32"/>
        </w:rPr>
        <w:t xml:space="preserve">5. Conclusion</w:t>
      </w:r>
    </w:p>
    <w:p>
      <w:pPr>
        <w:spacing w:after="120"/>
      </w:pPr>
      <w:r>
        <w:rPr>
          <w:rFonts w:ascii="Arial" w:cs="Arial" w:eastAsia="Arial" w:hAnsi="Arial"/>
          <w:sz w:val="22"/>
          <w:szCs w:val="22"/>
        </w:rPr>
        <w:t xml:space="preserve">Research Companion occupe un créneau unique : il est le seul outil open source qui accompagne un débutant de la question floue à la stratégie booléenne, avec une logique bibliothécaire transparente. Les outils existants font soit la recherche sémantique (Elicit), soit le screening (ASReview), soit la traduction de syntaxe (Polyglot). Aucun ne fait le chaînon manquant de la construction de stratégie.</w:t>
      </w:r>
    </w:p>
    <w:p>
      <w:pPr>
        <w:spacing w:after="100"/>
      </w:pPr>
      <w:r>
        <w:t xml:space="preserve"/>
      </w:r>
    </w:p>
    <w:p>
      <w:pPr>
        <w:spacing w:after="120"/>
      </w:pPr>
      <w:r>
        <w:rPr>
          <w:rFonts w:ascii="Arial" w:cs="Arial" w:eastAsia="Arial" w:hAnsi="Arial"/>
          <w:sz w:val="22"/>
          <w:szCs w:val="22"/>
        </w:rPr>
        <w:t xml:space="preserve">Les deux corrections urgentes (wide strategy + détection KAP) sont triviales en termes de code mais critiques pour la crédibilité du produit auprès d’un bibliothécaire formateur. Les améliorations de phase 2 (comptage live, enrichissement MeSH) transforment le produit d’un générateur de requêtes en un véritable outil d’apprentissage de la recherche documentaire.</w:t>
      </w:r>
    </w:p>
    <w:p>
      <w:pPr>
        <w:spacing w:after="100"/>
      </w:pPr>
      <w:r>
        <w:t xml:space="preserve"/>
      </w:r>
    </w:p>
    <w:p>
      <w:pPr>
        <w:spacing w:after="120"/>
      </w:pPr>
      <w:r>
        <w:rPr>
          <w:rFonts w:ascii="Arial" w:cs="Arial" w:eastAsia="Arial" w:hAnsi="Arial"/>
          <w:sz w:val="22"/>
          <w:szCs w:val="22"/>
        </w:rPr>
        <w:t xml:space="preserve">La phase 3 (filet sémantique, feedback loop) positionne Research Companion comme un concurrent crédible d’Elicit pour le public junior en santé publique, avec un avantage fondamental : la transparence. Là où Elicit est une boîte noire sémantique, Research Companion montre ses concepts, ses exclusions et ses raisons. Pour un formateur, c’est inestimable.</w:t>
      </w:r>
    </w:p>
    <w:p>
      <w:pPr>
        <w:spacing w:after="100"/>
      </w:pPr>
      <w:r>
        <w:t xml:space="preserve"/>
      </w:r>
    </w:p>
    <w:p>
      <w:pPr>
        <w:pBdr>
          <w:top w:val="single" w:color="1F497D" w:sz="6" w:space="2"/>
        </w:pBdr>
        <w:spacing w:after="120" w:before="200"/>
      </w:pPr>
      <w:r>
        <w:rPr>
          <w:rFonts w:ascii="Arial" w:cs="Arial" w:eastAsia="Arial" w:hAnsi="Arial"/>
          <w:i/>
          <w:iCs/>
          <w:color w:val="888888"/>
          <w:sz w:val="22"/>
          <w:szCs w:val="22"/>
        </w:rPr>
        <w:t xml:space="preserve">Document rédigé en complément de l’audit bibliothécaire de mars 2026, commit de396f6.</w:t>
      </w: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4" w:space="1"/>
      </w:pBdr>
      <w:tabs>
        <w:tab w:val="right" w:pos="9026"/>
      </w:tabs>
    </w:pPr>
    <w:r>
      <w:rPr>
        <w:rFonts w:ascii="Arial" w:cs="Arial" w:eastAsia="Arial" w:hAnsi="Arial"/>
        <w:color w:val="AAAAAA"/>
        <w:sz w:val="22"/>
        <w:szCs w:val="22"/>
      </w:rPr>
      <w:t xml:space="preserve">Confidentiel</w:t>
    </w:r>
    <w:r>
      <w:rPr>
        <w:rFonts w:ascii="Arial" w:cs="Arial" w:eastAsia="Arial" w:hAnsi="Arial"/>
        <w:color w:val="AAAAAA"/>
        <w:sz w:val="22"/>
        <w:szCs w:val="22"/>
      </w:rPr>
      <w:t xml:space="preserve">	Page </w:t>
    </w:r>
    <w:r>
      <w:rPr>
        <w:rFonts w:ascii="Arial" w:cs="Arial" w:eastAsia="Arial" w:hAnsi="Arial"/>
        <w:color w:val="AAAAAA"/>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CCCCC" w:sz="4" w:space="1"/>
      </w:pBdr>
      <w:tabs>
        <w:tab w:val="right" w:pos="9026"/>
      </w:tabs>
    </w:pPr>
    <w:r>
      <w:rPr>
        <w:rFonts w:ascii="Arial" w:cs="Arial" w:eastAsia="Arial" w:hAnsi="Arial"/>
        <w:color w:val="888888"/>
        <w:sz w:val="22"/>
        <w:szCs w:val="22"/>
      </w:rPr>
      <w:t xml:space="preserve">Research Companion — Solutions</w:t>
    </w:r>
    <w:r>
      <w:rPr>
        <w:rFonts w:ascii="Arial" w:cs="Arial" w:eastAsia="Arial" w:hAnsi="Arial"/>
        <w:color w:val="888888"/>
        <w:sz w:val="22"/>
        <w:szCs w:val="22"/>
      </w:rPr>
      <w:t xml:space="preserve">	Mars 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lvl w:ilvl="1" w15:tentative="1">
      <w:start w:val="1"/>
      <w:numFmt w:val="lowerLetter"/>
      <w:lvlText w:val="%2)"/>
      <w:lvlJc w:val="left"/>
      <w:pPr>
        <w:ind w:left="108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80" w:before="360"/>
      <w:outlineLvl w:val="0"/>
    </w:pPr>
    <w:rPr>
      <w:rFonts w:ascii="Arial" w:cs="Arial" w:eastAsia="Arial" w:hAnsi="Arial"/>
      <w:b/>
      <w:bCs/>
      <w:color w:val="1F497D"/>
      <w:sz w:val="32"/>
      <w:szCs w:val="32"/>
    </w:rPr>
  </w:style>
  <w:style w:type="paragraph" w:styleId="Heading2">
    <w:name w:val="Heading 2"/>
    <w:basedOn w:val="Normal"/>
    <w:next w:val="Normal"/>
    <w:qFormat/>
    <w:pPr>
      <w:spacing w:after="120" w:before="280"/>
      <w:outlineLvl w:val="1"/>
    </w:pPr>
    <w:rPr>
      <w:rFonts w:ascii="Arial" w:cs="Arial" w:eastAsia="Arial" w:hAnsi="Arial"/>
      <w:b/>
      <w:bCs/>
      <w:color w:val="1F497D"/>
      <w:sz w:val="26"/>
      <w:szCs w:val="26"/>
    </w:rPr>
  </w:style>
  <w:style w:type="paragraph" w:styleId="Heading3">
    <w:name w:val="Heading 3"/>
    <w:basedOn w:val="Normal"/>
    <w:next w:val="Normal"/>
    <w:qFormat/>
    <w:pPr>
      <w:spacing w:after="100" w:before="200"/>
      <w:outlineLvl w:val="2"/>
    </w:pPr>
    <w:rPr>
      <w:rFonts w:ascii="Arial" w:cs="Arial" w:eastAsia="Arial" w:hAnsi="Arial"/>
      <w:b/>
      <w:bCs/>
      <w:color w:val="2E4057"/>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2026-03-26T16:09:53.610Z</dcterms:created>
  <dcterms:modified xsi:type="dcterms:W3CDTF">2026-03-26T16:09:53.611Z</dcterms:modified>
</cp:coreProperties>
</file>

<file path=docProps/custom.xml><?xml version="1.0" encoding="utf-8"?>
<Properties xmlns="http://schemas.openxmlformats.org/officeDocument/2006/custom-properties" xmlns:vt="http://schemas.openxmlformats.org/officeDocument/2006/docPropsVTypes"/>
</file>