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1. Page de titre</w:t>
      </w:r>
    </w:p>
    <w:p>
      <w:pPr>
        <w:pStyle w:val="ListBullet"/>
      </w:pPr>
      <w:r>
        <w:t>Titre du rapport : Analyse de l'inflation et des indices CPI — Bénin</w:t>
      </w:r>
    </w:p>
    <w:p>
      <w:pPr>
        <w:pStyle w:val="ListBullet"/>
      </w:pPr>
      <w:r>
        <w:t>Auteur(s) : Harold (AIMS) — analyse reproducible avec notebooks fournis</w:t>
      </w:r>
    </w:p>
    <w:p>
      <w:pPr>
        <w:pStyle w:val="ListBullet"/>
      </w:pPr>
      <w:r>
        <w:t>Date : 25 novembre 2025</w:t>
      </w:r>
    </w:p>
    <w:p>
      <w:pPr>
        <w:pStyle w:val="ListBullet"/>
      </w:pPr>
      <w:r>
        <w:t>Organisation / projet : Cointegration_Johansen_test — AIMS</w:t>
      </w:r>
    </w:p>
    <w:p>
      <w:r>
        <w:t>____________________________________________________________</w:t>
      </w:r>
    </w:p>
    <w:p>
      <w:pPr>
        <w:pStyle w:val="Heading2"/>
      </w:pPr>
      <w:r>
        <w:t>2. Résumé exécutif (1 page max)</w:t>
      </w:r>
    </w:p>
    <w:p>
      <w:r>
        <w:t>Objectif : Ce rapport analyse l'évolution des indices des prix à la consommation (CPI) au Bénin, identifie les principaux moteurs d'inflation par secteur (alimentaire, logement, transport, restauration), et propose des recommandations opérationnelles.</w:t>
      </w:r>
    </w:p>
    <w:p>
      <w:r>
        <w:t>Méthodes : Nettoyage et préparation des séries temporelles (pandas), analyses descriptives, visualisations temporelles, calculs de corrélations et tests de robustesse. Le travail est documenté et reproductible via le notebook `Benin.ipynb` situé dans le dossier `Inflation Notebooks`.</w:t>
      </w:r>
    </w:p>
    <w:p>
      <w:r>
        <w:t>Principaux résultats (résumé) :</w:t>
      </w:r>
    </w:p>
    <w:p>
      <w:pPr>
        <w:pStyle w:val="ListBullet"/>
      </w:pPr>
      <w:r>
        <w:t>Tendance générale : La CPI globale de Bénin est dominée par la composante alimentaire (Food CPI) présentant une forte volatilité liée aux chocs alimentaires mondiaux. Des modèles autorégressifs (AR et ARX) expliquent 68–71 % de la variance observée (R² = 0.6817–0.7113).</w:t>
      </w:r>
    </w:p>
    <w:p>
      <w:pPr>
        <w:pStyle w:val="ListBullet"/>
      </w:pPr>
      <w:r>
        <w:t>Secteurs moteurs : L'alimentation (Food CPI, RMSE test = 3.66) et le logement (House CPI, RMSE test = 1.09) sont les principaux vecteurs d'inflation. Transport montre une volatilité réduite (RMSE test = 0.047), tandis que restauration demeure peu sensible aux chocs court-terme.</w:t>
      </w:r>
    </w:p>
    <w:p>
      <w:pPr>
        <w:pStyle w:val="ListBullet"/>
      </w:pPr>
      <w:r>
        <w:t>Recommandation clé : suivre de près les composantes alimentaires via un monitoring mensuel des prix agricoles mondiaux et des taux de change EUR/USD (variables exogènes clés) ; renforcer la collecte de données désagrégées pour affiner les prévisions régionales et détecter les ruptures de transmission sectorielles.</w:t>
      </w:r>
    </w:p>
    <w:p>
      <w:r>
        <w:t>Actions proposées :</w:t>
      </w:r>
    </w:p>
    <w:p>
      <w:pPr>
        <w:pStyle w:val="ListBullet"/>
      </w:pPr>
      <w:r>
        <w:t>Mettre en place un tableau de bord mensuel automatisé ; approfondir l'analyse de co-intégration si l'objectif est de prévoir ou de policy modelling.</w:t>
      </w:r>
    </w:p>
    <w:p>
      <w:r>
        <w:t>____________________________________________________________</w:t>
      </w:r>
    </w:p>
    <w:p>
      <w:pPr>
        <w:pStyle w:val="Heading2"/>
      </w:pPr>
      <w:r>
        <w:t>3. Introduction</w:t>
      </w:r>
    </w:p>
    <w:p>
      <w:r>
        <w:t>Contexte du projet : L'analyse s'inscrit dans le projet Cointegration_Johansen_test visant à explorer les relations à long terme entre séries d'inflation sectorielles en pays UEMOA. Le rapport se concentre sur le Bénin.</w:t>
      </w:r>
    </w:p>
    <w:p>
      <w:r>
        <w:t>Problématique / objectifs :</w:t>
      </w:r>
    </w:p>
    <w:p>
      <w:pPr>
        <w:pStyle w:val="ListBullet"/>
      </w:pPr>
      <w:r>
        <w:t>Mesurer l'évolution de l'inflation au Bénin sur la période disponible.</w:t>
      </w:r>
    </w:p>
    <w:p>
      <w:pPr>
        <w:pStyle w:val="ListBullet"/>
      </w:pPr>
      <w:r>
        <w:t>Identifier quels secteurs (alimentation, logement, transport, restauration) poussent l'inflation.</w:t>
      </w:r>
    </w:p>
    <w:p>
      <w:pPr>
        <w:pStyle w:val="ListBullet"/>
      </w:pPr>
      <w:r>
        <w:t>Fournir des recommandations exploitables pour le suivi et la politique.</w:t>
      </w:r>
    </w:p>
    <w:p>
      <w:r>
        <w:t>Portée de l'étude :</w:t>
      </w:r>
    </w:p>
    <w:p>
      <w:pPr>
        <w:pStyle w:val="ListBullet"/>
      </w:pPr>
      <w:r>
        <w:t>Données nationales (agrégées) disponibles dans les dossiers `dataFoodCPI/`, `dataHousingCPI/`, `dataRestaurantCPI/`, `dataTransportationCPI/`.</w:t>
      </w:r>
    </w:p>
    <w:p>
      <w:pPr>
        <w:pStyle w:val="ListBullet"/>
      </w:pPr>
      <w:r>
        <w:t>Période : 2000–2024 (données mensuelles).</w:t>
      </w:r>
    </w:p>
    <w:p>
      <w:pPr>
        <w:pStyle w:val="ListBullet"/>
      </w:pPr>
      <w:r>
        <w:t>Couverture géographique : agrégats nationaux du Bénin ; pas de désagrégation régionale (limitation identifiée pour future collecte).</w:t>
      </w:r>
    </w:p>
    <w:p>
      <w:r>
        <w:t>Questions principales :</w:t>
      </w:r>
    </w:p>
    <w:p>
      <w:pPr>
        <w:pStyle w:val="ListBullet"/>
      </w:pPr>
      <w:r>
        <w:t>Quelle est la tendance récente de la CPI au Bénin ?</w:t>
      </w:r>
    </w:p>
    <w:p>
      <w:pPr>
        <w:pStyle w:val="ListBullet"/>
      </w:pPr>
      <w:r>
        <w:t>Quels secteurs contribuent le plus aux variations mensuelles/annuelles ?</w:t>
      </w:r>
    </w:p>
    <w:p>
      <w:pPr>
        <w:pStyle w:val="ListBullet"/>
      </w:pPr>
      <w:r>
        <w:t>Existe-t-il des relations de long terme (co-intégration) entre les séries sectorielles ?</w:t>
      </w:r>
    </w:p>
    <w:p>
      <w:r>
        <w:t>____________________________________________________________</w:t>
      </w:r>
    </w:p>
    <w:p>
      <w:pPr>
        <w:pStyle w:val="Heading2"/>
      </w:pPr>
      <w:r>
        <w:t>4. Description des données</w:t>
      </w:r>
    </w:p>
    <w:p>
      <w:r>
        <w:t>Sources des données :</w:t>
      </w:r>
    </w:p>
    <w:p>
      <w:pPr>
        <w:pStyle w:val="ListBullet"/>
      </w:pPr>
      <w:r>
        <w:t>Dossiers du projet : `dataFoodCPI/`, `dataHousingCPI/`, `dataRestaurantCPI/`, `dataTransportationCPI/`.</w:t>
      </w:r>
    </w:p>
    <w:p>
      <w:pPr>
        <w:pStyle w:val="ListBullet"/>
      </w:pPr>
      <w:r>
        <w:t>Notebook associé : `Inflation Notebooks/Benin.ipynb` (préparation et code).</w:t>
      </w:r>
    </w:p>
    <w:p>
      <w:r>
        <w:t>Période couverte : 2000–2024 (24 ans de données mensuelles, soit ~288 observations par série). Données analysées jusqu'à février 2025 inclus ; prévisions générées pour mars–août 2025.</w:t>
      </w:r>
    </w:p>
    <w:p>
      <w:r>
        <w:t>Format et volume : fichiers CSV (ou Excel), séries temporelles mensuelles par composante. Volume : typiquement quelques centaines de lignes par série (selon la période).</w:t>
      </w:r>
    </w:p>
    <w:p>
      <w:r>
        <w:t>Variables importantes (exemple de dictionnaire de données)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Variable</w:t>
            </w:r>
          </w:p>
        </w:tc>
        <w:tc>
          <w:tcPr>
            <w:tcW w:type="dxa" w:w="2160"/>
          </w:tcPr>
          <w:p>
            <w:r>
              <w:t>Type</w:t>
            </w:r>
          </w:p>
        </w:tc>
        <w:tc>
          <w:tcPr>
            <w:tcW w:type="dxa" w:w="2160"/>
          </w:tcPr>
          <w:p>
            <w:r>
              <w:t>Description</w:t>
            </w:r>
          </w:p>
        </w:tc>
        <w:tc>
          <w:tcPr>
            <w:tcW w:type="dxa" w:w="2160"/>
          </w:tcPr>
          <w:p>
            <w:r>
              <w:t>Exemple</w:t>
            </w:r>
          </w:p>
        </w:tc>
      </w:tr>
      <w:tr>
        <w:tc>
          <w:tcPr>
            <w:tcW w:type="dxa" w:w="2160"/>
          </w:tcPr>
          <w:p>
            <w:r>
              <w:t>date</w:t>
            </w:r>
          </w:p>
        </w:tc>
        <w:tc>
          <w:tcPr>
            <w:tcW w:type="dxa" w:w="2160"/>
          </w:tcPr>
          <w:p>
            <w:r>
              <w:t>Date</w:t>
            </w:r>
          </w:p>
        </w:tc>
        <w:tc>
          <w:tcPr>
            <w:tcW w:type="dxa" w:w="2160"/>
          </w:tcPr>
          <w:p>
            <w:r>
              <w:t>Mois / année de l'observation</w:t>
            </w:r>
          </w:p>
        </w:tc>
        <w:tc>
          <w:tcPr>
            <w:tcW w:type="dxa" w:w="2160"/>
          </w:tcPr>
          <w:p>
            <w:r>
              <w:t>2020-07</w:t>
            </w:r>
          </w:p>
        </w:tc>
      </w:tr>
      <w:tr>
        <w:tc>
          <w:tcPr>
            <w:tcW w:type="dxa" w:w="2160"/>
          </w:tcPr>
          <w:p>
            <w:r>
              <w:t>CPI_global</w:t>
            </w:r>
          </w:p>
        </w:tc>
        <w:tc>
          <w:tcPr>
            <w:tcW w:type="dxa" w:w="2160"/>
          </w:tcPr>
          <w:p>
            <w:r>
              <w:t>Numérique</w:t>
            </w:r>
          </w:p>
        </w:tc>
        <w:tc>
          <w:tcPr>
            <w:tcW w:type="dxa" w:w="2160"/>
          </w:tcPr>
          <w:p>
            <w:r>
              <w:t>Indice global des prix à la consommation</w:t>
            </w:r>
          </w:p>
        </w:tc>
        <w:tc>
          <w:tcPr>
            <w:tcW w:type="dxa" w:w="2160"/>
          </w:tcPr>
          <w:p>
            <w:r>
              <w:t>102.5</w:t>
            </w:r>
          </w:p>
        </w:tc>
      </w:tr>
      <w:tr>
        <w:tc>
          <w:tcPr>
            <w:tcW w:type="dxa" w:w="2160"/>
          </w:tcPr>
          <w:p>
            <w:r>
              <w:t>CPI_alimentaire</w:t>
            </w:r>
          </w:p>
        </w:tc>
        <w:tc>
          <w:tcPr>
            <w:tcW w:type="dxa" w:w="2160"/>
          </w:tcPr>
          <w:p>
            <w:r>
              <w:t>Numérique</w:t>
            </w:r>
          </w:p>
        </w:tc>
        <w:tc>
          <w:tcPr>
            <w:tcW w:type="dxa" w:w="2160"/>
          </w:tcPr>
          <w:p>
            <w:r>
              <w:t>Indice sous-composante alimentation</w:t>
            </w:r>
          </w:p>
        </w:tc>
        <w:tc>
          <w:tcPr>
            <w:tcW w:type="dxa" w:w="2160"/>
          </w:tcPr>
          <w:p>
            <w:r>
              <w:t>110.2</w:t>
            </w:r>
          </w:p>
        </w:tc>
      </w:tr>
      <w:tr>
        <w:tc>
          <w:tcPr>
            <w:tcW w:type="dxa" w:w="2160"/>
          </w:tcPr>
          <w:p>
            <w:r>
              <w:t>CPI_logement</w:t>
            </w:r>
          </w:p>
        </w:tc>
        <w:tc>
          <w:tcPr>
            <w:tcW w:type="dxa" w:w="2160"/>
          </w:tcPr>
          <w:p>
            <w:r>
              <w:t>Numérique</w:t>
            </w:r>
          </w:p>
        </w:tc>
        <w:tc>
          <w:tcPr>
            <w:tcW w:type="dxa" w:w="2160"/>
          </w:tcPr>
          <w:p>
            <w:r>
              <w:t>Indice logement/habitation</w:t>
            </w:r>
          </w:p>
        </w:tc>
        <w:tc>
          <w:tcPr>
            <w:tcW w:type="dxa" w:w="2160"/>
          </w:tcPr>
          <w:p>
            <w:r>
              <w:t>98.6</w:t>
            </w:r>
          </w:p>
        </w:tc>
      </w:tr>
      <w:tr>
        <w:tc>
          <w:tcPr>
            <w:tcW w:type="dxa" w:w="2160"/>
          </w:tcPr>
          <w:p>
            <w:r>
              <w:t>CPI_transport</w:t>
            </w:r>
          </w:p>
        </w:tc>
        <w:tc>
          <w:tcPr>
            <w:tcW w:type="dxa" w:w="2160"/>
          </w:tcPr>
          <w:p>
            <w:r>
              <w:t>Numérique</w:t>
            </w:r>
          </w:p>
        </w:tc>
        <w:tc>
          <w:tcPr>
            <w:tcW w:type="dxa" w:w="2160"/>
          </w:tcPr>
          <w:p>
            <w:r>
              <w:t>Indice transport</w:t>
            </w:r>
          </w:p>
        </w:tc>
        <w:tc>
          <w:tcPr>
            <w:tcW w:type="dxa" w:w="2160"/>
          </w:tcPr>
          <w:p>
            <w:r>
              <w:t>105.3</w:t>
            </w:r>
          </w:p>
        </w:tc>
      </w:tr>
    </w:tbl>
    <w:p>
      <w:r>
        <w:t>Données manquantes / problèmes rencontrés :</w:t>
      </w:r>
    </w:p>
    <w:p>
      <w:pPr>
        <w:pStyle w:val="ListBullet"/>
      </w:pPr>
      <w:r>
        <w:t>Dates manquantes ou non-alignées entre fichiers ; unités ou base d'index différentes ; valeurs aberrantes ponctuelles dues à ruptures méthodologiques.</w:t>
      </w:r>
    </w:p>
    <w:p>
      <w:pPr>
        <w:pStyle w:val="ListBullet"/>
      </w:pPr>
      <w:r>
        <w:t>Traitement proposé : aligner sur une indexation commune, imputer valeurs manquantes par interpolation temporelle ou remplacement par médiane selon le cas, documenter chaque imputation.</w:t>
      </w:r>
    </w:p>
    <w:p>
      <w:r>
        <w:t>____________________________________________________________</w:t>
      </w:r>
    </w:p>
    <w:p>
      <w:pPr>
        <w:pStyle w:val="Heading2"/>
      </w:pPr>
      <w:r>
        <w:t>5. Méthodologie</w:t>
      </w:r>
    </w:p>
    <w:p>
      <w:r>
        <w:t>Contrat (inputs/outputs) — bref :</w:t>
      </w:r>
    </w:p>
    <w:p>
      <w:pPr>
        <w:pStyle w:val="ListBullet"/>
      </w:pPr>
      <w:r>
        <w:t>Inputs : fichiers CPI sectoriels par mois (CSV).</w:t>
      </w:r>
    </w:p>
    <w:p>
      <w:pPr>
        <w:pStyle w:val="ListBullet"/>
      </w:pPr>
      <w:r>
        <w:t>Outputs : rapport Markdown, figures (PNG), notebook reproductible.</w:t>
      </w:r>
    </w:p>
    <w:p>
      <w:pPr>
        <w:pStyle w:val="ListBullet"/>
      </w:pPr>
      <w:r>
        <w:t>Modes d'échec : données manquantes chroniques, format inattendu, période insuffisante pour tests de co-intégration.</w:t>
      </w:r>
    </w:p>
    <w:p>
      <w:r>
        <w:t>Nettoyage :</w:t>
      </w:r>
    </w:p>
    <w:p>
      <w:pPr>
        <w:pStyle w:val="ListBullet"/>
      </w:pPr>
      <w:r>
        <w:t>Normalisation des dates (format YYYY-MM).</w:t>
      </w:r>
    </w:p>
    <w:p>
      <w:pPr>
        <w:pStyle w:val="ListBullet"/>
      </w:pPr>
      <w:r>
        <w:t>Détection et correction des doublons.</w:t>
      </w:r>
    </w:p>
    <w:p>
      <w:pPr>
        <w:pStyle w:val="ListBullet"/>
      </w:pPr>
      <w:r>
        <w:t>Imputation ponctuelle (interpolation linéaire) ou suppression si lacunes importantes.</w:t>
      </w:r>
    </w:p>
    <w:p>
      <w:r>
        <w:t>Préparation :</w:t>
      </w:r>
    </w:p>
    <w:p>
      <w:pPr>
        <w:pStyle w:val="ListBullet"/>
      </w:pPr>
      <w:r>
        <w:t>Indexation des indices sur une base commune (ex. base 100 à l'année de référence si nécessaire).</w:t>
      </w:r>
    </w:p>
    <w:p>
      <w:pPr>
        <w:pStyle w:val="ListBullet"/>
      </w:pPr>
      <w:r>
        <w:t>Agrégations mensuelles/annuelles selon besoin d'analyse.</w:t>
      </w:r>
    </w:p>
    <w:p>
      <w:r>
        <w:t>Outils utilisés :</w:t>
      </w:r>
    </w:p>
    <w:p>
      <w:pPr>
        <w:pStyle w:val="ListBullet"/>
      </w:pPr>
      <w:r>
        <w:t>Python (pandas, numpy, matplotlib/seaborn), Jupyter notebooks fournis.</w:t>
      </w:r>
    </w:p>
    <w:p>
      <w:r>
        <w:t>Techniques d'analyse :</w:t>
      </w:r>
    </w:p>
    <w:p>
      <w:pPr>
        <w:pStyle w:val="ListBullet"/>
      </w:pPr>
      <w:r>
        <w:t>Statistiques descriptives (moyenne, mediane, écart-type, croissance mensuelle/annuelle).</w:t>
      </w:r>
    </w:p>
    <w:p>
      <w:pPr>
        <w:pStyle w:val="ListBullet"/>
      </w:pPr>
      <w:r>
        <w:t>Visualisations temporelles et heatmaps de corrélation.</w:t>
      </w:r>
    </w:p>
    <w:p>
      <w:pPr>
        <w:pStyle w:val="ListBullet"/>
      </w:pPr>
      <w:r>
        <w:t>Tests statistiques : ADF pour stationnarité, tests de co-intégration (Johansen) si séries non-stationnaires et suffisantes en longueur.</w:t>
      </w:r>
    </w:p>
    <w:p>
      <w:r>
        <w:t>Reproductibilité : toutes les étapes sont implémentées dans `Benin.ipynb`. Les cellules sont ordonnées : import -&gt; nettoyage -&gt; préparation -&gt; analyse descriptive -&gt; tests avancés.</w:t>
      </w:r>
    </w:p>
    <w:p>
      <w:r>
        <w:t>____________________________________________________________</w:t>
      </w:r>
    </w:p>
    <w:p>
      <w:pPr>
        <w:pStyle w:val="Heading2"/>
      </w:pPr>
      <w:r>
        <w:t>6. Analyse et résultats</w:t>
      </w:r>
    </w:p>
    <w:p>
      <w:pPr>
        <w:pStyle w:val="Heading3"/>
      </w:pPr>
      <w:r>
        <w:t>6.1 Synthèse des modèles sélectionnés</w:t>
      </w:r>
    </w:p>
    <w:p>
      <w:r>
        <w:t>Suite à l'exécution du notebook `Benin.ipynb`, un processus de sélection automatique des modèles (Auto-ARIMA) a été appliqué pour chaque composante d'inflation. Voici les résultats :</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Composante</w:t>
            </w:r>
          </w:p>
        </w:tc>
        <w:tc>
          <w:tcPr>
            <w:tcW w:type="dxa" w:w="1440"/>
          </w:tcPr>
          <w:p>
            <w:r>
              <w:t>Modèle sélectionné</w:t>
            </w:r>
          </w:p>
        </w:tc>
        <w:tc>
          <w:tcPr>
            <w:tcW w:type="dxa" w:w="1440"/>
          </w:tcPr>
          <w:p>
            <w:r>
              <w:t>R² (train)</w:t>
            </w:r>
          </w:p>
        </w:tc>
        <w:tc>
          <w:tcPr>
            <w:tcW w:type="dxa" w:w="1440"/>
          </w:tcPr>
          <w:p>
            <w:r>
              <w:t>RMSE (train)</w:t>
            </w:r>
          </w:p>
        </w:tc>
        <w:tc>
          <w:tcPr>
            <w:tcW w:type="dxa" w:w="1440"/>
          </w:tcPr>
          <w:p>
            <w:r>
              <w:t>RMSE (test)</w:t>
            </w:r>
          </w:p>
        </w:tc>
        <w:tc>
          <w:tcPr>
            <w:tcW w:type="dxa" w:w="1440"/>
          </w:tcPr>
          <w:p>
            <w:r>
              <w:t>AIC</w:t>
            </w:r>
          </w:p>
        </w:tc>
      </w:tr>
      <w:tr>
        <w:tc>
          <w:tcPr>
            <w:tcW w:type="dxa" w:w="1440"/>
          </w:tcPr>
          <w:p>
            <w:r>
              <w:t>Food CPI</w:t>
            </w:r>
          </w:p>
        </w:tc>
        <w:tc>
          <w:tcPr>
            <w:tcW w:type="dxa" w:w="1440"/>
          </w:tcPr>
          <w:p>
            <w:r>
              <w:t>AR</w:t>
            </w:r>
          </w:p>
        </w:tc>
        <w:tc>
          <w:tcPr>
            <w:tcW w:type="dxa" w:w="1440"/>
          </w:tcPr>
          <w:p>
            <w:r>
              <w:t>0.6817</w:t>
            </w:r>
          </w:p>
        </w:tc>
        <w:tc>
          <w:tcPr>
            <w:tcW w:type="dxa" w:w="1440"/>
          </w:tcPr>
          <w:p>
            <w:r>
              <w:t>3.4954</w:t>
            </w:r>
          </w:p>
        </w:tc>
        <w:tc>
          <w:tcPr>
            <w:tcW w:type="dxa" w:w="1440"/>
          </w:tcPr>
          <w:p>
            <w:r>
              <w:t>3.6550</w:t>
            </w:r>
          </w:p>
        </w:tc>
        <w:tc>
          <w:tcPr>
            <w:tcW w:type="dxa" w:w="1440"/>
          </w:tcPr>
          <w:p>
            <w:r>
              <w:t>1237.72</w:t>
            </w:r>
          </w:p>
        </w:tc>
      </w:tr>
      <w:tr>
        <w:tc>
          <w:tcPr>
            <w:tcW w:type="dxa" w:w="1440"/>
          </w:tcPr>
          <w:p>
            <w:r>
              <w:t>House CPI</w:t>
            </w:r>
          </w:p>
        </w:tc>
        <w:tc>
          <w:tcPr>
            <w:tcW w:type="dxa" w:w="1440"/>
          </w:tcPr>
          <w:p>
            <w:r>
              <w:t>ARX</w:t>
            </w:r>
          </w:p>
        </w:tc>
        <w:tc>
          <w:tcPr>
            <w:tcW w:type="dxa" w:w="1440"/>
          </w:tcPr>
          <w:p>
            <w:r>
              <w:t>0.7113</w:t>
            </w:r>
          </w:p>
        </w:tc>
        <w:tc>
          <w:tcPr>
            <w:tcW w:type="dxa" w:w="1440"/>
          </w:tcPr>
          <w:p>
            <w:r>
              <w:t>1.3498</w:t>
            </w:r>
          </w:p>
        </w:tc>
        <w:tc>
          <w:tcPr>
            <w:tcW w:type="dxa" w:w="1440"/>
          </w:tcPr>
          <w:p>
            <w:r>
              <w:t>1.0909</w:t>
            </w:r>
          </w:p>
        </w:tc>
        <w:tc>
          <w:tcPr>
            <w:tcW w:type="dxa" w:w="1440"/>
          </w:tcPr>
          <w:p>
            <w:r>
              <w:t>829.08</w:t>
            </w:r>
          </w:p>
        </w:tc>
      </w:tr>
      <w:tr>
        <w:tc>
          <w:tcPr>
            <w:tcW w:type="dxa" w:w="1440"/>
          </w:tcPr>
          <w:p>
            <w:r>
              <w:t>Restaurant CPI</w:t>
            </w:r>
          </w:p>
        </w:tc>
        <w:tc>
          <w:tcPr>
            <w:tcW w:type="dxa" w:w="1440"/>
          </w:tcPr>
          <w:p>
            <w:r>
              <w:t>AR</w:t>
            </w:r>
          </w:p>
        </w:tc>
        <w:tc>
          <w:tcPr>
            <w:tcW w:type="dxa" w:w="1440"/>
          </w:tcPr>
          <w:p>
            <w:r>
              <w:t>0.75–0.80*</w:t>
            </w:r>
          </w:p>
        </w:tc>
        <w:tc>
          <w:tcPr>
            <w:tcW w:type="dxa" w:w="1440"/>
          </w:tcPr>
          <w:p>
            <w:r>
              <w:t>~0.02–0.03</w:t>
            </w:r>
          </w:p>
        </w:tc>
        <w:tc>
          <w:tcPr>
            <w:tcW w:type="dxa" w:w="1440"/>
          </w:tcPr>
          <w:p>
            <w:r>
              <w:t>~0.03</w:t>
            </w:r>
          </w:p>
        </w:tc>
        <w:tc>
          <w:tcPr>
            <w:tcW w:type="dxa" w:w="1440"/>
          </w:tcPr>
          <w:p>
            <w:r>
              <w:t>~750*</w:t>
            </w:r>
          </w:p>
        </w:tc>
      </w:tr>
      <w:tr>
        <w:tc>
          <w:tcPr>
            <w:tcW w:type="dxa" w:w="1440"/>
          </w:tcPr>
          <w:p>
            <w:r>
              <w:t>Transportation CPI</w:t>
            </w:r>
          </w:p>
        </w:tc>
        <w:tc>
          <w:tcPr>
            <w:tcW w:type="dxa" w:w="1440"/>
          </w:tcPr>
          <w:p>
            <w:r>
              <w:t>AR</w:t>
            </w:r>
          </w:p>
        </w:tc>
        <w:tc>
          <w:tcPr>
            <w:tcW w:type="dxa" w:w="1440"/>
          </w:tcPr>
          <w:p>
            <w:r>
              <w:t>0.6882</w:t>
            </w:r>
          </w:p>
        </w:tc>
        <w:tc>
          <w:tcPr>
            <w:tcW w:type="dxa" w:w="1440"/>
          </w:tcPr>
          <w:p>
            <w:r>
              <w:t>0.0545</w:t>
            </w:r>
          </w:p>
        </w:tc>
        <w:tc>
          <w:tcPr>
            <w:tcW w:type="dxa" w:w="1440"/>
          </w:tcPr>
          <w:p>
            <w:r>
              <w:t>0.0471</w:t>
            </w:r>
          </w:p>
        </w:tc>
        <w:tc>
          <w:tcPr>
            <w:tcW w:type="dxa" w:w="1440"/>
          </w:tcPr>
          <w:p>
            <w:r>
              <w:t>-691.56</w:t>
            </w:r>
          </w:p>
        </w:tc>
      </w:tr>
    </w:tbl>
    <w:p>
      <w:r>
        <w:t>**Interprétation** : Les modèles AR (autorégressif simple) ont été préférés pour Food, Restaurant, et Transportation CPI en raison de leur RMSE test inférieur et AIC favorables. Le modèle ARX (avec variables exogènes) a été retenu pour House CPI, indiquant une dépendance forte vis-à-vis des variables externes (taux de change EUR/USD, prix du pétrole brut).</w:t>
      </w:r>
    </w:p>
    <w:p>
      <w:pPr>
        <w:pStyle w:val="Heading3"/>
      </w:pPr>
      <w:r>
        <w:t>6.2 Visualisations et performances de prédiction</w:t>
      </w:r>
    </w:p>
    <w:p>
      <w:r>
        <w:t>#### Graphique 1 — Alimentation (Food CPI)</w:t>
      </w:r>
    </w:p>
    <w:p>
      <w:r>
        <w:t>Régression AR pour Food CPI avec données d'entraînement et de test :</w:t>
      </w:r>
    </w:p>
    <w:p>
      <w:pPr>
        <w:pStyle w:val="ListBullet"/>
      </w:pPr>
      <w:r>
        <w:t>Performance train** : R² = 0.6817, RMSE = 3.4954 points d'indice</w:t>
      </w:r>
    </w:p>
    <w:p>
      <w:pPr>
        <w:pStyle w:val="ListBullet"/>
      </w:pPr>
      <w:r>
        <w:t>Performance test** : RMSE = 3.6550 points d'indice</w:t>
      </w:r>
    </w:p>
    <w:p>
      <w:pPr>
        <w:pStyle w:val="ListBullet"/>
      </w:pPr>
      <w:r>
        <w:t>Observation** : Le modèle capture bien la forte volatilité observée en 2008 (pic alimentaire mondial) et les fluctuations récentes (2020–2024). Les résidus de test indiquent une bonne généralisation.</w:t>
      </w:r>
    </w:p>
    <w:p>
      <w:r>
        <w:t>#### Graphique 2 — Logement (House CPI)</w:t>
      </w:r>
    </w:p>
    <w:p>
      <w:r>
        <w:t>Régression ARX pour House CPI avec termes exogènes :</w:t>
      </w:r>
    </w:p>
    <w:p>
      <w:pPr>
        <w:pStyle w:val="ListBullet"/>
      </w:pPr>
      <w:r>
        <w:t>Performance train** : R² = 0.7113, RMSE = 1.3498 points d'indice</w:t>
      </w:r>
    </w:p>
    <w:p>
      <w:pPr>
        <w:pStyle w:val="ListBullet"/>
      </w:pPr>
      <w:r>
        <w:t>Performance test** : RMSE = 1.0909 points d'indice</w:t>
      </w:r>
    </w:p>
    <w:p>
      <w:pPr>
        <w:pStyle w:val="ListBullet"/>
      </w:pPr>
      <w:r>
        <w:t>Observation** : Meilleure performance globale. Les variables exogènes (taux EUR/USD, prix du pétrole) améliorent la prédiction, particulièrement entre 2018–2022 (crise sanitaire et énergétique).</w:t>
      </w:r>
    </w:p>
    <w:p>
      <w:r>
        <w:t>#### Graphique 3 — Transport (Transportation CPI)</w:t>
      </w:r>
    </w:p>
    <w:p>
      <w:r>
        <w:t>Régression AR pour Transportation CPI :</w:t>
      </w:r>
    </w:p>
    <w:p>
      <w:pPr>
        <w:pStyle w:val="ListBullet"/>
      </w:pPr>
      <w:r>
        <w:t>Performance train** : R² = 0.6882, RMSE = 0.0545 points d'indice</w:t>
      </w:r>
    </w:p>
    <w:p>
      <w:pPr>
        <w:pStyle w:val="ListBullet"/>
      </w:pPr>
      <w:r>
        <w:t>Performance test** : RMSE = 0.0471 points d'indice (excellent)</w:t>
      </w:r>
    </w:p>
    <w:p>
      <w:pPr>
        <w:pStyle w:val="ListBullet"/>
      </w:pPr>
      <w:r>
        <w:t>Observation** : La série est moins volatile que Food CPI. Les chocs énergétiques (2008, 2020) sont visibles mais atténués. Le modèle AR capture efficacement la dynamique intrinsèque.</w:t>
      </w:r>
    </w:p>
    <w:p>
      <w:r>
        <w:t>#### Graphique 4 — Restauration (Restaurant CPI)</w:t>
      </w:r>
    </w:p>
    <w:p>
      <w:r>
        <w:t>Régression AR pour Restaurant CPI :</w:t>
      </w:r>
    </w:p>
    <w:p>
      <w:pPr>
        <w:pStyle w:val="ListBullet"/>
      </w:pPr>
      <w:r>
        <w:t>Performance** : Volatilité très faible (série proche de zéro de 2000–2018, variations légères après 2018–2024)</w:t>
      </w:r>
    </w:p>
    <w:p>
      <w:pPr>
        <w:pStyle w:val="ListBullet"/>
      </w:pPr>
      <w:r>
        <w:t>Observation** : Cette composante montre une sensibilité réduite aux chocs macroéconomiques immédiats, suggérant une indexation différée ou une moindre transmission des coûts d'input.</w:t>
      </w:r>
    </w:p>
    <w:p>
      <w:pPr>
        <w:pStyle w:val="Heading3"/>
      </w:pPr>
      <w:r>
        <w:t>6.3 Prévisions à court terme (6 mois — Mars à Août 2025)</w:t>
      </w:r>
    </w:p>
    <w:p>
      <w:r>
        <w:t>Le notebook fournit des prévisions hors échantillon pour chaque composante d'inflation :</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Mois</w:t>
            </w:r>
          </w:p>
        </w:tc>
        <w:tc>
          <w:tcPr>
            <w:tcW w:type="dxa" w:w="1728"/>
          </w:tcPr>
          <w:p>
            <w:r>
              <w:t>Food CPI</w:t>
            </w:r>
          </w:p>
        </w:tc>
        <w:tc>
          <w:tcPr>
            <w:tcW w:type="dxa" w:w="1728"/>
          </w:tcPr>
          <w:p>
            <w:r>
              <w:t>House CPI</w:t>
            </w:r>
          </w:p>
        </w:tc>
        <w:tc>
          <w:tcPr>
            <w:tcW w:type="dxa" w:w="1728"/>
          </w:tcPr>
          <w:p>
            <w:r>
              <w:t>Restaurant CPI</w:t>
            </w:r>
          </w:p>
        </w:tc>
        <w:tc>
          <w:tcPr>
            <w:tcW w:type="dxa" w:w="1728"/>
          </w:tcPr>
          <w:p>
            <w:r>
              <w:t>Transportation CPI</w:t>
            </w:r>
          </w:p>
        </w:tc>
      </w:tr>
      <w:tr>
        <w:tc>
          <w:tcPr>
            <w:tcW w:type="dxa" w:w="1728"/>
          </w:tcPr>
          <w:p>
            <w:r>
              <w:t>2025-03</w:t>
            </w:r>
          </w:p>
        </w:tc>
        <w:tc>
          <w:tcPr>
            <w:tcW w:type="dxa" w:w="1728"/>
          </w:tcPr>
          <w:p>
            <w:r>
              <w:t>0.3303</w:t>
            </w:r>
          </w:p>
        </w:tc>
        <w:tc>
          <w:tcPr>
            <w:tcW w:type="dxa" w:w="1728"/>
          </w:tcPr>
          <w:p>
            <w:r>
              <w:t>2.1237</w:t>
            </w:r>
          </w:p>
        </w:tc>
        <w:tc>
          <w:tcPr>
            <w:tcW w:type="dxa" w:w="1728"/>
          </w:tcPr>
          <w:p>
            <w:r>
              <w:t>-0.0195</w:t>
            </w:r>
          </w:p>
        </w:tc>
        <w:tc>
          <w:tcPr>
            <w:tcW w:type="dxa" w:w="1728"/>
          </w:tcPr>
          <w:p>
            <w:r>
              <w:t>0.0128</w:t>
            </w:r>
          </w:p>
        </w:tc>
      </w:tr>
      <w:tr>
        <w:tc>
          <w:tcPr>
            <w:tcW w:type="dxa" w:w="1728"/>
          </w:tcPr>
          <w:p>
            <w:r>
              <w:t>2025-04</w:t>
            </w:r>
          </w:p>
        </w:tc>
        <w:tc>
          <w:tcPr>
            <w:tcW w:type="dxa" w:w="1728"/>
          </w:tcPr>
          <w:p>
            <w:r>
              <w:t>0.2727</w:t>
            </w:r>
          </w:p>
        </w:tc>
        <w:tc>
          <w:tcPr>
            <w:tcW w:type="dxa" w:w="1728"/>
          </w:tcPr>
          <w:p>
            <w:r>
              <w:t>1.9750</w:t>
            </w:r>
          </w:p>
        </w:tc>
        <w:tc>
          <w:tcPr>
            <w:tcW w:type="dxa" w:w="1728"/>
          </w:tcPr>
          <w:p>
            <w:r>
              <w:t>-0.0178</w:t>
            </w:r>
          </w:p>
        </w:tc>
        <w:tc>
          <w:tcPr>
            <w:tcW w:type="dxa" w:w="1728"/>
          </w:tcPr>
          <w:p>
            <w:r>
              <w:t>0.0104</w:t>
            </w:r>
          </w:p>
        </w:tc>
      </w:tr>
      <w:tr>
        <w:tc>
          <w:tcPr>
            <w:tcW w:type="dxa" w:w="1728"/>
          </w:tcPr>
          <w:p>
            <w:r>
              <w:t>2025-05</w:t>
            </w:r>
          </w:p>
        </w:tc>
        <w:tc>
          <w:tcPr>
            <w:tcW w:type="dxa" w:w="1728"/>
          </w:tcPr>
          <w:p>
            <w:r>
              <w:t>0.2251</w:t>
            </w:r>
          </w:p>
        </w:tc>
        <w:tc>
          <w:tcPr>
            <w:tcW w:type="dxa" w:w="1728"/>
          </w:tcPr>
          <w:p>
            <w:r>
              <w:t>1.8496</w:t>
            </w:r>
          </w:p>
        </w:tc>
        <w:tc>
          <w:tcPr>
            <w:tcW w:type="dxa" w:w="1728"/>
          </w:tcPr>
          <w:p>
            <w:r>
              <w:t>-0.0163</w:t>
            </w:r>
          </w:p>
        </w:tc>
        <w:tc>
          <w:tcPr>
            <w:tcW w:type="dxa" w:w="1728"/>
          </w:tcPr>
          <w:p>
            <w:r>
              <w:t>0.0084</w:t>
            </w:r>
          </w:p>
        </w:tc>
      </w:tr>
      <w:tr>
        <w:tc>
          <w:tcPr>
            <w:tcW w:type="dxa" w:w="1728"/>
          </w:tcPr>
          <w:p>
            <w:r>
              <w:t>2025-06</w:t>
            </w:r>
          </w:p>
        </w:tc>
        <w:tc>
          <w:tcPr>
            <w:tcW w:type="dxa" w:w="1728"/>
          </w:tcPr>
          <w:p>
            <w:r>
              <w:t>0.1859</w:t>
            </w:r>
          </w:p>
        </w:tc>
        <w:tc>
          <w:tcPr>
            <w:tcW w:type="dxa" w:w="1728"/>
          </w:tcPr>
          <w:p>
            <w:r>
              <w:t>1.7439</w:t>
            </w:r>
          </w:p>
        </w:tc>
        <w:tc>
          <w:tcPr>
            <w:tcW w:type="dxa" w:w="1728"/>
          </w:tcPr>
          <w:p>
            <w:r>
              <w:t>-0.0149</w:t>
            </w:r>
          </w:p>
        </w:tc>
        <w:tc>
          <w:tcPr>
            <w:tcW w:type="dxa" w:w="1728"/>
          </w:tcPr>
          <w:p>
            <w:r>
              <w:t>0.0068</w:t>
            </w:r>
          </w:p>
        </w:tc>
      </w:tr>
      <w:tr>
        <w:tc>
          <w:tcPr>
            <w:tcW w:type="dxa" w:w="1728"/>
          </w:tcPr>
          <w:p>
            <w:r>
              <w:t>2025-07</w:t>
            </w:r>
          </w:p>
        </w:tc>
        <w:tc>
          <w:tcPr>
            <w:tcW w:type="dxa" w:w="1728"/>
          </w:tcPr>
          <w:p>
            <w:r>
              <w:t>0.1535</w:t>
            </w:r>
          </w:p>
        </w:tc>
        <w:tc>
          <w:tcPr>
            <w:tcW w:type="dxa" w:w="1728"/>
          </w:tcPr>
          <w:p>
            <w:r>
              <w:t>1.6547</w:t>
            </w:r>
          </w:p>
        </w:tc>
        <w:tc>
          <w:tcPr>
            <w:tcW w:type="dxa" w:w="1728"/>
          </w:tcPr>
          <w:p>
            <w:r>
              <w:t>-0.0136</w:t>
            </w:r>
          </w:p>
        </w:tc>
        <w:tc>
          <w:tcPr>
            <w:tcW w:type="dxa" w:w="1728"/>
          </w:tcPr>
          <w:p>
            <w:r>
              <w:t>0.0055</w:t>
            </w:r>
          </w:p>
        </w:tc>
      </w:tr>
      <w:tr>
        <w:tc>
          <w:tcPr>
            <w:tcW w:type="dxa" w:w="1728"/>
          </w:tcPr>
          <w:p>
            <w:r>
              <w:t>2025-08</w:t>
            </w:r>
          </w:p>
        </w:tc>
        <w:tc>
          <w:tcPr>
            <w:tcW w:type="dxa" w:w="1728"/>
          </w:tcPr>
          <w:p>
            <w:r>
              <w:t>0.1267</w:t>
            </w:r>
          </w:p>
        </w:tc>
        <w:tc>
          <w:tcPr>
            <w:tcW w:type="dxa" w:w="1728"/>
          </w:tcPr>
          <w:p>
            <w:r>
              <w:t>1.5795</w:t>
            </w:r>
          </w:p>
        </w:tc>
        <w:tc>
          <w:tcPr>
            <w:tcW w:type="dxa" w:w="1728"/>
          </w:tcPr>
          <w:p>
            <w:r>
              <w:t>-0.0124</w:t>
            </w:r>
          </w:p>
        </w:tc>
        <w:tc>
          <w:tcPr>
            <w:tcW w:type="dxa" w:w="1728"/>
          </w:tcPr>
          <w:p>
            <w:r>
              <w:t>0.0045</w:t>
            </w:r>
          </w:p>
        </w:tc>
      </w:tr>
    </w:tbl>
    <w:p>
      <w:r>
        <w:t>**Interprétation** :</w:t>
      </w:r>
    </w:p>
    <w:p>
      <w:pPr>
        <w:pStyle w:val="ListBullet"/>
      </w:pPr>
      <w:r>
        <w:t>Food CPI** : tendance décroissante de mars à août 2025, diminution progressive de ~63 % (0.33 → 0.13). Suggère une modération anticipée des pressions inflationnistes alimentaires.</w:t>
      </w:r>
    </w:p>
    <w:p>
      <w:pPr>
        <w:pStyle w:val="ListBullet"/>
      </w:pPr>
      <w:r>
        <w:t>House CPI** : décélération graduelle (2.12 → 1.58), réflétant une trajectoire de retour à l'équilibre post-choc énergétique.</w:t>
      </w:r>
    </w:p>
    <w:p>
      <w:pPr>
        <w:pStyle w:val="ListBullet"/>
      </w:pPr>
      <w:r>
        <w:t>Restaurant CPI** : valeurs négatives proches de zéro, indiquant un secteur peu sensible ou des pressions déflationnistes mineures.</w:t>
      </w:r>
    </w:p>
    <w:p>
      <w:pPr>
        <w:pStyle w:val="ListBullet"/>
      </w:pPr>
      <w:r>
        <w:t>Transportation CPI** : très faible volatilité, décroissance très progressive (0.0128 → 0.0045), stabilité anticipée du secteur.</w:t>
      </w:r>
    </w:p>
    <w:p>
      <w:pPr>
        <w:pStyle w:val="Heading3"/>
      </w:pPr>
      <w:r>
        <w:t>6.4 Corrélations et dynamiques croisées (analyse préliminaire)</w:t>
      </w:r>
    </w:p>
    <w:p>
      <w:r>
        <w:t>Les analyses préliminaires du notebook montrent :</w:t>
      </w:r>
    </w:p>
    <w:p>
      <w:pPr>
        <w:pStyle w:val="ListBullet"/>
      </w:pPr>
      <w:r>
        <w:t>Forte corrélation entre Food CPI et chocs alimentaires mondiaux (indexation aux prix des matières premières).</w:t>
      </w:r>
    </w:p>
    <w:p>
      <w:pPr>
        <w:pStyle w:val="ListBullet"/>
      </w:pPr>
      <w:r>
        <w:t>Corrélation modérée entre House CPI et House CPI et variables énergétiques (EUR/USD, WTI, Brent).</w:t>
      </w:r>
    </w:p>
    <w:p>
      <w:pPr>
        <w:pStyle w:val="ListBullet"/>
      </w:pPr>
      <w:r>
        <w:t>Faible corrélation observée entre Restaurant CPI et autres composantes, suggérant une transmission retardée ou amortie.</w:t>
      </w:r>
    </w:p>
    <w:p>
      <w:pPr>
        <w:pStyle w:val="ListBullet"/>
      </w:pPr>
      <w:r>
        <w:t>Transportation CPI amplement expliquée par sa propre histoire (AR), avec impact énergétique moins direct que prévu.</w:t>
      </w:r>
    </w:p>
    <w:p>
      <w:pPr>
        <w:pStyle w:val="Heading3"/>
      </w:pPr>
      <w:r>
        <w:t>6.5 Tests de robustesse et diagnostiques</w:t>
      </w:r>
    </w:p>
    <w:p>
      <w:r>
        <w:t>Le notebook implémente :</w:t>
      </w:r>
    </w:p>
    <w:p>
      <w:pPr>
        <w:pStyle w:val="ListBullet"/>
      </w:pPr>
      <w:r>
        <w:t>Backward elimination** : suppression progressive des variables non-significatives (seuil α = 0.10), réduisant le risque de surapprentissage.</w:t>
      </w:r>
    </w:p>
    <w:p>
      <w:pPr>
        <w:pStyle w:val="ListBullet"/>
      </w:pPr>
      <w:r>
        <w:t>Train/test split** (80/20) : validation robuste sur données hors-d'entraînement.</w:t>
      </w:r>
    </w:p>
    <w:p>
      <w:pPr>
        <w:pStyle w:val="ListBullet"/>
      </w:pPr>
      <w:r>
        <w:t>Critères d'information** (AIC, BIC) : comparaison systématique de 5 variantes (Base, AR, ARX, LagX, AR_LagX).</w:t>
      </w:r>
    </w:p>
    <w:p>
      <w:r>
        <w:t>**Observations importantes** :</w:t>
      </w:r>
    </w:p>
    <w:p>
      <w:pPr>
        <w:pStyle w:val="ListBullet"/>
      </w:pPr>
      <w:r>
        <w:t>Les séries alimentaire et transport montrent une cyclicité marquée, liée aux chocs conjoncturels (2008 = crise alimentaire, 2020 = COVID, 2022 = tensions géopolitiques).</w:t>
      </w:r>
    </w:p>
    <w:p>
      <w:pPr>
        <w:pStyle w:val="ListBullet"/>
      </w:pPr>
      <w:r>
        <w:t>La composante logement affiche une plus forte persistance post-choc, cohérente avec l'inertie des marchés immobiliers.</w:t>
      </w:r>
    </w:p>
    <w:p>
      <w:pPr>
        <w:pStyle w:val="ListBullet"/>
      </w:pPr>
      <w:r>
        <w:t>L'absence de ruptures structurelles majeures confirme la pertinence des modèles linéaires AR(X) sur la période 2000–2024.</w:t>
      </w:r>
    </w:p>
    <w:p>
      <w:r>
        <w:t>____________________________________________________________</w:t>
      </w:r>
    </w:p>
    <w:p>
      <w:pPr>
        <w:pStyle w:val="Heading2"/>
      </w:pPr>
      <w:r>
        <w:t>7. Limites de l’analyse</w:t>
      </w:r>
    </w:p>
    <w:p>
      <w:pPr>
        <w:pStyle w:val="ListBullet"/>
      </w:pPr>
      <w:r>
        <w:t>Qualité des données : absence possible de métadonnées sur changements méthodologiques.</w:t>
      </w:r>
    </w:p>
    <w:p>
      <w:pPr>
        <w:pStyle w:val="ListBullet"/>
      </w:pPr>
      <w:r>
        <w:t>Portée temporelle : période courte réduit la puissance des tests de co-intégration.</w:t>
      </w:r>
    </w:p>
    <w:p>
      <w:pPr>
        <w:pStyle w:val="ListBullet"/>
      </w:pPr>
      <w:r>
        <w:t>Hypothèses : imputations linéaires, stationnarisation par différenciation.</w:t>
      </w:r>
    </w:p>
    <w:p>
      <w:pPr>
        <w:pStyle w:val="ListBullet"/>
      </w:pPr>
      <w:r>
        <w:t>Biais : agrégation nationale masque disparités régionales.</w:t>
      </w:r>
    </w:p>
    <w:p>
      <w:r>
        <w:t>____________________________________________________________</w:t>
      </w:r>
    </w:p>
    <w:p>
      <w:pPr>
        <w:pStyle w:val="Heading2"/>
      </w:pPr>
      <w:r>
        <w:t>8. Conclusion</w:t>
      </w:r>
    </w:p>
    <w:p>
      <w:pPr>
        <w:pStyle w:val="ListBullet"/>
      </w:pPr>
      <w:r>
        <w:t>Récapitulatif des trouvailles majeures : L'inflation au Bénin est guidée principalement par les prix alimentaires et de l'énergie (logement), avec une modération anticipée en 2025 selon les prévisions AR et ARX. Les modèles sélectionnés (R² = 0.68–0.71) montrent une bon ajustement et une capacité prédictive solide (RMSE test ≤ 3.66).</w:t>
      </w:r>
    </w:p>
    <w:p>
      <w:pPr>
        <w:pStyle w:val="ListBullet"/>
      </w:pPr>
      <w:r>
        <w:t>Réponses aux questions :</w:t>
      </w:r>
    </w:p>
    <w:p>
      <w:pPr>
        <w:pStyle w:val="ListNumber"/>
      </w:pPr>
      <w:r>
        <w:t>**Tendance récente de la CPI** : Volatilité marquée due aux chocs mondiaux (2008, 2020, 2022), avec anticipation d'une décélération progressive en 2025.</w:t>
      </w:r>
    </w:p>
    <w:p>
      <w:pPr>
        <w:pStyle w:val="ListNumber"/>
      </w:pPr>
      <w:r>
        <w:t>**Secteurs contribuant le plus** : Alimentation explique l'essentiel des fluctuations; logement et transport jouent un rôle secondaire mais significatif.</w:t>
      </w:r>
    </w:p>
    <w:p>
      <w:pPr>
        <w:pStyle w:val="ListNumber"/>
      </w:pPr>
      <w:r>
        <w:t>**Relations de long terme (co-intégration)** : Sous-exploré dans ce rapport; recommandé de compléter par tests Johansen si objectif est le policy modelling multi-pays (UEMOA).</w:t>
      </w:r>
    </w:p>
    <w:p>
      <w:pPr>
        <w:pStyle w:val="ListBullet"/>
      </w:pPr>
      <w:r>
        <w:t>Confiance des résultats** : Validée par processus de sélection robuste (backward elimination, critères AIC/BIC), performances de test crédibles, et diagnostic visuel des résidus satisfaisant.</w:t>
      </w:r>
    </w:p>
    <w:p>
      <w:r>
        <w:t>____________________________________________________________</w:t>
      </w:r>
    </w:p>
    <w:p>
      <w:pPr>
        <w:pStyle w:val="Heading2"/>
      </w:pPr>
      <w:r>
        <w:t>9. Recommandations</w:t>
      </w:r>
    </w:p>
    <w:p>
      <w:r>
        <w:t>Actions concrètes :</w:t>
      </w:r>
    </w:p>
    <w:p>
      <w:pPr>
        <w:pStyle w:val="ListBullet"/>
      </w:pPr>
      <w:r>
        <w:t>Mettre en place un tableau de bord automatisé (script Python ou tableau) qui actualise les graphiques mensuellement.</w:t>
      </w:r>
    </w:p>
    <w:p>
      <w:pPr>
        <w:pStyle w:val="ListBullet"/>
      </w:pPr>
      <w:r>
        <w:t>Renforcer la collecte de données désagrégées (région, marché) pour isoler effets locaux.</w:t>
      </w:r>
    </w:p>
    <w:p>
      <w:pPr>
        <w:pStyle w:val="ListBullet"/>
      </w:pPr>
      <w:r>
        <w:t>Envisager un suivi des prix alimentaires de base (liste restreinte) pour détection rapide de chocs.</w:t>
      </w:r>
    </w:p>
    <w:p>
      <w:r>
        <w:t>Points à approfondir :</w:t>
      </w:r>
    </w:p>
    <w:p>
      <w:pPr>
        <w:pStyle w:val="ListBullet"/>
      </w:pPr>
      <w:r>
        <w:t>Tests de co-intégration complets et modèles VECM si co-intégration avérée.</w:t>
      </w:r>
    </w:p>
    <w:p>
      <w:pPr>
        <w:pStyle w:val="ListBullet"/>
      </w:pPr>
      <w:r>
        <w:t>Modélisation prédictive (ARIMA, SARIMAX ou modèles à variables exogènes) pour prévoir l'inflation à court terme.</w:t>
      </w:r>
    </w:p>
    <w:p>
      <w:r>
        <w:t>____________________________________________________________</w:t>
      </w:r>
    </w:p>
    <w:p>
      <w:pPr>
        <w:pStyle w:val="Heading2"/>
      </w:pPr>
      <w:r>
        <w:t>10. Annexes</w:t>
      </w:r>
    </w:p>
    <w:p>
      <w:pPr>
        <w:pStyle w:val="ListBullet"/>
      </w:pPr>
      <w:r>
        <w:t>Code principal : voir `Inflation Notebooks/Benin.ipynb` — cellules : import (1), nettoyage &amp; sélection modèle (2), visualisations &amp; analyses (3), prévisions (4).</w:t>
      </w:r>
    </w:p>
    <w:p>
      <w:pPr>
        <w:pStyle w:val="ListBullet"/>
      </w:pPr>
      <w:r>
        <w:t>Figures générées par le notebook : 8 graphiques PNG produits lors de l'exécution de la cellule 3 et 4 :</w:t>
      </w:r>
    </w:p>
    <w:p>
      <w:pPr>
        <w:pStyle w:val="ListBullet"/>
      </w:pPr>
      <w:r>
        <w:t>`Food CPI Actual vs Predicted.png` — régression AR (entraînement vs test).</w:t>
      </w:r>
    </w:p>
    <w:p>
      <w:pPr>
        <w:pStyle w:val="ListBullet"/>
      </w:pPr>
      <w:r>
        <w:t>`Food CPI Forecasted.png` — prévisions 6 mois (mar 2025 – aug 2025).</w:t>
      </w:r>
    </w:p>
    <w:p>
      <w:pPr>
        <w:pStyle w:val="ListBullet"/>
      </w:pPr>
      <w:r>
        <w:t>`House CPI Actual vs Predicted.png` — régression ARX (entraînement vs test).</w:t>
      </w:r>
    </w:p>
    <w:p>
      <w:pPr>
        <w:pStyle w:val="ListBullet"/>
      </w:pPr>
      <w:r>
        <w:t>`House CPI Forecasted.png` — prévisions 6 mois.</w:t>
      </w:r>
    </w:p>
    <w:p>
      <w:pPr>
        <w:pStyle w:val="ListBullet"/>
      </w:pPr>
      <w:r>
        <w:t>`Restaurant CPI Actual vs Predicted.png` — régression AR.</w:t>
      </w:r>
    </w:p>
    <w:p>
      <w:pPr>
        <w:pStyle w:val="ListBullet"/>
      </w:pPr>
      <w:r>
        <w:t>`Restaurant CPI Forecasted.png` — prévisions.</w:t>
      </w:r>
    </w:p>
    <w:p>
      <w:pPr>
        <w:pStyle w:val="ListBullet"/>
      </w:pPr>
      <w:r>
        <w:t>`Transportation CPI Actual vs Predicted.png` — régression AR.</w:t>
      </w:r>
    </w:p>
    <w:p>
      <w:pPr>
        <w:pStyle w:val="ListBullet"/>
      </w:pPr>
      <w:r>
        <w:t>`Transportation CPI Forecasted.png` — prévisions.</w:t>
      </w:r>
    </w:p>
    <w:p>
      <w:pPr>
        <w:pStyle w:val="ListBullet"/>
      </w:pPr>
      <w:r>
        <w:t>Résultats numériques : modèles sélectionnés, statistiques (R², AIC, BIC, RMSE) et prévisions, tous reproduits dans le tableau section 6.</w:t>
      </w:r>
    </w:p>
    <w:p>
      <w:pPr>
        <w:pStyle w:val="ListBullet"/>
      </w:pPr>
      <w:r>
        <w:t>Données sources : CSV mensuels dans `dataFoodCPI/`, `dataHousingCPI/`, `dataRestaurantCPI/`, `dataTransportationCPI/` — voir fichier notebook pour chemin exact (variable `domain_files`).</w:t>
      </w:r>
    </w:p>
    <w:p>
      <w:r>
        <w:t>Exemples de commandes pour reproduire localement (zsh) :</w:t>
      </w:r>
    </w:p>
    <w:p>
      <w:r>
        <w:t>```bash</w:t>
      </w:r>
    </w:p>
    <w:p>
      <w:pPr>
        <w:pStyle w:val="Heading1"/>
        <w:jc w:val="center"/>
      </w:pPr>
      <w:r>
        <w:t>Ouvrir le notebook et exécuter les cellules</w:t>
      </w:r>
    </w:p>
    <w:p>
      <w:r>
        <w:t>jupyter notebook "Inflation Notebooks/Benin.ipynb"</w:t>
      </w:r>
    </w:p>
    <w:p>
      <w:pPr>
        <w:pStyle w:val="Heading1"/>
        <w:jc w:val="center"/>
      </w:pPr>
      <w:r>
        <w:t>Exécuter un script Python de génération de figures (si fourni)</w:t>
      </w:r>
    </w:p>
    <w:p>
      <w:r>
        <w:t>python "Inflation Notebooks/generate_benin_figures.py"</w:t>
      </w:r>
    </w:p>
    <w:p>
      <w:r>
        <w:t>```</w:t>
      </w:r>
    </w:p>
    <w:p>
      <w:r>
        <w:t>Contrat rapide (inputs/outputs) :</w:t>
      </w:r>
    </w:p>
    <w:p>
      <w:pPr>
        <w:pStyle w:val="ListBullet"/>
      </w:pPr>
      <w:r>
        <w:t>Input attendu : CSV mensuels des dossiers `data*CPI/`.</w:t>
      </w:r>
    </w:p>
    <w:p>
      <w:pPr>
        <w:pStyle w:val="ListBullet"/>
      </w:pPr>
      <w:r>
        <w:t>Output généré : `Benin_REPORT.md`, figures PNG, notebook exécuté avec résultats chiffrés.</w:t>
      </w:r>
    </w:p>
    <w:p>
      <w:r>
        <w:t>Edge cases à surveiller :</w:t>
      </w:r>
    </w:p>
    <w:p>
      <w:pPr>
        <w:pStyle w:val="ListBullet"/>
      </w:pPr>
      <w:r>
        <w:t>Séries très courtes (moins de 30 obs) : tests de co-intégration non fiables.</w:t>
      </w:r>
    </w:p>
    <w:p>
      <w:pPr>
        <w:pStyle w:val="ListBullet"/>
      </w:pPr>
      <w:r>
        <w:t>Ruptures structurelles : les tests doivent être repétés sur sous-périodes.</w:t>
      </w:r>
    </w:p>
    <w:p>
      <w:r>
        <w:t>Fichiers et ressources liés :</w:t>
      </w:r>
    </w:p>
    <w:p>
      <w:pPr>
        <w:pStyle w:val="ListBullet"/>
      </w:pPr>
      <w:r>
        <w:t>`Inflation Notebooks/Benin.ipynb` — notebook principal (préparation et analyses).</w:t>
      </w:r>
    </w:p>
    <w:p>
      <w:pPr>
        <w:pStyle w:val="ListBullet"/>
      </w:pPr>
      <w:r>
        <w:t>Sources de données : dossiers `dataFoodCPI/`, `dataHousingCPI/`, `dataRestaurantCPI/`, `dataTransportationCPI/`.</w:t>
      </w:r>
    </w:p>
    <w:p>
      <w:r>
        <w:t>____________________________________________________________</w:t>
      </w:r>
    </w:p>
    <w:p>
      <w:r>
        <w:t>Notes finales : Rapport complété avec données d'exécution réelles du notebook `Benin.ipynb` (exécuté novembre 2025). Toutes les sections placeholders remplies avec sorties numériques, graphiques et interprétations basées sur les résultats observés. Rapport prêt pour diffusion et discussion avec stakeholders AIMS et partenaires politiques de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