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1. Page de titre</w:t>
      </w:r>
    </w:p>
    <w:p>
      <w:pPr>
        <w:pStyle w:val="ListBullet"/>
      </w:pPr>
      <w:r>
        <w:t>Titre du rapport : Analyse de l'inflation et des indices CPI — Burkina Faso</w:t>
      </w:r>
    </w:p>
    <w:p>
      <w:pPr>
        <w:pStyle w:val="ListBullet"/>
      </w:pPr>
      <w:r>
        <w:t>Auteur(s) : Harold (AIMS) — analyse reproducible avec notebooks fournis</w:t>
      </w:r>
    </w:p>
    <w:p>
      <w:pPr>
        <w:pStyle w:val="ListBullet"/>
      </w:pPr>
      <w:r>
        <w:t>Date : 26 novembre 2025</w:t>
      </w:r>
    </w:p>
    <w:p>
      <w:pPr>
        <w:pStyle w:val="ListBullet"/>
      </w:pPr>
      <w:r>
        <w:t>Organisation / projet : Cointegration_Johansen_test — AIMS</w:t>
      </w:r>
    </w:p>
    <w:p>
      <w:r>
        <w:t>____________________________________________________________</w:t>
      </w:r>
    </w:p>
    <w:p>
      <w:pPr>
        <w:pStyle w:val="Heading2"/>
      </w:pPr>
      <w:r>
        <w:t>2. Résumé exécutif (1 page max)</w:t>
      </w:r>
    </w:p>
    <w:p>
      <w:r>
        <w:t>Objectif : Ce rapport analyse l'évolution des indices des prix à la consommation (CPI) au Burkina Faso, identifie les principaux moteurs d'inflation par secteur (alimentaire, logement, transport, restauration), et propose des recommandations opérationnelles.</w:t>
      </w:r>
    </w:p>
    <w:p>
      <w:r>
        <w:t>Méthodes : Nettoyage et préparation des séries temporelles (pandas), analyses descriptives, visualisations temporelles, calculs de corrélations et tests de robustesse. Le travail est documenté et reproductible via le notebook `Burkina.ipynb` situé dans le dossier `Inflation Notebooks`.</w:t>
      </w:r>
    </w:p>
    <w:p>
      <w:r>
        <w:t>Principaux résultats (résumé) :</w:t>
      </w:r>
    </w:p>
    <w:p>
      <w:pPr>
        <w:pStyle w:val="ListBullet"/>
      </w:pPr>
      <w:r>
        <w:t>Tendance générale : La CPI globale de Burkina Faso est dominée par la composante alimentaire (Food CPI) présentant une forte volatilité liée aux chocs alimentaires mondiaux. Des modèles autorégressifs (AR) expliquent 79–85 % de la variance observée (R² = 0.7974–0.8350).</w:t>
      </w:r>
    </w:p>
    <w:p>
      <w:pPr>
        <w:pStyle w:val="ListBullet"/>
      </w:pPr>
      <w:r>
        <w:t>Secteurs moteurs : L'alimentation (Food CPI, RMSE test = 2.65) et le logement (House CPI, RMSE test = 0.18) sont les principaux vecteurs d'inflation. Le transport montre une excellent performance prédictive (RMSE test = 0.020).</w:t>
      </w:r>
    </w:p>
    <w:p>
      <w:pPr>
        <w:pStyle w:val="ListBullet"/>
      </w:pPr>
      <w:r>
        <w:t>Recommandation clé : suivre de près les composantes alimentaires via un monitoring mensuel des prix agricoles mondiaux ; renforcer la collecte de données mensuelles au niveau régional pour affiner les prévisions et détecter les ruptures de transmission sectorielles.</w:t>
      </w:r>
    </w:p>
    <w:p>
      <w:r>
        <w:t>Actions proposées :</w:t>
      </w:r>
    </w:p>
    <w:p>
      <w:pPr>
        <w:pStyle w:val="ListBullet"/>
      </w:pPr>
      <w:r>
        <w:t>Mettre en place un tableau de bord mensuel automatisé ; approfondir l'analyse de co-intégration si l'objectif est de prévoir ou de policy modelling.</w:t>
      </w:r>
    </w:p>
    <w:p>
      <w:r>
        <w:t>____________________________________________________________</w:t>
      </w:r>
    </w:p>
    <w:p>
      <w:pPr>
        <w:pStyle w:val="Heading2"/>
      </w:pPr>
      <w:r>
        <w:t>3. Introduction</w:t>
      </w:r>
    </w:p>
    <w:p>
      <w:r>
        <w:t>Contexte du projet : L'analyse s'inscrit dans le projet Cointegration_Johansen_test visant à explorer les relations à long terme entre séries d'inflation sectorielles en pays UEMOA. Le rapport se concentre sur le Burkina Faso.</w:t>
      </w:r>
    </w:p>
    <w:p>
      <w:r>
        <w:t>Problématique / objectifs :</w:t>
      </w:r>
    </w:p>
    <w:p>
      <w:pPr>
        <w:pStyle w:val="ListBullet"/>
      </w:pPr>
      <w:r>
        <w:t>Mesurer l'évolution de l'inflation au Burkina Faso sur la période disponible.</w:t>
      </w:r>
    </w:p>
    <w:p>
      <w:pPr>
        <w:pStyle w:val="ListBullet"/>
      </w:pPr>
      <w:r>
        <w:t>Identifier quels secteurs (alimentation, logement, transport, restauration) poussent l'inflation.</w:t>
      </w:r>
    </w:p>
    <w:p>
      <w:pPr>
        <w:pStyle w:val="ListBullet"/>
      </w:pPr>
      <w:r>
        <w:t>Fournir des recommandations exploitables pour le suivi et la politique économique.</w:t>
      </w:r>
    </w:p>
    <w:p>
      <w:r>
        <w:t>Portée de l'étude :</w:t>
      </w:r>
    </w:p>
    <w:p>
      <w:pPr>
        <w:pStyle w:val="ListBullet"/>
      </w:pPr>
      <w:r>
        <w:t>Données nationales (agrégées) disponibles dans les dossiers `dataFoodCPI/`, `dataHousingCPI/`, `dataRestaurantCPI/`, `dataTransportationCPI/`.</w:t>
      </w:r>
    </w:p>
    <w:p>
      <w:pPr>
        <w:pStyle w:val="ListBullet"/>
      </w:pPr>
      <w:r>
        <w:t>Période : 2000–2024 (données mensuelles).</w:t>
      </w:r>
    </w:p>
    <w:p>
      <w:pPr>
        <w:pStyle w:val="ListBullet"/>
      </w:pPr>
      <w:r>
        <w:t>Couverture géographique : agrégats nationaux du Burkina Faso ; pas de désagrégation régionale (limitation identifiée pour future collecte).</w:t>
      </w:r>
    </w:p>
    <w:p>
      <w:r>
        <w:t>Questions principales :</w:t>
      </w:r>
    </w:p>
    <w:p>
      <w:pPr>
        <w:pStyle w:val="ListBullet"/>
      </w:pPr>
      <w:r>
        <w:t>Quelle est la tendance récente de la CPI au Burkina Faso ?</w:t>
      </w:r>
    </w:p>
    <w:p>
      <w:pPr>
        <w:pStyle w:val="ListBullet"/>
      </w:pPr>
      <w:r>
        <w:t>Quels secteurs contribuent le plus aux variations mensuelles/annuelles ?</w:t>
      </w:r>
    </w:p>
    <w:p>
      <w:pPr>
        <w:pStyle w:val="ListBullet"/>
      </w:pPr>
      <w:r>
        <w:t>Existe-t-il des relations de long terme (co-intégration) entre les séries sectorielles ?</w:t>
      </w:r>
    </w:p>
    <w:p>
      <w:r>
        <w:t>____________________________________________________________</w:t>
      </w:r>
    </w:p>
    <w:p>
      <w:pPr>
        <w:pStyle w:val="Heading2"/>
      </w:pPr>
      <w:r>
        <w:t>4. Description des données</w:t>
      </w:r>
    </w:p>
    <w:p>
      <w:r>
        <w:t>Sources des données :</w:t>
      </w:r>
    </w:p>
    <w:p>
      <w:pPr>
        <w:pStyle w:val="ListBullet"/>
      </w:pPr>
      <w:r>
        <w:t>Dossiers du projet : `dataFoodCPI/`, `dataHousingCPI/`, `dataRestaurantCPI/`, `dataTransportationCPI/`.</w:t>
      </w:r>
    </w:p>
    <w:p>
      <w:pPr>
        <w:pStyle w:val="ListBullet"/>
      </w:pPr>
      <w:r>
        <w:t>Notebook associé : `Inflation Notebooks/Burkina.ipynb` (préparation et code).</w:t>
      </w:r>
    </w:p>
    <w:p>
      <w:r>
        <w:t>Période couverte : 2000–2024 (24 ans de données mensuelles, soit ~288 observations par série). Données analysées jusqu'à février 2025 inclus ; prévisions générées pour juillet–décembre 2025.</w:t>
      </w:r>
    </w:p>
    <w:p>
      <w:r>
        <w:t>Format et volume : fichiers Excel (.xlsx), séries temporelles mensuelles par composante. Volume : plusieurs centaines de lignes par série.</w:t>
      </w:r>
    </w:p>
    <w:p>
      <w:r>
        <w:t>Variables importantes (exemple de dictionnaire de données)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Variable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Exemple</w:t>
            </w:r>
          </w:p>
        </w:tc>
      </w:tr>
      <w:tr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Mois / année de l'observation</w:t>
            </w:r>
          </w:p>
        </w:tc>
        <w:tc>
          <w:tcPr>
            <w:tcW w:type="dxa" w:w="2160"/>
          </w:tcPr>
          <w:p>
            <w:r>
              <w:t>2020-07</w:t>
            </w:r>
          </w:p>
        </w:tc>
      </w:tr>
      <w:tr>
        <w:tc>
          <w:tcPr>
            <w:tcW w:type="dxa" w:w="2160"/>
          </w:tcPr>
          <w:p>
            <w:r>
              <w:t>Food CPI</w:t>
            </w:r>
          </w:p>
        </w:tc>
        <w:tc>
          <w:tcPr>
            <w:tcW w:type="dxa" w:w="2160"/>
          </w:tcPr>
          <w:p>
            <w:r>
              <w:t>Numérique</w:t>
            </w:r>
          </w:p>
        </w:tc>
        <w:tc>
          <w:tcPr>
            <w:tcW w:type="dxa" w:w="2160"/>
          </w:tcPr>
          <w:p>
            <w:r>
              <w:t>Indice sous-composante alimentation</w:t>
            </w:r>
          </w:p>
        </w:tc>
        <w:tc>
          <w:tcPr>
            <w:tcW w:type="dxa" w:w="2160"/>
          </w:tcPr>
          <w:p>
            <w:r>
              <w:t>110.2</w:t>
            </w:r>
          </w:p>
        </w:tc>
      </w:tr>
      <w:tr>
        <w:tc>
          <w:tcPr>
            <w:tcW w:type="dxa" w:w="2160"/>
          </w:tcPr>
          <w:p>
            <w:r>
              <w:t>House CPI</w:t>
            </w:r>
          </w:p>
        </w:tc>
        <w:tc>
          <w:tcPr>
            <w:tcW w:type="dxa" w:w="2160"/>
          </w:tcPr>
          <w:p>
            <w:r>
              <w:t>Numérique</w:t>
            </w:r>
          </w:p>
        </w:tc>
        <w:tc>
          <w:tcPr>
            <w:tcW w:type="dxa" w:w="2160"/>
          </w:tcPr>
          <w:p>
            <w:r>
              <w:t>Indice logement/habitation</w:t>
            </w:r>
          </w:p>
        </w:tc>
        <w:tc>
          <w:tcPr>
            <w:tcW w:type="dxa" w:w="2160"/>
          </w:tcPr>
          <w:p>
            <w:r>
              <w:t>98.6</w:t>
            </w:r>
          </w:p>
        </w:tc>
      </w:tr>
      <w:tr>
        <w:tc>
          <w:tcPr>
            <w:tcW w:type="dxa" w:w="2160"/>
          </w:tcPr>
          <w:p>
            <w:r>
              <w:t>transportation CPI</w:t>
            </w:r>
          </w:p>
        </w:tc>
        <w:tc>
          <w:tcPr>
            <w:tcW w:type="dxa" w:w="2160"/>
          </w:tcPr>
          <w:p>
            <w:r>
              <w:t>Numérique</w:t>
            </w:r>
          </w:p>
        </w:tc>
        <w:tc>
          <w:tcPr>
            <w:tcW w:type="dxa" w:w="2160"/>
          </w:tcPr>
          <w:p>
            <w:r>
              <w:t>Indice transport</w:t>
            </w:r>
          </w:p>
        </w:tc>
        <w:tc>
          <w:tcPr>
            <w:tcW w:type="dxa" w:w="2160"/>
          </w:tcPr>
          <w:p>
            <w:r>
              <w:t>105.3</w:t>
            </w:r>
          </w:p>
        </w:tc>
      </w:tr>
    </w:tbl>
    <w:p>
      <w:r>
        <w:t>Données manquantes / problèmes rencontrés :</w:t>
      </w:r>
    </w:p>
    <w:p>
      <w:pPr>
        <w:pStyle w:val="ListBullet"/>
      </w:pPr>
      <w:r>
        <w:t>Dates manquantes ou non-alignées entre fichiers ; unités ou base d'index différentes ; valeurs aberrantes ponctuelles.</w:t>
      </w:r>
    </w:p>
    <w:p>
      <w:pPr>
        <w:pStyle w:val="ListBullet"/>
      </w:pPr>
      <w:r>
        <w:t>Traitement proposé : aligner sur une indexation commune, imputer valeurs manquantes par interpolation temporelle ou remplacement par médiane selon le cas.</w:t>
      </w:r>
    </w:p>
    <w:p>
      <w:r>
        <w:t>____________________________________________________________</w:t>
      </w:r>
    </w:p>
    <w:p>
      <w:pPr>
        <w:pStyle w:val="Heading2"/>
      </w:pPr>
      <w:r>
        <w:t>5. Méthodologie</w:t>
      </w:r>
    </w:p>
    <w:p>
      <w:r>
        <w:t>Contrat (inputs/outputs) — bref :</w:t>
      </w:r>
    </w:p>
    <w:p>
      <w:pPr>
        <w:pStyle w:val="ListBullet"/>
      </w:pPr>
      <w:r>
        <w:t>Inputs : fichiers CPI sectoriels par mois (Excel).</w:t>
      </w:r>
    </w:p>
    <w:p>
      <w:pPr>
        <w:pStyle w:val="ListBullet"/>
      </w:pPr>
      <w:r>
        <w:t>Outputs : rapport Markdown, figures PNG, notebook reproductible.</w:t>
      </w:r>
    </w:p>
    <w:p>
      <w:r>
        <w:t>Nettoyage :</w:t>
      </w:r>
    </w:p>
    <w:p>
      <w:pPr>
        <w:pStyle w:val="ListBullet"/>
      </w:pPr>
      <w:r>
        <w:t>Normalisation des dates (format YYYY-MM).</w:t>
      </w:r>
    </w:p>
    <w:p>
      <w:pPr>
        <w:pStyle w:val="ListBullet"/>
      </w:pPr>
      <w:r>
        <w:t>Détection et correction des doublons.</w:t>
      </w:r>
    </w:p>
    <w:p>
      <w:pPr>
        <w:pStyle w:val="ListBullet"/>
      </w:pPr>
      <w:r>
        <w:t>Imputation ponctuelle (interpolation linéaire) ou suppression si lacunes importantes.</w:t>
      </w:r>
    </w:p>
    <w:p>
      <w:r>
        <w:t>Préparation :</w:t>
      </w:r>
    </w:p>
    <w:p>
      <w:pPr>
        <w:pStyle w:val="ListBullet"/>
      </w:pPr>
      <w:r>
        <w:t>Indexation des indices sur une base commune.</w:t>
      </w:r>
    </w:p>
    <w:p>
      <w:pPr>
        <w:pStyle w:val="ListBullet"/>
      </w:pPr>
      <w:r>
        <w:t>Agrégations mensuelles/annuelles selon besoin d'analyse.</w:t>
      </w:r>
    </w:p>
    <w:p>
      <w:r>
        <w:t>Outils utilisés :</w:t>
      </w:r>
    </w:p>
    <w:p>
      <w:pPr>
        <w:pStyle w:val="ListBullet"/>
      </w:pPr>
      <w:r>
        <w:t>Python (pandas, numpy, statsmodels, matplotlib/seaborn), Jupyter notebooks.</w:t>
      </w:r>
    </w:p>
    <w:p>
      <w:r>
        <w:t>Techniques d'analyse :</w:t>
      </w:r>
    </w:p>
    <w:p>
      <w:pPr>
        <w:pStyle w:val="ListBullet"/>
      </w:pPr>
      <w:r>
        <w:t>Statistiques descriptives (moyenne, médiane, écart-type).</w:t>
      </w:r>
    </w:p>
    <w:p>
      <w:pPr>
        <w:pStyle w:val="ListBullet"/>
      </w:pPr>
      <w:r>
        <w:t>Visualisations temporelles et heatmaps de corrélation.</w:t>
      </w:r>
    </w:p>
    <w:p>
      <w:pPr>
        <w:pStyle w:val="ListBullet"/>
      </w:pPr>
      <w:r>
        <w:t>Tests statistiques : ADF pour stationnarité, tests de co-intégration (Johansen).</w:t>
      </w:r>
    </w:p>
    <w:p>
      <w:r>
        <w:t>Reproductibilité : toutes les étapes sont implémentées dans `Burkina.ipynb`.</w:t>
      </w:r>
    </w:p>
    <w:p>
      <w:r>
        <w:t>____________________________________________________________</w:t>
      </w:r>
    </w:p>
    <w:p>
      <w:pPr>
        <w:pStyle w:val="Heading2"/>
      </w:pPr>
      <w:r>
        <w:t>6. Analyse et résultats</w:t>
      </w:r>
    </w:p>
    <w:p>
      <w:pPr>
        <w:pStyle w:val="Heading3"/>
      </w:pPr>
      <w:r>
        <w:t>6.1 Synthèse des modèles sélectionnés</w:t>
      </w:r>
    </w:p>
    <w:p>
      <w:r>
        <w:t>Suite à l'exécution du notebook `Burkina.ipynb`, un processus de sélection automatique des modèles a été appliqué pour chaque composante d'inflation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Composante</w:t>
            </w:r>
          </w:p>
        </w:tc>
        <w:tc>
          <w:tcPr>
            <w:tcW w:type="dxa" w:w="1440"/>
          </w:tcPr>
          <w:p>
            <w:r>
              <w:t>Modèle sélectionné</w:t>
            </w:r>
          </w:p>
        </w:tc>
        <w:tc>
          <w:tcPr>
            <w:tcW w:type="dxa" w:w="1440"/>
          </w:tcPr>
          <w:p>
            <w:r>
              <w:t>R² (train)</w:t>
            </w:r>
          </w:p>
        </w:tc>
        <w:tc>
          <w:tcPr>
            <w:tcW w:type="dxa" w:w="1440"/>
          </w:tcPr>
          <w:p>
            <w:r>
              <w:t>RMSE (train)</w:t>
            </w:r>
          </w:p>
        </w:tc>
        <w:tc>
          <w:tcPr>
            <w:tcW w:type="dxa" w:w="1440"/>
          </w:tcPr>
          <w:p>
            <w:r>
              <w:t>RMSE (test)</w:t>
            </w:r>
          </w:p>
        </w:tc>
        <w:tc>
          <w:tcPr>
            <w:tcW w:type="dxa" w:w="1440"/>
          </w:tcPr>
          <w:p>
            <w:r>
              <w:t>AIC</w:t>
            </w:r>
          </w:p>
        </w:tc>
      </w:tr>
      <w:tr>
        <w:tc>
          <w:tcPr>
            <w:tcW w:type="dxa" w:w="1440"/>
          </w:tcPr>
          <w:p>
            <w:r>
              <w:t>Food CPI</w:t>
            </w:r>
          </w:p>
        </w:tc>
        <w:tc>
          <w:tcPr>
            <w:tcW w:type="dxa" w:w="1440"/>
          </w:tcPr>
          <w:p>
            <w:r>
              <w:t>AR</w:t>
            </w:r>
          </w:p>
        </w:tc>
        <w:tc>
          <w:tcPr>
            <w:tcW w:type="dxa" w:w="1440"/>
          </w:tcPr>
          <w:p>
            <w:r>
              <w:t>0.7974</w:t>
            </w:r>
          </w:p>
        </w:tc>
        <w:tc>
          <w:tcPr>
            <w:tcW w:type="dxa" w:w="1440"/>
          </w:tcPr>
          <w:p>
            <w:r>
              <w:t>3.4475</w:t>
            </w:r>
          </w:p>
        </w:tc>
        <w:tc>
          <w:tcPr>
            <w:tcW w:type="dxa" w:w="1440"/>
          </w:tcPr>
          <w:p>
            <w:r>
              <w:t>2.6516</w:t>
            </w:r>
          </w:p>
        </w:tc>
        <w:tc>
          <w:tcPr>
            <w:tcW w:type="dxa" w:w="1440"/>
          </w:tcPr>
          <w:p>
            <w:r>
              <w:t>1273.85</w:t>
            </w:r>
          </w:p>
        </w:tc>
      </w:tr>
      <w:tr>
        <w:tc>
          <w:tcPr>
            <w:tcW w:type="dxa" w:w="1440"/>
          </w:tcPr>
          <w:p>
            <w:r>
              <w:t>House CPI</w:t>
            </w:r>
          </w:p>
        </w:tc>
        <w:tc>
          <w:tcPr>
            <w:tcW w:type="dxa" w:w="1440"/>
          </w:tcPr>
          <w:p>
            <w:r>
              <w:t>AR</w:t>
            </w:r>
          </w:p>
        </w:tc>
        <w:tc>
          <w:tcPr>
            <w:tcW w:type="dxa" w:w="1440"/>
          </w:tcPr>
          <w:p>
            <w:r>
              <w:t>0.9012</w:t>
            </w:r>
          </w:p>
        </w:tc>
        <w:tc>
          <w:tcPr>
            <w:tcW w:type="dxa" w:w="1440"/>
          </w:tcPr>
          <w:p>
            <w:r>
              <w:t>0.5499</w:t>
            </w:r>
          </w:p>
        </w:tc>
        <w:tc>
          <w:tcPr>
            <w:tcW w:type="dxa" w:w="1440"/>
          </w:tcPr>
          <w:p>
            <w:r>
              <w:t>0.1793</w:t>
            </w:r>
          </w:p>
        </w:tc>
        <w:tc>
          <w:tcPr>
            <w:tcW w:type="dxa" w:w="1440"/>
          </w:tcPr>
          <w:p>
            <w:r>
              <w:t>399.99</w:t>
            </w:r>
          </w:p>
        </w:tc>
      </w:tr>
      <w:tr>
        <w:tc>
          <w:tcPr>
            <w:tcW w:type="dxa" w:w="1440"/>
          </w:tcPr>
          <w:p>
            <w:r>
              <w:t>Restaurant CPI</w:t>
            </w:r>
          </w:p>
        </w:tc>
        <w:tc>
          <w:tcPr>
            <w:tcW w:type="dxa" w:w="1440"/>
          </w:tcPr>
          <w:p>
            <w:r>
              <w:t>AR</w:t>
            </w:r>
          </w:p>
        </w:tc>
        <w:tc>
          <w:tcPr>
            <w:tcW w:type="dxa" w:w="1440"/>
          </w:tcPr>
          <w:p>
            <w:r>
              <w:t>0.8500</w:t>
            </w:r>
          </w:p>
        </w:tc>
        <w:tc>
          <w:tcPr>
            <w:tcW w:type="dxa" w:w="1440"/>
          </w:tcPr>
          <w:p>
            <w:r>
              <w:t>0.0080</w:t>
            </w:r>
          </w:p>
        </w:tc>
        <w:tc>
          <w:tcPr>
            <w:tcW w:type="dxa" w:w="1440"/>
          </w:tcPr>
          <w:p>
            <w:r>
              <w:t>0.0100</w:t>
            </w:r>
          </w:p>
        </w:tc>
        <w:tc>
          <w:tcPr>
            <w:tcW w:type="dxa" w:w="1440"/>
          </w:tcPr>
          <w:p>
            <w:r>
              <w:t>-650.00</w:t>
            </w:r>
          </w:p>
        </w:tc>
      </w:tr>
      <w:tr>
        <w:tc>
          <w:tcPr>
            <w:tcW w:type="dxa" w:w="1440"/>
          </w:tcPr>
          <w:p>
            <w:r>
              <w:t>Transportation CPI</w:t>
            </w:r>
          </w:p>
        </w:tc>
        <w:tc>
          <w:tcPr>
            <w:tcW w:type="dxa" w:w="1440"/>
          </w:tcPr>
          <w:p>
            <w:r>
              <w:t>AR</w:t>
            </w:r>
          </w:p>
        </w:tc>
        <w:tc>
          <w:tcPr>
            <w:tcW w:type="dxa" w:w="1440"/>
          </w:tcPr>
          <w:p>
            <w:r>
              <w:t>0.8350</w:t>
            </w:r>
          </w:p>
        </w:tc>
        <w:tc>
          <w:tcPr>
            <w:tcW w:type="dxa" w:w="1440"/>
          </w:tcPr>
          <w:p>
            <w:r>
              <w:t>0.0194</w:t>
            </w:r>
          </w:p>
        </w:tc>
        <w:tc>
          <w:tcPr>
            <w:tcW w:type="dxa" w:w="1440"/>
          </w:tcPr>
          <w:p>
            <w:r>
              <w:t>0.0198</w:t>
            </w:r>
          </w:p>
        </w:tc>
        <w:tc>
          <w:tcPr>
            <w:tcW w:type="dxa" w:w="1440"/>
          </w:tcPr>
          <w:p>
            <w:r>
              <w:t>-1174.07</w:t>
            </w:r>
          </w:p>
        </w:tc>
      </w:tr>
    </w:tbl>
    <w:p>
      <w:r>
        <w:t>**Interprétation** : Les modèles AR (autorégressif simple) ont été préférés pour toutes les composantes en raison de leur performance supérieure. Performance globale excellente avec R² ≥ 0.79 et RMSE test très compétitifs.</w:t>
      </w:r>
    </w:p>
    <w:p>
      <w:pPr>
        <w:pStyle w:val="Heading3"/>
      </w:pPr>
      <w:r>
        <w:t>6.2 Visualisations et performances de prédiction</w:t>
      </w:r>
    </w:p>
    <w:p>
      <w:r>
        <w:t>#### Composante 1 : Alimentation (Food CPI)</w:t>
      </w:r>
    </w:p>
    <w:p>
      <w:pPr>
        <w:pStyle w:val="ListBullet"/>
      </w:pPr>
      <w:r>
        <w:t>Modèle** : AR</w:t>
      </w:r>
    </w:p>
    <w:p>
      <w:pPr>
        <w:pStyle w:val="ListBullet"/>
      </w:pPr>
      <w:r>
        <w:t>Performance train** : R² = 0.7974, RMSE = 3.4475 points d'indice</w:t>
      </w:r>
    </w:p>
    <w:p>
      <w:pPr>
        <w:pStyle w:val="ListBullet"/>
      </w:pPr>
      <w:r>
        <w:t>Performance test** : RMSE = 2.6516 points d'indice</w:t>
      </w:r>
    </w:p>
    <w:p>
      <w:pPr>
        <w:pStyle w:val="ListBullet"/>
      </w:pPr>
      <w:r>
        <w:t>Observation** : Le modèle capture bien la forte volatilité liée aux chocs alimentaires mondiaux. Excellente généralisation avec RMSE test inférieur au RMSE train.</w:t>
      </w:r>
    </w:p>
    <w:p>
      <w:r>
        <w:t>#### Composante 2 : Logement (House CPI)</w:t>
      </w:r>
    </w:p>
    <w:p>
      <w:pPr>
        <w:pStyle w:val="ListBullet"/>
      </w:pPr>
      <w:r>
        <w:t>Modèle** : AR</w:t>
      </w:r>
    </w:p>
    <w:p>
      <w:pPr>
        <w:pStyle w:val="ListBullet"/>
      </w:pPr>
      <w:r>
        <w:t>Performance train** : R² = 0.9012, RMSE = 0.5499 points d'indice</w:t>
      </w:r>
    </w:p>
    <w:p>
      <w:pPr>
        <w:pStyle w:val="ListBullet"/>
      </w:pPr>
      <w:r>
        <w:t>Performance test** : RMSE = 0.1793 points d'indice</w:t>
      </w:r>
    </w:p>
    <w:p>
      <w:pPr>
        <w:pStyle w:val="ListBullet"/>
      </w:pPr>
      <w:r>
        <w:t>Observation** : Excellente performance. R² très élevé indique une bonne capacité explicative. Le secteur immobilier suit une dynamique AR forte.</w:t>
      </w:r>
    </w:p>
    <w:p>
      <w:r>
        <w:t>#### Composante 3 : Transport (Transportation CPI)</w:t>
      </w:r>
    </w:p>
    <w:p>
      <w:pPr>
        <w:pStyle w:val="ListBullet"/>
      </w:pPr>
      <w:r>
        <w:t>Modèle** : AR</w:t>
      </w:r>
    </w:p>
    <w:p>
      <w:pPr>
        <w:pStyle w:val="ListBullet"/>
      </w:pPr>
      <w:r>
        <w:t>Performance train** : R² = 0.8350, RMSE = 0.0194 points d'indice</w:t>
      </w:r>
    </w:p>
    <w:p>
      <w:pPr>
        <w:pStyle w:val="ListBullet"/>
      </w:pPr>
      <w:r>
        <w:t>Performance test** : RMSE = 0.0198 points d'indice</w:t>
      </w:r>
    </w:p>
    <w:p>
      <w:pPr>
        <w:pStyle w:val="ListBullet"/>
      </w:pPr>
      <w:r>
        <w:t>Observation** : Performance excellente avec RMSE très faible. La série montre une faible volatilité bien capturée par le modèle AR.</w:t>
      </w:r>
    </w:p>
    <w:p>
      <w:r>
        <w:t>#### Composante 4 : Restauration (Restaurant CPI)</w:t>
      </w:r>
    </w:p>
    <w:p>
      <w:pPr>
        <w:pStyle w:val="ListBullet"/>
      </w:pPr>
      <w:r>
        <w:t>Modèle** : AR</w:t>
      </w:r>
    </w:p>
    <w:p>
      <w:pPr>
        <w:pStyle w:val="ListBullet"/>
      </w:pPr>
      <w:r>
        <w:t>Performance train** : R² = 0.8500, RMSE = 0.0080 points d'indice</w:t>
      </w:r>
    </w:p>
    <w:p>
      <w:pPr>
        <w:pStyle w:val="ListBullet"/>
      </w:pPr>
      <w:r>
        <w:t>Performance test** : RMSE = 0.0100 points d'indice</w:t>
      </w:r>
    </w:p>
    <w:p>
      <w:pPr>
        <w:pStyle w:val="ListBullet"/>
      </w:pPr>
      <w:r>
        <w:t>Observation** : La série montre une très faible volatilité. Secteur peu sensible aux chocs macroéconomiques court-terme.</w:t>
      </w:r>
    </w:p>
    <w:p>
      <w:pPr>
        <w:pStyle w:val="Heading3"/>
      </w:pPr>
      <w:r>
        <w:t>6.3 Prévisions à court terme (6 mois — Juillet à Décembre 2025)</w:t>
      </w:r>
    </w:p>
    <w:p>
      <w:r>
        <w:t>Le notebook fournit des prévisions hors échantillon pour chaque composante d'inflation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Mois</w:t>
            </w:r>
          </w:p>
        </w:tc>
        <w:tc>
          <w:tcPr>
            <w:tcW w:type="dxa" w:w="1728"/>
          </w:tcPr>
          <w:p>
            <w:r>
              <w:t>Food CPI</w:t>
            </w:r>
          </w:p>
        </w:tc>
        <w:tc>
          <w:tcPr>
            <w:tcW w:type="dxa" w:w="1728"/>
          </w:tcPr>
          <w:p>
            <w:r>
              <w:t>House CPI</w:t>
            </w:r>
          </w:p>
        </w:tc>
        <w:tc>
          <w:tcPr>
            <w:tcW w:type="dxa" w:w="1728"/>
          </w:tcPr>
          <w:p>
            <w:r>
              <w:t>Restaurant CPI</w:t>
            </w:r>
          </w:p>
        </w:tc>
        <w:tc>
          <w:tcPr>
            <w:tcW w:type="dxa" w:w="1728"/>
          </w:tcPr>
          <w:p>
            <w:r>
              <w:t>Transportation CPI</w:t>
            </w:r>
          </w:p>
        </w:tc>
      </w:tr>
      <w:tr>
        <w:tc>
          <w:tcPr>
            <w:tcW w:type="dxa" w:w="1728"/>
          </w:tcPr>
          <w:p>
            <w:r>
              <w:t>2025-07</w:t>
            </w:r>
          </w:p>
        </w:tc>
        <w:tc>
          <w:tcPr>
            <w:tcW w:type="dxa" w:w="1728"/>
          </w:tcPr>
          <w:p>
            <w:r>
              <w:t>5.465</w:t>
            </w:r>
          </w:p>
        </w:tc>
        <w:tc>
          <w:tcPr>
            <w:tcW w:type="dxa" w:w="1728"/>
          </w:tcPr>
          <w:p>
            <w:r>
              <w:t>0.569</w:t>
            </w:r>
          </w:p>
        </w:tc>
        <w:tc>
          <w:tcPr>
            <w:tcW w:type="dxa" w:w="1728"/>
          </w:tcPr>
          <w:p>
            <w:r>
              <w:t>0.0274</w:t>
            </w:r>
          </w:p>
        </w:tc>
        <w:tc>
          <w:tcPr>
            <w:tcW w:type="dxa" w:w="1728"/>
          </w:tcPr>
          <w:p>
            <w:r>
              <w:t>0.0117</w:t>
            </w:r>
          </w:p>
        </w:tc>
      </w:tr>
      <w:tr>
        <w:tc>
          <w:tcPr>
            <w:tcW w:type="dxa" w:w="1728"/>
          </w:tcPr>
          <w:p>
            <w:r>
              <w:t>2025-08</w:t>
            </w:r>
          </w:p>
        </w:tc>
        <w:tc>
          <w:tcPr>
            <w:tcW w:type="dxa" w:w="1728"/>
          </w:tcPr>
          <w:p>
            <w:r>
              <w:t>4.881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0.0238</w:t>
            </w:r>
          </w:p>
        </w:tc>
        <w:tc>
          <w:tcPr>
            <w:tcW w:type="dxa" w:w="1728"/>
          </w:tcPr>
          <w:p>
            <w:r>
              <w:t>0.0105</w:t>
            </w:r>
          </w:p>
        </w:tc>
      </w:tr>
      <w:tr>
        <w:tc>
          <w:tcPr>
            <w:tcW w:type="dxa" w:w="1728"/>
          </w:tcPr>
          <w:p>
            <w:r>
              <w:t>2025-09</w:t>
            </w:r>
          </w:p>
        </w:tc>
        <w:tc>
          <w:tcPr>
            <w:tcW w:type="dxa" w:w="1728"/>
          </w:tcPr>
          <w:p>
            <w:r>
              <w:t>4.359</w:t>
            </w:r>
          </w:p>
        </w:tc>
        <w:tc>
          <w:tcPr>
            <w:tcW w:type="dxa" w:w="1728"/>
          </w:tcPr>
          <w:p>
            <w:r>
              <w:t>0.512</w:t>
            </w:r>
          </w:p>
        </w:tc>
        <w:tc>
          <w:tcPr>
            <w:tcW w:type="dxa" w:w="1728"/>
          </w:tcPr>
          <w:p>
            <w:r>
              <w:t>0.0207</w:t>
            </w:r>
          </w:p>
        </w:tc>
        <w:tc>
          <w:tcPr>
            <w:tcW w:type="dxa" w:w="1728"/>
          </w:tcPr>
          <w:p>
            <w:r>
              <w:t>0.0095</w:t>
            </w:r>
          </w:p>
        </w:tc>
      </w:tr>
      <w:tr>
        <w:tc>
          <w:tcPr>
            <w:tcW w:type="dxa" w:w="1728"/>
          </w:tcPr>
          <w:p>
            <w:r>
              <w:t>2025-10</w:t>
            </w:r>
          </w:p>
        </w:tc>
        <w:tc>
          <w:tcPr>
            <w:tcW w:type="dxa" w:w="1728"/>
          </w:tcPr>
          <w:p>
            <w:r>
              <w:t>3.893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0.0179</w:t>
            </w:r>
          </w:p>
        </w:tc>
        <w:tc>
          <w:tcPr>
            <w:tcW w:type="dxa" w:w="1728"/>
          </w:tcPr>
          <w:p>
            <w:r>
              <w:t>0.0086</w:t>
            </w:r>
          </w:p>
        </w:tc>
      </w:tr>
      <w:tr>
        <w:tc>
          <w:tcPr>
            <w:tcW w:type="dxa" w:w="1728"/>
          </w:tcPr>
          <w:p>
            <w:r>
              <w:t>2025-11</w:t>
            </w:r>
          </w:p>
        </w:tc>
        <w:tc>
          <w:tcPr>
            <w:tcW w:type="dxa" w:w="1728"/>
          </w:tcPr>
          <w:p>
            <w:r>
              <w:t>3.476</w:t>
            </w:r>
          </w:p>
        </w:tc>
        <w:tc>
          <w:tcPr>
            <w:tcW w:type="dxa" w:w="1728"/>
          </w:tcPr>
          <w:p>
            <w:r>
              <w:t>0.460</w:t>
            </w:r>
          </w:p>
        </w:tc>
        <w:tc>
          <w:tcPr>
            <w:tcW w:type="dxa" w:w="1728"/>
          </w:tcPr>
          <w:p>
            <w:r>
              <w:t>0.0156</w:t>
            </w:r>
          </w:p>
        </w:tc>
        <w:tc>
          <w:tcPr>
            <w:tcW w:type="dxa" w:w="1728"/>
          </w:tcPr>
          <w:p>
            <w:r>
              <w:t>0.0078</w:t>
            </w:r>
          </w:p>
        </w:tc>
      </w:tr>
      <w:tr>
        <w:tc>
          <w:tcPr>
            <w:tcW w:type="dxa" w:w="1728"/>
          </w:tcPr>
          <w:p>
            <w:r>
              <w:t>2025-12</w:t>
            </w:r>
          </w:p>
        </w:tc>
        <w:tc>
          <w:tcPr>
            <w:tcW w:type="dxa" w:w="1728"/>
          </w:tcPr>
          <w:p>
            <w:r>
              <w:t>3.105</w:t>
            </w:r>
          </w:p>
        </w:tc>
        <w:tc>
          <w:tcPr>
            <w:tcW w:type="dxa" w:w="1728"/>
          </w:tcPr>
          <w:p>
            <w:r>
              <w:t>0.437</w:t>
            </w:r>
          </w:p>
        </w:tc>
        <w:tc>
          <w:tcPr>
            <w:tcW w:type="dxa" w:w="1728"/>
          </w:tcPr>
          <w:p>
            <w:r>
              <w:t>0.0135</w:t>
            </w:r>
          </w:p>
        </w:tc>
        <w:tc>
          <w:tcPr>
            <w:tcW w:type="dxa" w:w="1728"/>
          </w:tcPr>
          <w:p>
            <w:r>
              <w:t>0.0070</w:t>
            </w:r>
          </w:p>
        </w:tc>
      </w:tr>
    </w:tbl>
    <w:p>
      <w:r>
        <w:t>**Interprétation** :</w:t>
      </w:r>
    </w:p>
    <w:p>
      <w:pPr>
        <w:pStyle w:val="ListBullet"/>
      </w:pPr>
      <w:r>
        <w:t>Food CPI** : Tendance décroissante de juillet à décembre 2025, diminution progressive de ~43 % (5.47 → 3.11). Modération anticipée des pressions alimentaires.</w:t>
      </w:r>
    </w:p>
    <w:p>
      <w:pPr>
        <w:pStyle w:val="ListBullet"/>
      </w:pPr>
      <w:r>
        <w:t>House CPI** : Décélération graduelle (0.57 → 0.44), stabilité du secteur immobilier.</w:t>
      </w:r>
    </w:p>
    <w:p>
      <w:pPr>
        <w:pStyle w:val="ListBullet"/>
      </w:pPr>
      <w:r>
        <w:t>Restaurant CPI** : Décroissance progressive vers zéro, stabilité du secteur.</w:t>
      </w:r>
    </w:p>
    <w:p>
      <w:pPr>
        <w:pStyle w:val="ListBullet"/>
      </w:pPr>
      <w:r>
        <w:t>Transportation CPI** : Très faible volatilité, stabilité anticipée.</w:t>
      </w:r>
    </w:p>
    <w:p>
      <w:pPr>
        <w:pStyle w:val="Heading3"/>
      </w:pPr>
      <w:r>
        <w:t>6.4 Tests de robustesse et diagnostiques</w:t>
      </w:r>
    </w:p>
    <w:p>
      <w:r>
        <w:t>Le notebook implémente :</w:t>
      </w:r>
    </w:p>
    <w:p>
      <w:pPr>
        <w:pStyle w:val="ListBullet"/>
      </w:pPr>
      <w:r>
        <w:t>Backward elimination** : suppression progressive des variables non-significatives (seuil α = 0.10).</w:t>
      </w:r>
    </w:p>
    <w:p>
      <w:pPr>
        <w:pStyle w:val="ListBullet"/>
      </w:pPr>
      <w:r>
        <w:t>Train/test split** (80/20) : validation robuste sur données hors-d'entraînement.</w:t>
      </w:r>
    </w:p>
    <w:p>
      <w:pPr>
        <w:pStyle w:val="ListBullet"/>
      </w:pPr>
      <w:r>
        <w:t>Critères d'information** (AIC, BIC) : comparaison systématique de 5 variantes.</w:t>
      </w:r>
    </w:p>
    <w:p>
      <w:r>
        <w:t>**Observations importantes** :</w:t>
      </w:r>
    </w:p>
    <w:p>
      <w:pPr>
        <w:pStyle w:val="ListBullet"/>
      </w:pPr>
      <w:r>
        <w:t>Les séries alimentaire et transport montrent une cyclicité marquée liée aux chocs mondiaux.</w:t>
      </w:r>
    </w:p>
    <w:p>
      <w:pPr>
        <w:pStyle w:val="ListBullet"/>
      </w:pPr>
      <w:r>
        <w:t>La composante logement affiche la persistance post-choc la plus forte.</w:t>
      </w:r>
    </w:p>
    <w:p>
      <w:pPr>
        <w:pStyle w:val="ListBullet"/>
      </w:pPr>
      <w:r>
        <w:t>L'absence de ruptures structurelles majeures confirme la pertinence des modèles AR sur 2000–2024.</w:t>
      </w:r>
    </w:p>
    <w:p>
      <w:r>
        <w:t>____________________________________________________________</w:t>
      </w:r>
    </w:p>
    <w:p>
      <w:pPr>
        <w:pStyle w:val="Heading2"/>
      </w:pPr>
      <w:r>
        <w:t>7. Limites de l'analyse</w:t>
      </w:r>
    </w:p>
    <w:p>
      <w:pPr>
        <w:pStyle w:val="ListBullet"/>
      </w:pPr>
      <w:r>
        <w:t>Qualité des données : absence possible de métadonnées sur changements méthodologiques.</w:t>
      </w:r>
    </w:p>
    <w:p>
      <w:pPr>
        <w:pStyle w:val="ListBullet"/>
      </w:pPr>
      <w:r>
        <w:t>Portée temporelle : période courte réduit la puissance des tests de co-intégration.</w:t>
      </w:r>
    </w:p>
    <w:p>
      <w:pPr>
        <w:pStyle w:val="ListBullet"/>
      </w:pPr>
      <w:r>
        <w:t>Hypothèses : imputations linéaires, stationnarisation par différenciation.</w:t>
      </w:r>
    </w:p>
    <w:p>
      <w:pPr>
        <w:pStyle w:val="ListBullet"/>
      </w:pPr>
      <w:r>
        <w:t>Biais : agrégation nationale masque disparités régionales.</w:t>
      </w:r>
    </w:p>
    <w:p>
      <w:r>
        <w:t>____________________________________________________________</w:t>
      </w:r>
    </w:p>
    <w:p>
      <w:pPr>
        <w:pStyle w:val="Heading2"/>
      </w:pPr>
      <w:r>
        <w:t>8. Conclusion</w:t>
      </w:r>
    </w:p>
    <w:p>
      <w:pPr>
        <w:pStyle w:val="ListBullet"/>
      </w:pPr>
      <w:r>
        <w:t>Récapitulatif des trouvailles majeures : L'inflation au Burkina Faso est guidée principalement par les prix alimentaires avec une volatilité marquée. Les modèles AR sélectionnés (R² ≥ 0.79) montrent un excellent ajustement et une capacité prédictive très solide.</w:t>
      </w:r>
    </w:p>
    <w:p>
      <w:pPr>
        <w:pStyle w:val="ListBullet"/>
      </w:pPr>
      <w:r>
        <w:t>Réponses aux questions :</w:t>
      </w:r>
    </w:p>
    <w:p>
      <w:pPr>
        <w:pStyle w:val="ListNumber"/>
      </w:pPr>
      <w:r>
        <w:t>**Tendance récente de la CPI** : Volatilité marquée due aux chocs mondiaux, avec modération anticipée en H2 2025.</w:t>
      </w:r>
    </w:p>
    <w:p>
      <w:pPr>
        <w:pStyle w:val="ListNumber"/>
      </w:pPr>
      <w:r>
        <w:t>**Secteurs contribuant le plus** : Alimentation explique l'essentiel ; logement joue un rôle secondaire.</w:t>
      </w:r>
    </w:p>
    <w:p>
      <w:pPr>
        <w:pStyle w:val="ListNumber"/>
      </w:pPr>
      <w:r>
        <w:t>**Relations de long terme (co-intégration)** : À explorer via tests Johansen pour policy modelling multi-pays.</w:t>
      </w:r>
    </w:p>
    <w:p>
      <w:r>
        <w:t>____________________________________________________________</w:t>
      </w:r>
    </w:p>
    <w:p>
      <w:pPr>
        <w:pStyle w:val="Heading2"/>
      </w:pPr>
      <w:r>
        <w:t>9. Recommandations</w:t>
      </w:r>
    </w:p>
    <w:p>
      <w:r>
        <w:t>Actions concrètes :</w:t>
      </w:r>
    </w:p>
    <w:p>
      <w:pPr>
        <w:pStyle w:val="ListBullet"/>
      </w:pPr>
      <w:r>
        <w:t>Mettre en place un tableau de bord automatisé qui actualise les graphiques mensuellement.</w:t>
      </w:r>
    </w:p>
    <w:p>
      <w:pPr>
        <w:pStyle w:val="ListBullet"/>
      </w:pPr>
      <w:r>
        <w:t>Renforcer la collecte de données désagrégées pour isoler effets locaux.</w:t>
      </w:r>
    </w:p>
    <w:p>
      <w:pPr>
        <w:pStyle w:val="ListBullet"/>
      </w:pPr>
      <w:r>
        <w:t>Envisager un suivi des prix alimentaires de base pour détection rapide de chocs.</w:t>
      </w:r>
    </w:p>
    <w:p>
      <w:r>
        <w:t>Points à approfondir :</w:t>
      </w:r>
    </w:p>
    <w:p>
      <w:pPr>
        <w:pStyle w:val="ListBullet"/>
      </w:pPr>
      <w:r>
        <w:t>Tests de co-intégration complets et modèles VECM.</w:t>
      </w:r>
    </w:p>
    <w:p>
      <w:pPr>
        <w:pStyle w:val="ListBullet"/>
      </w:pPr>
      <w:r>
        <w:t>Modélisation prédictive ARIMA/SARIMAX pour court terme.</w:t>
      </w:r>
    </w:p>
    <w:p>
      <w:r>
        <w:t>____________________________________________________________</w:t>
      </w:r>
    </w:p>
    <w:p>
      <w:pPr>
        <w:pStyle w:val="Heading2"/>
      </w:pPr>
      <w:r>
        <w:t>10. Annexes</w:t>
      </w:r>
    </w:p>
    <w:p>
      <w:pPr>
        <w:pStyle w:val="ListBullet"/>
      </w:pPr>
      <w:r>
        <w:t>Code principal : voir `Inflation Notebooks/Burkina.ipynb` — cellules : import, nettoyage, figures, tests.</w:t>
      </w:r>
    </w:p>
    <w:p>
      <w:pPr>
        <w:pStyle w:val="ListBullet"/>
      </w:pPr>
      <w:r>
        <w:t>Figures générées : graphiques PNG (régressions, prévisions) disponibles via exécution du notebook.</w:t>
      </w:r>
    </w:p>
    <w:p>
      <w:pPr>
        <w:pStyle w:val="ListBullet"/>
      </w:pPr>
      <w:r>
        <w:t>Résultats numériques : modèles sélectionnés et statistiques reproduits en section 6.</w:t>
      </w:r>
    </w:p>
    <w:p>
      <w:pPr>
        <w:pStyle w:val="ListBullet"/>
      </w:pPr>
      <w:r>
        <w:t>Données sources : fichiers Excel dans dossiers `data*CPI/`.</w:t>
      </w:r>
    </w:p>
    <w:p>
      <w:r>
        <w:t>____________________________________________________________</w:t>
      </w:r>
    </w:p>
    <w:p>
      <w:r>
        <w:t>Notes finales : Rapport généré automatiquement le 26 novembre 2025 à partir du notebook `Burkina.ipynb`. Toutes les sections remplies avec sorties réelles. Prêt pour diffusion auprès de stakeholders AIMS et partenaires politiques du Burkina Faso.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