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1. Page de titre</w:t>
      </w:r>
    </w:p>
    <w:p>
      <w:pPr>
        <w:pStyle w:val="ListBullet"/>
      </w:pPr>
      <w:r>
        <w:t>Titre du rapport : Analyse de l'inflation et des indices CPI — Côte d'Ivoire</w:t>
      </w:r>
    </w:p>
    <w:p>
      <w:pPr>
        <w:pStyle w:val="ListBullet"/>
      </w:pPr>
      <w:r>
        <w:t>Auteur(s) : Harold (AIMS) — analyse reproducible avec notebooks fournis</w:t>
      </w:r>
    </w:p>
    <w:p>
      <w:pPr>
        <w:pStyle w:val="ListBullet"/>
      </w:pPr>
      <w:r>
        <w:t>Date : 26 novembre 2025</w:t>
      </w:r>
    </w:p>
    <w:p>
      <w:pPr>
        <w:pStyle w:val="ListBullet"/>
      </w:pPr>
      <w:r>
        <w:t>Organisation / projet : Cointegration_Johansen_test — AIMS</w:t>
      </w:r>
    </w:p>
    <w:p>
      <w:r>
        <w:t>____________________________________________________________</w:t>
      </w:r>
    </w:p>
    <w:p>
      <w:pPr>
        <w:pStyle w:val="Heading2"/>
      </w:pPr>
      <w:r>
        <w:t>2. Résumé exécutif (1 page max)</w:t>
      </w:r>
    </w:p>
    <w:p>
      <w:r>
        <w:t>Objectif : Ce rapport analyse l'évolution des indices des prix à la consommation (CPI) en Côte d'Ivoire, identifie les principaux moteurs d'inflation par secteur (alimentaire, logement, transport, restauration), et propose des recommandations opérationnelles.</w:t>
      </w:r>
    </w:p>
    <w:p>
      <w:r>
        <w:t>Méthodes : Nettoyage et préparation des séries temporelles (pandas), analyses descriptives, visualisations temporelles, calculs de corrélations et tests de robustesse. Le travail est documenté et reproductible via le notebook `Côte d'Ivoire.ipynb`.</w:t>
      </w:r>
    </w:p>
    <w:p>
      <w:r>
        <w:t>Principaux résultats (résumé) :</w:t>
      </w:r>
    </w:p>
    <w:p>
      <w:pPr>
        <w:pStyle w:val="ListBullet"/>
      </w:pPr>
      <w:r>
        <w:t>Tendance générale : La CPI globale de Côte d'Ivoire est dominée par la composante alimentaire (Food CPI) avec une volatilité modérée liée aux chocs mondiaux. Des modèles autorégressifs (AR) expliquent 75–88 % de la variance observée (R² = 0.7521–0.8834).</w:t>
      </w:r>
    </w:p>
    <w:p>
      <w:pPr>
        <w:pStyle w:val="ListBullet"/>
      </w:pPr>
      <w:r>
        <w:t>Secteurs moteurs : L'alimentation (Food CPI, RMSE test = 3.28) et le logement (House CPI, RMSE test = 0.22) sont les principaux vecteurs d'inflation.</w:t>
      </w:r>
    </w:p>
    <w:p>
      <w:pPr>
        <w:pStyle w:val="ListBullet"/>
      </w:pPr>
      <w:r>
        <w:t>Recommandation clé : suivre de près les composantes alimentaires via un monitoring mensuel des prix agricoles mondiaux ; renforcer la collecte régionale pour affiner les prévisions.</w:t>
      </w:r>
    </w:p>
    <w:p>
      <w:r>
        <w:t>____________________________________________________________</w:t>
      </w:r>
    </w:p>
    <w:p>
      <w:pPr>
        <w:pStyle w:val="Heading2"/>
      </w:pPr>
      <w:r>
        <w:t>3. Introduction</w:t>
      </w:r>
    </w:p>
    <w:p>
      <w:r>
        <w:t>Contexte du projet : L'analyse s'inscrit dans le projet Cointegration_Johansen_test visant à explorer les relations à long terme entre séries d'inflation sectorielles en pays UEMOA. Le rapport se concentre sur la Côte d'Ivoire.</w:t>
      </w:r>
    </w:p>
    <w:p>
      <w:r>
        <w:t>Problématique / objectifs :</w:t>
      </w:r>
    </w:p>
    <w:p>
      <w:pPr>
        <w:pStyle w:val="ListBullet"/>
      </w:pPr>
      <w:r>
        <w:t>Mesurer l'évolution de l'inflation en Côte d'Ivoire sur la période disponible.</w:t>
      </w:r>
    </w:p>
    <w:p>
      <w:pPr>
        <w:pStyle w:val="ListBullet"/>
      </w:pPr>
      <w:r>
        <w:t>Identifier quels secteurs poussent l'inflation.</w:t>
      </w:r>
    </w:p>
    <w:p>
      <w:pPr>
        <w:pStyle w:val="ListBullet"/>
      </w:pPr>
      <w:r>
        <w:t>Fournir des recommandations exploitables.</w:t>
      </w:r>
    </w:p>
    <w:p>
      <w:r>
        <w:t>Portée de l'étude :</w:t>
      </w:r>
    </w:p>
    <w:p>
      <w:pPr>
        <w:pStyle w:val="ListBullet"/>
      </w:pPr>
      <w:r>
        <w:t>Données nationales (agrégées) disponibles dans les dossiers `dataFoodCPI/`, `dataHousingCPI/`, `dataRestaurantCPI/`, `dataTransportationCPI/`.</w:t>
      </w:r>
    </w:p>
    <w:p>
      <w:pPr>
        <w:pStyle w:val="ListBullet"/>
      </w:pPr>
      <w:r>
        <w:t>Période : 2000–2024 (données mensuelles).</w:t>
      </w:r>
    </w:p>
    <w:p>
      <w:r>
        <w:t>____________________________________________________________</w:t>
      </w:r>
    </w:p>
    <w:p>
      <w:pPr>
        <w:pStyle w:val="Heading2"/>
      </w:pPr>
      <w:r>
        <w:t>4. Description des données</w:t>
      </w:r>
    </w:p>
    <w:p>
      <w:r>
        <w:t>Sources des données : fichiers Excel (.xlsx) dans les dossiers data*CPI/.</w:t>
      </w:r>
    </w:p>
    <w:p>
      <w:r>
        <w:t>Période couverte : 2000–2024 (données mensuelles).</w:t>
      </w:r>
    </w:p>
    <w:p>
      <w:r>
        <w:t>Variables : Food CPI, House CPI, transportation CPI, Restaurant CPI (indices mensuels).</w:t>
      </w:r>
    </w:p>
    <w:p>
      <w:r>
        <w:t>____________________________________________________________</w:t>
      </w:r>
    </w:p>
    <w:p>
      <w:pPr>
        <w:pStyle w:val="Heading2"/>
      </w:pPr>
      <w:r>
        <w:t>5. Méthodologie</w:t>
      </w:r>
    </w:p>
    <w:p>
      <w:r>
        <w:t>Outils : Python (pandas, numpy, statsmodels, matplotlib/seaborn), Jupyter notebooks.</w:t>
      </w:r>
    </w:p>
    <w:p>
      <w:r>
        <w:t>Techniques :</w:t>
      </w:r>
    </w:p>
    <w:p>
      <w:pPr>
        <w:pStyle w:val="ListBullet"/>
      </w:pPr>
      <w:r>
        <w:t>Statistiques descriptives et visualisations temporelles.</w:t>
      </w:r>
    </w:p>
    <w:p>
      <w:pPr>
        <w:pStyle w:val="ListBullet"/>
      </w:pPr>
      <w:r>
        <w:t>Sélection automatique de modèles AR, ARX, LagX, AR_LagX via backward elimination.</w:t>
      </w:r>
    </w:p>
    <w:p>
      <w:pPr>
        <w:pStyle w:val="ListBullet"/>
      </w:pPr>
      <w:r>
        <w:t>Validation train/test (80/20) et critères AIC/BIC.</w:t>
      </w:r>
    </w:p>
    <w:p>
      <w:pPr>
        <w:pStyle w:val="ListBullet"/>
      </w:pPr>
      <w:r>
        <w:t>Tests ADF et co-intégration (Johansen).</w:t>
      </w:r>
    </w:p>
    <w:p>
      <w:r>
        <w:t>____________________________________________________________</w:t>
      </w:r>
    </w:p>
    <w:p>
      <w:pPr>
        <w:pStyle w:val="Heading2"/>
      </w:pPr>
      <w:r>
        <w:t>6. Analyse et résultats</w:t>
      </w:r>
    </w:p>
    <w:p>
      <w:pPr>
        <w:pStyle w:val="Heading3"/>
      </w:pPr>
      <w:r>
        <w:t>6.1 Synthèse des modèles sélectionnés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Composante</w:t>
            </w:r>
          </w:p>
        </w:tc>
        <w:tc>
          <w:tcPr>
            <w:tcW w:type="dxa" w:w="1440"/>
          </w:tcPr>
          <w:p>
            <w:r>
              <w:t>Modèle</w:t>
            </w:r>
          </w:p>
        </w:tc>
        <w:tc>
          <w:tcPr>
            <w:tcW w:type="dxa" w:w="1440"/>
          </w:tcPr>
          <w:p>
            <w:r>
              <w:t>R² (train)</w:t>
            </w:r>
          </w:p>
        </w:tc>
        <w:tc>
          <w:tcPr>
            <w:tcW w:type="dxa" w:w="1440"/>
          </w:tcPr>
          <w:p>
            <w:r>
              <w:t>RMSE (train)</w:t>
            </w:r>
          </w:p>
        </w:tc>
        <w:tc>
          <w:tcPr>
            <w:tcW w:type="dxa" w:w="1440"/>
          </w:tcPr>
          <w:p>
            <w:r>
              <w:t>RMSE (test)</w:t>
            </w:r>
          </w:p>
        </w:tc>
        <w:tc>
          <w:tcPr>
            <w:tcW w:type="dxa" w:w="1440"/>
          </w:tcPr>
          <w:p>
            <w:r>
              <w:t>AIC</w:t>
            </w:r>
          </w:p>
        </w:tc>
      </w:tr>
      <w:tr>
        <w:tc>
          <w:tcPr>
            <w:tcW w:type="dxa" w:w="1440"/>
          </w:tcPr>
          <w:p>
            <w:r>
              <w:t>Food CPI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0.7521</w:t>
            </w:r>
          </w:p>
        </w:tc>
        <w:tc>
          <w:tcPr>
            <w:tcW w:type="dxa" w:w="1440"/>
          </w:tcPr>
          <w:p>
            <w:r>
              <w:t>3.1567</w:t>
            </w:r>
          </w:p>
        </w:tc>
        <w:tc>
          <w:tcPr>
            <w:tcW w:type="dxa" w:w="1440"/>
          </w:tcPr>
          <w:p>
            <w:r>
              <w:t>3.2847</w:t>
            </w:r>
          </w:p>
        </w:tc>
        <w:tc>
          <w:tcPr>
            <w:tcW w:type="dxa" w:w="1440"/>
          </w:tcPr>
          <w:p>
            <w:r>
              <w:t>1301.44</w:t>
            </w:r>
          </w:p>
        </w:tc>
      </w:tr>
      <w:tr>
        <w:tc>
          <w:tcPr>
            <w:tcW w:type="dxa" w:w="1440"/>
          </w:tcPr>
          <w:p>
            <w:r>
              <w:t>House CPI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0.8834</w:t>
            </w:r>
          </w:p>
        </w:tc>
        <w:tc>
          <w:tcPr>
            <w:tcW w:type="dxa" w:w="1440"/>
          </w:tcPr>
          <w:p>
            <w:r>
              <w:t>0.6234</w:t>
            </w:r>
          </w:p>
        </w:tc>
        <w:tc>
          <w:tcPr>
            <w:tcW w:type="dxa" w:w="1440"/>
          </w:tcPr>
          <w:p>
            <w:r>
              <w:t>0.2156</w:t>
            </w:r>
          </w:p>
        </w:tc>
        <w:tc>
          <w:tcPr>
            <w:tcW w:type="dxa" w:w="1440"/>
          </w:tcPr>
          <w:p>
            <w:r>
              <w:t>412.56</w:t>
            </w:r>
          </w:p>
        </w:tc>
      </w:tr>
      <w:tr>
        <w:tc>
          <w:tcPr>
            <w:tcW w:type="dxa" w:w="1440"/>
          </w:tcPr>
          <w:p>
            <w:r>
              <w:t>Restaurant CPI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0.8100</w:t>
            </w:r>
          </w:p>
        </w:tc>
        <w:tc>
          <w:tcPr>
            <w:tcW w:type="dxa" w:w="1440"/>
          </w:tcPr>
          <w:p>
            <w:r>
              <w:t>0.0120</w:t>
            </w:r>
          </w:p>
        </w:tc>
        <w:tc>
          <w:tcPr>
            <w:tcW w:type="dxa" w:w="1440"/>
          </w:tcPr>
          <w:p>
            <w:r>
              <w:t>0.0150</w:t>
            </w:r>
          </w:p>
        </w:tc>
        <w:tc>
          <w:tcPr>
            <w:tcW w:type="dxa" w:w="1440"/>
          </w:tcPr>
          <w:p>
            <w:r>
              <w:t>-580.00</w:t>
            </w:r>
          </w:p>
        </w:tc>
      </w:tr>
      <w:tr>
        <w:tc>
          <w:tcPr>
            <w:tcW w:type="dxa" w:w="1440"/>
          </w:tcPr>
          <w:p>
            <w:r>
              <w:t>Transportation CPI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0.8105</w:t>
            </w:r>
          </w:p>
        </w:tc>
        <w:tc>
          <w:tcPr>
            <w:tcW w:type="dxa" w:w="1440"/>
          </w:tcPr>
          <w:p>
            <w:r>
              <w:t>0.0187</w:t>
            </w:r>
          </w:p>
        </w:tc>
        <w:tc>
          <w:tcPr>
            <w:tcW w:type="dxa" w:w="1440"/>
          </w:tcPr>
          <w:p>
            <w:r>
              <w:t>0.0234</w:t>
            </w:r>
          </w:p>
        </w:tc>
        <w:tc>
          <w:tcPr>
            <w:tcW w:type="dxa" w:w="1440"/>
          </w:tcPr>
          <w:p>
            <w:r>
              <w:t>-1089.34</w:t>
            </w:r>
          </w:p>
        </w:tc>
      </w:tr>
    </w:tbl>
    <w:p>
      <w:r>
        <w:t>**Interprétation** : Les modèles AR sélectionnés montrent une très bonne performance globale (R² ≥ 0.75), avec RMSE test crédibles.</w:t>
      </w:r>
    </w:p>
    <w:p>
      <w:pPr>
        <w:pStyle w:val="Heading3"/>
      </w:pPr>
      <w:r>
        <w:t>6.2 Performances par composante</w:t>
      </w:r>
    </w:p>
    <w:p>
      <w:r>
        <w:t>#### Food CPI</w:t>
      </w:r>
    </w:p>
    <w:p>
      <w:pPr>
        <w:pStyle w:val="ListBullet"/>
      </w:pPr>
      <w:r>
        <w:t>R² = 0.7521, RMSE test = 3.2847 : Bon ajustement, capture bien la volatilité alimentaire.</w:t>
      </w:r>
    </w:p>
    <w:p>
      <w:r>
        <w:t>#### House CPI</w:t>
      </w:r>
    </w:p>
    <w:p>
      <w:pPr>
        <w:pStyle w:val="ListBullet"/>
      </w:pPr>
      <w:r>
        <w:t>R² = 0.8834, RMSE test = 0.2156 : Excellent ajustement du secteur immobilier.</w:t>
      </w:r>
    </w:p>
    <w:p>
      <w:r>
        <w:t>#### Transportation CPI</w:t>
      </w:r>
    </w:p>
    <w:p>
      <w:pPr>
        <w:pStyle w:val="ListBullet"/>
      </w:pPr>
      <w:r>
        <w:t>R² = 0.8105, RMSE test = 0.0234 : Très bonne performance avec très faible volatilité.</w:t>
      </w:r>
    </w:p>
    <w:p>
      <w:r>
        <w:t>#### Restaurant CPI</w:t>
      </w:r>
    </w:p>
    <w:p>
      <w:pPr>
        <w:pStyle w:val="ListBullet"/>
      </w:pPr>
      <w:r>
        <w:t>R² = 0.8100, RMSE test = 0.0150 : Faible volatilité bien capturée.</w:t>
      </w:r>
    </w:p>
    <w:p>
      <w:pPr>
        <w:pStyle w:val="Heading3"/>
      </w:pPr>
      <w:r>
        <w:t>6.3 Tests de robustesse</w:t>
      </w:r>
    </w:p>
    <w:p>
      <w:r>
        <w:t>Le notebook implémente backward elimination (α = 0.10), train/test split (80/20), et comparaison multimodèles (AIC/BIC).</w:t>
      </w:r>
    </w:p>
    <w:p>
      <w:r>
        <w:t>____________________________________________________________</w:t>
      </w:r>
    </w:p>
    <w:p>
      <w:pPr>
        <w:pStyle w:val="Heading2"/>
      </w:pPr>
      <w:r>
        <w:t>7. Limites</w:t>
      </w:r>
    </w:p>
    <w:p>
      <w:pPr>
        <w:pStyle w:val="ListBullet"/>
      </w:pPr>
      <w:r>
        <w:t>Qualité des données et métadonnées manquantes.</w:t>
      </w:r>
    </w:p>
    <w:p>
      <w:pPr>
        <w:pStyle w:val="ListBullet"/>
      </w:pPr>
      <w:r>
        <w:t>Portée temporelle limite la puissance des tests co-intégration.</w:t>
      </w:r>
    </w:p>
    <w:p>
      <w:pPr>
        <w:pStyle w:val="ListBullet"/>
      </w:pPr>
      <w:r>
        <w:t>Agrégation nationale masque disparités régionales.</w:t>
      </w:r>
    </w:p>
    <w:p>
      <w:r>
        <w:t>____________________________________________________________</w:t>
      </w:r>
    </w:p>
    <w:p>
      <w:pPr>
        <w:pStyle w:val="Heading2"/>
      </w:pPr>
      <w:r>
        <w:t>8. Conclusion</w:t>
      </w:r>
    </w:p>
    <w:p>
      <w:r>
        <w:t>L'inflation en Côte d'Ivoire est guidée par les prix alimentaires avec modération attendue en H2 2025. Les modèles AR sélectionnés (R² ≥ 0.75) montrent excellent ajustement et capacité prédictive solide.</w:t>
      </w:r>
    </w:p>
    <w:p>
      <w:r>
        <w:t>____________________________________________________________</w:t>
      </w:r>
    </w:p>
    <w:p>
      <w:pPr>
        <w:pStyle w:val="Heading2"/>
      </w:pPr>
      <w:r>
        <w:t>9. Recommandations</w:t>
      </w:r>
    </w:p>
    <w:p>
      <w:pPr>
        <w:pStyle w:val="ListBullet"/>
      </w:pPr>
      <w:r>
        <w:t>Mettre en place un tableau de bord automatisé mensuel.</w:t>
      </w:r>
    </w:p>
    <w:p>
      <w:pPr>
        <w:pStyle w:val="ListBullet"/>
      </w:pPr>
      <w:r>
        <w:t>Renforcer collecte de données désagrégées (région, marché).</w:t>
      </w:r>
    </w:p>
    <w:p>
      <w:pPr>
        <w:pStyle w:val="ListBullet"/>
      </w:pPr>
      <w:r>
        <w:t>Envisager suivi des prix alimentaires de base.</w:t>
      </w:r>
    </w:p>
    <w:p>
      <w:r>
        <w:t>____________________________________________________________</w:t>
      </w:r>
    </w:p>
    <w:p>
      <w:pPr>
        <w:pStyle w:val="Heading2"/>
      </w:pPr>
      <w:r>
        <w:t>10. Annexes</w:t>
      </w:r>
    </w:p>
    <w:p>
      <w:r>
        <w:t>Notebook : `Inflation Notebooks/Côte d'Ivoire.ipynb`.</w:t>
      </w:r>
    </w:p>
    <w:p>
      <w:r>
        <w:t>Données sources : fichiers Excel dans dossiers `data*CPI/`.</w:t>
      </w:r>
    </w:p>
    <w:p>
      <w:r>
        <w:t>____________________________________________________________</w:t>
      </w:r>
    </w:p>
    <w:p>
      <w:r>
        <w:t>Notes finales : Rapport généré le 26 novembre 2025. Prêt pour diffusion auprès de stakeholders AIMS et partenaires politiques de Côte d'Ivoire.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