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 Page de titre</w:t>
      </w:r>
    </w:p>
    <w:p>
      <w:pPr>
        <w:pStyle w:val="ListBullet"/>
      </w:pPr>
      <w:r>
        <w:t>Titre du rapport : Analyse de l'inflation et des indices CPI — Guinée</w:t>
      </w:r>
    </w:p>
    <w:p>
      <w:pPr>
        <w:pStyle w:val="ListBullet"/>
      </w:pPr>
      <w:r>
        <w:t>Auteur(s) : Harold (AIMS) — analyse reproducible avec notebooks fournis</w:t>
      </w:r>
    </w:p>
    <w:p>
      <w:pPr>
        <w:pStyle w:val="ListBullet"/>
      </w:pPr>
      <w:r>
        <w:t>Date : 26 novembre 2025</w:t>
      </w:r>
    </w:p>
    <w:p>
      <w:pPr>
        <w:pStyle w:val="ListBullet"/>
      </w:pPr>
      <w:r>
        <w:t>Organisation / projet : Cointegration_Johansen_test — AIMS</w:t>
      </w:r>
    </w:p>
    <w:p>
      <w:r>
        <w:t>____________________________________________________________</w:t>
      </w:r>
    </w:p>
    <w:p>
      <w:pPr>
        <w:pStyle w:val="Heading2"/>
      </w:pPr>
      <w:r>
        <w:t>2. Résumé exécutif</w:t>
      </w:r>
    </w:p>
    <w:p>
      <w:r>
        <w:t>Objectif : Analyser l'évolution des indices CPI en Guinée, identifier les principaux moteurs d'inflation par secteur et proposer des recommandations.</w:t>
      </w:r>
    </w:p>
    <w:p>
      <w:r>
        <w:t>Principaux résultats :</w:t>
      </w:r>
    </w:p>
    <w:p>
      <w:pPr>
        <w:pStyle w:val="ListBullet"/>
      </w:pPr>
      <w:r>
        <w:t>Tendance générale : La CPI de Guinée est dominée par l'alimentation avec volatilité liée aux chocs mondiaux. Modèles AR/ARX expliquent 73–80 % de la variance (R² = 0.7345–0.7985).</w:t>
      </w:r>
    </w:p>
    <w:p>
      <w:pPr>
        <w:pStyle w:val="ListBullet"/>
      </w:pPr>
      <w:r>
        <w:t>Secteurs moteurs : Alimentation (RMSE test = 3.41) et logement (RMSE test = 0.31) sont les principaux vecteurs.</w:t>
      </w:r>
    </w:p>
    <w:p>
      <w:pPr>
        <w:pStyle w:val="ListBullet"/>
      </w:pPr>
      <w:r>
        <w:t>Recommandation clé : Monitoring mensuel des prix agricoles mondiaux et taux de change.</w:t>
      </w:r>
    </w:p>
    <w:p>
      <w:r>
        <w:t>____________________________________________________________</w:t>
      </w:r>
    </w:p>
    <w:p>
      <w:pPr>
        <w:pStyle w:val="Heading2"/>
      </w:pPr>
      <w:r>
        <w:t>3. Introduction</w:t>
      </w:r>
    </w:p>
    <w:p>
      <w:r>
        <w:t>Contexte : L'analyse s'inscrit dans le projet Cointegration_Johansen_test pour explorer les relations à long terme entre séries d'inflation sectorielles UEMOA.</w:t>
      </w:r>
    </w:p>
    <w:p>
      <w:r>
        <w:t>Portée : Données nationales 2000–2024 (mensuelles) pour Guinée.</w:t>
      </w:r>
    </w:p>
    <w:p>
      <w:r>
        <w:t>Questions principales :</w:t>
      </w:r>
    </w:p>
    <w:p>
      <w:pPr>
        <w:pStyle w:val="ListBullet"/>
      </w:pPr>
      <w:r>
        <w:t>Quelle est la tendance récente de la CPI en Guinée ?</w:t>
      </w:r>
    </w:p>
    <w:p>
      <w:pPr>
        <w:pStyle w:val="ListBullet"/>
      </w:pPr>
      <w:r>
        <w:t>Quels secteurs contribuent le plus ?</w:t>
      </w:r>
    </w:p>
    <w:p>
      <w:pPr>
        <w:pStyle w:val="ListBullet"/>
      </w:pPr>
      <w:r>
        <w:t>Existe-t-il des relations de long terme (co-intégration) ?</w:t>
      </w:r>
    </w:p>
    <w:p>
      <w:r>
        <w:t>____________________________________________________________</w:t>
      </w:r>
    </w:p>
    <w:p>
      <w:pPr>
        <w:pStyle w:val="Heading2"/>
      </w:pPr>
      <w:r>
        <w:t>4. Description des données</w:t>
      </w:r>
    </w:p>
    <w:p>
      <w:r>
        <w:t>Période : 2000–2024 (données mensuelles, ~288 observations).</w:t>
      </w:r>
    </w:p>
    <w:p>
      <w:r>
        <w:t>Variables : Food CPI, House CPI, transportation CPI, Restaurant CPI (indices).</w:t>
      </w:r>
    </w:p>
    <w:p>
      <w:r>
        <w:t>Sources : fichiers Excel (.xlsx) dans dossiers `data*CPI/`.</w:t>
      </w:r>
    </w:p>
    <w:p>
      <w:r>
        <w:t>____________________________________________________________</w:t>
      </w:r>
    </w:p>
    <w:p>
      <w:pPr>
        <w:pStyle w:val="Heading2"/>
      </w:pPr>
      <w:r>
        <w:t>5. Méthodologie</w:t>
      </w:r>
    </w:p>
    <w:p>
      <w:r>
        <w:t>Techniques :</w:t>
      </w:r>
    </w:p>
    <w:p>
      <w:pPr>
        <w:pStyle w:val="ListBullet"/>
      </w:pPr>
      <w:r>
        <w:t>Modèles AR/ARX avec backward elimination (α = 0.10).</w:t>
      </w:r>
    </w:p>
    <w:p>
      <w:pPr>
        <w:pStyle w:val="ListBullet"/>
      </w:pPr>
      <w:r>
        <w:t>Train/test split (80/20).</w:t>
      </w:r>
    </w:p>
    <w:p>
      <w:pPr>
        <w:pStyle w:val="ListBullet"/>
      </w:pPr>
      <w:r>
        <w:t>Critères AIC/BIC pour sélection.</w:t>
      </w:r>
    </w:p>
    <w:p>
      <w:pPr>
        <w:pStyle w:val="ListBullet"/>
      </w:pPr>
      <w:r>
        <w:t>Tests ADF et Johansen pour co-intégration.</w:t>
      </w:r>
    </w:p>
    <w:p>
      <w:r>
        <w:t>____________________________________________________________</w:t>
      </w:r>
    </w:p>
    <w:p>
      <w:pPr>
        <w:pStyle w:val="Heading2"/>
      </w:pPr>
      <w:r>
        <w:t>6. Analyse et résultats</w:t>
      </w:r>
    </w:p>
    <w:p>
      <w:pPr>
        <w:pStyle w:val="Heading3"/>
      </w:pPr>
      <w:r>
        <w:t>6.1 Modèles sélectionnés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Composante</w:t>
            </w:r>
          </w:p>
        </w:tc>
        <w:tc>
          <w:tcPr>
            <w:tcW w:type="dxa" w:w="1440"/>
          </w:tcPr>
          <w:p>
            <w:r>
              <w:t>Modèle</w:t>
            </w:r>
          </w:p>
        </w:tc>
        <w:tc>
          <w:tcPr>
            <w:tcW w:type="dxa" w:w="1440"/>
          </w:tcPr>
          <w:p>
            <w:r>
              <w:t>R² (train)</w:t>
            </w:r>
          </w:p>
        </w:tc>
        <w:tc>
          <w:tcPr>
            <w:tcW w:type="dxa" w:w="1440"/>
          </w:tcPr>
          <w:p>
            <w:r>
              <w:t>RMSE (train)</w:t>
            </w:r>
          </w:p>
        </w:tc>
        <w:tc>
          <w:tcPr>
            <w:tcW w:type="dxa" w:w="1440"/>
          </w:tcPr>
          <w:p>
            <w:r>
              <w:t>RMSE (test)</w:t>
            </w:r>
          </w:p>
        </w:tc>
        <w:tc>
          <w:tcPr>
            <w:tcW w:type="dxa" w:w="1440"/>
          </w:tcPr>
          <w:p>
            <w:r>
              <w:t>AIC</w:t>
            </w:r>
          </w:p>
        </w:tc>
      </w:tr>
      <w:tr>
        <w:tc>
          <w:tcPr>
            <w:tcW w:type="dxa" w:w="1440"/>
          </w:tcPr>
          <w:p>
            <w:r>
              <w:t>Food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0.7345</w:t>
            </w:r>
          </w:p>
        </w:tc>
        <w:tc>
          <w:tcPr>
            <w:tcW w:type="dxa" w:w="1440"/>
          </w:tcPr>
          <w:p>
            <w:r>
              <w:t>3.2891</w:t>
            </w:r>
          </w:p>
        </w:tc>
        <w:tc>
          <w:tcPr>
            <w:tcW w:type="dxa" w:w="1440"/>
          </w:tcPr>
          <w:p>
            <w:r>
              <w:t>3.4125</w:t>
            </w:r>
          </w:p>
        </w:tc>
        <w:tc>
          <w:tcPr>
            <w:tcW w:type="dxa" w:w="1440"/>
          </w:tcPr>
          <w:p>
            <w:r>
              <w:t>1287.92</w:t>
            </w:r>
          </w:p>
        </w:tc>
      </w:tr>
      <w:tr>
        <w:tc>
          <w:tcPr>
            <w:tcW w:type="dxa" w:w="1440"/>
          </w:tcPr>
          <w:p>
            <w:r>
              <w:t>House CPI</w:t>
            </w:r>
          </w:p>
        </w:tc>
        <w:tc>
          <w:tcPr>
            <w:tcW w:type="dxa" w:w="1440"/>
          </w:tcPr>
          <w:p>
            <w:r>
              <w:t>ARX</w:t>
            </w:r>
          </w:p>
        </w:tc>
        <w:tc>
          <w:tcPr>
            <w:tcW w:type="dxa" w:w="1440"/>
          </w:tcPr>
          <w:p>
            <w:r>
              <w:t>0.7985</w:t>
            </w:r>
          </w:p>
        </w:tc>
        <w:tc>
          <w:tcPr>
            <w:tcW w:type="dxa" w:w="1440"/>
          </w:tcPr>
          <w:p>
            <w:r>
              <w:t>0.8876</w:t>
            </w:r>
          </w:p>
        </w:tc>
        <w:tc>
          <w:tcPr>
            <w:tcW w:type="dxa" w:w="1440"/>
          </w:tcPr>
          <w:p>
            <w:r>
              <w:t>0.3124</w:t>
            </w:r>
          </w:p>
        </w:tc>
        <w:tc>
          <w:tcPr>
            <w:tcW w:type="dxa" w:w="1440"/>
          </w:tcPr>
          <w:p>
            <w:r>
              <w:t>356.78</w:t>
            </w:r>
          </w:p>
        </w:tc>
      </w:tr>
      <w:tr>
        <w:tc>
          <w:tcPr>
            <w:tcW w:type="dxa" w:w="1440"/>
          </w:tcPr>
          <w:p>
            <w:r>
              <w:t>Restaurant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0.7800</w:t>
            </w:r>
          </w:p>
        </w:tc>
        <w:tc>
          <w:tcPr>
            <w:tcW w:type="dxa" w:w="1440"/>
          </w:tcPr>
          <w:p>
            <w:r>
              <w:t>0.0190</w:t>
            </w:r>
          </w:p>
        </w:tc>
        <w:tc>
          <w:tcPr>
            <w:tcW w:type="dxa" w:w="1440"/>
          </w:tcPr>
          <w:p>
            <w:r>
              <w:t>0.0220</w:t>
            </w:r>
          </w:p>
        </w:tc>
        <w:tc>
          <w:tcPr>
            <w:tcW w:type="dxa" w:w="1440"/>
          </w:tcPr>
          <w:p>
            <w:r>
              <w:t>-612.00</w:t>
            </w:r>
          </w:p>
        </w:tc>
      </w:tr>
      <w:tr>
        <w:tc>
          <w:tcPr>
            <w:tcW w:type="dxa" w:w="1440"/>
          </w:tcPr>
          <w:p>
            <w:r>
              <w:t>Transportation CPI</w:t>
            </w:r>
          </w:p>
        </w:tc>
        <w:tc>
          <w:tcPr>
            <w:tcW w:type="dxa" w:w="1440"/>
          </w:tcPr>
          <w:p>
            <w:r>
              <w:t>AR</w:t>
            </w:r>
          </w:p>
        </w:tc>
        <w:tc>
          <w:tcPr>
            <w:tcW w:type="dxa" w:w="1440"/>
          </w:tcPr>
          <w:p>
            <w:r>
              <w:t>0.7921</w:t>
            </w:r>
          </w:p>
        </w:tc>
        <w:tc>
          <w:tcPr>
            <w:tcW w:type="dxa" w:w="1440"/>
          </w:tcPr>
          <w:p>
            <w:r>
              <w:t>0.0261</w:t>
            </w:r>
          </w:p>
        </w:tc>
        <w:tc>
          <w:tcPr>
            <w:tcW w:type="dxa" w:w="1440"/>
          </w:tcPr>
          <w:p>
            <w:r>
              <w:t>0.0298</w:t>
            </w:r>
          </w:p>
        </w:tc>
        <w:tc>
          <w:tcPr>
            <w:tcW w:type="dxa" w:w="1440"/>
          </w:tcPr>
          <w:p>
            <w:r>
              <w:t>-987.45</w:t>
            </w:r>
          </w:p>
        </w:tc>
      </w:tr>
    </w:tbl>
    <w:p>
      <w:r>
        <w:t>Performance : R² ≥ 0.73, RMSE test crédibles. ARX pour logement indique dépendance à variables externes.</w:t>
      </w:r>
    </w:p>
    <w:p>
      <w:pPr>
        <w:pStyle w:val="Heading3"/>
      </w:pPr>
      <w:r>
        <w:t>6.2 Observations par secteur</w:t>
      </w:r>
    </w:p>
    <w:p>
      <w:pPr>
        <w:pStyle w:val="ListBullet"/>
      </w:pPr>
      <w:r>
        <w:t>Food CPI** : Capture bien volatilité alimentaire mondialisée.</w:t>
      </w:r>
    </w:p>
    <w:p>
      <w:pPr>
        <w:pStyle w:val="ListBullet"/>
      </w:pPr>
      <w:r>
        <w:t>House CPI** : Excellent modèle ARX, variables exogènes significatives.</w:t>
      </w:r>
    </w:p>
    <w:p>
      <w:pPr>
        <w:pStyle w:val="ListBullet"/>
      </w:pPr>
      <w:r>
        <w:t>Transport** : Performance très bonne, volatilité faible.</w:t>
      </w:r>
    </w:p>
    <w:p>
      <w:pPr>
        <w:pStyle w:val="ListBullet"/>
      </w:pPr>
      <w:r>
        <w:t>Restaurant** : Secteur peu sensible aux chocs court-terme.</w:t>
      </w:r>
    </w:p>
    <w:p>
      <w:r>
        <w:t>____________________________________________________________</w:t>
      </w:r>
    </w:p>
    <w:p>
      <w:pPr>
        <w:pStyle w:val="Heading2"/>
      </w:pPr>
      <w:r>
        <w:t>7. Limites</w:t>
      </w:r>
    </w:p>
    <w:p>
      <w:pPr>
        <w:pStyle w:val="ListBullet"/>
      </w:pPr>
      <w:r>
        <w:t>Données : absence possible de métadonnées.</w:t>
      </w:r>
    </w:p>
    <w:p>
      <w:pPr>
        <w:pStyle w:val="ListBullet"/>
      </w:pPr>
      <w:r>
        <w:t>Portée temporelle : réduit puissance tests co-intégration.</w:t>
      </w:r>
    </w:p>
    <w:p>
      <w:pPr>
        <w:pStyle w:val="ListBullet"/>
      </w:pPr>
      <w:r>
        <w:t>Disparités régionales masquées par agrégation nationale.</w:t>
      </w:r>
    </w:p>
    <w:p>
      <w:r>
        <w:t>____________________________________________________________</w:t>
      </w:r>
    </w:p>
    <w:p>
      <w:pPr>
        <w:pStyle w:val="Heading2"/>
      </w:pPr>
      <w:r>
        <w:t>8. Conclusion</w:t>
      </w:r>
    </w:p>
    <w:p>
      <w:r>
        <w:t>Inflation guidée par prix alimentaires. Modèles AR/ARX (R² ≥ 0.73) montrent bon ajustement et capacité prédictive solide pour politique économique.</w:t>
      </w:r>
    </w:p>
    <w:p>
      <w:r>
        <w:t>____________________________________________________________</w:t>
      </w:r>
    </w:p>
    <w:p>
      <w:pPr>
        <w:pStyle w:val="Heading2"/>
      </w:pPr>
      <w:r>
        <w:t>9. Recommandations</w:t>
      </w:r>
    </w:p>
    <w:p>
      <w:pPr>
        <w:pStyle w:val="ListBullet"/>
      </w:pPr>
      <w:r>
        <w:t>Tableau de bord automatisé mensuel.</w:t>
      </w:r>
    </w:p>
    <w:p>
      <w:pPr>
        <w:pStyle w:val="ListBullet"/>
      </w:pPr>
      <w:r>
        <w:t>Collecte désagrégée (région, marché).</w:t>
      </w:r>
    </w:p>
    <w:p>
      <w:pPr>
        <w:pStyle w:val="ListBullet"/>
      </w:pPr>
      <w:r>
        <w:t>Suivi prix alimentaires de base.</w:t>
      </w:r>
    </w:p>
    <w:p>
      <w:r>
        <w:t>____________________________________________________________</w:t>
      </w:r>
    </w:p>
    <w:p>
      <w:pPr>
        <w:pStyle w:val="Heading2"/>
      </w:pPr>
      <w:r>
        <w:t>10. Annexes</w:t>
      </w:r>
    </w:p>
    <w:p>
      <w:r>
        <w:t>Notebook : `Inflation Notebooks/Guinee.ipynb`.</w:t>
      </w:r>
    </w:p>
    <w:p>
      <w:r>
        <w:t>Données sources : fichiers Excel dans `data*CPI/`.</w:t>
      </w:r>
    </w:p>
    <w:p>
      <w:r>
        <w:t>____________________________________________________________</w:t>
      </w:r>
    </w:p>
    <w:p>
      <w:r>
        <w:t>Notes finales : Rapport généré le 26 novembre 2025. Prêt pour diffusion.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