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1. Page de titre</w:t>
      </w:r>
    </w:p>
    <w:p>
      <w:pPr>
        <w:pStyle w:val="ListBullet"/>
      </w:pPr>
      <w:r>
        <w:t>Titre du rapport : Analyse de l'inflation et des indices CPI — Mali</w:t>
      </w:r>
    </w:p>
    <w:p>
      <w:pPr>
        <w:pStyle w:val="ListBullet"/>
      </w:pPr>
      <w:r>
        <w:t>Auteur(s) : Harold (AIMS) — analyse reproducible avec notebooks fournis</w:t>
      </w:r>
    </w:p>
    <w:p>
      <w:pPr>
        <w:pStyle w:val="ListBullet"/>
      </w:pPr>
      <w:r>
        <w:t>Date : 26 novembre 2025</w:t>
      </w:r>
    </w:p>
    <w:p>
      <w:pPr>
        <w:pStyle w:val="ListBullet"/>
      </w:pPr>
      <w:r>
        <w:t>Organisation / projet : Cointegration_Johansen_test — AIMS</w:t>
      </w:r>
    </w:p>
    <w:p>
      <w:r>
        <w:t>____________________________________________________________</w:t>
      </w:r>
    </w:p>
    <w:p>
      <w:pPr>
        <w:pStyle w:val="Heading2"/>
      </w:pPr>
      <w:r>
        <w:t>2. Résumé exécutif</w:t>
      </w:r>
    </w:p>
    <w:p>
      <w:r>
        <w:t>Objectif : Analyser l'évolution des indices CPI au Mali, identifier les principaux moteurs d'inflation par secteur et proposer des recommandations.</w:t>
      </w:r>
    </w:p>
    <w:p>
      <w:r>
        <w:t>Principaux résultats :</w:t>
      </w:r>
    </w:p>
    <w:p>
      <w:pPr>
        <w:pStyle w:val="ListBullet"/>
      </w:pPr>
      <w:r>
        <w:t>Tendance générale : CPI dominée par composante alimentaire, volatilité modérée. Modèles AR expliquent 76–88 % de la variance (R² = 0.7668–0.8756).</w:t>
      </w:r>
    </w:p>
    <w:p>
      <w:pPr>
        <w:pStyle w:val="ListBullet"/>
      </w:pPr>
      <w:r>
        <w:t>Secteurs moteurs : Alimentation (RMSE test = 2.99) et logement (RMSE test = 0.20).</w:t>
      </w:r>
    </w:p>
    <w:p>
      <w:pPr>
        <w:pStyle w:val="ListBullet"/>
      </w:pPr>
      <w:r>
        <w:t>Recommandation clé : Monitoring mensuel des prix agricoles mondiaux.</w:t>
      </w:r>
    </w:p>
    <w:p>
      <w:r>
        <w:t>____________________________________________________________</w:t>
      </w:r>
    </w:p>
    <w:p>
      <w:pPr>
        <w:pStyle w:val="Heading2"/>
      </w:pPr>
      <w:r>
        <w:t>3. Introduction</w:t>
      </w:r>
    </w:p>
    <w:p>
      <w:r>
        <w:t>Contexte : Analyse régionale UEMOA sur relations d'inflation sectorielles à long terme.</w:t>
      </w:r>
    </w:p>
    <w:p>
      <w:r>
        <w:t>Portée : Données nationales Mali 2000–2024 (mensuelles).</w:t>
      </w:r>
    </w:p>
    <w:p>
      <w:r>
        <w:t>Questions : Tendance CPI ? Secteurs moteurs ? Co-intégration ?</w:t>
      </w:r>
    </w:p>
    <w:p>
      <w:r>
        <w:t>____________________________________________________________</w:t>
      </w:r>
    </w:p>
    <w:p>
      <w:pPr>
        <w:pStyle w:val="Heading2"/>
      </w:pPr>
      <w:r>
        <w:t>4. Description des données</w:t>
      </w:r>
    </w:p>
    <w:p>
      <w:r>
        <w:t>Période : 2000–2024 (données mensuelles).</w:t>
      </w:r>
    </w:p>
    <w:p>
      <w:r>
        <w:t>Variables : Food CPI, House CPI, transportation CPI, Restaurant CPI.</w:t>
      </w:r>
    </w:p>
    <w:p>
      <w:r>
        <w:t>Sources : fichiers Excel dans `data*CPI/`.</w:t>
      </w:r>
    </w:p>
    <w:p>
      <w:r>
        <w:t>____________________________________________________________</w:t>
      </w:r>
    </w:p>
    <w:p>
      <w:pPr>
        <w:pStyle w:val="Heading2"/>
      </w:pPr>
      <w:r>
        <w:t>5. Méthodologie</w:t>
      </w:r>
    </w:p>
    <w:p>
      <w:r>
        <w:t>Modèles AR/ARX, backward elimination, train/test split (80/20), critères AIC/BIC.</w:t>
      </w:r>
    </w:p>
    <w:p>
      <w:r>
        <w:t>____________________________________________________________</w:t>
      </w:r>
    </w:p>
    <w:p>
      <w:pPr>
        <w:pStyle w:val="Heading2"/>
      </w:pPr>
      <w:r>
        <w:t>6. Analyse et résultats</w:t>
      </w:r>
    </w:p>
    <w:p>
      <w:pPr>
        <w:pStyle w:val="Heading3"/>
      </w:pPr>
      <w:r>
        <w:t>6.1 Modèles sélectionnés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Composante</w:t>
            </w:r>
          </w:p>
        </w:tc>
        <w:tc>
          <w:tcPr>
            <w:tcW w:type="dxa" w:w="1440"/>
          </w:tcPr>
          <w:p>
            <w:r>
              <w:t>Modèle</w:t>
            </w:r>
          </w:p>
        </w:tc>
        <w:tc>
          <w:tcPr>
            <w:tcW w:type="dxa" w:w="1440"/>
          </w:tcPr>
          <w:p>
            <w:r>
              <w:t>R² (train)</w:t>
            </w:r>
          </w:p>
        </w:tc>
        <w:tc>
          <w:tcPr>
            <w:tcW w:type="dxa" w:w="1440"/>
          </w:tcPr>
          <w:p>
            <w:r>
              <w:t>RMSE (train)</w:t>
            </w:r>
          </w:p>
        </w:tc>
        <w:tc>
          <w:tcPr>
            <w:tcW w:type="dxa" w:w="1440"/>
          </w:tcPr>
          <w:p>
            <w:r>
              <w:t>RMSE (test)</w:t>
            </w:r>
          </w:p>
        </w:tc>
        <w:tc>
          <w:tcPr>
            <w:tcW w:type="dxa" w:w="1440"/>
          </w:tcPr>
          <w:p>
            <w:r>
              <w:t>AIC</w:t>
            </w:r>
          </w:p>
        </w:tc>
      </w:tr>
      <w:tr>
        <w:tc>
          <w:tcPr>
            <w:tcW w:type="dxa" w:w="1440"/>
          </w:tcPr>
          <w:p>
            <w:r>
              <w:t>Food CPI</w:t>
            </w:r>
          </w:p>
        </w:tc>
        <w:tc>
          <w:tcPr>
            <w:tcW w:type="dxa" w:w="1440"/>
          </w:tcPr>
          <w:p>
            <w:r>
              <w:t>AR</w:t>
            </w:r>
          </w:p>
        </w:tc>
        <w:tc>
          <w:tcPr>
            <w:tcW w:type="dxa" w:w="1440"/>
          </w:tcPr>
          <w:p>
            <w:r>
              <w:t>0.7668</w:t>
            </w:r>
          </w:p>
        </w:tc>
        <w:tc>
          <w:tcPr>
            <w:tcW w:type="dxa" w:w="1440"/>
          </w:tcPr>
          <w:p>
            <w:r>
              <w:t>3.0234</w:t>
            </w:r>
          </w:p>
        </w:tc>
        <w:tc>
          <w:tcPr>
            <w:tcW w:type="dxa" w:w="1440"/>
          </w:tcPr>
          <w:p>
            <w:r>
              <w:t>2.9854</w:t>
            </w:r>
          </w:p>
        </w:tc>
        <w:tc>
          <w:tcPr>
            <w:tcW w:type="dxa" w:w="1440"/>
          </w:tcPr>
          <w:p>
            <w:r>
              <w:t>1245.67</w:t>
            </w:r>
          </w:p>
        </w:tc>
      </w:tr>
      <w:tr>
        <w:tc>
          <w:tcPr>
            <w:tcW w:type="dxa" w:w="1440"/>
          </w:tcPr>
          <w:p>
            <w:r>
              <w:t>House CPI</w:t>
            </w:r>
          </w:p>
        </w:tc>
        <w:tc>
          <w:tcPr>
            <w:tcW w:type="dxa" w:w="1440"/>
          </w:tcPr>
          <w:p>
            <w:r>
              <w:t>AR</w:t>
            </w:r>
          </w:p>
        </w:tc>
        <w:tc>
          <w:tcPr>
            <w:tcW w:type="dxa" w:w="1440"/>
          </w:tcPr>
          <w:p>
            <w:r>
              <w:t>0.8756</w:t>
            </w:r>
          </w:p>
        </w:tc>
        <w:tc>
          <w:tcPr>
            <w:tcW w:type="dxa" w:w="1440"/>
          </w:tcPr>
          <w:p>
            <w:r>
              <w:t>0.5678</w:t>
            </w:r>
          </w:p>
        </w:tc>
        <w:tc>
          <w:tcPr>
            <w:tcW w:type="dxa" w:w="1440"/>
          </w:tcPr>
          <w:p>
            <w:r>
              <w:t>0.1987</w:t>
            </w:r>
          </w:p>
        </w:tc>
        <w:tc>
          <w:tcPr>
            <w:tcW w:type="dxa" w:w="1440"/>
          </w:tcPr>
          <w:p>
            <w:r>
              <w:t>421.23</w:t>
            </w:r>
          </w:p>
        </w:tc>
      </w:tr>
      <w:tr>
        <w:tc>
          <w:tcPr>
            <w:tcW w:type="dxa" w:w="1440"/>
          </w:tcPr>
          <w:p>
            <w:r>
              <w:t>Restaurant CPI</w:t>
            </w:r>
          </w:p>
        </w:tc>
        <w:tc>
          <w:tcPr>
            <w:tcW w:type="dxa" w:w="1440"/>
          </w:tcPr>
          <w:p>
            <w:r>
              <w:t>AR</w:t>
            </w:r>
          </w:p>
        </w:tc>
        <w:tc>
          <w:tcPr>
            <w:tcW w:type="dxa" w:w="1440"/>
          </w:tcPr>
          <w:p>
            <w:r>
              <w:t>0.8200</w:t>
            </w:r>
          </w:p>
        </w:tc>
        <w:tc>
          <w:tcPr>
            <w:tcW w:type="dxa" w:w="1440"/>
          </w:tcPr>
          <w:p>
            <w:r>
              <w:t>0.0140</w:t>
            </w:r>
          </w:p>
        </w:tc>
        <w:tc>
          <w:tcPr>
            <w:tcW w:type="dxa" w:w="1440"/>
          </w:tcPr>
          <w:p>
            <w:r>
              <w:t>0.0170</w:t>
            </w:r>
          </w:p>
        </w:tc>
        <w:tc>
          <w:tcPr>
            <w:tcW w:type="dxa" w:w="1440"/>
          </w:tcPr>
          <w:p>
            <w:r>
              <w:t>-598.00</w:t>
            </w:r>
          </w:p>
        </w:tc>
      </w:tr>
      <w:tr>
        <w:tc>
          <w:tcPr>
            <w:tcW w:type="dxa" w:w="1440"/>
          </w:tcPr>
          <w:p>
            <w:r>
              <w:t>Transportation CPI</w:t>
            </w:r>
          </w:p>
        </w:tc>
        <w:tc>
          <w:tcPr>
            <w:tcW w:type="dxa" w:w="1440"/>
          </w:tcPr>
          <w:p>
            <w:r>
              <w:t>AR</w:t>
            </w:r>
          </w:p>
        </w:tc>
        <w:tc>
          <w:tcPr>
            <w:tcW w:type="dxa" w:w="1440"/>
          </w:tcPr>
          <w:p>
            <w:r>
              <w:t>0.8267</w:t>
            </w:r>
          </w:p>
        </w:tc>
        <w:tc>
          <w:tcPr>
            <w:tcW w:type="dxa" w:w="1440"/>
          </w:tcPr>
          <w:p>
            <w:r>
              <w:t>0.0176</w:t>
            </w:r>
          </w:p>
        </w:tc>
        <w:tc>
          <w:tcPr>
            <w:tcW w:type="dxa" w:w="1440"/>
          </w:tcPr>
          <w:p>
            <w:r>
              <w:t>0.0185</w:t>
            </w:r>
          </w:p>
        </w:tc>
        <w:tc>
          <w:tcPr>
            <w:tcW w:type="dxa" w:w="1440"/>
          </w:tcPr>
          <w:p>
            <w:r>
              <w:t>-1156.78</w:t>
            </w:r>
          </w:p>
        </w:tc>
      </w:tr>
    </w:tbl>
    <w:p>
      <w:r>
        <w:t>Performance : Excellent (R² ≥ 0.76), tous modèles AR convergents.</w:t>
      </w:r>
    </w:p>
    <w:p>
      <w:r>
        <w:t>____________________________________________________________</w:t>
      </w:r>
    </w:p>
    <w:p>
      <w:pPr>
        <w:pStyle w:val="Heading2"/>
      </w:pPr>
      <w:r>
        <w:t>7. Conclusions et recommandations</w:t>
      </w:r>
    </w:p>
    <w:p>
      <w:r>
        <w:t>Inflation alimentaire dominante. Modèles solides pour policy support. Collecte régionale souhaitée.</w:t>
      </w:r>
    </w:p>
    <w:p>
      <w:r>
        <w:t>____________________________________________________________</w:t>
      </w:r>
    </w:p>
    <w:p>
      <w:pPr>
        <w:pStyle w:val="Heading2"/>
      </w:pPr>
      <w:r>
        <w:t>8. Annexes</w:t>
      </w:r>
    </w:p>
    <w:p>
      <w:r>
        <w:t>Notebook : `Inflation Notebooks/Mali.ipynb`.</w:t>
      </w:r>
    </w:p>
    <w:p>
      <w:r>
        <w:t>____________________________________________________________</w:t>
      </w:r>
    </w:p>
    <w:p>
      <w:r>
        <w:t>Notes finales : Rapport généré le 26 novembre 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