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1. Page de titre</w:t>
      </w:r>
    </w:p>
    <w:p>
      <w:pPr>
        <w:pStyle w:val="ListBullet"/>
      </w:pPr>
      <w:r>
        <w:t>Titre du rapport : Analyse de l'inflation et des indices CPI — Niger</w:t>
      </w:r>
    </w:p>
    <w:p>
      <w:pPr>
        <w:pStyle w:val="ListBullet"/>
      </w:pPr>
      <w:r>
        <w:t>Auteur(s) : Harold (AIMS) — analyse reproducible avec notebooks fournis</w:t>
      </w:r>
    </w:p>
    <w:p>
      <w:pPr>
        <w:pStyle w:val="ListBullet"/>
      </w:pPr>
      <w:r>
        <w:t>Date : 26 novembre 2025</w:t>
      </w:r>
    </w:p>
    <w:p>
      <w:pPr>
        <w:pStyle w:val="ListBullet"/>
      </w:pPr>
      <w:r>
        <w:t>Organisation / projet : Cointegration_Johansen_test — AIMS</w:t>
      </w:r>
    </w:p>
    <w:p>
      <w:r>
        <w:t>____________________________________________________________</w:t>
      </w:r>
    </w:p>
    <w:p>
      <w:pPr>
        <w:pStyle w:val="Heading2"/>
      </w:pPr>
      <w:r>
        <w:t>2. Résumé exécutif</w:t>
      </w:r>
    </w:p>
    <w:p>
      <w:r>
        <w:t>Objectif : Analyser l'inflation au Niger par secteur et identifier les moteurs clés.</w:t>
      </w:r>
    </w:p>
    <w:p>
      <w:r>
        <w:t>Principaux résultats :</w:t>
      </w:r>
    </w:p>
    <w:p>
      <w:pPr>
        <w:pStyle w:val="ListBullet"/>
      </w:pPr>
      <w:r>
        <w:t>Tendance : CPI alimentaire dominant, volatilité marquée. Modèles AR expliquent 79–91 % (R² = 0.7892–0.9134).</w:t>
      </w:r>
    </w:p>
    <w:p>
      <w:pPr>
        <w:pStyle w:val="ListBullet"/>
      </w:pPr>
      <w:r>
        <w:t>Secteurs : Alimentation (RMSE = 2.89) et logement (RMSE = 0.15) moteurs principaux.</w:t>
      </w:r>
    </w:p>
    <w:p>
      <w:pPr>
        <w:pStyle w:val="ListBullet"/>
      </w:pPr>
      <w:r>
        <w:t>Action : Monitoring mensuel des prix agricoles.</w:t>
      </w:r>
    </w:p>
    <w:p>
      <w:r>
        <w:t>____________________________________________________________</w:t>
      </w:r>
    </w:p>
    <w:p>
      <w:pPr>
        <w:pStyle w:val="Heading2"/>
      </w:pPr>
      <w:r>
        <w:t>3. Introduction</w:t>
      </w:r>
    </w:p>
    <w:p>
      <w:r>
        <w:t>Contexte UEMOA sur relations inflation sectorielles.</w:t>
      </w:r>
    </w:p>
    <w:p>
      <w:r>
        <w:t>Portée : Niger 2000–2024 (mensuelles).</w:t>
      </w:r>
    </w:p>
    <w:p>
      <w:r>
        <w:t>____________________________________________________________</w:t>
      </w:r>
    </w:p>
    <w:p>
      <w:pPr>
        <w:pStyle w:val="Heading2"/>
      </w:pPr>
      <w:r>
        <w:t>4. Description des données</w:t>
      </w:r>
    </w:p>
    <w:p>
      <w:r>
        <w:t>Période : 2000–2024 (mensuelles).</w:t>
      </w:r>
    </w:p>
    <w:p>
      <w:r>
        <w:t>Sources : fichiers Excel.</w:t>
      </w:r>
    </w:p>
    <w:p>
      <w:r>
        <w:t>____________________________________________________________</w:t>
      </w:r>
    </w:p>
    <w:p>
      <w:pPr>
        <w:pStyle w:val="Heading2"/>
      </w:pPr>
      <w:r>
        <w:t>5. Méthodologie</w:t>
      </w:r>
    </w:p>
    <w:p>
      <w:r>
        <w:t>AR/ARX modèles, backward elimination, train/test.</w:t>
      </w:r>
    </w:p>
    <w:p>
      <w:r>
        <w:t>____________________________________________________________</w:t>
      </w:r>
    </w:p>
    <w:p>
      <w:pPr>
        <w:pStyle w:val="Heading2"/>
      </w:pPr>
      <w:r>
        <w:t>6. Analyse et résultats</w:t>
      </w:r>
    </w:p>
    <w:p>
      <w:pPr>
        <w:pStyle w:val="Heading3"/>
      </w:pPr>
      <w:r>
        <w:t>Modèles sélectionnés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Composante</w:t>
            </w:r>
          </w:p>
        </w:tc>
        <w:tc>
          <w:tcPr>
            <w:tcW w:type="dxa" w:w="2160"/>
          </w:tcPr>
          <w:p>
            <w:r>
              <w:t>Modèle</w:t>
            </w:r>
          </w:p>
        </w:tc>
        <w:tc>
          <w:tcPr>
            <w:tcW w:type="dxa" w:w="2160"/>
          </w:tcPr>
          <w:p>
            <w:r>
              <w:t>R² (train)</w:t>
            </w:r>
          </w:p>
        </w:tc>
        <w:tc>
          <w:tcPr>
            <w:tcW w:type="dxa" w:w="2160"/>
          </w:tcPr>
          <w:p>
            <w:r>
              <w:t>RMSE (test)</w:t>
            </w:r>
          </w:p>
        </w:tc>
      </w:tr>
      <w:tr>
        <w:tc>
          <w:tcPr>
            <w:tcW w:type="dxa" w:w="2160"/>
          </w:tcPr>
          <w:p>
            <w:r>
              <w:t>Food CPI</w:t>
            </w:r>
          </w:p>
        </w:tc>
        <w:tc>
          <w:tcPr>
            <w:tcW w:type="dxa" w:w="2160"/>
          </w:tcPr>
          <w:p>
            <w:r>
              <w:t>AR</w:t>
            </w:r>
          </w:p>
        </w:tc>
        <w:tc>
          <w:tcPr>
            <w:tcW w:type="dxa" w:w="2160"/>
          </w:tcPr>
          <w:p>
            <w:r>
              <w:t>0.7892</w:t>
            </w:r>
          </w:p>
        </w:tc>
        <w:tc>
          <w:tcPr>
            <w:tcW w:type="dxa" w:w="2160"/>
          </w:tcPr>
          <w:p>
            <w:r>
              <w:t>2.8934</w:t>
            </w:r>
          </w:p>
        </w:tc>
      </w:tr>
      <w:tr>
        <w:tc>
          <w:tcPr>
            <w:tcW w:type="dxa" w:w="2160"/>
          </w:tcPr>
          <w:p>
            <w:r>
              <w:t>House CPI</w:t>
            </w:r>
          </w:p>
        </w:tc>
        <w:tc>
          <w:tcPr>
            <w:tcW w:type="dxa" w:w="2160"/>
          </w:tcPr>
          <w:p>
            <w:r>
              <w:t>AR</w:t>
            </w:r>
          </w:p>
        </w:tc>
        <w:tc>
          <w:tcPr>
            <w:tcW w:type="dxa" w:w="2160"/>
          </w:tcPr>
          <w:p>
            <w:r>
              <w:t>0.9134</w:t>
            </w:r>
          </w:p>
        </w:tc>
        <w:tc>
          <w:tcPr>
            <w:tcW w:type="dxa" w:w="2160"/>
          </w:tcPr>
          <w:p>
            <w:r>
              <w:t>0.1456</w:t>
            </w:r>
          </w:p>
        </w:tc>
      </w:tr>
      <w:tr>
        <w:tc>
          <w:tcPr>
            <w:tcW w:type="dxa" w:w="2160"/>
          </w:tcPr>
          <w:p>
            <w:r>
              <w:t>Restaurant CPI</w:t>
            </w:r>
          </w:p>
        </w:tc>
        <w:tc>
          <w:tcPr>
            <w:tcW w:type="dxa" w:w="2160"/>
          </w:tcPr>
          <w:p>
            <w:r>
              <w:t>AR</w:t>
            </w:r>
          </w:p>
        </w:tc>
        <w:tc>
          <w:tcPr>
            <w:tcW w:type="dxa" w:w="2160"/>
          </w:tcPr>
          <w:p>
            <w:r>
              <w:t>0.8400</w:t>
            </w:r>
          </w:p>
        </w:tc>
        <w:tc>
          <w:tcPr>
            <w:tcW w:type="dxa" w:w="2160"/>
          </w:tcPr>
          <w:p>
            <w:r>
              <w:t>0.0110</w:t>
            </w:r>
          </w:p>
        </w:tc>
      </w:tr>
      <w:tr>
        <w:tc>
          <w:tcPr>
            <w:tcW w:type="dxa" w:w="2160"/>
          </w:tcPr>
          <w:p>
            <w:r>
              <w:t>Transportation CPI</w:t>
            </w:r>
          </w:p>
        </w:tc>
        <w:tc>
          <w:tcPr>
            <w:tcW w:type="dxa" w:w="2160"/>
          </w:tcPr>
          <w:p>
            <w:r>
              <w:t>AR</w:t>
            </w:r>
          </w:p>
        </w:tc>
        <w:tc>
          <w:tcPr>
            <w:tcW w:type="dxa" w:w="2160"/>
          </w:tcPr>
          <w:p>
            <w:r>
              <w:t>0.8456</w:t>
            </w:r>
          </w:p>
        </w:tc>
        <w:tc>
          <w:tcPr>
            <w:tcW w:type="dxa" w:w="2160"/>
          </w:tcPr>
          <w:p>
            <w:r>
              <w:t>0.0156</w:t>
            </w:r>
          </w:p>
        </w:tc>
      </w:tr>
    </w:tbl>
    <w:p>
      <w:r>
        <w:t>Performance : Excellente (R² ≥ 0.79).</w:t>
      </w:r>
    </w:p>
    <w:p>
      <w:r>
        <w:t>____________________________________________________________</w:t>
      </w:r>
    </w:p>
    <w:p>
      <w:pPr>
        <w:pStyle w:val="Heading2"/>
      </w:pPr>
      <w:r>
        <w:t>7. Conclusion</w:t>
      </w:r>
    </w:p>
    <w:p>
      <w:r>
        <w:t>Inflation guidée par alimentation. Modèles solides pour décisions.</w:t>
      </w:r>
    </w:p>
    <w:p>
      <w:r>
        <w:t>____________________________________________________________</w:t>
      </w:r>
    </w:p>
    <w:p>
      <w:pPr>
        <w:pStyle w:val="Heading2"/>
      </w:pPr>
      <w:r>
        <w:t>8. Annexes</w:t>
      </w:r>
    </w:p>
    <w:p>
      <w:r>
        <w:t>Notebook : `Inflation Notebooks/Niger.ipynb`.</w:t>
      </w:r>
    </w:p>
    <w:p>
      <w:r>
        <w:t>____________________________________________________________</w:t>
      </w:r>
    </w:p>
    <w:p>
      <w:r>
        <w:t>Notes finales : Rapport généré le 26 novembre 2025.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