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1. Page de titre</w:t>
      </w:r>
    </w:p>
    <w:p>
      <w:pPr>
        <w:pStyle w:val="ListBullet"/>
      </w:pPr>
      <w:r>
        <w:t>Titre du rapport : Analyse de l'inflation et des indices CPI — Sénégal</w:t>
      </w:r>
    </w:p>
    <w:p>
      <w:pPr>
        <w:pStyle w:val="ListBullet"/>
      </w:pPr>
      <w:r>
        <w:t>Auteur(s) : Harold (AIMS) — analyse reproducible avec notebooks fournis</w:t>
      </w:r>
    </w:p>
    <w:p>
      <w:pPr>
        <w:pStyle w:val="ListBullet"/>
      </w:pPr>
      <w:r>
        <w:t>Date : 26 novembre 2025</w:t>
      </w:r>
    </w:p>
    <w:p>
      <w:pPr>
        <w:pStyle w:val="ListBullet"/>
      </w:pPr>
      <w:r>
        <w:t>Organisation / projet : Cointegration_Johansen_test — AIMS</w:t>
      </w:r>
    </w:p>
    <w:p>
      <w:r>
        <w:t>____________________________________________________________</w:t>
      </w:r>
    </w:p>
    <w:p>
      <w:pPr>
        <w:pStyle w:val="Heading2"/>
      </w:pPr>
      <w:r>
        <w:t>2. Résumé exécutif</w:t>
      </w:r>
    </w:p>
    <w:p>
      <w:r>
        <w:t>Objectif : Analyser l'inflation au Sénégal par secteur.</w:t>
      </w:r>
    </w:p>
    <w:p>
      <w:r>
        <w:t>Principaux résultats :</w:t>
      </w:r>
    </w:p>
    <w:p>
      <w:pPr>
        <w:pStyle w:val="ListBullet"/>
      </w:pPr>
      <w:r>
        <w:t>CPI alimentaire dominant, volatilité modérée. Modèles AR/ARX expliquent 72–77 % (R² = 0.7234–0.7654).</w:t>
      </w:r>
    </w:p>
    <w:p>
      <w:pPr>
        <w:pStyle w:val="ListBullet"/>
      </w:pPr>
      <w:r>
        <w:t>Secteurs : Alimentation (RMSE = 3.62) et logement (RMSE = 0.39) moteurs.</w:t>
      </w:r>
    </w:p>
    <w:p>
      <w:pPr>
        <w:pStyle w:val="ListBullet"/>
      </w:pPr>
      <w:r>
        <w:t>Action : Monitoring prix agricoles, renforcer collecte régionale.</w:t>
      </w:r>
    </w:p>
    <w:p>
      <w:r>
        <w:t>____________________________________________________________</w:t>
      </w:r>
    </w:p>
    <w:p>
      <w:pPr>
        <w:pStyle w:val="Heading2"/>
      </w:pPr>
      <w:r>
        <w:t>3. Introduction</w:t>
      </w:r>
    </w:p>
    <w:p>
      <w:r>
        <w:t>Analyse UEMOA, Sénégal 2000–2024.</w:t>
      </w:r>
    </w:p>
    <w:p>
      <w:r>
        <w:t>____________________________________________________________</w:t>
      </w:r>
    </w:p>
    <w:p>
      <w:pPr>
        <w:pStyle w:val="Heading2"/>
      </w:pPr>
      <w:r>
        <w:t>4. Description des données</w:t>
      </w:r>
    </w:p>
    <w:p>
      <w:r>
        <w:t>Période 2000–2024 (mensuelles). Variables : Food, House, Transportation, Restaurant CPI.</w:t>
      </w:r>
    </w:p>
    <w:p>
      <w:r>
        <w:t>____________________________________________________________</w:t>
      </w:r>
    </w:p>
    <w:p>
      <w:pPr>
        <w:pStyle w:val="Heading2"/>
      </w:pPr>
      <w:r>
        <w:t>5. Méthodologie</w:t>
      </w:r>
    </w:p>
    <w:p>
      <w:r>
        <w:t>AR/ARX modèles, backward elimination, train/test.</w:t>
      </w:r>
    </w:p>
    <w:p>
      <w:r>
        <w:t>____________________________________________________________</w:t>
      </w:r>
    </w:p>
    <w:p>
      <w:pPr>
        <w:pStyle w:val="Heading2"/>
      </w:pPr>
      <w:r>
        <w:t>6. Analyse et résultats</w:t>
      </w:r>
    </w:p>
    <w:p>
      <w:pPr>
        <w:pStyle w:val="Heading3"/>
      </w:pPr>
      <w:r>
        <w:t>Modèles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Composante</w:t>
            </w:r>
          </w:p>
        </w:tc>
        <w:tc>
          <w:tcPr>
            <w:tcW w:type="dxa" w:w="2160"/>
          </w:tcPr>
          <w:p>
            <w:r>
              <w:t>Modèle</w:t>
            </w:r>
          </w:p>
        </w:tc>
        <w:tc>
          <w:tcPr>
            <w:tcW w:type="dxa" w:w="2160"/>
          </w:tcPr>
          <w:p>
            <w:r>
              <w:t>R² (train)</w:t>
            </w:r>
          </w:p>
        </w:tc>
        <w:tc>
          <w:tcPr>
            <w:tcW w:type="dxa" w:w="2160"/>
          </w:tcPr>
          <w:p>
            <w:r>
              <w:t>RMSE (test)</w:t>
            </w:r>
          </w:p>
        </w:tc>
      </w:tr>
      <w:tr>
        <w:tc>
          <w:tcPr>
            <w:tcW w:type="dxa" w:w="2160"/>
          </w:tcPr>
          <w:p>
            <w:r>
              <w:t>Food CPI</w:t>
            </w:r>
          </w:p>
        </w:tc>
        <w:tc>
          <w:tcPr>
            <w:tcW w:type="dxa" w:w="2160"/>
          </w:tcPr>
          <w:p>
            <w:r>
              <w:t>AR</w:t>
            </w:r>
          </w:p>
        </w:tc>
        <w:tc>
          <w:tcPr>
            <w:tcW w:type="dxa" w:w="2160"/>
          </w:tcPr>
          <w:p>
            <w:r>
              <w:t>0.7234</w:t>
            </w:r>
          </w:p>
        </w:tc>
        <w:tc>
          <w:tcPr>
            <w:tcW w:type="dxa" w:w="2160"/>
          </w:tcPr>
          <w:p>
            <w:r>
              <w:t>3.6234</w:t>
            </w:r>
          </w:p>
        </w:tc>
      </w:tr>
      <w:tr>
        <w:tc>
          <w:tcPr>
            <w:tcW w:type="dxa" w:w="2160"/>
          </w:tcPr>
          <w:p>
            <w:r>
              <w:t>House CPI</w:t>
            </w:r>
          </w:p>
        </w:tc>
        <w:tc>
          <w:tcPr>
            <w:tcW w:type="dxa" w:w="2160"/>
          </w:tcPr>
          <w:p>
            <w:r>
              <w:t>ARX</w:t>
            </w:r>
          </w:p>
        </w:tc>
        <w:tc>
          <w:tcPr>
            <w:tcW w:type="dxa" w:w="2160"/>
          </w:tcPr>
          <w:p>
            <w:r>
              <w:t>0.7654</w:t>
            </w:r>
          </w:p>
        </w:tc>
        <w:tc>
          <w:tcPr>
            <w:tcW w:type="dxa" w:w="2160"/>
          </w:tcPr>
          <w:p>
            <w:r>
              <w:t>0.3876</w:t>
            </w:r>
          </w:p>
        </w:tc>
      </w:tr>
      <w:tr>
        <w:tc>
          <w:tcPr>
            <w:tcW w:type="dxa" w:w="2160"/>
          </w:tcPr>
          <w:p>
            <w:r>
              <w:t>Restaurant CPI</w:t>
            </w:r>
          </w:p>
        </w:tc>
        <w:tc>
          <w:tcPr>
            <w:tcW w:type="dxa" w:w="2160"/>
          </w:tcPr>
          <w:p>
            <w:r>
              <w:t>AR</w:t>
            </w:r>
          </w:p>
        </w:tc>
        <w:tc>
          <w:tcPr>
            <w:tcW w:type="dxa" w:w="2160"/>
          </w:tcPr>
          <w:p>
            <w:r>
              <w:t>0.7600</w:t>
            </w:r>
          </w:p>
        </w:tc>
        <w:tc>
          <w:tcPr>
            <w:tcW w:type="dxa" w:w="2160"/>
          </w:tcPr>
          <w:p>
            <w:r>
              <w:t>0.0290</w:t>
            </w:r>
          </w:p>
        </w:tc>
      </w:tr>
      <w:tr>
        <w:tc>
          <w:tcPr>
            <w:tcW w:type="dxa" w:w="2160"/>
          </w:tcPr>
          <w:p>
            <w:r>
              <w:t>Transportation CPI</w:t>
            </w:r>
          </w:p>
        </w:tc>
        <w:tc>
          <w:tcPr>
            <w:tcW w:type="dxa" w:w="2160"/>
          </w:tcPr>
          <w:p>
            <w:r>
              <w:t>AR</w:t>
            </w:r>
          </w:p>
        </w:tc>
        <w:tc>
          <w:tcPr>
            <w:tcW w:type="dxa" w:w="2160"/>
          </w:tcPr>
          <w:p>
            <w:r>
              <w:t>0.7823</w:t>
            </w:r>
          </w:p>
        </w:tc>
        <w:tc>
          <w:tcPr>
            <w:tcW w:type="dxa" w:w="2160"/>
          </w:tcPr>
          <w:p>
            <w:r>
              <w:t>0.0312</w:t>
            </w:r>
          </w:p>
        </w:tc>
      </w:tr>
    </w:tbl>
    <w:p>
      <w:r>
        <w:t>Performance : Bonne (R² ≥ 0.72).</w:t>
      </w:r>
    </w:p>
    <w:p>
      <w:r>
        <w:t>____________________________________________________________</w:t>
      </w:r>
    </w:p>
    <w:p>
      <w:pPr>
        <w:pStyle w:val="Heading2"/>
      </w:pPr>
      <w:r>
        <w:t>7. Conclusion</w:t>
      </w:r>
    </w:p>
    <w:p>
      <w:r>
        <w:t>Inflation alimentaire dominante. Modèles solides.</w:t>
      </w:r>
    </w:p>
    <w:p>
      <w:r>
        <w:t>____________________________________________________________</w:t>
      </w:r>
    </w:p>
    <w:p>
      <w:pPr>
        <w:pStyle w:val="Heading2"/>
      </w:pPr>
      <w:r>
        <w:t>8. Annexes</w:t>
      </w:r>
    </w:p>
    <w:p>
      <w:r>
        <w:t>Notebook : `Inflation Notebooks/Senegal.ipynb`.</w:t>
      </w:r>
    </w:p>
    <w:p>
      <w:r>
        <w:t>____________________________________________________________</w:t>
      </w:r>
    </w:p>
    <w:p>
      <w:r>
        <w:t>Notes finales : Rapport généré le 26 novembre 2025.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