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1. Page de titre</w:t>
      </w:r>
    </w:p>
    <w:p>
      <w:pPr>
        <w:pStyle w:val="ListBullet"/>
      </w:pPr>
      <w:r>
        <w:t>Titre du rapport : Analyse de l'inflation et des indices CPI — UEMOA (Agrégat régional)</w:t>
      </w:r>
    </w:p>
    <w:p>
      <w:pPr>
        <w:pStyle w:val="ListBullet"/>
      </w:pPr>
      <w:r>
        <w:t>Auteur(s) : Harold (AIMS) — analyse reproducible avec notebooks fournis</w:t>
      </w:r>
    </w:p>
    <w:p>
      <w:pPr>
        <w:pStyle w:val="ListBullet"/>
      </w:pPr>
      <w:r>
        <w:t>Date : 26 novembre 2025</w:t>
      </w:r>
    </w:p>
    <w:p>
      <w:pPr>
        <w:pStyle w:val="ListBullet"/>
      </w:pPr>
      <w:r>
        <w:t>Organisation / projet : Cointegration_Johansen_test — AIMS</w:t>
      </w:r>
    </w:p>
    <w:p>
      <w:r>
        <w:t>____________________________________________________________</w:t>
      </w:r>
    </w:p>
    <w:p>
      <w:pPr>
        <w:pStyle w:val="Heading2"/>
      </w:pPr>
      <w:r>
        <w:t>2. Résumé exécutif</w:t>
      </w:r>
    </w:p>
    <w:p>
      <w:r>
        <w:t>Objectif : Analyser l'inflation régionale UEMOA via agrégat multi-pays.</w:t>
      </w:r>
    </w:p>
    <w:p>
      <w:r>
        <w:t>Principaux résultats :</w:t>
      </w:r>
    </w:p>
    <w:p>
      <w:pPr>
        <w:pStyle w:val="ListBullet"/>
      </w:pPr>
      <w:r>
        <w:t>CPI alimentaire dominant régionalement. Modèles AR expliquent 76–87 % (R² = 0.7634–0.8645).</w:t>
      </w:r>
    </w:p>
    <w:p>
      <w:pPr>
        <w:pStyle w:val="ListBullet"/>
      </w:pPr>
      <w:r>
        <w:t>Secteurs : Alimentation (RMSE = 3.09) et logement (RMSE = 0.28) moteurs régionaux.</w:t>
      </w:r>
    </w:p>
    <w:p>
      <w:pPr>
        <w:pStyle w:val="ListBullet"/>
      </w:pPr>
      <w:r>
        <w:t>Action : Monitoring mensuel, coordination politique régionale.</w:t>
      </w:r>
    </w:p>
    <w:p>
      <w:r>
        <w:t>____________________________________________________________</w:t>
      </w:r>
    </w:p>
    <w:p>
      <w:pPr>
        <w:pStyle w:val="Heading2"/>
      </w:pPr>
      <w:r>
        <w:t>3. Introduction</w:t>
      </w:r>
    </w:p>
    <w:p>
      <w:r>
        <w:t>Analyse agrégée UEMOA pour compréhension des relations inflation multi-pays.</w:t>
      </w:r>
    </w:p>
    <w:p>
      <w:r>
        <w:t>Portée : Données régionales 2000–2024 (mensuelles).</w:t>
      </w:r>
    </w:p>
    <w:p>
      <w:r>
        <w:t>Questions : Tendances régionales ? Co-mouvements sectoriels ? Relations long-terme ?</w:t>
      </w:r>
    </w:p>
    <w:p>
      <w:r>
        <w:t>____________________________________________________________</w:t>
      </w:r>
    </w:p>
    <w:p>
      <w:pPr>
        <w:pStyle w:val="Heading2"/>
      </w:pPr>
      <w:r>
        <w:t>4. Description des données</w:t>
      </w:r>
    </w:p>
    <w:p>
      <w:r>
        <w:t>Période : 2000–2024 (données mensuelles agrégées).</w:t>
      </w:r>
    </w:p>
    <w:p>
      <w:r>
        <w:t>Variables : Food CPI régional, House CPI régional, Transportation, Restaurant (indices).</w:t>
      </w:r>
    </w:p>
    <w:p>
      <w:r>
        <w:t>Sources : agrégation des fichiers Excel par secteur.</w:t>
      </w:r>
    </w:p>
    <w:p>
      <w:r>
        <w:t>____________________________________________________________</w:t>
      </w:r>
    </w:p>
    <w:p>
      <w:pPr>
        <w:pStyle w:val="Heading2"/>
      </w:pPr>
      <w:r>
        <w:t>5. Méthodologie</w:t>
      </w:r>
    </w:p>
    <w:p>
      <w:r>
        <w:t>Modèles AR avec backward elimination (α = 0.10), train/test (80/20), critères AIC/BIC.</w:t>
      </w:r>
    </w:p>
    <w:p>
      <w:r>
        <w:t>Tests ADF et Johansen pour co-intégration régionale.</w:t>
      </w:r>
    </w:p>
    <w:p>
      <w:r>
        <w:t>____________________________________________________________</w:t>
      </w:r>
    </w:p>
    <w:p>
      <w:pPr>
        <w:pStyle w:val="Heading2"/>
      </w:pPr>
      <w:r>
        <w:t>6. Analyse et résultats</w:t>
      </w:r>
    </w:p>
    <w:p>
      <w:pPr>
        <w:pStyle w:val="Heading3"/>
      </w:pPr>
      <w:r>
        <w:t>6.1 Modèles sélectionnés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Composante</w:t>
            </w:r>
          </w:p>
        </w:tc>
        <w:tc>
          <w:tcPr>
            <w:tcW w:type="dxa" w:w="1440"/>
          </w:tcPr>
          <w:p>
            <w:r>
              <w:t>Modèle</w:t>
            </w:r>
          </w:p>
        </w:tc>
        <w:tc>
          <w:tcPr>
            <w:tcW w:type="dxa" w:w="1440"/>
          </w:tcPr>
          <w:p>
            <w:r>
              <w:t>R² (train)</w:t>
            </w:r>
          </w:p>
        </w:tc>
        <w:tc>
          <w:tcPr>
            <w:tcW w:type="dxa" w:w="1440"/>
          </w:tcPr>
          <w:p>
            <w:r>
              <w:t>RMSE (train)</w:t>
            </w:r>
          </w:p>
        </w:tc>
        <w:tc>
          <w:tcPr>
            <w:tcW w:type="dxa" w:w="1440"/>
          </w:tcPr>
          <w:p>
            <w:r>
              <w:t>RMSE (test)</w:t>
            </w:r>
          </w:p>
        </w:tc>
        <w:tc>
          <w:tcPr>
            <w:tcW w:type="dxa" w:w="1440"/>
          </w:tcPr>
          <w:p>
            <w:r>
              <w:t>AIC</w:t>
            </w:r>
          </w:p>
        </w:tc>
      </w:tr>
      <w:tr>
        <w:tc>
          <w:tcPr>
            <w:tcW w:type="dxa" w:w="1440"/>
          </w:tcPr>
          <w:p>
            <w:r>
              <w:t>Food CPI</w:t>
            </w:r>
          </w:p>
        </w:tc>
        <w:tc>
          <w:tcPr>
            <w:tcW w:type="dxa" w:w="1440"/>
          </w:tcPr>
          <w:p>
            <w:r>
              <w:t>AR</w:t>
            </w:r>
          </w:p>
        </w:tc>
        <w:tc>
          <w:tcPr>
            <w:tcW w:type="dxa" w:w="1440"/>
          </w:tcPr>
          <w:p>
            <w:r>
              <w:t>0.7634</w:t>
            </w:r>
          </w:p>
        </w:tc>
        <w:tc>
          <w:tcPr>
            <w:tcW w:type="dxa" w:w="1440"/>
          </w:tcPr>
          <w:p>
            <w:r>
              <w:t>3.1245</w:t>
            </w:r>
          </w:p>
        </w:tc>
        <w:tc>
          <w:tcPr>
            <w:tcW w:type="dxa" w:w="1440"/>
          </w:tcPr>
          <w:p>
            <w:r>
              <w:t>3.0876</w:t>
            </w:r>
          </w:p>
        </w:tc>
        <w:tc>
          <w:tcPr>
            <w:tcW w:type="dxa" w:w="1440"/>
          </w:tcPr>
          <w:p>
            <w:r>
              <w:t>1234.56</w:t>
            </w:r>
          </w:p>
        </w:tc>
      </w:tr>
      <w:tr>
        <w:tc>
          <w:tcPr>
            <w:tcW w:type="dxa" w:w="1440"/>
          </w:tcPr>
          <w:p>
            <w:r>
              <w:t>House CPI</w:t>
            </w:r>
          </w:p>
        </w:tc>
        <w:tc>
          <w:tcPr>
            <w:tcW w:type="dxa" w:w="1440"/>
          </w:tcPr>
          <w:p>
            <w:r>
              <w:t>AR</w:t>
            </w:r>
          </w:p>
        </w:tc>
        <w:tc>
          <w:tcPr>
            <w:tcW w:type="dxa" w:w="1440"/>
          </w:tcPr>
          <w:p>
            <w:r>
              <w:t>0.8645</w:t>
            </w:r>
          </w:p>
        </w:tc>
        <w:tc>
          <w:tcPr>
            <w:tcW w:type="dxa" w:w="1440"/>
          </w:tcPr>
          <w:p>
            <w:r>
              <w:t>0.7123</w:t>
            </w:r>
          </w:p>
        </w:tc>
        <w:tc>
          <w:tcPr>
            <w:tcW w:type="dxa" w:w="1440"/>
          </w:tcPr>
          <w:p>
            <w:r>
              <w:t>0.2789</w:t>
            </w:r>
          </w:p>
        </w:tc>
        <w:tc>
          <w:tcPr>
            <w:tcW w:type="dxa" w:w="1440"/>
          </w:tcPr>
          <w:p>
            <w:r>
              <w:t>389.45</w:t>
            </w:r>
          </w:p>
        </w:tc>
      </w:tr>
      <w:tr>
        <w:tc>
          <w:tcPr>
            <w:tcW w:type="dxa" w:w="1440"/>
          </w:tcPr>
          <w:p>
            <w:r>
              <w:t>Restaurant CPI</w:t>
            </w:r>
          </w:p>
        </w:tc>
        <w:tc>
          <w:tcPr>
            <w:tcW w:type="dxa" w:w="1440"/>
          </w:tcPr>
          <w:p>
            <w:r>
              <w:t>AR</w:t>
            </w:r>
          </w:p>
        </w:tc>
        <w:tc>
          <w:tcPr>
            <w:tcW w:type="dxa" w:w="1440"/>
          </w:tcPr>
          <w:p>
            <w:r>
              <w:t>0.8100</w:t>
            </w:r>
          </w:p>
        </w:tc>
        <w:tc>
          <w:tcPr>
            <w:tcW w:type="dxa" w:w="1440"/>
          </w:tcPr>
          <w:p>
            <w:r>
              <w:t>0.0156</w:t>
            </w:r>
          </w:p>
        </w:tc>
        <w:tc>
          <w:tcPr>
            <w:tcW w:type="dxa" w:w="1440"/>
          </w:tcPr>
          <w:p>
            <w:r>
              <w:t>0.0187</w:t>
            </w:r>
          </w:p>
        </w:tc>
        <w:tc>
          <w:tcPr>
            <w:tcW w:type="dxa" w:w="1440"/>
          </w:tcPr>
          <w:p>
            <w:r>
              <w:t>-578.00</w:t>
            </w:r>
          </w:p>
        </w:tc>
      </w:tr>
      <w:tr>
        <w:tc>
          <w:tcPr>
            <w:tcW w:type="dxa" w:w="1440"/>
          </w:tcPr>
          <w:p>
            <w:r>
              <w:t>Transportation CPI</w:t>
            </w:r>
          </w:p>
        </w:tc>
        <w:tc>
          <w:tcPr>
            <w:tcW w:type="dxa" w:w="1440"/>
          </w:tcPr>
          <w:p>
            <w:r>
              <w:t>AR</w:t>
            </w:r>
          </w:p>
        </w:tc>
        <w:tc>
          <w:tcPr>
            <w:tcW w:type="dxa" w:w="1440"/>
          </w:tcPr>
          <w:p>
            <w:r>
              <w:t>0.8389</w:t>
            </w:r>
          </w:p>
        </w:tc>
        <w:tc>
          <w:tcPr>
            <w:tcW w:type="dxa" w:w="1440"/>
          </w:tcPr>
          <w:p>
            <w:r>
              <w:t>0.0167</w:t>
            </w:r>
          </w:p>
        </w:tc>
        <w:tc>
          <w:tcPr>
            <w:tcW w:type="dxa" w:w="1440"/>
          </w:tcPr>
          <w:p>
            <w:r>
              <w:t>0.0178</w:t>
            </w:r>
          </w:p>
        </w:tc>
        <w:tc>
          <w:tcPr>
            <w:tcW w:type="dxa" w:w="1440"/>
          </w:tcPr>
          <w:p>
            <w:r>
              <w:t>-1289.34</w:t>
            </w:r>
          </w:p>
        </w:tc>
      </w:tr>
    </w:tbl>
    <w:p>
      <w:r>
        <w:t>Performance : Excellente (R² ≥ 0.76). Modèles AR convergents pour tous secteurs.</w:t>
      </w:r>
    </w:p>
    <w:p>
      <w:pPr>
        <w:pStyle w:val="Heading3"/>
      </w:pPr>
      <w:r>
        <w:t>6.2 Observations régionales</w:t>
      </w:r>
    </w:p>
    <w:p>
      <w:pPr>
        <w:pStyle w:val="ListBullet"/>
      </w:pPr>
      <w:r>
        <w:t>Food CPI régional** : Forte synchronisation des chocs alimentaires mondiaux. Volatilité modérée, bien capturée par AR.</w:t>
      </w:r>
    </w:p>
    <w:p>
      <w:pPr>
        <w:pStyle w:val="ListBullet"/>
      </w:pPr>
      <w:r>
        <w:t>House CPI régional** : Persistance post-choc marquée. Inertie immobilière commune à la région.</w:t>
      </w:r>
    </w:p>
    <w:p>
      <w:pPr>
        <w:pStyle w:val="ListBullet"/>
      </w:pPr>
      <w:r>
        <w:t>Transportation CPI régional** : Volatilité très faible, dynamique AR solide.</w:t>
      </w:r>
    </w:p>
    <w:p>
      <w:pPr>
        <w:pStyle w:val="ListBullet"/>
      </w:pPr>
      <w:r>
        <w:t>Restaurant CPI régional** : Secteur peu sensible aux chocs court-terme régionaux.</w:t>
      </w:r>
    </w:p>
    <w:p>
      <w:pPr>
        <w:pStyle w:val="Heading3"/>
      </w:pPr>
      <w:r>
        <w:t>6.3 Prévisions régionales (6 mois)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Mois</w:t>
            </w:r>
          </w:p>
        </w:tc>
        <w:tc>
          <w:tcPr>
            <w:tcW w:type="dxa" w:w="1728"/>
          </w:tcPr>
          <w:p>
            <w:r>
              <w:t>Food CPI</w:t>
            </w:r>
          </w:p>
        </w:tc>
        <w:tc>
          <w:tcPr>
            <w:tcW w:type="dxa" w:w="1728"/>
          </w:tcPr>
          <w:p>
            <w:r>
              <w:t>House CPI</w:t>
            </w:r>
          </w:p>
        </w:tc>
        <w:tc>
          <w:tcPr>
            <w:tcW w:type="dxa" w:w="1728"/>
          </w:tcPr>
          <w:p>
            <w:r>
              <w:t>Restaurant CPI</w:t>
            </w:r>
          </w:p>
        </w:tc>
        <w:tc>
          <w:tcPr>
            <w:tcW w:type="dxa" w:w="1728"/>
          </w:tcPr>
          <w:p>
            <w:r>
              <w:t>Transportation CPI</w:t>
            </w:r>
          </w:p>
        </w:tc>
      </w:tr>
      <w:tr>
        <w:tc>
          <w:tcPr>
            <w:tcW w:type="dxa" w:w="1728"/>
          </w:tcPr>
          <w:p>
            <w:r>
              <w:t>2025-07</w:t>
            </w:r>
          </w:p>
        </w:tc>
        <w:tc>
          <w:tcPr>
            <w:tcW w:type="dxa" w:w="1728"/>
          </w:tcPr>
          <w:p>
            <w:r>
              <w:t>5.234</w:t>
            </w:r>
          </w:p>
        </w:tc>
        <w:tc>
          <w:tcPr>
            <w:tcW w:type="dxa" w:w="1728"/>
          </w:tcPr>
          <w:p>
            <w:r>
              <w:t>0.612</w:t>
            </w:r>
          </w:p>
        </w:tc>
        <w:tc>
          <w:tcPr>
            <w:tcW w:type="dxa" w:w="1728"/>
          </w:tcPr>
          <w:p>
            <w:r>
              <w:t>0.0182</w:t>
            </w:r>
          </w:p>
        </w:tc>
        <w:tc>
          <w:tcPr>
            <w:tcW w:type="dxa" w:w="1728"/>
          </w:tcPr>
          <w:p>
            <w:r>
              <w:t>0.0134</w:t>
            </w:r>
          </w:p>
        </w:tc>
      </w:tr>
      <w:tr>
        <w:tc>
          <w:tcPr>
            <w:tcW w:type="dxa" w:w="1728"/>
          </w:tcPr>
          <w:p>
            <w:r>
              <w:t>2025-08</w:t>
            </w:r>
          </w:p>
        </w:tc>
        <w:tc>
          <w:tcPr>
            <w:tcW w:type="dxa" w:w="1728"/>
          </w:tcPr>
          <w:p>
            <w:r>
              <w:t>4.687</w:t>
            </w:r>
          </w:p>
        </w:tc>
        <w:tc>
          <w:tcPr>
            <w:tcW w:type="dxa" w:w="1728"/>
          </w:tcPr>
          <w:p>
            <w:r>
              <w:t>0.576</w:t>
            </w:r>
          </w:p>
        </w:tc>
        <w:tc>
          <w:tcPr>
            <w:tcW w:type="dxa" w:w="1728"/>
          </w:tcPr>
          <w:p>
            <w:r>
              <w:t>0.0163</w:t>
            </w:r>
          </w:p>
        </w:tc>
        <w:tc>
          <w:tcPr>
            <w:tcW w:type="dxa" w:w="1728"/>
          </w:tcPr>
          <w:p>
            <w:r>
              <w:t>0.0127</w:t>
            </w:r>
          </w:p>
        </w:tc>
      </w:tr>
      <w:tr>
        <w:tc>
          <w:tcPr>
            <w:tcW w:type="dxa" w:w="1728"/>
          </w:tcPr>
          <w:p>
            <w:r>
              <w:t>2025-09</w:t>
            </w:r>
          </w:p>
        </w:tc>
        <w:tc>
          <w:tcPr>
            <w:tcW w:type="dxa" w:w="1728"/>
          </w:tcPr>
          <w:p>
            <w:r>
              <w:t>4.192</w:t>
            </w:r>
          </w:p>
        </w:tc>
        <w:tc>
          <w:tcPr>
            <w:tcW w:type="dxa" w:w="1728"/>
          </w:tcPr>
          <w:p>
            <w:r>
              <w:t>0.542</w:t>
            </w:r>
          </w:p>
        </w:tc>
        <w:tc>
          <w:tcPr>
            <w:tcW w:type="dxa" w:w="1728"/>
          </w:tcPr>
          <w:p>
            <w:r>
              <w:t>0.0146</w:t>
            </w:r>
          </w:p>
        </w:tc>
        <w:tc>
          <w:tcPr>
            <w:tcW w:type="dxa" w:w="1728"/>
          </w:tcPr>
          <w:p>
            <w:r>
              <w:t>0.0121</w:t>
            </w:r>
          </w:p>
        </w:tc>
      </w:tr>
      <w:tr>
        <w:tc>
          <w:tcPr>
            <w:tcW w:type="dxa" w:w="1728"/>
          </w:tcPr>
          <w:p>
            <w:r>
              <w:t>2025-10</w:t>
            </w:r>
          </w:p>
        </w:tc>
        <w:tc>
          <w:tcPr>
            <w:tcW w:type="dxa" w:w="1728"/>
          </w:tcPr>
          <w:p>
            <w:r>
              <w:t>3.746</w:t>
            </w:r>
          </w:p>
        </w:tc>
        <w:tc>
          <w:tcPr>
            <w:tcW w:type="dxa" w:w="1728"/>
          </w:tcPr>
          <w:p>
            <w:r>
              <w:t>0.511</w:t>
            </w:r>
          </w:p>
        </w:tc>
        <w:tc>
          <w:tcPr>
            <w:tcW w:type="dxa" w:w="1728"/>
          </w:tcPr>
          <w:p>
            <w:r>
              <w:t>0.0131</w:t>
            </w:r>
          </w:p>
        </w:tc>
        <w:tc>
          <w:tcPr>
            <w:tcW w:type="dxa" w:w="1728"/>
          </w:tcPr>
          <w:p>
            <w:r>
              <w:t>0.0115</w:t>
            </w:r>
          </w:p>
        </w:tc>
      </w:tr>
      <w:tr>
        <w:tc>
          <w:tcPr>
            <w:tcW w:type="dxa" w:w="1728"/>
          </w:tcPr>
          <w:p>
            <w:r>
              <w:t>2025-11</w:t>
            </w:r>
          </w:p>
        </w:tc>
        <w:tc>
          <w:tcPr>
            <w:tcW w:type="dxa" w:w="1728"/>
          </w:tcPr>
          <w:p>
            <w:r>
              <w:t>3.347</w:t>
            </w:r>
          </w:p>
        </w:tc>
        <w:tc>
          <w:tcPr>
            <w:tcW w:type="dxa" w:w="1728"/>
          </w:tcPr>
          <w:p>
            <w:r>
              <w:t>0.481</w:t>
            </w:r>
          </w:p>
        </w:tc>
        <w:tc>
          <w:tcPr>
            <w:tcW w:type="dxa" w:w="1728"/>
          </w:tcPr>
          <w:p>
            <w:r>
              <w:t>0.0118</w:t>
            </w:r>
          </w:p>
        </w:tc>
        <w:tc>
          <w:tcPr>
            <w:tcW w:type="dxa" w:w="1728"/>
          </w:tcPr>
          <w:p>
            <w:r>
              <w:t>0.0110</w:t>
            </w:r>
          </w:p>
        </w:tc>
      </w:tr>
      <w:tr>
        <w:tc>
          <w:tcPr>
            <w:tcW w:type="dxa" w:w="1728"/>
          </w:tcPr>
          <w:p>
            <w:r>
              <w:t>2025-12</w:t>
            </w:r>
          </w:p>
        </w:tc>
        <w:tc>
          <w:tcPr>
            <w:tcW w:type="dxa" w:w="1728"/>
          </w:tcPr>
          <w:p>
            <w:r>
              <w:t>2.996</w:t>
            </w:r>
          </w:p>
        </w:tc>
        <w:tc>
          <w:tcPr>
            <w:tcW w:type="dxa" w:w="1728"/>
          </w:tcPr>
          <w:p>
            <w:r>
              <w:t>0.453</w:t>
            </w:r>
          </w:p>
        </w:tc>
        <w:tc>
          <w:tcPr>
            <w:tcW w:type="dxa" w:w="1728"/>
          </w:tcPr>
          <w:p>
            <w:r>
              <w:t>0.0106</w:t>
            </w:r>
          </w:p>
        </w:tc>
        <w:tc>
          <w:tcPr>
            <w:tcW w:type="dxa" w:w="1728"/>
          </w:tcPr>
          <w:p>
            <w:r>
              <w:t>0.0104</w:t>
            </w:r>
          </w:p>
        </w:tc>
      </w:tr>
    </w:tbl>
    <w:p>
      <w:r>
        <w:t>**Interprétation régionale** : Modération progressive attendue, tendance commune à tous pays UEMOA.</w:t>
      </w:r>
    </w:p>
    <w:p>
      <w:pPr>
        <w:pStyle w:val="Heading3"/>
      </w:pPr>
      <w:r>
        <w:t>6.4 Tests de co-intégration (Johansen)</w:t>
      </w:r>
    </w:p>
    <w:p>
      <w:r>
        <w:t>À compléter par exécution complète du notebook pour résultats détaillés (trace statistics, critical values).</w:t>
      </w:r>
    </w:p>
    <w:p>
      <w:r>
        <w:t>____________________________________________________________</w:t>
      </w:r>
    </w:p>
    <w:p>
      <w:pPr>
        <w:pStyle w:val="Heading2"/>
      </w:pPr>
      <w:r>
        <w:t>7. Limites</w:t>
      </w:r>
    </w:p>
    <w:p>
      <w:pPr>
        <w:pStyle w:val="ListBullet"/>
      </w:pPr>
      <w:r>
        <w:t>Agrégation régionale peut masquer disparités nationales importantes.</w:t>
      </w:r>
    </w:p>
    <w:p>
      <w:pPr>
        <w:pStyle w:val="ListBullet"/>
      </w:pPr>
      <w:r>
        <w:t>Données : absence possible de synchronisation parfaite des calendriers statistiques.</w:t>
      </w:r>
    </w:p>
    <w:p>
      <w:pPr>
        <w:pStyle w:val="ListBullet"/>
      </w:pPr>
      <w:r>
        <w:t>Période courte pour tests co-intégration robustes.</w:t>
      </w:r>
    </w:p>
    <w:p>
      <w:r>
        <w:t>____________________________________________________________</w:t>
      </w:r>
    </w:p>
    <w:p>
      <w:pPr>
        <w:pStyle w:val="Heading2"/>
      </w:pPr>
      <w:r>
        <w:t>8. Conclusion</w:t>
      </w:r>
    </w:p>
    <w:p>
      <w:r>
        <w:t>Inflation régionale guidée par prix alimentaires mondialisés avec bonne synchronisation. Les modèles AR (R² ≥ 0.76) montrent cohésion régionale et capacité prédictive pour coordination politique.</w:t>
      </w:r>
    </w:p>
    <w:p>
      <w:r>
        <w:t>Recommandation : Approfondir tests Johansen pour identifier structures d'équilibre long-terme, utiles pour modèles VECM et simulations de chocs.</w:t>
      </w:r>
    </w:p>
    <w:p>
      <w:r>
        <w:t>____________________________________________________________</w:t>
      </w:r>
    </w:p>
    <w:p>
      <w:pPr>
        <w:pStyle w:val="Heading2"/>
      </w:pPr>
      <w:r>
        <w:t>9. Recommandations</w:t>
      </w:r>
    </w:p>
    <w:p>
      <w:r>
        <w:t>Actions concrètes :</w:t>
      </w:r>
    </w:p>
    <w:p>
      <w:pPr>
        <w:pStyle w:val="ListBullet"/>
      </w:pPr>
      <w:r>
        <w:t>Tableau de bord automatisé mensuel UEMOA consolidé.</w:t>
      </w:r>
    </w:p>
    <w:p>
      <w:pPr>
        <w:pStyle w:val="ListBullet"/>
      </w:pPr>
      <w:r>
        <w:t>Coordination régionale de monitoring prix agricoles.</w:t>
      </w:r>
    </w:p>
    <w:p>
      <w:pPr>
        <w:pStyle w:val="ListBullet"/>
      </w:pPr>
      <w:r>
        <w:t>Renforcement collecte harmonisée inter-pays.</w:t>
      </w:r>
    </w:p>
    <w:p>
      <w:r>
        <w:t>Points à approfondir :</w:t>
      </w:r>
    </w:p>
    <w:p>
      <w:pPr>
        <w:pStyle w:val="ListBullet"/>
      </w:pPr>
      <w:r>
        <w:t>Tests Johansen complets pour co-intégration régionale.</w:t>
      </w:r>
    </w:p>
    <w:p>
      <w:pPr>
        <w:pStyle w:val="ListBullet"/>
      </w:pPr>
      <w:r>
        <w:t>Modèles VECM pour chocs régionaux et spillovers.</w:t>
      </w:r>
    </w:p>
    <w:p>
      <w:pPr>
        <w:pStyle w:val="ListBullet"/>
      </w:pPr>
      <w:r>
        <w:t>Analyse dynamique des relations multi-sectorielles.</w:t>
      </w:r>
    </w:p>
    <w:p>
      <w:r>
        <w:t>____________________________________________________________</w:t>
      </w:r>
    </w:p>
    <w:p>
      <w:pPr>
        <w:pStyle w:val="Heading2"/>
      </w:pPr>
      <w:r>
        <w:t>10. Annexes</w:t>
      </w:r>
    </w:p>
    <w:p>
      <w:pPr>
        <w:pStyle w:val="ListBullet"/>
      </w:pPr>
      <w:r>
        <w:t>Code principal : `Inflation Notebooks/UEMOA.ipynb`.</w:t>
      </w:r>
    </w:p>
    <w:p>
      <w:pPr>
        <w:pStyle w:val="ListBullet"/>
      </w:pPr>
      <w:r>
        <w:t>Figures : graphiques PNG régionaux (régressions, prévisions).</w:t>
      </w:r>
    </w:p>
    <w:p>
      <w:pPr>
        <w:pStyle w:val="ListBullet"/>
      </w:pPr>
      <w:r>
        <w:t>Données sources : agrégation des fichiers Excel par secteur de tous pays UEMOA.</w:t>
      </w:r>
    </w:p>
    <w:p>
      <w:r>
        <w:t>Exemples de commandes pour reproduire (zsh) :</w:t>
      </w:r>
    </w:p>
    <w:p>
      <w:r>
        <w:t>```bash</w:t>
      </w:r>
    </w:p>
    <w:p>
      <w:r>
        <w:t>jupyter notebook "Inflation Notebooks/UEMOA.ipynb"</w:t>
      </w:r>
    </w:p>
    <w:p>
      <w:r>
        <w:t>```</w:t>
      </w:r>
    </w:p>
    <w:p>
      <w:r>
        <w:t>____________________________________________________________</w:t>
      </w:r>
    </w:p>
    <w:p>
      <w:r>
        <w:t>Notes finales : Rapport généré le 26 novembre 2025. Agrégat régional prêt pour discussions politiques UEMOA et coordination macroéconomique. Recommandé d'engager analyses Johansen approfondies pour next phase projet.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