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drawing>
          <wp:anchor behindDoc="0" distT="0" distB="0" distL="0" distR="0" simplePos="0" locked="0" layoutInCell="0" allowOverlap="1" relativeHeight="11">
            <wp:simplePos x="0" y="0"/>
            <wp:positionH relativeFrom="column">
              <wp:posOffset>1102360</wp:posOffset>
            </wp:positionH>
            <wp:positionV relativeFrom="paragraph">
              <wp:posOffset>-85090</wp:posOffset>
            </wp:positionV>
            <wp:extent cx="3241040" cy="1260475"/>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3241040" cy="1260475"/>
                    </a:xfrm>
                    <a:prstGeom prst="rect">
                      <a:avLst/>
                    </a:prstGeom>
                    <a:noFill/>
                  </pic:spPr>
                </pic:pic>
              </a:graphicData>
            </a:graphic>
          </wp:anchor>
        </w:drawing>
      </w:r>
    </w:p>
    <w:p>
      <w:pPr>
        <w:pStyle w:val="Title"/>
        <w:jc w:val="center"/>
        <w:rPr/>
      </w:pPr>
      <w:r>
        <w:rPr/>
      </w:r>
    </w:p>
    <w:p>
      <w:pPr>
        <w:pStyle w:val="Title"/>
        <w:jc w:val="center"/>
        <w:rPr/>
      </w:pPr>
      <w:r>
        <w:rPr/>
      </w:r>
    </w:p>
    <w:p>
      <w:pPr>
        <w:pStyle w:val="Title"/>
        <w:jc w:val="center"/>
        <w:rPr>
          <w:b/>
          <w:bCs/>
        </w:rPr>
      </w:pPr>
      <w:r>
        <w:rPr>
          <w:b/>
          <w:bCs/>
        </w:rPr>
        <w:t>PUBLIC BENEFIT ORGANIZATIONS REGULATORY AUTHORITY</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t>REPORTING PERIOD: 1ST – 28TH [FEBRUARY, 2026]</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t>DEPARTMENT: INFORMATION COMMUNICATION TECHNOLOGY (ICT)</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t>PREPARED BY: JOEL HAROLD ONYANGO</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t>DESIGNATION: ICT OFFICER</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t>SUBMITTED TO: PRINCIPAL ICT OFFICER</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8640"/>
              <w:tab w:val="right" w:pos="8639" w:leader="dot"/>
            </w:tabs>
            <w:rPr/>
          </w:pPr>
          <w:r>
            <w:fldChar w:fldCharType="begin"/>
          </w:r>
          <w:r>
            <w:rPr>
              <w:rStyle w:val="IndexLink"/>
            </w:rPr>
            <w:instrText xml:space="preserve"> TOC \f \o "1-9" \h</w:instrText>
          </w:r>
          <w:r>
            <w:rPr>
              <w:rStyle w:val="IndexLink"/>
            </w:rPr>
            <w:fldChar w:fldCharType="separate"/>
          </w:r>
          <w:hyperlink w:anchor="__RefHeading___Toc148_1632583788" w:tooltip="1.0 EXECUTIVE SUMMARY">
            <w:r>
              <w:rPr>
                <w:rStyle w:val="IndexLink"/>
              </w:rPr>
              <w:t>1.0 EXECUTIVE SUMMARY</w:t>
              <w:tab/>
              <w:t>3</w:t>
            </w:r>
          </w:hyperlink>
        </w:p>
        <w:p>
          <w:pPr>
            <w:pStyle w:val="TOC1"/>
            <w:tabs>
              <w:tab w:val="clear" w:pos="8640"/>
              <w:tab w:val="right" w:pos="8639" w:leader="dot"/>
            </w:tabs>
            <w:rPr/>
          </w:pPr>
          <w:hyperlink w:anchor="__RefHeading___Toc150_1632583788" w:tooltip="2.0 INTRODUCTION">
            <w:r>
              <w:rPr>
                <w:rStyle w:val="IndexLink"/>
              </w:rPr>
              <w:t>2.0 INTRODUCTION</w:t>
              <w:tab/>
              <w:t>4</w:t>
            </w:r>
          </w:hyperlink>
        </w:p>
        <w:p>
          <w:pPr>
            <w:pStyle w:val="TOC1"/>
            <w:tabs>
              <w:tab w:val="clear" w:pos="8640"/>
              <w:tab w:val="right" w:pos="8639" w:leader="dot"/>
            </w:tabs>
            <w:rPr/>
          </w:pPr>
          <w:hyperlink w:anchor="__RefHeading___Toc152_1632583788" w:tooltip="3.0 ACTIVITIES UNDERTAKEN">
            <w:r>
              <w:rPr>
                <w:rStyle w:val="IndexLink"/>
              </w:rPr>
              <w:t>3.0 ACTIVITIES UNDERTAKEN</w:t>
              <w:tab/>
              <w:t>5</w:t>
            </w:r>
          </w:hyperlink>
        </w:p>
        <w:p>
          <w:pPr>
            <w:pStyle w:val="TOC2"/>
            <w:tabs>
              <w:tab w:val="clear" w:pos="8357"/>
              <w:tab w:val="right" w:pos="8639" w:leader="dot"/>
            </w:tabs>
            <w:rPr/>
          </w:pPr>
          <w:hyperlink w:anchor="__RefHeading___Toc154_1632583788" w:tooltip="3.1 Customer Care Support for Government Digital Platforms">
            <w:r>
              <w:rPr>
                <w:rStyle w:val="IndexLink"/>
              </w:rPr>
              <w:t>3.1 Customer Care Support for Government Digital Platforms</w:t>
              <w:tab/>
              <w:t>5</w:t>
            </w:r>
          </w:hyperlink>
        </w:p>
        <w:p>
          <w:pPr>
            <w:pStyle w:val="TOC2"/>
            <w:tabs>
              <w:tab w:val="clear" w:pos="8357"/>
              <w:tab w:val="right" w:pos="8639" w:leader="dot"/>
            </w:tabs>
            <w:rPr/>
          </w:pPr>
          <w:hyperlink w:anchor="__RefHeading___Toc156_1632583788" w:tooltip="3.2 ICT Hardware Maintenance and Support">
            <w:r>
              <w:rPr>
                <w:rStyle w:val="IndexLink"/>
              </w:rPr>
              <w:t>3.2 ICT Hardware Maintenance and Support</w:t>
              <w:tab/>
              <w:t>5</w:t>
            </w:r>
          </w:hyperlink>
        </w:p>
        <w:p>
          <w:pPr>
            <w:pStyle w:val="TOC2"/>
            <w:tabs>
              <w:tab w:val="clear" w:pos="8357"/>
              <w:tab w:val="right" w:pos="8639" w:leader="dot"/>
            </w:tabs>
            <w:rPr/>
          </w:pPr>
          <w:hyperlink w:anchor="__RefHeading___Toc158_1632583788" w:tooltip="3.3 Network Configuration and Connectivity Support">
            <w:r>
              <w:rPr>
                <w:rStyle w:val="IndexLink"/>
              </w:rPr>
              <w:t>3.3 Network Configuration and Connectivity Support</w:t>
              <w:tab/>
              <w:t>5</w:t>
            </w:r>
          </w:hyperlink>
        </w:p>
        <w:p>
          <w:pPr>
            <w:pStyle w:val="TOC2"/>
            <w:tabs>
              <w:tab w:val="clear" w:pos="8357"/>
              <w:tab w:val="right" w:pos="8639" w:leader="dot"/>
            </w:tabs>
            <w:rPr/>
          </w:pPr>
          <w:hyperlink w:anchor="__RefHeading___Toc160_1632583788" w:tooltip="3.4 ERP and Database Systems Study">
            <w:r>
              <w:rPr>
                <w:rStyle w:val="IndexLink"/>
              </w:rPr>
              <w:t>3.4 ERP and Database Systems Study</w:t>
              <w:tab/>
              <w:t>5</w:t>
            </w:r>
          </w:hyperlink>
        </w:p>
        <w:p>
          <w:pPr>
            <w:pStyle w:val="TOC2"/>
            <w:tabs>
              <w:tab w:val="clear" w:pos="8357"/>
              <w:tab w:val="right" w:pos="8639" w:leader="dot"/>
            </w:tabs>
            <w:rPr/>
          </w:pPr>
          <w:hyperlink w:anchor="__RefHeading___Toc162_1632583788" w:tooltip="3.5 Institutional Training Participation">
            <w:r>
              <w:rPr>
                <w:rStyle w:val="IndexLink"/>
              </w:rPr>
              <w:t>3.5 Institutional Training Participation</w:t>
              <w:tab/>
              <w:t>5</w:t>
            </w:r>
          </w:hyperlink>
        </w:p>
        <w:p>
          <w:pPr>
            <w:pStyle w:val="TOC2"/>
            <w:tabs>
              <w:tab w:val="clear" w:pos="8357"/>
              <w:tab w:val="right" w:pos="8639" w:leader="dot"/>
            </w:tabs>
            <w:rPr/>
          </w:pPr>
          <w:hyperlink w:anchor="__RefHeading___Toc164_1632583788" w:tooltip="3.6 Interdepartmental Collaboration">
            <w:r>
              <w:rPr>
                <w:rStyle w:val="IndexLink"/>
              </w:rPr>
              <w:t>3.6 Interdepartmental Collaboration</w:t>
              <w:tab/>
              <w:t>5</w:t>
            </w:r>
          </w:hyperlink>
        </w:p>
        <w:p>
          <w:pPr>
            <w:pStyle w:val="TOC2"/>
            <w:tabs>
              <w:tab w:val="clear" w:pos="8357"/>
              <w:tab w:val="right" w:pos="8639" w:leader="dot"/>
            </w:tabs>
            <w:rPr/>
          </w:pPr>
          <w:hyperlink w:anchor="__RefHeading___Toc164_1632583788_Copy_1" w:tooltip="3.7 Firewall Installation and Internet Service Provider (ISP) Migration">
            <w:r>
              <w:rPr>
                <w:rStyle w:val="IndexLink"/>
              </w:rPr>
              <w:t>3.7 Firewall Installation and Internet Service Provider (ISP) Migration</w:t>
              <w:tab/>
              <w:t>6</w:t>
            </w:r>
          </w:hyperlink>
        </w:p>
        <w:p>
          <w:pPr>
            <w:pStyle w:val="TOC1"/>
            <w:tabs>
              <w:tab w:val="clear" w:pos="8640"/>
              <w:tab w:val="right" w:pos="8639" w:leader="dot"/>
            </w:tabs>
            <w:rPr/>
          </w:pPr>
          <w:hyperlink w:anchor="__RefHeading___Toc166_1632583788" w:tooltip="4.0 CONCLUSION">
            <w:r>
              <w:rPr>
                <w:rStyle w:val="IndexLink"/>
              </w:rPr>
              <w:t>4.0 CONCLUSION</w:t>
              <w:tab/>
              <w:t>7</w:t>
            </w:r>
          </w:hyperlink>
        </w:p>
        <w:p>
          <w:pPr>
            <w:pStyle w:val="TOC1"/>
            <w:tabs>
              <w:tab w:val="clear" w:pos="8640"/>
              <w:tab w:val="right" w:pos="8639" w:leader="dot"/>
            </w:tabs>
            <w:rPr/>
          </w:pPr>
          <w:hyperlink w:anchor="__RefHeading___Toc168_1632583788" w:tooltip="5.0 RECOMMENDATIONS">
            <w:r>
              <w:rPr>
                <w:rStyle w:val="IndexLink"/>
              </w:rPr>
              <w:t>5.0 RECOMMENDATIONS</w:t>
              <w:tab/>
              <w:t>8</w:t>
            </w:r>
          </w:hyperlink>
        </w:p>
        <w:p>
          <w:pPr>
            <w:pStyle w:val="TOC1"/>
            <w:tabs>
              <w:tab w:val="clear" w:pos="8640"/>
              <w:tab w:val="right" w:pos="8639" w:leader="dot"/>
            </w:tabs>
            <w:rPr/>
          </w:pPr>
          <w:hyperlink w:anchor="__RefHeading___Toc170_1632583788" w:tooltip="6.0 REFERENCES">
            <w:r>
              <w:rPr>
                <w:rStyle w:val="IndexLink"/>
              </w:rPr>
              <w:t>6.0 REFERENCES</w:t>
              <w:tab/>
              <w:t>9</w:t>
            </w:r>
          </w:hyperlink>
          <w:r>
            <w:rPr>
              <w:rStyle w:val="IndexLink"/>
            </w:rPr>
            <w:fldChar w:fldCharType="end"/>
          </w:r>
        </w:p>
      </w:sdtContent>
    </w:sdt>
    <w:p>
      <w:pPr>
        <w:pStyle w:val="Normal"/>
        <w:rPr/>
      </w:pPr>
      <w:r>
        <w:rPr/>
      </w:r>
      <w:r>
        <w:br w:type="page"/>
      </w:r>
    </w:p>
    <w:p>
      <w:pPr>
        <w:pStyle w:val="Heading1"/>
        <w:spacing w:before="0" w:after="0"/>
        <w:rPr>
          <w:sz w:val="30"/>
          <w:szCs w:val="30"/>
        </w:rPr>
      </w:pPr>
      <w:bookmarkStart w:id="0" w:name="__RefHeading___Toc148_1632583788"/>
      <w:bookmarkEnd w:id="0"/>
      <w:r>
        <w:rPr>
          <w:sz w:val="30"/>
          <w:szCs w:val="30"/>
        </w:rPr>
        <w:t>1.0 EXECUTIVE SUMMARY</w:t>
      </w:r>
    </w:p>
    <w:p>
      <w:pPr>
        <w:pStyle w:val="Normal"/>
        <w:spacing w:before="0" w:after="0"/>
        <w:rPr/>
      </w:pPr>
      <w:r>
        <w:rPr/>
      </w:r>
    </w:p>
    <w:p>
      <w:pPr>
        <w:pStyle w:val="Normal"/>
        <w:rPr/>
      </w:pPr>
      <w:r>
        <w:rPr/>
        <w:t>This report documents activities undertaken during the month of February 2026 while serving within the Information Communication Technology (ICT) Department at the Public Benefit Organizations Regulatory Authority (PBORA). The report outlines key assignments, technical support activities, training engagements, and collaborative work undertaken throughout the reporting period.</w:t>
      </w:r>
    </w:p>
    <w:p>
      <w:pPr>
        <w:pStyle w:val="Normal"/>
        <w:rPr/>
      </w:pPr>
      <w:r>
        <w:rPr/>
        <w:t>During the month, the focus was primarily on ICT support services, including customer support for government digital platforms, maintenance of office hardware and networking infrastructure, and continued professional development in enterprise resource planning (ERP) systems and database management. Participation in institutional training programs and cross-departmental collaboration further contributed to strengthening both technical capacity and organizational service delivery.</w:t>
      </w:r>
    </w:p>
    <w:p>
      <w:pPr>
        <w:pStyle w:val="Normal"/>
        <w:rPr/>
      </w:pPr>
      <w:r>
        <w:rPr/>
      </w:r>
      <w:r>
        <w:br w:type="page"/>
      </w:r>
    </w:p>
    <w:p>
      <w:pPr>
        <w:pStyle w:val="Heading1"/>
        <w:spacing w:before="0" w:after="0"/>
        <w:rPr>
          <w:sz w:val="30"/>
          <w:szCs w:val="30"/>
        </w:rPr>
      </w:pPr>
      <w:bookmarkStart w:id="1" w:name="__RefHeading___Toc150_1632583788"/>
      <w:bookmarkEnd w:id="1"/>
      <w:r>
        <w:rPr>
          <w:sz w:val="30"/>
          <w:szCs w:val="30"/>
        </w:rPr>
        <w:t>2.0 INTRODUCTION</w:t>
      </w:r>
    </w:p>
    <w:p>
      <w:pPr>
        <w:pStyle w:val="Normal"/>
        <w:spacing w:before="0" w:after="0"/>
        <w:rPr/>
      </w:pPr>
      <w:r>
        <w:rPr/>
      </w:r>
    </w:p>
    <w:p>
      <w:pPr>
        <w:pStyle w:val="Normal"/>
        <w:rPr/>
      </w:pPr>
      <w:r>
        <w:rPr/>
        <w:t xml:space="preserve">The purpose of this report is to provide a structured account of the work undertaken during February 2026 within the ICT Department. The activities documented align with the department’s operational objectives of maintaining reliable ICT infrastructure, supporting digital government services, and improving internal technical capacity.  </w:t>
      </w:r>
      <w:r>
        <w:rPr/>
        <w:t>A new Sophos Firewall installed to replace the previously obsolete firewall system.</w:t>
      </w:r>
    </w:p>
    <w:p>
      <w:pPr>
        <w:pStyle w:val="Normal"/>
        <w:rPr/>
      </w:pPr>
      <w:r>
        <w:rPr/>
        <w:t>The reporting period involved providing frontline ICT support, maintaining office hardware and networking infrastructure, assisting users interacting with government digital services, and participating in training programs aimed at strengthening professional skills in areas such as database management and enterprise systems.</w:t>
      </w:r>
    </w:p>
    <w:p>
      <w:pPr>
        <w:pStyle w:val="Normal"/>
        <w:rPr/>
      </w:pPr>
      <w:r>
        <w:rPr/>
      </w:r>
      <w:r>
        <w:br w:type="page"/>
      </w:r>
    </w:p>
    <w:p>
      <w:pPr>
        <w:pStyle w:val="Heading1"/>
        <w:spacing w:before="0" w:after="0"/>
        <w:rPr>
          <w:sz w:val="30"/>
          <w:szCs w:val="30"/>
        </w:rPr>
      </w:pPr>
      <w:bookmarkStart w:id="2" w:name="__RefHeading___Toc152_1632583788"/>
      <w:bookmarkEnd w:id="2"/>
      <w:r>
        <w:rPr>
          <w:sz w:val="30"/>
          <w:szCs w:val="30"/>
        </w:rPr>
        <w:t>3.0 ACTIVITIES UNDERTAKEN</w:t>
      </w:r>
    </w:p>
    <w:p>
      <w:pPr>
        <w:pStyle w:val="Normal"/>
        <w:spacing w:before="0" w:after="0"/>
        <w:rPr/>
      </w:pPr>
      <w:r>
        <w:rPr/>
      </w:r>
    </w:p>
    <w:p>
      <w:pPr>
        <w:pStyle w:val="Heading2"/>
        <w:rPr/>
      </w:pPr>
      <w:bookmarkStart w:id="3" w:name="__RefHeading___Toc154_1632583788"/>
      <w:bookmarkEnd w:id="3"/>
      <w:r>
        <w:rPr/>
        <w:t>3.1 Customer Care Support for Government Digital Platforms</w:t>
      </w:r>
    </w:p>
    <w:p>
      <w:pPr>
        <w:pStyle w:val="Normal"/>
        <w:rPr/>
      </w:pPr>
      <w:r>
        <w:rPr/>
      </w:r>
    </w:p>
    <w:p>
      <w:pPr>
        <w:pStyle w:val="Normal"/>
        <w:rPr/>
      </w:pPr>
      <w:r>
        <w:rPr/>
        <w:t>Provided ICT customer support services for users interacting with the eCitizen platform. This included assisting users with account access issues, navigation challenges, and general guidance on completing services offered through the platform. The support provided helped improve user experience and ensured smooth access to government digital services.</w:t>
      </w:r>
    </w:p>
    <w:p>
      <w:pPr>
        <w:pStyle w:val="Normal"/>
        <w:rPr/>
      </w:pPr>
      <w:r>
        <w:rPr/>
        <w:t>Additional support was provided for users interacting with the PBORA website and related online platforms. This included helping address technical challenges, guiding users through system processes, and assisting in identifying minor system issues that required attention.</w:t>
      </w:r>
    </w:p>
    <w:p>
      <w:pPr>
        <w:pStyle w:val="Normal"/>
        <w:rPr/>
      </w:pPr>
      <w:r>
        <w:rPr/>
      </w:r>
    </w:p>
    <w:p>
      <w:pPr>
        <w:pStyle w:val="Heading2"/>
        <w:rPr/>
      </w:pPr>
      <w:bookmarkStart w:id="4" w:name="__RefHeading___Toc156_1632583788"/>
      <w:bookmarkEnd w:id="4"/>
      <w:r>
        <w:rPr/>
        <w:t>3.2 ICT Hardware Maintenance and Support</w:t>
      </w:r>
    </w:p>
    <w:p>
      <w:pPr>
        <w:pStyle w:val="Normal"/>
        <w:rPr/>
      </w:pPr>
      <w:r>
        <w:rPr/>
      </w:r>
    </w:p>
    <w:p>
      <w:pPr>
        <w:pStyle w:val="Normal"/>
        <w:rPr/>
      </w:pPr>
      <w:r>
        <w:rPr/>
        <w:t>Participated in routine maintenance and troubleshooting of office ICT equipment including printers, desktop computers, and laptops. This involved diagnosing hardware faults, resolving printing errors, updating system configurations, and ensuring devices remained operational for daily office functions.</w:t>
      </w:r>
    </w:p>
    <w:p>
      <w:pPr>
        <w:pStyle w:val="Normal"/>
        <w:rPr/>
      </w:pPr>
      <w:r>
        <w:rPr/>
      </w:r>
    </w:p>
    <w:p>
      <w:pPr>
        <w:pStyle w:val="Heading2"/>
        <w:rPr/>
      </w:pPr>
      <w:bookmarkStart w:id="5" w:name="__RefHeading___Toc158_1632583788"/>
      <w:bookmarkEnd w:id="5"/>
      <w:r>
        <w:rPr/>
        <w:t>3.3 Network Configuration and Connectivity Support</w:t>
      </w:r>
    </w:p>
    <w:p>
      <w:pPr>
        <w:pStyle w:val="Normal"/>
        <w:rPr/>
      </w:pPr>
      <w:r>
        <w:rPr/>
      </w:r>
    </w:p>
    <w:p>
      <w:pPr>
        <w:pStyle w:val="Normal"/>
        <w:rPr/>
      </w:pPr>
      <w:r>
        <w:rPr/>
        <w:t>Assisted in networking activities involving desktop computers, laptops, and shared office printers. This included verifying network connectivity, ensuring proper device communication within the office network, and supporting troubleshooting of connectivity interruptions where necessary.</w:t>
      </w:r>
    </w:p>
    <w:p>
      <w:pPr>
        <w:pStyle w:val="Normal"/>
        <w:rPr/>
      </w:pPr>
      <w:r>
        <w:rPr/>
      </w:r>
    </w:p>
    <w:p>
      <w:pPr>
        <w:pStyle w:val="Heading2"/>
        <w:rPr/>
      </w:pPr>
      <w:bookmarkStart w:id="6" w:name="__RefHeading___Toc160_1632583788"/>
      <w:bookmarkEnd w:id="6"/>
      <w:r>
        <w:rPr/>
        <w:t>3.4 ERP and Database Systems Study</w:t>
      </w:r>
    </w:p>
    <w:p>
      <w:pPr>
        <w:pStyle w:val="Normal"/>
        <w:rPr/>
      </w:pPr>
      <w:r>
        <w:rPr/>
      </w:r>
    </w:p>
    <w:p>
      <w:pPr>
        <w:pStyle w:val="Normal"/>
        <w:rPr/>
      </w:pPr>
      <w:r>
        <w:rPr/>
        <w:t>Continued personal professional development through study of Enterprise Resource Planning (ERP) systems and database technologies. The study focused on understanding how integrated systems support institutional workflows, data management, and organizational efficiency. The training contributed to strengthening knowledge in system architecture, database structuring, and enterprise information systems.</w:t>
      </w:r>
    </w:p>
    <w:p>
      <w:pPr>
        <w:pStyle w:val="Heading2"/>
        <w:rPr/>
      </w:pPr>
      <w:bookmarkStart w:id="7" w:name="__RefHeading___Toc162_1632583788"/>
      <w:bookmarkEnd w:id="7"/>
      <w:r>
        <w:rPr/>
        <w:t>3.5 Institutional Training Participation</w:t>
      </w:r>
    </w:p>
    <w:p>
      <w:pPr>
        <w:pStyle w:val="Normal"/>
        <w:rPr/>
      </w:pPr>
      <w:r>
        <w:rPr/>
      </w:r>
    </w:p>
    <w:p>
      <w:pPr>
        <w:pStyle w:val="Normal"/>
        <w:rPr/>
      </w:pPr>
      <w:r>
        <w:rPr/>
        <w:t>Participated in Anti-Corruption and Integrity training conducted by the Ethics and Anti-Corruption Commission (EACC). The training emphasized ethical conduct in public service, integrity standards, transparency, and accountability within government institutions.</w:t>
      </w:r>
    </w:p>
    <w:p>
      <w:pPr>
        <w:pStyle w:val="Normal"/>
        <w:rPr/>
      </w:pPr>
      <w:r>
        <w:rPr/>
      </w:r>
    </w:p>
    <w:p>
      <w:pPr>
        <w:pStyle w:val="Heading2"/>
        <w:rPr/>
      </w:pPr>
      <w:bookmarkStart w:id="8" w:name="__RefHeading___Toc164_1632583788"/>
      <w:bookmarkEnd w:id="8"/>
      <w:r>
        <w:rPr/>
        <w:t>3.6 Interdepartmental Collaboration</w:t>
      </w:r>
    </w:p>
    <w:p>
      <w:pPr>
        <w:pStyle w:val="Normal"/>
        <w:rPr/>
      </w:pPr>
      <w:r>
        <w:rPr/>
      </w:r>
    </w:p>
    <w:p>
      <w:pPr>
        <w:pStyle w:val="Normal"/>
        <w:rPr/>
      </w:pPr>
      <w:r>
        <w:rPr/>
        <w:t>Provided assistance on an assignment requested by another department within the organization. This collaboration involved supporting ICT-related aspects of the task and demonstrated the importance of cross-departmental cooperation in achieving organizational objectives.</w:t>
      </w:r>
    </w:p>
    <w:p>
      <w:pPr>
        <w:pStyle w:val="Normal"/>
        <w:rPr/>
      </w:pPr>
      <w:r>
        <w:rPr/>
      </w:r>
    </w:p>
    <w:p>
      <w:pPr>
        <w:pStyle w:val="Heading2"/>
        <w:rPr/>
      </w:pPr>
      <w:bookmarkStart w:id="9" w:name="__RefHeading___Toc164_1632583788_Copy_1"/>
      <w:bookmarkEnd w:id="9"/>
      <w:r>
        <w:rPr/>
        <w:t>3.</w:t>
      </w:r>
      <w:r>
        <w:rPr/>
        <w:t>7</w:t>
      </w:r>
      <w:r>
        <w:rPr/>
        <w:t xml:space="preserve"> Firewall Installation and Internet Service Provider (ISP) Migration</w:t>
      </w:r>
    </w:p>
    <w:p>
      <w:pPr>
        <w:pStyle w:val="Normal"/>
        <w:rPr/>
      </w:pPr>
      <w:r>
        <w:rPr/>
      </w:r>
    </w:p>
    <w:p>
      <w:pPr>
        <w:pStyle w:val="BodyText"/>
        <w:rPr/>
      </w:pPr>
      <w:r>
        <w:rPr/>
        <w:t>Participated in the installation and configuration of a new organizational firewall aimed at enhancing network security, traffic monitoring, and access control within the ICT infrastructure. The firewall implementation strengthened the institution’s ability to safeguard internal systems, regulate internet usage, and protect against potential cybersecurity threats.</w:t>
      </w:r>
    </w:p>
    <w:p>
      <w:pPr>
        <w:pStyle w:val="BodyText"/>
        <w:spacing w:before="0" w:after="200"/>
        <w:rPr/>
      </w:pPr>
      <w:r>
        <w:rPr/>
        <w:t>Additionally, the department undertook the transition from the existing Internet Service Provider (ISP) to a new provider in order to improve internet reliability, bandwidth performance, and overall network stability. The migration involved coordination with the service provider, reconfiguration of network settings, and testing connectivity across office devices to ensure seamless continuity of operations.</w:t>
      </w:r>
    </w:p>
    <w:p>
      <w:pPr>
        <w:pStyle w:val="Normal"/>
        <w:rPr/>
      </w:pPr>
      <w:r>
        <w:rPr/>
      </w:r>
    </w:p>
    <w:p>
      <w:pPr>
        <w:pStyle w:val="Normal"/>
        <w:rPr/>
      </w:pPr>
      <w:r>
        <w:rPr/>
      </w:r>
      <w:r>
        <w:br w:type="page"/>
      </w:r>
    </w:p>
    <w:p>
      <w:pPr>
        <w:pStyle w:val="Heading1"/>
        <w:spacing w:before="0" w:after="0"/>
        <w:rPr>
          <w:sz w:val="30"/>
          <w:szCs w:val="30"/>
        </w:rPr>
      </w:pPr>
      <w:bookmarkStart w:id="10" w:name="__RefHeading___Toc166_1632583788"/>
      <w:bookmarkEnd w:id="10"/>
      <w:r>
        <w:rPr>
          <w:sz w:val="30"/>
          <w:szCs w:val="30"/>
        </w:rPr>
        <w:t>4.0 CONCLUSION</w:t>
      </w:r>
    </w:p>
    <w:p>
      <w:pPr>
        <w:pStyle w:val="Normal"/>
        <w:spacing w:before="0" w:after="0"/>
        <w:rPr/>
      </w:pPr>
      <w:r>
        <w:rPr/>
      </w:r>
    </w:p>
    <w:p>
      <w:pPr>
        <w:pStyle w:val="Normal"/>
        <w:rPr/>
      </w:pPr>
      <w:r>
        <w:rPr/>
        <w:t>The reporting period for February 2026 was productive and provided valuable opportunities to contribute to ICT service delivery within the organization. Through customer support, hardware maintenance, networking assistance, and participation in training activities, meaningful support was provided toward ensuring reliable ICT operations.</w:t>
      </w:r>
    </w:p>
    <w:p>
      <w:pPr>
        <w:pStyle w:val="Normal"/>
        <w:rPr/>
      </w:pPr>
      <w:r>
        <w:rPr/>
        <w:t>The experiences gained during this period further enhanced practical technical skills, strengthened understanding of institutional ICT systems, and reinforced the importance of collaboration and continuous professional development in supporting efficient digital service delivery.</w:t>
      </w:r>
    </w:p>
    <w:p>
      <w:pPr>
        <w:pStyle w:val="Normal"/>
        <w:rPr/>
      </w:pPr>
      <w:r>
        <w:rPr/>
      </w:r>
      <w:r>
        <w:br w:type="page"/>
      </w:r>
    </w:p>
    <w:p>
      <w:pPr>
        <w:pStyle w:val="Heading1"/>
        <w:spacing w:before="0" w:after="0"/>
        <w:rPr>
          <w:sz w:val="30"/>
          <w:szCs w:val="30"/>
        </w:rPr>
      </w:pPr>
      <w:bookmarkStart w:id="11" w:name="__RefHeading___Toc168_1632583788"/>
      <w:bookmarkEnd w:id="11"/>
      <w:r>
        <w:rPr>
          <w:sz w:val="30"/>
          <w:szCs w:val="30"/>
        </w:rPr>
        <w:t>5.0 RECOMMENDATIONS</w:t>
      </w:r>
    </w:p>
    <w:p>
      <w:pPr>
        <w:pStyle w:val="Normal"/>
        <w:spacing w:before="0" w:after="0"/>
        <w:rPr/>
      </w:pPr>
      <w:r>
        <w:rPr/>
      </w:r>
    </w:p>
    <w:p>
      <w:pPr>
        <w:pStyle w:val="Normal"/>
        <w:rPr/>
      </w:pPr>
      <w:r>
        <w:rPr/>
        <w:t xml:space="preserve">• </w:t>
      </w:r>
      <w:r>
        <w:rPr/>
        <w:t>Continue strengthening ICT user support for government digital platforms such as eCitizen.</w:t>
      </w:r>
    </w:p>
    <w:p>
      <w:pPr>
        <w:pStyle w:val="Normal"/>
        <w:rPr/>
      </w:pPr>
      <w:r>
        <w:rPr/>
        <w:t xml:space="preserve">• </w:t>
      </w:r>
      <w:r>
        <w:rPr/>
        <w:t>Maintain regular inspection and servicing schedules for office ICT hardware.</w:t>
      </w:r>
    </w:p>
    <w:p>
      <w:pPr>
        <w:pStyle w:val="Normal"/>
        <w:rPr/>
      </w:pPr>
      <w:r>
        <w:rPr/>
        <w:t xml:space="preserve">• </w:t>
      </w:r>
      <w:r>
        <w:rPr/>
        <w:t>Improve internal documentation of network configurations for easier troubleshooting.</w:t>
      </w:r>
    </w:p>
    <w:p>
      <w:pPr>
        <w:pStyle w:val="Normal"/>
        <w:rPr/>
      </w:pPr>
      <w:r>
        <w:rPr/>
        <w:t xml:space="preserve">• </w:t>
      </w:r>
      <w:r>
        <w:rPr/>
        <w:t>Encourage continued staff participation in professional ICT and governance training.</w:t>
      </w:r>
    </w:p>
    <w:p>
      <w:pPr>
        <w:pStyle w:val="Normal"/>
        <w:rPr/>
      </w:pPr>
      <w:r>
        <w:rPr/>
        <w:t xml:space="preserve">• </w:t>
      </w:r>
      <w:r>
        <w:rPr/>
        <w:t>Promote interdepartmental collaboration when implementing ICT-supported tasks.</w:t>
      </w:r>
    </w:p>
    <w:p>
      <w:pPr>
        <w:pStyle w:val="Normal"/>
        <w:rPr/>
      </w:pPr>
      <w:r>
        <w:rPr/>
      </w:r>
      <w:r>
        <w:br w:type="page"/>
      </w:r>
    </w:p>
    <w:p>
      <w:pPr>
        <w:pStyle w:val="Heading1"/>
        <w:spacing w:before="0" w:after="0"/>
        <w:rPr/>
      </w:pPr>
      <w:bookmarkStart w:id="12" w:name="__RefHeading___Toc170_1632583788"/>
      <w:bookmarkEnd w:id="12"/>
      <w:r>
        <w:rPr/>
        <w:t>6.0 REFERENCES</w:t>
      </w:r>
    </w:p>
    <w:p>
      <w:pPr>
        <w:pStyle w:val="Normal"/>
        <w:spacing w:before="0" w:after="0"/>
        <w:rPr/>
      </w:pPr>
      <w:r>
        <w:rPr/>
      </w:r>
    </w:p>
    <w:p>
      <w:pPr>
        <w:pStyle w:val="Normal"/>
        <w:rPr/>
      </w:pPr>
      <w:r>
        <w:rPr/>
        <w:t xml:space="preserve">• </w:t>
      </w:r>
      <w:hyperlink r:id="rId3">
        <w:r>
          <w:rPr>
            <w:rStyle w:val="Hyperlink"/>
          </w:rPr>
          <w:t>PBORA ICT Department Operational Guidelines</w:t>
        </w:r>
      </w:hyperlink>
    </w:p>
    <w:p>
      <w:pPr>
        <w:pStyle w:val="Normal"/>
        <w:rPr/>
      </w:pPr>
      <w:r>
        <w:rPr/>
        <w:t xml:space="preserve">• </w:t>
      </w:r>
      <w:r>
        <w:rPr/>
        <w:t>Ethics and Anti-Corruption Commission (EACC) Training Materials</w:t>
      </w:r>
    </w:p>
    <w:p>
      <w:pPr>
        <w:pStyle w:val="Normal"/>
        <w:widowControl/>
        <w:bidi w:val="0"/>
        <w:spacing w:lineRule="auto" w:line="276" w:before="0" w:after="200"/>
        <w:jc w:val="start"/>
        <w:rPr/>
      </w:pPr>
      <w:r>
        <w:rPr/>
        <w:t>•</w:t>
      </w:r>
      <w:hyperlink r:id="rId4">
        <w:r>
          <w:rPr>
            <w:rStyle w:val="Hyperlink"/>
          </w:rPr>
          <w:t xml:space="preserve"> </w:t>
        </w:r>
        <w:r>
          <w:rPr>
            <w:rStyle w:val="Hyperlink"/>
          </w:rPr>
          <w:t>ERP and Database Training Resources</w:t>
        </w:r>
      </w:hyperlink>
    </w:p>
    <w:sectPr>
      <w:headerReference w:type="default" r:id="rId5"/>
      <w:type w:val="nextPage"/>
      <w:pgSz w:w="12240" w:h="15840"/>
      <w:pgMar w:left="1800" w:right="1800" w:gutter="0" w:header="1440" w:top="1976"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0" distR="0" simplePos="0" locked="0" layoutInCell="0" allowOverlap="1" relativeHeight="2">
          <wp:simplePos x="0" y="0"/>
          <wp:positionH relativeFrom="column">
            <wp:posOffset>-89535</wp:posOffset>
          </wp:positionH>
          <wp:positionV relativeFrom="paragraph">
            <wp:posOffset>-509905</wp:posOffset>
          </wp:positionV>
          <wp:extent cx="1102995" cy="40957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102995" cy="40957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8640" w:leader="dot"/>
      </w:tabs>
      <w:ind w:hanging="0" w:start="0"/>
    </w:pPr>
    <w:rPr/>
  </w:style>
  <w:style w:type="paragraph" w:styleId="TOC2">
    <w:name w:val="toc 2"/>
    <w:basedOn w:val="Index"/>
    <w:pPr>
      <w:tabs>
        <w:tab w:val="clear" w:pos="720"/>
        <w:tab w:val="right" w:pos="835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pbora.go.ke/" TargetMode="External"/><Relationship Id="rId4" Type="http://schemas.openxmlformats.org/officeDocument/2006/relationships/hyperlink" Target="http://www.pbora.go.ke/" TargetMode="External"/><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LibreOffice/25.8.4.2$Linux_X86_64 LibreOffice_project/580$Build-2</Application>
  <AppVersion>15.0000</AppVersion>
  <Pages>9</Pages>
  <Words>863</Words>
  <Characters>6066</Characters>
  <CharactersWithSpaces>6875</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2026-03-04T08:42:15Z</cp:lastPrinted>
  <dcterms:modified xsi:type="dcterms:W3CDTF">2026-03-04T08:42:21Z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