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C55A11"/>
          <w:spacing w:val="40"/>
          <w:sz w:val="20"/>
          <w:szCs w:val="20"/>
        </w:rPr>
        <w:t xml:space="preserve">ISG BUSINESS SCHOOL  ·  ATELIER DATAIKU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Sujet 1 — NéoTel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Stopper l’hémorragie de clients</w:t>
      </w:r>
    </w:p>
    <w:p>
      <w:r>
        <w:br w:type="page"/>
      </w:r>
    </w:p>
    <w:p>
      <w:pPr>
        <w:pStyle w:val="Heading1"/>
      </w:pPr>
      <w:r>
        <w:t xml:space="preserve">Sujet 1 — NéoTel : stopper l’hémorragie de clients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Fichier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Telco_churn.csv</w:t>
            </w:r>
            <w:r>
              <w:rPr>
                <w:sz w:val="19"/>
                <w:szCs w:val="19"/>
              </w:rPr>
              <w:t xml:space="preserve"> — 7 043 clients, 21 colonnes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Niveau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★★☆ — accessible, idéal en premier sujet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Recettes Dataiku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Prepare, Group, Pivot, Split, Window, AutoML Prediction, Score, Charts, Dashboard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Notions business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Churn, revenu mensuel récurrent (MRR), valeur client, coût d’une campagne de rétention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Contexte</w:t>
      </w:r>
    </w:p>
    <w:p>
      <w:pPr>
        <w:spacing w:after="120"/>
      </w:pPr>
      <w:r>
        <w:t xml:space="preserve">Vous êtes recruté·e comme data analyst chez </w:t>
      </w:r>
      <w:r>
        <w:rPr>
          <w:b/>
          <w:bCs/>
        </w:rPr>
        <w:t xml:space="preserve">NéoTel</w:t>
      </w:r>
      <w:r>
        <w:t xml:space="preserve">, opérateur télécom fictif. La directrice marketing est inquiète : « Un client sur quatre nous quitte. On dépense des fortunes en acquisition pour remplir un seau percé. » Elle vous donne l’extraction de la base clients et attend trois choses : </w:t>
      </w:r>
      <w:r>
        <w:rPr>
          <w:b/>
          <w:bCs/>
        </w:rPr>
        <w:t xml:space="preserve">comprendre qui part</w:t>
      </w:r>
      <w:r>
        <w:t xml:space="preserve">, </w:t>
      </w:r>
      <w:r>
        <w:rPr>
          <w:b/>
          <w:bCs/>
        </w:rPr>
        <w:t xml:space="preserve">chiffrer la perte</w:t>
      </w:r>
      <w:r>
        <w:t xml:space="preserve">, et </w:t>
      </w:r>
      <w:r>
        <w:rPr>
          <w:b/>
          <w:bCs/>
        </w:rPr>
        <w:t xml:space="preserve">proposer une campagne de rétention rentable</w:t>
      </w:r>
      <w:r>
        <w:t xml:space="preserve">.</w:t>
      </w:r>
    </w:p>
    <w:p>
      <w:pPr>
        <w:pStyle w:val="Heading2"/>
      </w:pPr>
      <w:r>
        <w:t xml:space="preserve">Dictionnaire des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Identifiant client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gender, SeniorCitizen, Partner, Dependents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 : genre, senior (0/1), en couple, personnes à charge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tenure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Entier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Ancienneté en mois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PhoneService, MultipleLines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Téléphonie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InternetService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DSL, Fiber optic ou No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OnlineSecurity … StreamingMovies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options : sécurité, sauvegarde, protection, support, TV, films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Month-to-month, One year, Two year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PaperlessBilling, PaymentMethod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Catégories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Facturation et moyen de paiement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MonthlyCharges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Décimal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Facture mensuelle ($)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TotalCharges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Décimal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facturé depuis l’entrée ($)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Churn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 / No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Cible</w:t>
            </w:r>
            <w:r>
              <w:rPr>
                <w:sz w:val="19"/>
                <w:szCs w:val="19"/>
              </w:rPr>
              <w:t xml:space="preserve"> : le client est-il parti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A — Préparer les données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A.1  </w:t>
      </w:r>
      <w:r>
        <w:rPr>
          <w:b/>
          <w:bCs/>
          <w:color w:val="1F3864"/>
        </w:rPr>
        <w:t xml:space="preserve">Importer et explorer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le projet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NEOTEL_CHURN</w:t>
      </w:r>
      <w:r>
        <w:t xml:space="preserve"> et importez le fichier. Vérifiez dans l’onglet </w:t>
      </w:r>
      <w:r>
        <w:rPr>
          <w:b/>
          <w:bCs/>
        </w:rPr>
        <w:t xml:space="preserve">Schema</w:t>
      </w:r>
      <w:r>
        <w:t xml:space="preserve"> le type proposé pour chaque colonne.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Ouvrez l’onglet </w:t>
      </w:r>
      <w:r>
        <w:rPr>
          <w:b/>
          <w:bCs/>
        </w:rPr>
        <w:t xml:space="preserve">Statistics</w:t>
      </w:r>
      <w:r>
        <w:t xml:space="preserve"> et lancez une analyse sur toutes les colonnes. Notez les colonnes qui posent problème.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TotalCharges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Certaines lignes de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TotalCharges</w:t>
            </w:r>
            <w:r>
              <w:rPr>
                <w:sz w:val="20"/>
                <w:szCs w:val="20"/>
              </w:rPr>
              <w:t xml:space="preserve"> sont vides. Avant de les supprimer ou de les remplacer par la moyenne, regardez </w:t>
            </w:r>
            <w:r>
              <w:rPr>
                <w:b/>
                <w:bCs/>
                <w:sz w:val="20"/>
                <w:szCs w:val="20"/>
              </w:rPr>
              <w:t xml:space="preserve">qui</w:t>
            </w:r>
            <w:r>
              <w:rPr>
                <w:sz w:val="20"/>
                <w:szCs w:val="20"/>
              </w:rPr>
              <w:t xml:space="preserve"> sont ces clients (indice : regardez leur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tenure</w:t>
            </w:r>
            <w:r>
              <w:rPr>
                <w:sz w:val="20"/>
                <w:szCs w:val="20"/>
              </w:rPr>
              <w:t xml:space="preserve">). Quelle valeur est la plus logique ?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A.2  </w:t>
      </w:r>
      <w:r>
        <w:rPr>
          <w:b/>
          <w:bCs/>
          <w:color w:val="1F3864"/>
        </w:rPr>
        <w:t xml:space="preserve">Recette Prepare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telco_prepared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Traitez les vides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TotalCharges</w:t>
      </w:r>
      <w:r>
        <w:t xml:space="preserve"> avec le processeur </w:t>
      </w:r>
      <w:r>
        <w:rPr>
          <w:b/>
          <w:bCs/>
        </w:rPr>
        <w:t xml:space="preserve">Fill empty cells with fixed value</w:t>
      </w:r>
      <w:r>
        <w:t xml:space="preserve"> et justifiez votre choix dans la description.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churn_flag</w:t>
      </w:r>
      <w:r>
        <w:t xml:space="preserve"> (1 / 0) avec une </w:t>
      </w:r>
      <w:r>
        <w:rPr>
          <w:b/>
          <w:bCs/>
        </w:rPr>
        <w:t xml:space="preserve">Formula</w:t>
      </w:r>
      <w:r>
        <w:t xml:space="preserve">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if(Churn == "Yes", 1, 0)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tenure_band</w:t>
      </w:r>
      <w:r>
        <w:t xml:space="preserve"> avec </w:t>
      </w:r>
      <w:r>
        <w:rPr>
          <w:b/>
          <w:bCs/>
        </w:rPr>
        <w:t xml:space="preserve">Bin numerical</w:t>
      </w:r>
      <w:r>
        <w:t xml:space="preserve"> : 0–12, 13–24, 25–48, 49–72 mois.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nb_options</w:t>
      </w:r>
      <w:r>
        <w:t xml:space="preserve"> : le nombre d’options souscrites parmi les 6 (OnlineSecurity … StreamingMovies). Indice : une Formula qui additionne des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if(col=="Yes",1,0)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annual_value</w:t>
      </w:r>
      <w:r>
        <w:t xml:space="preserve"> = MonthlyCharges × 12.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charges_gap</w:t>
      </w:r>
      <w:r>
        <w:t xml:space="preserve"> = TotalCharges − tenure × MonthlyCharges. Que signifie un écart non nul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Recodez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SeniorCitizen</w:t>
      </w:r>
      <w:r>
        <w:t xml:space="preserve"> en « Senior » / « Non senior » pour la lisibilité des graphiques.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Combien de clients au total ? Combien de churners ? Quel taux de churn global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Combien de lignes avaient un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TotalCharges</w:t>
            </w:r>
            <w:r>
              <w:rPr>
                <w:sz w:val="20"/>
                <w:szCs w:val="20"/>
              </w:rPr>
              <w:t xml:space="preserve"> vide, et quelle est leur ancienneté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B — Comprendre qui part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B.1  </w:t>
      </w:r>
      <w:r>
        <w:rPr>
          <w:b/>
          <w:bCs/>
          <w:color w:val="1F3864"/>
        </w:rPr>
        <w:t xml:space="preserve">Taux de churn par segment (recette Group)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Avec une recette </w:t>
      </w:r>
      <w:r>
        <w:rPr>
          <w:b/>
          <w:bCs/>
        </w:rPr>
        <w:t xml:space="preserve">Group</w:t>
      </w:r>
      <w:r>
        <w:t xml:space="preserve">, calculez pour chaque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Contract</w:t>
      </w:r>
      <w:r>
        <w:t xml:space="preserve"> : nombre de clients, somme et moyenne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churn_flag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Répétez pour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PaymentMethod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InternetService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tenure_band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nb_options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SeniorCitizen</w:t>
      </w:r>
      <w:r>
        <w:t xml:space="preserve">. Astuce : une recette Group par axe, ou un seul graphique par axe dans l’onglet Charts.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B.2  </w:t>
      </w:r>
      <w:r>
        <w:rPr>
          <w:b/>
          <w:bCs/>
          <w:color w:val="1F3864"/>
        </w:rPr>
        <w:t xml:space="preserve">Croisement Contract × InternetService (recette Pivot)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Avec une recette </w:t>
      </w:r>
      <w:r>
        <w:rPr>
          <w:b/>
          <w:bCs/>
        </w:rPr>
        <w:t xml:space="preserve">Pivot</w:t>
      </w:r>
      <w:r>
        <w:t xml:space="preserve">, construisez un tableau : lignes =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Contract</w:t>
      </w:r>
      <w:r>
        <w:t xml:space="preserve">, colonnes =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InternetService</w:t>
      </w:r>
      <w:r>
        <w:t xml:space="preserve">, valeur = moyenne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churn_flag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Repérez la case la plus « rouge ». Combien de clients représente-t-elle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B.3  </w:t>
      </w:r>
      <w:r>
        <w:rPr>
          <w:b/>
          <w:bCs/>
          <w:color w:val="1F3864"/>
        </w:rPr>
        <w:t xml:space="preserve">Chiffrer la perte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Calculez le </w:t>
      </w:r>
      <w:r>
        <w:rPr>
          <w:b/>
          <w:bCs/>
        </w:rPr>
        <w:t xml:space="preserve">MRR perdu</w:t>
      </w:r>
      <w:r>
        <w:t xml:space="preserve"> : somme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MonthlyCharges</w:t>
      </w:r>
      <w:r>
        <w:t xml:space="preserve"> des clients partis. Rapportez-le au MRR total.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Comparez la facture mensuelle moyenne des churners et des fidèles. Les clients qui partent sont-ils les « petits » clients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Taux de churn des contrats mensuels vs contrats 2 ans.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Moyen de paiement le plus associé au départ.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Part du MRR total perdue avec les churners.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Le paradoxe des options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taux de churn des clients avec </w:t>
            </w:r>
            <w:r>
              <w:rPr>
                <w:b/>
                <w:bCs/>
                <w:sz w:val="20"/>
                <w:szCs w:val="20"/>
              </w:rPr>
              <w:t xml:space="preserve">0 option</w:t>
            </w:r>
            <w:r>
              <w:rPr>
                <w:sz w:val="20"/>
                <w:szCs w:val="20"/>
              </w:rPr>
              <w:t xml:space="preserve"> est plus bas que celui des clients avec </w:t>
            </w:r>
            <w:r>
              <w:rPr>
                <w:b/>
                <w:bCs/>
                <w:sz w:val="20"/>
                <w:szCs w:val="20"/>
              </w:rPr>
              <w:t xml:space="preserve">1 option</w:t>
            </w:r>
            <w:r>
              <w:rPr>
                <w:sz w:val="20"/>
                <w:szCs w:val="20"/>
              </w:rPr>
              <w:t xml:space="preserve">, puis il redescend fortement. Proposez une explication (pensez à qui n’a pas Internet du tout). Que conseillez-vous au marketing : pousser une option, ou plusieurs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C — Prédire le départ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C.1  </w:t>
      </w:r>
      <w:r>
        <w:rPr>
          <w:b/>
          <w:bCs/>
          <w:color w:val="1F3864"/>
        </w:rPr>
        <w:t xml:space="preserve">Découper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Avec une recette </w:t>
      </w:r>
      <w:r>
        <w:rPr>
          <w:b/>
          <w:bCs/>
        </w:rPr>
        <w:t xml:space="preserve">Split</w:t>
      </w:r>
      <w:r>
        <w:t xml:space="preserve">, séparez aléatoirement 80 %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telco_train</w:t>
      </w:r>
      <w:r>
        <w:t xml:space="preserve"> / 20 %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telco_new</w:t>
      </w:r>
      <w:r>
        <w:t xml:space="preserve"> (ce dernier joue le rôle des clients du mois prochain). Fixez la graine aléatoire.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C.2  </w:t>
      </w:r>
      <w:r>
        <w:rPr>
          <w:b/>
          <w:bCs/>
          <w:color w:val="1F3864"/>
        </w:rPr>
        <w:t xml:space="preserve">Modéliser (Lab → AutoML Prediction)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Cible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Churn</w:t>
      </w:r>
      <w:r>
        <w:t xml:space="preserve">. Retirez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customerID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churn_flag</w:t>
      </w:r>
      <w:r>
        <w:t xml:space="preserve"> et toute colonne qui « connaît » la réponse.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Entraînez au moins une </w:t>
      </w:r>
      <w:r>
        <w:rPr>
          <w:b/>
          <w:bCs/>
        </w:rPr>
        <w:t xml:space="preserve">régression logistique</w:t>
      </w:r>
      <w:r>
        <w:t xml:space="preserve"> et un </w:t>
      </w:r>
      <w:r>
        <w:rPr>
          <w:b/>
          <w:bCs/>
        </w:rPr>
        <w:t xml:space="preserve">Random Forest</w:t>
      </w:r>
      <w:r>
        <w:t xml:space="preserve">. Comparez l’AUC.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Ouvrez </w:t>
      </w:r>
      <w:r>
        <w:rPr>
          <w:b/>
          <w:bCs/>
        </w:rPr>
        <w:t xml:space="preserve">Variables importance</w:t>
      </w:r>
      <w:r>
        <w:t xml:space="preserve"> et </w:t>
      </w:r>
      <w:r>
        <w:rPr>
          <w:b/>
          <w:bCs/>
        </w:rPr>
        <w:t xml:space="preserve">Subpopulation analysis</w:t>
      </w:r>
      <w:r>
        <w:t xml:space="preserve"> (par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gender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SeniorCitizen</w:t>
      </w:r>
      <w:r>
        <w:t xml:space="preserve">). Le modèle est-il aussi bon pour tout le monde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Fuite de cible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churn_flag</w:t>
            </w:r>
            <w:r>
              <w:rPr>
                <w:sz w:val="20"/>
                <w:szCs w:val="20"/>
              </w:rPr>
              <w:t xml:space="preserve"> est la cible recodée. La laisser dans les variables donne un modèle « parfait »… et inutile. Vérifiez la liste des features avant chaque entraînement.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C.3  </w:t>
      </w:r>
      <w:r>
        <w:rPr>
          <w:b/>
          <w:bCs/>
          <w:color w:val="1F3864"/>
        </w:rPr>
        <w:t xml:space="preserve">Seuil et matrice de coûts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Dans l’onglet </w:t>
      </w:r>
      <w:r>
        <w:rPr>
          <w:b/>
          <w:bCs/>
        </w:rPr>
        <w:t xml:space="preserve">Performance → Decision chart / Cost matrix</w:t>
      </w:r>
      <w:r>
        <w:t xml:space="preserve">, saisissez : envoyer une offre de rétention coûte </w:t>
      </w:r>
      <w:r>
        <w:rPr>
          <w:b/>
          <w:bCs/>
        </w:rPr>
        <w:t xml:space="preserve">50 $</w:t>
      </w:r>
      <w:r>
        <w:t xml:space="preserve"> par client ciblé ; un churner retenu rapporte </w:t>
      </w:r>
      <w:r>
        <w:rPr>
          <w:b/>
          <w:bCs/>
        </w:rPr>
        <w:t xml:space="preserve">500 $</w:t>
      </w:r>
      <w:r>
        <w:t xml:space="preserve"> ; on suppose que l’offre convainc 1 churner ciblé sur 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Trouvez le seuil qui maximise le gain. Combien de clients ciblez-vous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C.4  </w:t>
      </w:r>
      <w:r>
        <w:rPr>
          <w:b/>
          <w:bCs/>
          <w:color w:val="1F3864"/>
        </w:rPr>
        <w:t xml:space="preserve">Scorer les nouveaux clients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Déployez le modèle dans le Flow, appliquez une recette </w:t>
      </w:r>
      <w:r>
        <w:rPr>
          <w:b/>
          <w:bCs/>
        </w:rPr>
        <w:t xml:space="preserve">Score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telco_new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Avec une recette </w:t>
      </w:r>
      <w:r>
        <w:rPr>
          <w:b/>
          <w:bCs/>
        </w:rPr>
        <w:t xml:space="preserve">Top N</w:t>
      </w:r>
      <w:r>
        <w:t xml:space="preserve">, extrayez les 200 clients les plus à risque : c’est la liste remise au centre d’appels.</w:t>
      </w:r>
    </w:p>
    <w:p>
      <w:pPr>
        <w:pStyle w:val="Heading2"/>
      </w:pPr>
      <w:r>
        <w:t xml:space="preserve">Partie D — Restituer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Dashboard : taux de churn global, 3 graphiques de segments, MRR perdu, performance du modèle, liste Top 200.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Chaque graphique a un </w:t>
      </w:r>
      <w:r>
        <w:rPr>
          <w:b/>
          <w:bCs/>
        </w:rPr>
        <w:t xml:space="preserve">titre qui affirme</w:t>
      </w:r>
      <w:r>
        <w:t xml:space="preserve"> (« Les contrats mensuels partent 15 fois plus que les contrats 2 ans ») plutôt qu’un titre descriptif (« Churn par contrat 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Questions pour le Wiki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paiement par chèque électronique </w:t>
            </w:r>
            <w:r>
              <w:rPr>
                <w:b/>
                <w:bCs/>
                <w:sz w:val="20"/>
                <w:szCs w:val="20"/>
              </w:rPr>
              <w:t xml:space="preserve">cause-t-il</w:t>
            </w:r>
            <w:r>
              <w:rPr>
                <w:sz w:val="20"/>
                <w:szCs w:val="20"/>
              </w:rPr>
              <w:t xml:space="preserve"> le départ ? Corrélation ou causalité ? Quelle expérience proposeriez-vous pour le savoir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campagne cible les clients à fort risque. Est-ce forcément les plus rentables à retenir ? Proposez un score combinant risque et valeur.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modèle utilise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SeniorCitizen</w:t>
            </w:r>
            <w:r>
              <w:rPr>
                <w:sz w:val="20"/>
                <w:szCs w:val="20"/>
              </w:rPr>
              <w:t xml:space="preserve">. Est-il acceptable de proposer des offres différentes selon l’âge ? Où est la limite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Si la campagne fonctionne, que va devenir la performance du modèle dans 6 mois ?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ISG — Atelier Dataiku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Sujet 1 — NéoTel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BFBF" w:sz="4" w:space="2"/>
      </w:pBd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55A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1 — NéoTel</dc:title>
  <dc:creator>ISG</dc:creator>
  <cp:lastModifiedBy>Un-named</cp:lastModifiedBy>
  <cp:revision>1</cp:revision>
  <dcterms:created xsi:type="dcterms:W3CDTF">2026-10-23T19:29:05.583Z</dcterms:created>
  <dcterms:modified xsi:type="dcterms:W3CDTF">2026-10-23T19:29:05.583Z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