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center"/>
        <w:rPr>
          <w:rFonts w:ascii="Helvetica Neue" w:cs="Helvetica Neue" w:eastAsia="Helvetica Neue" w:hAnsi="Helvetica Neue"/>
          <w:vertAlign w:val="baseline"/>
        </w:rPr>
      </w:pPr>
      <w:bookmarkStart w:colFirst="0" w:colLast="0" w:name="_tkmc2w9yzje5" w:id="0"/>
      <w:bookmarkEnd w:id="0"/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Practical assignment</w:t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Module topic: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Contact session title: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Genome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Trainer: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Astrid Gall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jc w:val="left"/>
        <w:rPr>
          <w:rFonts w:ascii="Helvetica Neue" w:cs="Helvetica Neue" w:eastAsia="Helvetica Neue" w:hAnsi="Helvetica Neue"/>
          <w:sz w:val="36"/>
          <w:szCs w:val="36"/>
          <w:vertAlign w:val="baseline"/>
        </w:rPr>
      </w:pPr>
      <w:bookmarkStart w:colFirst="0" w:colLast="0" w:name="_psdv8d9k0aiq" w:id="1"/>
      <w:bookmarkEnd w:id="1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ind w:left="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czfhb9sfz5nk" w:id="2"/>
      <w:bookmarkEnd w:id="2"/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ind w:left="0" w:firstLine="0"/>
        <w:rPr>
          <w:rFonts w:ascii="Helvetica Neue" w:cs="Helvetica Neue" w:eastAsia="Helvetica Neue" w:hAnsi="Helvetica Neue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Ensembl genome browser allows access to publicly available reference genomic data, such as genes, through tools and a visual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bkyi1coy1du0" w:id="3"/>
      <w:bookmarkEnd w:id="3"/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Tools used in this session</w:t>
      </w:r>
    </w:p>
    <w:p w:rsidR="00000000" w:rsidDel="00000000" w:rsidP="00000000" w:rsidRDefault="00000000" w:rsidRPr="00000000" w14:paraId="00000011">
      <w:pPr>
        <w:ind w:left="0" w:firstLine="0"/>
        <w:rPr>
          <w:rFonts w:ascii="Helvetica Neue" w:cs="Helvetica Neue" w:eastAsia="Helvetica Neue" w:hAnsi="Helvetica Neu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Helvetica Neue" w:cs="Helvetica Neue" w:eastAsia="Helvetica Neue" w:hAnsi="Helvetica Neue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Ensembl Genome browser and BioMart. www.ensembl.org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Helvetica Neue" w:cs="Helvetica Neue" w:eastAsia="Helvetica Neue" w:hAnsi="Helvetica Neu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76" w:lineRule="auto"/>
        <w:ind w:left="0" w:firstLine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1vbtwop5pd2h" w:id="4"/>
      <w:bookmarkEnd w:id="4"/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Please note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Helvetica Neue" w:cs="Helvetica Neue" w:eastAsia="Helvetica Neue" w:hAnsi="Helvetica Neue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Hand-in information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formally enrolled in the IBT course, please upload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completed practical assignment to the Vula ‘Practical Assignments’ tab. Take note of the final hand-in date for each practical assignment, which will be indicated on Vula.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Helvetica Neue" w:cs="Helvetica Neue" w:eastAsia="Helvetica Neue" w:hAnsi="Helvetica Neue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>
          <w:rFonts w:ascii="Helvetica Neue" w:cs="Helvetica Neue" w:eastAsia="Helvetica Neue" w:hAnsi="Helvetica Neue"/>
        </w:rPr>
      </w:pPr>
      <w:bookmarkStart w:colFirst="0" w:colLast="0" w:name="_3e4v4ak70uvv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Task 1 – Browsing genomic regions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Watch the first video of the session, the introduction to Ensembl and the second video, the demo of browsing genomic regions.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the Ensembl genome browser at www.ensembl.org, navigate to the region 31,937,000 to 32,633,000 bp on human chromosome 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which cytogenetic band is this region located?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many contigs make up this portion of the assembly (contigs are contiguous stretches of DNA sequence that have been assembled solely based on direct sequencing information)?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rtl w:val="0"/>
        </w:rPr>
        <w:t xml:space="preserve">Configure this page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to turn on the LTR (repeat) track in this view.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tool was used to annotate the LTRs according to the track information?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many LTRs can you see within the BRCA2 gene? Do any overlap exons?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does the word “track” mean in the context of genome browsers?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Export the genomic sequence of the region you are looking at in FASTA format (only paste in the first three lines to this report).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6wj6g75xuu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yghars3v50a4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Task 2 – Exploring genes and transcripts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Watch the third video of the session, the lecture describing the origin of Ensembl genes and transcripts and the fourth video, the demo exploring them in the browser.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two methods are used to annotate genes in Ensembl?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Find the human MYH9 (myosin, heavy chain 9, non-muscle) gene, and go to the Gene tab.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which chromosome and which strand of the genome is this gene located?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How many transcripts (splice variants) are there and how many are protein coding?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is the longest transcript, and how long is the protein it encodes?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Which transcript would you take forward for further study?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on Phenotypes at the left side of the page. Are there any diseases associated with this gene, according to MIM (Mendelian Inheritance in Man)?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some functions of MYH9 according to the Gene Ontology consortium? Have a look at the GO pages for this gene.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the transcript table, click on the transcript ID for MYH9-201, and go to the Transcript tab.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many exons does it have?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Are any of the exons completely or partially untranslated?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 there an associated sequence in UniProtKB/Swiss-Prot? Have a look at the General identifiers for this transcript.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Are there microarray (oligo) probes that can be used to monitor expression of ENST00000216181?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c7pfxverun2j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Task 3 – Using BioMart to bulk export gene data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Watch the fifth video of the session, with the lecture introducing BioMart and the sixth video, the BioMart demo.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Begin a BioMart query in human genes. Filter the data to see only genes on chromosome 9 with transmembrane helices.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many genes are there?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Get the position of the transmembrane domain in the attributes alongside the gene name.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Export the results table as an Excel file. Include the first five lines of the file that show transmembrane helices here.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Change your attribute to get the protein sequence instead, with the gene name in the header.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Export the results as a FASTA file. Include the sequence of the first protein here.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675" cy="3321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>
        <w:rFonts w:ascii="Calibri" w:cs="Calibri" w:eastAsia="Calibri" w:hAnsi="Calibr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1272</wp:posOffset>
          </wp:positionH>
          <wp:positionV relativeFrom="paragraph">
            <wp:posOffset>-180974</wp:posOffset>
          </wp:positionV>
          <wp:extent cx="5269865" cy="98869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9865" cy="988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jc w:val="left"/>
      <w:rPr>
        <w:rFonts w:ascii="Calibri" w:cs="Calibri" w:eastAsia="Calibri" w:hAnsi="Calibr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center"/>
      <w:rPr>
        <w:rFonts w:ascii="Calibri" w:cs="Calibri" w:eastAsia="Calibri" w:hAnsi="Calibr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>
        <w:rFonts w:ascii="Calibri" w:cs="Calibri" w:eastAsia="Calibri" w:hAnsi="Calibri"/>
        <w:sz w:val="28"/>
        <w:szCs w:val="28"/>
        <w:vertAlign w:val="baseline"/>
      </w:rPr>
    </w:pPr>
    <w:r w:rsidDel="00000000" w:rsidR="00000000" w:rsidRPr="00000000">
      <w:rPr>
        <w:rFonts w:ascii="Calibri" w:cs="Calibri" w:eastAsia="Calibri" w:hAnsi="Calibri"/>
        <w:sz w:val="28"/>
        <w:szCs w:val="28"/>
        <w:vertAlign w:val="baseline"/>
        <w:rtl w:val="0"/>
      </w:rPr>
      <w:t xml:space="preserve">Introduction to Bioinformatics online course: IBT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