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sample_nav.csv 投资复盘报告</w:t>
      </w:r>
    </w:p>
    <w:p>
      <w:pPr>
        <w:pStyle w:val="Heading1"/>
      </w:pPr>
      <w:r>
        <w:t>一句话结论</w:t>
      </w:r>
    </w:p>
    <w:p>
      <w:r>
        <w:t>- 过去这段时间表现为正，近期没有明显转弱，但仍需要继续观察回撤和稳定性，不能只看收益。</w:t>
      </w:r>
    </w:p>
    <w:p>
      <w:pPr>
        <w:pStyle w:val="Heading1"/>
      </w:pPr>
      <w:r>
        <w:t>数据来源与可信度</w:t>
      </w:r>
    </w:p>
    <w:p>
      <w:r>
        <w:t>- 数据来源：用户上传文件。</w:t>
      </w:r>
    </w:p>
    <w:p>
      <w:r>
        <w:t>- 数据可信度：90/100，较高。</w:t>
      </w:r>
    </w:p>
    <w:p>
      <w:r>
        <w:t>- 样本数量：90；数据区间：2025-01-02 至 2025-05-07。</w:t>
      </w:r>
    </w:p>
    <w:p>
      <w:r>
        <w:t>- 缺失值比例：0.00%；重复日期数量：0。</w:t>
      </w:r>
    </w:p>
    <w:p>
      <w:r>
        <w:t>- 补充说明：用户上传数据生成，未默认补充外部行情源。</w:t>
      </w:r>
    </w:p>
    <w:p>
      <w:pPr>
        <w:pStyle w:val="Heading1"/>
      </w:pPr>
      <w:r>
        <w:t>过去表现</w:t>
      </w:r>
    </w:p>
    <w:p>
      <w:r>
        <w:t>- 区间累计收益：2.62%。</w:t>
      </w:r>
    </w:p>
    <w:p>
      <w:r>
        <w:t>- 年化收益仅作参考：7.59%。</w:t>
      </w:r>
    </w:p>
    <w:p>
      <w:r>
        <w:t>- 胜率：77.53%，最好单期收益：0.15%，最差单期收益：-0.30%。</w:t>
      </w:r>
    </w:p>
    <w:p>
      <w:r>
        <w:t>- 这些数字用于复盘表现，不代表未来可以重复获得同样收益。</w:t>
      </w:r>
    </w:p>
    <w:p>
      <w:pPr>
        <w:pStyle w:val="Heading1"/>
      </w:pPr>
      <w:r>
        <w:t>近期变化</w:t>
      </w:r>
    </w:p>
    <w:p>
      <w:r>
        <w:t>- 最近 20 期收益：1.61%。</w:t>
      </w:r>
    </w:p>
    <w:p>
      <w:r>
        <w:t>- 最近 60 期收益：-1.75%。</w:t>
      </w:r>
    </w:p>
    <w:p>
      <w:r>
        <w:t>- 近期状态相对改善，但仍要观察这种改善是否持续。</w:t>
      </w:r>
    </w:p>
    <w:p>
      <w:pPr>
        <w:pStyle w:val="Heading1"/>
      </w:pPr>
      <w:r>
        <w:t>回撤与风险</w:t>
      </w:r>
    </w:p>
    <w:p>
      <w:r>
        <w:t>- 最大回撤：-5.83%。</w:t>
      </w:r>
    </w:p>
    <w:p>
      <w:r>
        <w:t>- 年化波动率：2.87%。</w:t>
      </w:r>
    </w:p>
    <w:p>
      <w:r>
        <w:t>- 5% 分位尾部收益：-0.30%。</w:t>
      </w:r>
    </w:p>
    <w:p>
      <w:r>
        <w:t>- 如果继续下跌，应优先复核自己能否承受该幅度的进一步浮亏，而不是直接做买卖判断。</w:t>
      </w:r>
    </w:p>
    <w:p>
      <w:pPr>
        <w:pStyle w:val="Heading1"/>
      </w:pPr>
      <w:r>
        <w:t>持仓/组合问题</w:t>
      </w:r>
    </w:p>
    <w:p>
      <w:r>
        <w:t>- 当前没有足够的权重、数量或成本字段，无法判断是否持仓过于集中。</w:t>
      </w:r>
    </w:p>
    <w:p>
      <w:r>
        <w:t>- 建议补充 symbol、quantity、avg_cost、weight 或当前市值，用于组合体检。</w:t>
      </w:r>
    </w:p>
    <w:p>
      <w:pPr>
        <w:pStyle w:val="Heading1"/>
      </w:pPr>
      <w:r>
        <w:t>可能原因解释</w:t>
      </w:r>
    </w:p>
    <w:p>
      <w:r>
        <w:t>- 当前没有明显单一原因，建议结合基准、行业、交易流水和持仓变化继续复核。</w:t>
      </w:r>
    </w:p>
    <w:p>
      <w:pPr>
        <w:pStyle w:val="Heading1"/>
      </w:pPr>
      <w:r>
        <w:t>小资金用户注意事项</w:t>
      </w:r>
    </w:p>
    <w:p>
      <w:r>
        <w:t>- 小资金账户更需要控制试错成本，不宜因为单次回测或短期上涨就放大仓位。</w:t>
      </w:r>
    </w:p>
    <w:p>
      <w:r>
        <w:t>- 优先检查是否单一标的过重、是否频繁交易、手续费和滑点是否会吞掉收益。</w:t>
      </w:r>
    </w:p>
    <w:p>
      <w:r>
        <w:t>- 参数结果只能作为观察线索，不应被理解为自动赚钱规则。</w:t>
      </w:r>
    </w:p>
    <w:p>
      <w:r>
        <w:t>- 如果继续下跌，先评估可承受亏损和仓位暴露，再决定是否进入下一轮研究。</w:t>
      </w:r>
    </w:p>
    <w:p>
      <w:pPr>
        <w:pStyle w:val="Heading1"/>
      </w:pPr>
      <w:r>
        <w:t>下一步观察清单</w:t>
      </w:r>
    </w:p>
    <w:p>
      <w:r>
        <w:t>- 观察未来 5-10 个交易日是否继续扩大回撤。</w:t>
      </w:r>
    </w:p>
    <w:p>
      <w:r>
        <w:t>- 复核当前仓位是否超过个人可承受范围。</w:t>
      </w:r>
    </w:p>
    <w:p>
      <w:r>
        <w:t>- 补充成本价、买入日期、分红、手续费和完整交易流水。</w:t>
      </w:r>
    </w:p>
    <w:p>
      <w:r>
        <w:t>- 对比基准或同类基金/ETF，确认弱势是个体问题还是市场共同变化。</w:t>
      </w:r>
    </w:p>
    <w:p>
      <w:r>
        <w:t>- 保存本次报告，作为下次复盘的对照版本。</w:t>
      </w:r>
    </w:p>
    <w:p>
      <w:pPr>
        <w:pStyle w:val="Heading1"/>
      </w:pPr>
      <w:r>
        <w:t>资料来源与引用</w:t>
      </w:r>
    </w:p>
    <w:p>
      <w:r>
        <w:t>- 报告对象：sample_nav.csv。</w:t>
      </w:r>
    </w:p>
    <w:p>
      <w:r>
        <w:t>- 数据来源：用户上传文件。</w:t>
      </w:r>
    </w:p>
    <w:p>
      <w:r>
        <w:t>- 市场/类型：uploaded。</w:t>
      </w:r>
    </w:p>
    <w:p>
      <w:r>
        <w:t>- 区间：2025-01-02 至 2025-05-07。</w:t>
      </w:r>
    </w:p>
    <w:p>
      <w:r>
        <w:t>- 字段：date, nav。</w:t>
      </w:r>
    </w:p>
    <w:p>
      <w:r>
        <w:t>- 报告生成时间：2026-05-10 13:06。</w:t>
      </w:r>
    </w:p>
    <w:p>
      <w:pPr>
        <w:pStyle w:val="Heading1"/>
      </w:pPr>
      <w:r>
        <w:t>免责声明</w:t>
      </w:r>
    </w:p>
    <w:p>
      <w:r>
        <w:t>- 本报告仅用于投资复盘、风险识别和资料整理，不构成投资建议、买卖建议或收益承诺。</w:t>
      </w:r>
    </w:p>
    <w:p>
      <w:r>
        <w:t>- 报告中的历史表现和统计结果不代表未来收益，用户应结合自身风险承受能力独立决策。</w:t>
      </w:r>
    </w:p>
    <w:p>
      <w:r>
        <w:t>- 如果数据缺少成本价、交易流水、分红、手续费或基准信息，相关结论需要降低置信度。</w:t>
      </w:r>
    </w:p>
    <w:sectPr>
      <w:pgSz w:w="11906" w:h="16838"/>
      <w:pgMar w:top="1440" w:right="1440" w:bottom="1440" w:left="1440"/>
    </w:sectPr>
  </w:body>
</w:document>
</file>