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September 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 Issued 2026-09-30; expire 2028-09-29</w:t>
      </w:r>
    </w:p>
    <w:p>
      <w:pPr>
        <w:pStyle w:val="Heading2"/>
        <w:keepNext/>
        <w:keepLines/>
        <w:widowControl/>
        <w:spacing w:before="100" w:after="40" w:line="256" w:lineRule="exact"/>
      </w:pPr>
      <w:r>
        <w:t>Microsoft Applied Skills | Earned September 29,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pStyle w:val="ListBullet"/>
        <w:keepNext w:val="0"/>
        <w:keepLines/>
        <w:widowControl/>
        <w:spacing w:before="0" w:after="60" w:line="252" w:lineRule="exact"/>
        <w:ind w:left="245" w:hanging="173"/>
      </w:pPr>
      <w:r>
        <w:t>LFEL1012: Secure AI/ML-Driven Software Development</w:t>
      </w:r>
    </w:p>
    <w:p>
      <w:pPr>
        <w:pStyle w:val="ListBullet"/>
        <w:keepNext w:val="0"/>
        <w:keepLines/>
        <w:widowControl/>
        <w:spacing w:before="0" w:after="60" w:line="252" w:lineRule="exact"/>
        <w:ind w:left="245" w:hanging="173"/>
      </w:pPr>
      <w:r>
        <w:t>LFS120: Conversational AI: Ensuring Compliance and Mitigating Risks</w:t>
      </w:r>
    </w:p>
    <w:p>
      <w:pPr>
        <w:pStyle w:val="ListBullet"/>
        <w:keepNext w:val="0"/>
        <w:keepLines/>
        <w:widowControl/>
        <w:spacing w:before="0" w:after="60" w:line="252" w:lineRule="exact"/>
        <w:ind w:left="245" w:hanging="173"/>
      </w:pPr>
      <w:r>
        <w:t>LFD121: Developing Secure Software</w:t>
      </w:r>
    </w:p>
    <w:p>
      <w:pPr>
        <w:pStyle w:val="ListBullet"/>
        <w:keepNext w:val="0"/>
        <w:keepLines/>
        <w:widowControl/>
        <w:spacing w:before="0" w:after="60" w:line="252" w:lineRule="exact"/>
        <w:ind w:left="245" w:hanging="173"/>
      </w:pPr>
      <w:r>
        <w:t>LFS182: Securing Your Software Supply Chain with Sigstore</w:t>
      </w:r>
    </w:p>
    <w:p>
      <w:pPr>
        <w:pStyle w:val="ListBullet"/>
        <w:keepNext w:val="0"/>
        <w:keepLines/>
        <w:widowControl/>
        <w:spacing w:before="0" w:after="60" w:line="252" w:lineRule="exact"/>
        <w:ind w:left="245" w:hanging="173"/>
      </w:pPr>
      <w:r>
        <w:t>LFEL1001: Understanding the EU Cyber Resilience Act (CRA)</w:t>
      </w:r>
    </w:p>
    <w:p>
      <w:pPr>
        <w:pStyle w:val="ListBullet"/>
        <w:keepNext w:val="0"/>
        <w:keepLines/>
        <w:widowControl/>
        <w:spacing w:before="0" w:after="60" w:line="252" w:lineRule="exact"/>
        <w:ind w:left="245" w:hanging="173"/>
      </w:pPr>
      <w:r>
        <w:t>LFS118: Ethical Principles for Conversational AI</w:t>
      </w:r>
    </w:p>
    <w:p>
      <w:pPr>
        <w:pStyle w:val="ListBullet"/>
        <w:keepNext w:val="0"/>
        <w:keepLines/>
        <w:widowControl/>
        <w:spacing w:before="0" w:after="60" w:line="252" w:lineRule="exact"/>
        <w:ind w:left="245" w:hanging="173"/>
      </w:pPr>
      <w:r>
        <w:t>LFEL1006: Securing Projects with OpenSSF Scorecard</w:t>
      </w:r>
    </w:p>
    <w:p>
      <w:pPr>
        <w:pStyle w:val="ListBullet"/>
        <w:keepNext w:val="0"/>
        <w:keepLines/>
        <w:widowControl/>
        <w:spacing w:before="0" w:after="60" w:line="252" w:lineRule="exact"/>
        <w:ind w:left="245" w:hanging="173"/>
      </w:pPr>
      <w:r>
        <w:t>LFEL1005: Security Self-Assessments for Open Source Projects</w:t>
      </w:r>
    </w:p>
    <w:p>
      <w:pPr>
        <w:pStyle w:val="ListBullet"/>
        <w:keepNext w:val="0"/>
        <w:keepLines/>
        <w:widowControl/>
        <w:spacing w:before="0" w:after="60" w:line="252" w:lineRule="exact"/>
        <w:ind w:left="245" w:hanging="173"/>
      </w:pPr>
      <w:r>
        <w:t>LFEL1007: Automating Supply Chain Security: SBOMs and Signatures</w:t>
      </w:r>
    </w:p>
    <w:p>
      <w:pPr>
        <w:pStyle w:val="ListBullet"/>
        <w:keepNext w:val="0"/>
        <w:keepLines/>
        <w:widowControl/>
        <w:spacing w:before="0" w:after="60" w:line="252" w:lineRule="exact"/>
        <w:ind w:left="245" w:hanging="173"/>
      </w:pPr>
      <w:r>
        <w:t>LFD125: Security for Software Development Managers</w:t>
      </w:r>
    </w:p>
    <w:p>
      <w:pPr>
        <w:pStyle w:val="ListBullet"/>
        <w:keepNext w:val="0"/>
        <w:keepLines/>
        <w:widowControl/>
        <w:spacing w:before="0" w:after="60" w:line="252" w:lineRule="exact"/>
        <w:ind w:left="245" w:hanging="173"/>
      </w:pPr>
      <w:r>
        <w:t>LFS180: Introduction to DevSecOps for Managers</w:t>
      </w:r>
    </w:p>
    <w:p>
      <w:pPr>
        <w:pStyle w:val="ListBullet"/>
        <w:keepNext w:val="0"/>
        <w:keepLines/>
        <w:widowControl/>
        <w:spacing w:before="0" w:after="60" w:line="252" w:lineRule="exact"/>
        <w:ind w:left="245" w:hanging="173"/>
      </w:pPr>
      <w:r>
        <w:t>SKF100: OWASP Top 10 Security Threats</w:t>
      </w:r>
    </w:p>
    <w:p>
      <w:pPr>
        <w:pStyle w:val="ListBullet"/>
        <w:keepNext w:val="0"/>
        <w:keepLines/>
        <w:widowControl/>
        <w:spacing w:before="0" w:after="60" w:line="252" w:lineRule="exact"/>
        <w:ind w:left="245" w:hanging="173"/>
      </w:pPr>
      <w:r>
        <w:t>LFS184: Introduction to JavaScript Security</w:t>
      </w:r>
    </w:p>
    <w:p>
      <w:pPr>
        <w:pStyle w:val="ListBullet"/>
        <w:keepNext w:val="0"/>
        <w:keepLines/>
        <w:widowControl/>
        <w:spacing w:before="0" w:after="60" w:line="252" w:lineRule="exact"/>
        <w:ind w:left="245" w:hanging="173"/>
      </w:pPr>
      <w:r>
        <w:t>LFC108: Cybersecurity Essentials</w:t>
      </w:r>
    </w:p>
    <w:p>
      <w:pPr>
        <w:pStyle w:val="ListBullet"/>
        <w:keepNext w:val="0"/>
        <w:keepLines/>
        <w:widowControl/>
        <w:spacing w:before="0" w:after="60" w:line="252" w:lineRule="exact"/>
        <w:ind w:left="245" w:hanging="173"/>
      </w:pPr>
      <w:r>
        <w:t>LFEL1004: Authentication and Authorization for Web/API</w:t>
      </w:r>
    </w:p>
    <w:p>
      <w:pPr>
        <w:pStyle w:val="ListBullet"/>
        <w:keepNext w:val="0"/>
        <w:keepLines/>
        <w:widowControl/>
        <w:spacing w:before="0" w:after="60" w:line="252" w:lineRule="exact"/>
        <w:ind w:left="245" w:hanging="173"/>
      </w:pPr>
      <w:r>
        <w:t>LFEL1008: Migrating AI Workflows Across Platforms</w:t>
      </w:r>
    </w:p>
    <w:p>
      <w:pPr>
        <w:pStyle w:val="ListBullet"/>
        <w:keepNext w:val="0"/>
        <w:keepLines/>
        <w:widowControl/>
        <w:spacing w:before="0" w:after="60" w:line="252" w:lineRule="exact"/>
        <w:ind w:left="245" w:hanging="173"/>
      </w:pPr>
      <w:r>
        <w:t>LFS147: Introduction to AI/ML Toolkits with Kubeflow</w:t>
      </w:r>
    </w:p>
    <w:p>
      <w:pPr>
        <w:pStyle w:val="Heading2"/>
        <w:keepNext/>
        <w:keepLines/>
        <w:widowControl/>
        <w:spacing w:before="100" w:after="40" w:line="256" w:lineRule="exact"/>
      </w:pPr>
      <w:r>
        <w:t>Additional Advanced and Strategy Coursework</w:t>
      </w:r>
    </w:p>
    <w:p>
      <w:pPr>
        <w:keepNext w:val="0"/>
        <w:keepLines/>
        <w:widowControl/>
        <w:spacing w:before="0" w:after="60" w:line="252" w:lineRule="exact"/>
      </w:pPr>
      <w:r>
        <w:t>Anthropic Claude Academy completion badges: Model Context Protocol: Advanced topics; Claude Code in action; Building with the Claude API | Issued September 30, 2026</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pStyle w:val="Heading2"/>
        <w:keepNext/>
        <w:keepLines/>
        <w:widowControl/>
        <w:spacing w:before="100" w:after="40" w:line="256" w:lineRule="exact"/>
      </w:pPr>
      <w:r>
        <w:t>Standards and Frameworks: Training and Research</w:t>
      </w:r>
    </w:p>
    <w:p>
      <w:pPr>
        <w:keepNext w:val="0"/>
        <w:keepLines/>
        <w:widowControl/>
        <w:spacing w:before="0" w:after="60" w:line="252" w:lineRule="exact"/>
      </w:pPr>
      <w:r>
        <w:t>Assessed knowledge: Qualys policy baselines, scans, reporting, exceptions, script approvals and role separation; Claude API grading, tool use, workflow routing/chaining, and verification hooks. Coursework: MCRA/MCSB, Zero Trust, OWASP web Top 10, CRA. Research references: NIST AI RMF/GenAI Profile, ISO/IEC 42001/23894, ISO 37002. Editions: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