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Systems Engineering, AI Infrastructure, and Field Operations</w:t>
      </w:r>
    </w:p>
    <w:p>
      <w:pPr>
        <w:pStyle w:val="Heading1"/>
        <w:keepNext/>
        <w:keepLines/>
        <w:widowControl/>
        <w:spacing w:before="120" w:after="60" w:line="280" w:lineRule="exact"/>
      </w:pPr>
      <w:r>
        <w:t>Profile</w:t>
      </w:r>
    </w:p>
    <w:p>
      <w:pPr>
        <w:keepNext w:val="0"/>
        <w:keepLines/>
        <w:widowControl/>
        <w:spacing w:before="0" w:after="60" w:line="252" w:lineRule="exact"/>
      </w:pPr>
      <w:r>
        <w:t>Independent systems engineer and technical writer building AI workstations, evaluation and accountability tools, language tooling, and graphics systems. Combines self-directed programming with technical networking support and eleven years of full-time arboriculture and customer-facing operations.</w:t>
      </w:r>
    </w:p>
    <w:p>
      <w:pPr>
        <w:keepNext w:val="0"/>
        <w:keepLines/>
        <w:widowControl/>
        <w:spacing w:before="0" w:after="60" w:line="252" w:lineRule="exact"/>
      </w:pPr>
      <w:r>
        <w:t>Open to technical and nontechnical AI governance and evaluation roles. Available for regular travel to San Francisco and London.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w:t>
      </w:r>
    </w:p>
    <w:p>
      <w:pPr>
        <w:keepNext/>
        <w:keepLines/>
        <w:widowControl/>
        <w:spacing w:before="0" w:after="60" w:line="240" w:lineRule="exact"/>
      </w:pPr>
      <w:r>
        <w:rPr>
          <w:sz w:val="21"/>
        </w:rPr>
        <w:t>Kent / remote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under the Zentropy Labs project identity.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controlled-action interfaces, and source-linked records that can be checked without relying on a model to approve its own answer.</w:t>
      </w:r>
    </w:p>
    <w:p>
      <w:pPr>
        <w:pStyle w:val="ListBullet"/>
        <w:keepNext w:val="0"/>
        <w:keepLines/>
        <w:widowControl/>
        <w:spacing w:before="0" w:after="60" w:line="252" w:lineRule="exact"/>
        <w:ind w:left="245" w:hanging="173"/>
      </w:pPr>
      <w:r>
        <w:t>Contribute focused fixes, regression tests, and documentation to externally maintained projects, responding to maintainer review and preserving the scope of each accepted change.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Programming Background</w:t>
      </w:r>
    </w:p>
    <w:p>
      <w:pPr>
        <w:keepNext w:val="0"/>
        <w:keepLines/>
        <w:widowControl/>
        <w:spacing w:before="0" w:after="60" w:line="252" w:lineRule="exact"/>
      </w:pPr>
      <w:r>
        <w:t>Self-directed programming began with game modding, reverse engineering, bot and rotation logic, and runtime-memory tooling, then developed into systems engineering, graphics, compilers, and AI infrastructure. This is a project history, not a claim of equivalent years of paid software employment.</w:t>
      </w:r>
    </w:p>
    <w:p>
      <w:pPr>
        <w:pStyle w:val="Heading1"/>
        <w:keepNext/>
        <w:keepLines/>
        <w:widowControl/>
        <w:spacing w:before="120" w:after="60" w:line="280" w:lineRule="exact"/>
      </w:pPr>
      <w:r>
        <w:t>AI Platform and Agent Systems</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The September 29, 2026 v1.1.2 release includes a Windows installer with a bundled engine. The source repository contains the Python runtime, Flutter desktop client, and browser fallback.</w:t>
      </w:r>
    </w:p>
    <w:p>
      <w:pPr>
        <w:pStyle w:val="ListBullet"/>
        <w:keepNext w:val="0"/>
        <w:keepLines/>
        <w:widowControl/>
        <w:spacing w:before="0" w:after="60" w:line="252" w:lineRule="exact"/>
        <w:ind w:left="245" w:hanging="173"/>
      </w:pPr>
      <w:r>
        <w:t>Routes tasks to hosted or local models through an OpenAI-compatible gateway; keeps model selection separate from the task record and exposes command-line, desktop, and API entry points.</w:t>
      </w:r>
    </w:p>
    <w:p>
      <w:pPr>
        <w:pStyle w:val="ListBullet"/>
        <w:keepNext w:val="0"/>
        <w:keepLines/>
        <w:widowControl/>
        <w:spacing w:before="0" w:after="60" w:line="252" w:lineRule="exact"/>
        <w:ind w:left="245" w:hanging="173"/>
      </w:pPr>
      <w:r>
        <w:t>Provides Rowan, a desktop assistant that translates requests into recorded tasks, together with permission-checked coding and tool-use workflows, session state, and inspectable outcomes.</w:t>
      </w:r>
    </w:p>
    <w:p>
      <w:pPr>
        <w:pStyle w:val="ListBullet"/>
        <w:keepNext w:val="0"/>
        <w:keepLines/>
        <w:widowControl/>
        <w:spacing w:before="0" w:after="60" w:line="252" w:lineRule="exact"/>
        <w:ind w:left="245" w:hanging="173"/>
      </w:pPr>
      <w:r>
        <w:t>Composes research intake, workspace indexing, verification, orchestration, memory, authoring, and other tools through registered lanes and published interfaces. Bundled components and installable companions have distinct packaging requirements.</w:t>
      </w:r>
    </w:p>
    <w:p>
      <w:pPr>
        <w:pStyle w:val="ListBullet"/>
        <w:keepNext w:val="0"/>
        <w:keepLines/>
        <w:widowControl/>
        <w:spacing w:before="0" w:after="60" w:line="252" w:lineRule="exact"/>
        <w:ind w:left="245" w:hanging="173"/>
      </w:pPr>
      <w:r>
        <w:t>Produces sealed, re-derivable receipts and offline MATCH, DRIFT, or UNVERIFIABLE outcomes. A reproducible receipt establishes the bounded check it records, not universal model accuracy or safety.</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persisted journals preserve decisions and observed effects. Reversible adapters include restoration paths. Fake drivers make browser and desktop scenarios testable without uncontrolled live actions.</w:t>
      </w:r>
    </w:p>
    <w:p>
      <w:pPr>
        <w:keepNext w:val="0"/>
        <w:keepLines/>
        <w:widowControl/>
        <w:spacing w:before="0" w:after="60" w:line="252" w:lineRule="exact"/>
      </w:pPr>
      <w:r>
        <w:t>The v0.2.0 release provides source and wheel artifacts on GitHub. The project remains alpha; browser integrations are optional and a tool refusal or unknown result is not promoted into a successful action.</w:t>
      </w:r>
    </w:p>
    <w:p>
      <w:pPr>
        <w:pStyle w:val="Heading2"/>
        <w:keepNext/>
        <w:keepLines/>
        <w:widowControl/>
        <w:spacing w:before="100" w:after="40" w:line="256" w:lineRule="exact"/>
      </w:pPr>
      <w:r>
        <w:t>Articulate | Writing analysis and accountable editing</w:t>
      </w:r>
    </w:p>
    <w:p>
      <w:pPr>
        <w:keepNext w:val="0"/>
        <w:keepLines/>
        <w:widowControl/>
        <w:spacing w:before="0" w:after="60" w:line="252" w:lineRule="exact"/>
      </w:pPr>
      <w:r>
        <w:t>Built deterministic prose analysis with register, mode, and genre profiles, alongside optional model-assisted editing. Includes command-line, library, MCP, language-server, and SARIF surfaces; math-span protection preserves formulas during supported editing flows. Content-free audit receipts record checks without retaining the underlying prose. Version 0.5.2, released September 29, 2026, adds guarded host editing through local MCP and a released plugin.</w:t>
      </w:r>
    </w:p>
    <w:p>
      <w:pPr>
        <w:pStyle w:val="Heading2"/>
        <w:keepNext/>
        <w:keepLines/>
        <w:widowControl/>
        <w:spacing w:before="100" w:after="40" w:line="256" w:lineRule="exact"/>
      </w:pPr>
      <w:r>
        <w:t>Agent tools, memory, and coordination</w:t>
      </w:r>
    </w:p>
    <w:p>
      <w:pPr>
        <w:keepNext w:val="0"/>
        <w:keepLines/>
        <w:widowControl/>
        <w:spacing w:before="0" w:after="60" w:line="252" w:lineRule="exact"/>
      </w:pPr>
      <w:r>
        <w:t>Relay supplies model-agnostic coding-agent tooling; Plexus connects tool interfaces; Mneme retains memories with source checks; Canon consolidates assistant instructions and context. Bulletin provides a signed-identity public message board. These systems contribute distinct capabilities to the larger platform rather than representing separate claims of deployment at customer scale.</w:t>
      </w:r>
    </w:p>
    <w:p>
      <w:pPr>
        <w:pStyle w:val="Heading1"/>
        <w:keepNext/>
        <w:keepLines/>
        <w:widowControl/>
        <w:spacing w:before="120" w:after="60" w:line="280" w:lineRule="exact"/>
      </w:pPr>
      <w:r>
        <w:t>Evaluation, Systems, and Security Engineering</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Built 324 exhaustive terminal-state fixtures and five synthetic component-evaluation families with 337 cases and 5,058 frozen expectations. Defined controls separate failed outputs, provider failures, and missing evidence from valid results. Executed a pinned METR count_odds interoperability check with three deterministic controls, preserving logs and score provenance through the Inspect-to-Flywheel handoff.</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around shared conformance cases and portable verification records. The witness checks byte-level integrity, anchors, and source correspondence; it does not grant permission, certify semantic truth, or replace an operator decision. Cross-language checking makes implementation differences visible.</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The compiler makes categories of ambient access visible to its type and build machinery. Experimental backends and linear-type work remain distinguished from the supported path.</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Rust-based Windows and Linux utility with deterministic profiles, read-only audit, backup-before-write behavior, validation, restoration, and platform packages. The released v1.1.1 scope is userland-reversible identifiers. Kernel and firmware layers are modeled, not shipped.</w:t>
      </w:r>
    </w:p>
    <w:p>
      <w:pPr>
        <w:pStyle w:val="Heading2"/>
        <w:keepNext/>
        <w:keepLines/>
        <w:widowControl/>
        <w:spacing w:before="100" w:after="40" w:line="256" w:lineRule="exact"/>
      </w:pPr>
      <w:r>
        <w:t>Controlled assessment and operator tooling</w:t>
      </w:r>
    </w:p>
    <w:p>
      <w:pPr>
        <w:keepNext w:val="0"/>
        <w:keepLines/>
        <w:widowControl/>
        <w:spacing w:before="0" w:after="60" w:line="252" w:lineRule="exact"/>
      </w:pPr>
      <w:r>
        <w:t>Private systems work includes Array for approval-gated assessment orchestration and containment records, Lab/Seed for controlled-lab fixtures and detection-engineering workflows, and Runtime/ORCA for local workspaces, reports, bundles, and release provenance. Public descriptions cover architecture and safe interfaces; private implementations, target material, and operational details are not published here.</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source-carrying research intake, Index for workspace and symbol maps, and Forum for model orchestration with recorded decisions. These tools make source selection, handoffs, and task context inspectable across a multi-repository product.</w:t>
      </w:r>
    </w:p>
    <w:p>
      <w:pPr>
        <w:pStyle w:val="Heading1"/>
        <w:keepNext/>
        <w:keepLines/>
        <w:widowControl/>
        <w:spacing w:before="120" w:after="60" w:line="280" w:lineRule="exact"/>
      </w:pPr>
      <w:r>
        <w:t>Graphics, Color, and Runtime Work</w:t>
      </w:r>
    </w:p>
    <w:p>
      <w:pPr>
        <w:keepNext w:val="0"/>
        <w:keepLines/>
        <w:widowControl/>
        <w:spacing w:before="0" w:after="60" w:line="252" w:lineRule="exact"/>
      </w:pPr>
      <w:r>
        <w:t>Developed HLSL and C++ graphics and game-modding work spanning post-processing, Direct3D 11 integration, shader debugging, GPU traces, and shared-memory interfaces. Related public projects include Elder ENB, SkyrimBridge, ENB Runtime Core, Brender Archival, and Engine Revival. Existing engines and collaborators retain their own attribution.</w:t>
      </w:r>
    </w:p>
    <w:p>
      <w:pPr>
        <w:keepNext w:val="0"/>
        <w:keepLines/>
        <w:widowControl/>
        <w:spacing w:before="0" w:after="60" w:line="252" w:lineRule="exact"/>
      </w:pPr>
      <w:r>
        <w:t>Color and creative-tool work includes Build Color, Calibrate Pro, Studio Engine, and browser-based studio/print surfaces: perceptual color spaces, color difference, HDR/tone-mapping tools, display characterization, and generative visual systems. These are engineering projects, not claims of professional calibration certification.</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selected contributions merged across six external repositories, covering bug fixes, tests, and documentation. These are contributions, not employment; the broader record tracks merged, open, and closed without merge outcomes.</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Verification and controlled actions: capability effects, operator grants, action envelopes, source provenance, hash-chained journals, offline replay, scoped postconditions, conformance suites, and release evidence.</w:t>
      </w:r>
    </w:p>
    <w:p>
      <w:pPr>
        <w:keepNext w:val="0"/>
        <w:keepLines/>
        <w:widowControl/>
        <w:spacing w:before="0" w:after="60" w:line="252" w:lineRule="exact"/>
      </w:pPr>
      <w:r>
        <w:t>Software delivery: Git/GitHub, GitHub Actions, Python packaging, command-line design, Windows/Linux installers, CMake, test automation, static websites, release documentation, and checksums.</w:t>
      </w:r>
    </w:p>
    <w:p>
      <w:pPr>
        <w:keepNext w:val="0"/>
        <w:keepLines/>
        <w:widowControl/>
        <w:spacing w:before="0" w:after="60" w:line="252" w:lineRule="exact"/>
      </w:pPr>
      <w:r>
        <w:t>Graphics and domain knowledge: D3D11/HLSL, shader and runtime debugging, color-space and tone-mapping work, GPU instrumentation, shared-memory interfaces,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 Public examples separate observed results from interpretation and retain negative or inconclusive findings rather than treating every completed run as success.</w:t>
      </w:r>
    </w:p>
    <w:p>
      <w:pPr>
        <w:pStyle w:val="Heading1"/>
        <w:keepNext/>
        <w:keepLines/>
        <w:widowControl/>
        <w:spacing w:before="120" w:after="60" w:line="280" w:lineRule="exact"/>
      </w:pPr>
      <w:r>
        <w:t>Research Agenda</w:t>
      </w:r>
    </w:p>
    <w:p>
      <w:pPr>
        <w:keepNext w:val="0"/>
        <w:keepLines/>
        <w:widowControl/>
        <w:spacing w:before="0" w:after="60" w:line="252" w:lineRule="exact"/>
      </w:pPr>
      <w:r>
        <w:t>My independent research examines evidence that another person or system can check without inheriting an AI system's authority. Work includes evaluation provenance and verifier independence; live-state drift; proof-carrying actions; memory, uncertainty, and behavior; and human authorization for consequential actions. Robotics is a research interest.</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Heading2"/>
        <w:keepNext/>
        <w:keepLines/>
        <w:widowControl/>
        <w:spacing w:before="100" w:after="40" w:line="256" w:lineRule="exact"/>
      </w:pPr>
      <w:r>
        <w:t>Who Knew First</w:t>
      </w:r>
    </w:p>
    <w:p>
      <w:pPr>
        <w:keepNext w:val="0"/>
        <w:keepLines/>
        <w:widowControl/>
        <w:spacing w:before="0" w:after="60" w:line="252" w:lineRule="exact"/>
      </w:pPr>
      <w:r>
        <w:t>September 2026. Directed and published an AI-assisted investigation comparing disclosure timelines, evidence access, institutional incentives, and evaluator conflicts across nine reported AI-agent incidents. Separates source claims, inference, and unresolved attribution. harperz9.github.io/who-knew-first.html</w:t>
      </w:r>
    </w:p>
    <w:p>
      <w:pPr>
        <w:pStyle w:val="Heading2"/>
        <w:keepNext/>
        <w:keepLines/>
        <w:widowControl/>
        <w:spacing w:before="100" w:after="40" w:line="256" w:lineRule="exact"/>
      </w:pPr>
      <w:r>
        <w:t>An Open Letter on Checking the Machines</w:t>
      </w:r>
    </w:p>
    <w:p>
      <w:pPr>
        <w:keepNext w:val="0"/>
        <w:keepLines/>
        <w:widowControl/>
        <w:spacing w:before="0" w:after="60" w:line="252" w:lineRule="exact"/>
      </w:pPr>
      <w:r>
        <w:t>September 2026. Proposed contestable AI decisions, repeatable evidence checks, and accountable responses to objections. harperz9.github.io/checking-the-machines.html</w:t>
      </w:r>
    </w:p>
    <w:p>
      <w:pPr>
        <w:pStyle w:val="Heading2"/>
        <w:keepNext/>
        <w:keepLines/>
        <w:widowControl/>
        <w:spacing w:before="100" w:after="40" w:line="256" w:lineRule="exact"/>
      </w:pPr>
      <w:r>
        <w:t>Borrowed Ground</w:t>
      </w:r>
    </w:p>
    <w:p>
      <w:pPr>
        <w:keepNext w:val="0"/>
        <w:keepLines/>
        <w:widowControl/>
        <w:spacing w:before="0" w:after="60" w:line="252" w:lineRule="exact"/>
      </w:pPr>
      <w:r>
        <w:t>September 2026. Philosophical essay connecting human interdependence to responsibility, privacy, participation, and the limits of technical evidence as authority over people. Substantial AI assistance disclosed. harperz9.github.io/borrowed-ground.html</w:t>
      </w:r>
    </w:p>
    <w:p>
      <w:pPr>
        <w:pStyle w:val="Heading2"/>
        <w:keepNext/>
        <w:keepLines/>
        <w:widowControl/>
        <w:spacing w:before="100" w:after="40" w:line="256" w:lineRule="exact"/>
      </w:pPr>
      <w:r>
        <w:t>The Sandbox Was Never Just a Box</w:t>
      </w:r>
    </w:p>
    <w:p>
      <w:pPr>
        <w:keepNext w:val="0"/>
        <w:keepLines/>
        <w:widowControl/>
        <w:spacing w:before="0" w:after="60" w:line="252" w:lineRule="exact"/>
      </w:pPr>
      <w:r>
        <w:t>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and archived manuscripts with DOI records. These records are not peer reviewed. An archived philosophical manuscript is not an awarded academic degree.</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is grounded in field work, not a separately claimed professional license.</w:t>
      </w:r>
    </w:p>
    <w:p>
      <w:pPr>
        <w:keepNext w:val="0"/>
        <w:keepLines/>
        <w:widowControl/>
        <w:spacing w:before="0" w:after="60" w:line="252" w:lineRule="exact"/>
      </w:pPr>
      <w:r>
        <w:t>ORCID: 0009-0001-7175-5393 | orcid.org/0009-0001-7175-5393</w:t>
      </w:r>
    </w:p>
    <w:p>
      <w:pPr>
        <w:keepNext w:val="0"/>
        <w:keepLines/>
        <w:widowControl/>
        <w:spacing w:before="0" w:after="60" w:line="252" w:lineRule="exact"/>
      </w:pPr>
      <w:r>
        <w:t>Publications: harperz9.github.io/publications.html | Portfolio: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September 2026 completions. Verification: harperz9.github.io/career/source-ledger.md.</w:t>
      </w:r>
    </w:p>
    <w:p>
      <w:pPr>
        <w:keepNext w:val="0"/>
        <w:keepLines/>
        <w:widowControl/>
        <w:spacing w:before="0" w:after="60" w:line="252" w:lineRule="exact"/>
      </w:pPr>
      <w:r>
        <w:t>Qualys Certified Specialist: Policy Audit; Custom Assessment and Remediation; Vulnerability Management Detection and Response; Qualys Kubernetes and Container Security | Issued 2026-09-30; expire 2028-09-29</w:t>
      </w:r>
    </w:p>
    <w:p>
      <w:pPr>
        <w:pStyle w:val="Heading2"/>
        <w:keepNext/>
        <w:keepLines/>
        <w:widowControl/>
        <w:spacing w:before="100" w:after="40" w:line="256" w:lineRule="exact"/>
      </w:pPr>
      <w:r>
        <w:t>Microsoft Applied Skills | Earned September 29,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Completed four module assessments and the architecture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pStyle w:val="ListBullet"/>
        <w:keepNext w:val="0"/>
        <w:keepLines/>
        <w:widowControl/>
        <w:spacing w:before="0" w:after="60" w:line="252" w:lineRule="exact"/>
        <w:ind w:left="245" w:hanging="173"/>
      </w:pPr>
      <w:r>
        <w:t>LFEL1012: Secure AI/ML-Driven Software Development</w:t>
      </w:r>
    </w:p>
    <w:p>
      <w:pPr>
        <w:pStyle w:val="ListBullet"/>
        <w:keepNext w:val="0"/>
        <w:keepLines/>
        <w:widowControl/>
        <w:spacing w:before="0" w:after="60" w:line="252" w:lineRule="exact"/>
        <w:ind w:left="245" w:hanging="173"/>
      </w:pPr>
      <w:r>
        <w:t>LFS120: Conversational AI: Ensuring Compliance and Mitigating Risks</w:t>
      </w:r>
    </w:p>
    <w:p>
      <w:pPr>
        <w:pStyle w:val="ListBullet"/>
        <w:keepNext w:val="0"/>
        <w:keepLines/>
        <w:widowControl/>
        <w:spacing w:before="0" w:after="60" w:line="252" w:lineRule="exact"/>
        <w:ind w:left="245" w:hanging="173"/>
      </w:pPr>
      <w:r>
        <w:t>LFD121: Developing Secure Software</w:t>
      </w:r>
    </w:p>
    <w:p>
      <w:pPr>
        <w:pStyle w:val="ListBullet"/>
        <w:keepNext w:val="0"/>
        <w:keepLines/>
        <w:widowControl/>
        <w:spacing w:before="0" w:after="60" w:line="252" w:lineRule="exact"/>
        <w:ind w:left="245" w:hanging="173"/>
      </w:pPr>
      <w:r>
        <w:t>LFS182: Securing Your Software Supply Chain with Sigstore</w:t>
      </w:r>
    </w:p>
    <w:p>
      <w:pPr>
        <w:pStyle w:val="ListBullet"/>
        <w:keepNext w:val="0"/>
        <w:keepLines/>
        <w:widowControl/>
        <w:spacing w:before="0" w:after="60" w:line="252" w:lineRule="exact"/>
        <w:ind w:left="245" w:hanging="173"/>
      </w:pPr>
      <w:r>
        <w:t>LFEL1001: Understanding the EU Cyber Resilience Act (CRA)</w:t>
      </w:r>
    </w:p>
    <w:p>
      <w:pPr>
        <w:pStyle w:val="ListBullet"/>
        <w:keepNext w:val="0"/>
        <w:keepLines/>
        <w:widowControl/>
        <w:spacing w:before="0" w:after="60" w:line="252" w:lineRule="exact"/>
        <w:ind w:left="245" w:hanging="173"/>
      </w:pPr>
      <w:r>
        <w:t>LFS118: Ethical Principles for Conversational AI</w:t>
      </w:r>
    </w:p>
    <w:p>
      <w:pPr>
        <w:pStyle w:val="ListBullet"/>
        <w:keepNext w:val="0"/>
        <w:keepLines/>
        <w:widowControl/>
        <w:spacing w:before="0" w:after="60" w:line="252" w:lineRule="exact"/>
        <w:ind w:left="245" w:hanging="173"/>
      </w:pPr>
      <w:r>
        <w:t>LFEL1006: Securing Projects with OpenSSF Scorecard</w:t>
      </w:r>
    </w:p>
    <w:p>
      <w:pPr>
        <w:pStyle w:val="ListBullet"/>
        <w:keepNext w:val="0"/>
        <w:keepLines/>
        <w:widowControl/>
        <w:spacing w:before="0" w:after="60" w:line="252" w:lineRule="exact"/>
        <w:ind w:left="245" w:hanging="173"/>
      </w:pPr>
      <w:r>
        <w:t>LFEL1005: Security Self-Assessments for Open Source Projects</w:t>
      </w:r>
    </w:p>
    <w:p>
      <w:pPr>
        <w:pStyle w:val="ListBullet"/>
        <w:keepNext w:val="0"/>
        <w:keepLines/>
        <w:widowControl/>
        <w:spacing w:before="0" w:after="60" w:line="252" w:lineRule="exact"/>
        <w:ind w:left="245" w:hanging="173"/>
      </w:pPr>
      <w:r>
        <w:t>LFEL1007: Automating Supply Chain Security: SBOMs and Signatures</w:t>
      </w:r>
    </w:p>
    <w:p>
      <w:pPr>
        <w:pStyle w:val="ListBullet"/>
        <w:keepNext w:val="0"/>
        <w:keepLines/>
        <w:widowControl/>
        <w:spacing w:before="0" w:after="60" w:line="252" w:lineRule="exact"/>
        <w:ind w:left="245" w:hanging="173"/>
      </w:pPr>
      <w:r>
        <w:t>LFD125: Security for Software Development Managers</w:t>
      </w:r>
    </w:p>
    <w:p>
      <w:pPr>
        <w:pStyle w:val="ListBullet"/>
        <w:keepNext w:val="0"/>
        <w:keepLines/>
        <w:widowControl/>
        <w:spacing w:before="0" w:after="60" w:line="252" w:lineRule="exact"/>
        <w:ind w:left="245" w:hanging="173"/>
      </w:pPr>
      <w:r>
        <w:t>LFS180: Introduction to DevSecOps for Managers</w:t>
      </w:r>
    </w:p>
    <w:p>
      <w:pPr>
        <w:pStyle w:val="ListBullet"/>
        <w:keepNext w:val="0"/>
        <w:keepLines/>
        <w:widowControl/>
        <w:spacing w:before="0" w:after="60" w:line="252" w:lineRule="exact"/>
        <w:ind w:left="245" w:hanging="173"/>
      </w:pPr>
      <w:r>
        <w:t>SKF100: OWASP Top 10 Security Threats</w:t>
      </w:r>
    </w:p>
    <w:p>
      <w:pPr>
        <w:pStyle w:val="ListBullet"/>
        <w:keepNext w:val="0"/>
        <w:keepLines/>
        <w:widowControl/>
        <w:spacing w:before="0" w:after="60" w:line="252" w:lineRule="exact"/>
        <w:ind w:left="245" w:hanging="173"/>
      </w:pPr>
      <w:r>
        <w:t>LFS184: Introduction to JavaScript Security</w:t>
      </w:r>
    </w:p>
    <w:p>
      <w:pPr>
        <w:pStyle w:val="ListBullet"/>
        <w:keepNext w:val="0"/>
        <w:keepLines/>
        <w:widowControl/>
        <w:spacing w:before="0" w:after="60" w:line="252" w:lineRule="exact"/>
        <w:ind w:left="245" w:hanging="173"/>
      </w:pPr>
      <w:r>
        <w:t>LFC108: Cybersecurity Essentials</w:t>
      </w:r>
    </w:p>
    <w:p>
      <w:pPr>
        <w:pStyle w:val="ListBullet"/>
        <w:keepNext w:val="0"/>
        <w:keepLines/>
        <w:widowControl/>
        <w:spacing w:before="0" w:after="60" w:line="252" w:lineRule="exact"/>
        <w:ind w:left="245" w:hanging="173"/>
      </w:pPr>
      <w:r>
        <w:t>LFEL1004: Authentication and Authorization for Web/API</w:t>
      </w:r>
    </w:p>
    <w:p>
      <w:pPr>
        <w:pStyle w:val="ListBullet"/>
        <w:keepNext w:val="0"/>
        <w:keepLines/>
        <w:widowControl/>
        <w:spacing w:before="0" w:after="60" w:line="252" w:lineRule="exact"/>
        <w:ind w:left="245" w:hanging="173"/>
      </w:pPr>
      <w:r>
        <w:t>LFEL1008: Migrating AI Workflows Across Platforms</w:t>
      </w:r>
    </w:p>
    <w:p>
      <w:pPr>
        <w:pStyle w:val="ListBullet"/>
        <w:keepNext w:val="0"/>
        <w:keepLines/>
        <w:widowControl/>
        <w:spacing w:before="0" w:after="60" w:line="252" w:lineRule="exact"/>
        <w:ind w:left="245" w:hanging="173"/>
      </w:pPr>
      <w:r>
        <w:t>LFS147: Introduction to AI/ML Toolkits with Kubeflow</w:t>
      </w:r>
    </w:p>
    <w:p>
      <w:pPr>
        <w:pStyle w:val="Heading2"/>
        <w:keepNext/>
        <w:keepLines/>
        <w:widowControl/>
        <w:spacing w:before="100" w:after="40" w:line="256" w:lineRule="exact"/>
      </w:pPr>
      <w:r>
        <w:t>Additional Advanced and Strategy Coursework</w:t>
      </w:r>
    </w:p>
    <w:p>
      <w:pPr>
        <w:keepNext w:val="0"/>
        <w:keepLines/>
        <w:widowControl/>
        <w:spacing w:before="0" w:after="60" w:line="252" w:lineRule="exact"/>
      </w:pPr>
      <w:r>
        <w:t>Anthropic Claude Academy completion badges: Model Context Protocol: Advanced topics; Claude Code in action; Building with the Claude API | Issued September 30, 2026</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pStyle w:val="Heading2"/>
        <w:keepNext/>
        <w:keepLines/>
        <w:widowControl/>
        <w:spacing w:before="100" w:after="40" w:line="256" w:lineRule="exact"/>
      </w:pPr>
      <w:r>
        <w:t>Standards and Frameworks: Training and Research</w:t>
      </w:r>
    </w:p>
    <w:p>
      <w:pPr>
        <w:keepNext w:val="0"/>
        <w:keepLines/>
        <w:widowControl/>
        <w:spacing w:before="0" w:after="60" w:line="252" w:lineRule="exact"/>
      </w:pPr>
      <w:r>
        <w:t>Assessed knowledge: Qualys policy baselines, scans, reporting, exceptions, script approvals, role separation, container scanning and CI/CD gates; Claude API grading, tool use, workflow routing/chaining, and verification hooks. Coursework: MCRA/MCSB, Zero Trust, OWASP web Top 10, CRA. Research references: NIST AI RMF/GenAI Profile, ISO/IEC 42001/23894, ISO 37002. Editions: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