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Summary</w:t>
      </w:r>
    </w:p>
    <w:p>
      <w:pPr>
        <w:keepNext w:val="0"/>
        <w:keepLines/>
        <w:widowControl/>
        <w:spacing w:before="0" w:after="60" w:line="252" w:lineRule="exact"/>
      </w:pPr>
      <w:r>
        <w:t>Independent systems engineer building AI evaluation tools, reproducible tests, and releases; contributes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Professional Experience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Independent Systems Engineer | Independent practice | 2023 to Present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Sole proprietor since September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Flywheel, a Python/Flutter workstation with Rowan orchestration, model routing, tools, and a Windows installer with a bundled engine.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writing analysis, Accountable Surface approval interfaces, BuildLang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task-image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Custom Assessment and Remediation, VMDR, KCS. Microsoft Applied Skills: cloud AI security, Entra identity/access, Azure storage security. Coursework: LFD121 secure software; advanced SC-100 security architecture; Claude API, Claude Code, advanced MCP; BlueDot AGI Strategy.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2026-09-30T08:00:00Z</dcterms:created>
  <dcterms:modified xsi:type="dcterms:W3CDTF">2026-09-30T08:00:00Z</dcterms:modified>
  <cp:category/>
</cp:coreProperties>
</file>