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and technical writer with about 13 years of personal programming. Builds AI workstations, evaluation tools, language tooling, and graphics systems. Began a career transition in June 2026 after eleven years of full-time production arboriculture; no professional programming experience.</w:t>
      </w:r>
    </w:p>
    <w:p>
      <w:pPr>
        <w:keepNext w:val="0"/>
        <w:keepLines/>
        <w:widowControl/>
        <w:spacing w:before="0" w:after="60" w:line="252" w:lineRule="exact"/>
      </w:pPr>
      <w:r>
        <w:t>Open to technical and nontechnical AI governance and evaluation roles. Willing to relocate to London; available for regular travel to San Francisco.</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v1.5.0, released October 4, 2026,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ListBullet"/>
        <w:keepNext w:val="0"/>
        <w:keepLines/>
        <w:widowControl/>
        <w:spacing w:before="0" w:after="60" w:line="252" w:lineRule="exact"/>
        <w:ind w:left="245" w:hanging="173"/>
      </w:pPr>
      <w:r>
        <w:t>Released a monitor-admission check over 2,676 frozen items with six planted controls, a second independent math kernel, and signer-head anchoring. Release evidence reports no real monitor tested through the admission check and no installed signer; Windows anchoring was parse-checked only.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profiles for register and genre, mode settings, and optional model-assisted editing. Includes command-line, library, MCP, language-server, and SARIF surfaces; math-span protection preserves formulas during supported editing flows. Content-free audit receipts record checks without retaining the underlying prose. Version 0.9.0, released October 3, 2026, adds project-specific writing rules, domain profiles, writing-process records, and reports of guarded edits. Detector rules retain the published v0.5.2 fingerprint.</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Customer-scale deployment is not established.</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A completed run alone does not establish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 no separate professional license is claimed.</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Intermediate course certificate and learning badge, 2026-09-30; 100% knowledge exam. Assessed scoping, reporting, vulnerability assessment, and security concepts.</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Scope: tokenization, n-grams, data preparation, and agent orchestration.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 Both courses Intermediate. Lab work: SQL features, logistic regression, later-window evaluation, and predictions.</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 Topics: model-evaluation methods, YARA-L, SIEM processing/enrichment, and SOAR.</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 Assessed human rights, fairness, risk controls, incident reporting, and sustainability.</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2026-10-07T00:00:00Z</dcterms:created>
  <dcterms:modified xsi:type="dcterms:W3CDTF">2026-10-07T00:00:00Z</dcterms:modified>
  <cp:category/>
</cp:coreProperties>
</file>